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79350">
      <w:pPr>
        <w:adjustRightInd w:val="0"/>
        <w:snapToGrid w:val="0"/>
        <w:jc w:val="center"/>
        <w:outlineLvl w:val="0"/>
        <w:rPr>
          <w:bCs/>
          <w:color w:val="000000"/>
          <w:kern w:val="21"/>
          <w:sz w:val="72"/>
          <w:szCs w:val="72"/>
        </w:rPr>
      </w:pPr>
      <w:bookmarkStart w:id="0" w:name="_Toc1940"/>
      <w:bookmarkStart w:id="1" w:name="_Toc354926673"/>
    </w:p>
    <w:p w14:paraId="42F492E1">
      <w:pPr>
        <w:adjustRightInd w:val="0"/>
        <w:snapToGrid w:val="0"/>
        <w:jc w:val="center"/>
        <w:outlineLvl w:val="0"/>
        <w:rPr>
          <w:bCs/>
          <w:color w:val="000000"/>
          <w:kern w:val="21"/>
          <w:sz w:val="72"/>
          <w:szCs w:val="72"/>
        </w:rPr>
      </w:pPr>
    </w:p>
    <w:p w14:paraId="1F69BEF5">
      <w:pPr>
        <w:adjustRightInd w:val="0"/>
        <w:snapToGrid w:val="0"/>
        <w:jc w:val="center"/>
        <w:outlineLvl w:val="0"/>
        <w:rPr>
          <w:bCs/>
          <w:color w:val="000000"/>
          <w:kern w:val="21"/>
          <w:sz w:val="72"/>
          <w:szCs w:val="72"/>
        </w:rPr>
      </w:pPr>
      <w:r>
        <w:rPr>
          <w:bCs/>
          <w:color w:val="000000"/>
          <w:kern w:val="21"/>
          <w:sz w:val="72"/>
          <w:szCs w:val="72"/>
        </w:rPr>
        <w:t>建设项目环境影响报告表</w:t>
      </w:r>
      <w:bookmarkEnd w:id="0"/>
    </w:p>
    <w:p w14:paraId="79EEC1DB">
      <w:pPr>
        <w:adjustRightInd w:val="0"/>
        <w:snapToGrid w:val="0"/>
        <w:spacing w:before="192" w:beforeLines="80"/>
        <w:jc w:val="center"/>
        <w:rPr>
          <w:bCs/>
          <w:color w:val="000000"/>
          <w:kern w:val="21"/>
          <w:sz w:val="48"/>
          <w:szCs w:val="48"/>
        </w:rPr>
      </w:pPr>
      <w:r>
        <w:rPr>
          <w:bCs/>
          <w:color w:val="000000"/>
          <w:kern w:val="21"/>
          <w:sz w:val="48"/>
          <w:szCs w:val="48"/>
        </w:rPr>
        <w:t>（污染影响类）</w:t>
      </w:r>
    </w:p>
    <w:p w14:paraId="6A3D1901">
      <w:pPr>
        <w:adjustRightInd w:val="0"/>
        <w:snapToGrid w:val="0"/>
        <w:spacing w:line="288" w:lineRule="auto"/>
        <w:jc w:val="center"/>
        <w:rPr>
          <w:color w:val="000000"/>
          <w:kern w:val="21"/>
          <w:sz w:val="44"/>
          <w:szCs w:val="44"/>
        </w:rPr>
      </w:pPr>
    </w:p>
    <w:p w14:paraId="107D651E">
      <w:pPr>
        <w:ind w:firstLine="1040"/>
        <w:rPr>
          <w:color w:val="000000"/>
          <w:kern w:val="21"/>
          <w:sz w:val="44"/>
          <w:szCs w:val="44"/>
        </w:rPr>
      </w:pPr>
    </w:p>
    <w:p w14:paraId="6523FAC4">
      <w:pPr>
        <w:ind w:firstLine="1040"/>
        <w:rPr>
          <w:color w:val="000000"/>
          <w:kern w:val="21"/>
          <w:sz w:val="44"/>
          <w:szCs w:val="44"/>
        </w:rPr>
      </w:pPr>
    </w:p>
    <w:p w14:paraId="30F266E0">
      <w:pPr>
        <w:ind w:firstLine="1040"/>
        <w:rPr>
          <w:color w:val="000000"/>
          <w:kern w:val="21"/>
          <w:sz w:val="44"/>
          <w:szCs w:val="44"/>
        </w:rPr>
      </w:pPr>
    </w:p>
    <w:p w14:paraId="5D662781">
      <w:pPr>
        <w:ind w:firstLine="1040"/>
        <w:rPr>
          <w:color w:val="000000"/>
          <w:kern w:val="21"/>
          <w:sz w:val="44"/>
          <w:szCs w:val="44"/>
        </w:rPr>
      </w:pPr>
    </w:p>
    <w:p w14:paraId="114A2457">
      <w:pPr>
        <w:ind w:firstLine="1040"/>
        <w:rPr>
          <w:color w:val="000000"/>
          <w:kern w:val="21"/>
          <w:sz w:val="44"/>
          <w:szCs w:val="44"/>
        </w:rPr>
      </w:pPr>
    </w:p>
    <w:p w14:paraId="6E4A10B1">
      <w:pPr>
        <w:adjustRightInd w:val="0"/>
        <w:snapToGrid w:val="0"/>
        <w:spacing w:line="288" w:lineRule="auto"/>
        <w:ind w:firstLine="567"/>
        <w:rPr>
          <w:rFonts w:hint="default" w:eastAsia="宋体"/>
          <w:color w:val="000000"/>
          <w:kern w:val="21"/>
          <w:szCs w:val="21"/>
          <w:lang w:val="en-US" w:eastAsia="zh-CN"/>
        </w:rPr>
      </w:pPr>
      <w:r>
        <w:rPr>
          <w:color w:val="000000"/>
          <w:spacing w:val="0"/>
          <w:kern w:val="21"/>
          <w:sz w:val="36"/>
          <w:szCs w:val="36"/>
        </w:rPr>
        <w:t>项目名称</w:t>
      </w:r>
      <w:r>
        <w:rPr>
          <w:color w:val="000000"/>
          <w:kern w:val="21"/>
          <w:sz w:val="36"/>
          <w:szCs w:val="36"/>
        </w:rPr>
        <w:t>：</w:t>
      </w:r>
      <w:r>
        <w:rPr>
          <w:rFonts w:hint="eastAsia"/>
          <w:color w:val="000000"/>
          <w:kern w:val="21"/>
          <w:sz w:val="36"/>
          <w:szCs w:val="36"/>
          <w:u w:val="single"/>
          <w:lang w:val="en-US" w:eastAsia="zh-CN"/>
        </w:rPr>
        <w:t xml:space="preserve">   统型砼岔枕生产项目（一期工程）           </w:t>
      </w:r>
      <w:r>
        <w:rPr>
          <w:color w:val="000000"/>
          <w:kern w:val="21"/>
          <w:sz w:val="36"/>
          <w:szCs w:val="36"/>
          <w:u w:val="single"/>
        </w:rPr>
        <w:t xml:space="preserve"> </w:t>
      </w:r>
      <w:r>
        <w:rPr>
          <w:rFonts w:hint="eastAsia"/>
          <w:color w:val="000000"/>
          <w:kern w:val="21"/>
          <w:sz w:val="36"/>
          <w:szCs w:val="36"/>
          <w:u w:val="single"/>
          <w:lang w:val="en-US" w:eastAsia="zh-CN"/>
        </w:rPr>
        <w:t xml:space="preserve">    </w:t>
      </w:r>
    </w:p>
    <w:p w14:paraId="68B77CCA">
      <w:pPr>
        <w:adjustRightInd w:val="0"/>
        <w:snapToGrid w:val="0"/>
        <w:spacing w:line="360" w:lineRule="auto"/>
        <w:ind w:firstLine="567"/>
        <w:rPr>
          <w:color w:val="000000"/>
          <w:kern w:val="21"/>
          <w:sz w:val="36"/>
          <w:szCs w:val="36"/>
          <w:u w:val="single"/>
        </w:rPr>
      </w:pPr>
      <w:r>
        <w:rPr>
          <w:color w:val="000000"/>
          <w:kern w:val="21"/>
          <w:sz w:val="36"/>
          <w:szCs w:val="36"/>
        </w:rPr>
        <w:t>建设单位（盖章）：</w:t>
      </w:r>
      <w:r>
        <w:rPr>
          <w:rFonts w:hint="eastAsia"/>
          <w:color w:val="000000"/>
          <w:kern w:val="21"/>
          <w:sz w:val="36"/>
          <w:szCs w:val="36"/>
          <w:u w:val="single"/>
        </w:rPr>
        <w:t xml:space="preserve"> </w:t>
      </w:r>
      <w:r>
        <w:rPr>
          <w:rFonts w:hint="eastAsia"/>
          <w:color w:val="000000"/>
          <w:kern w:val="21"/>
          <w:sz w:val="36"/>
          <w:szCs w:val="36"/>
          <w:u w:val="single"/>
          <w:lang w:val="en-US" w:eastAsia="zh-CN"/>
        </w:rPr>
        <w:t>安徽中全铁路器材有限公司</w:t>
      </w:r>
      <w:r>
        <w:rPr>
          <w:rFonts w:hint="eastAsia"/>
          <w:color w:val="000000"/>
          <w:kern w:val="21"/>
          <w:sz w:val="36"/>
          <w:szCs w:val="36"/>
          <w:u w:val="single"/>
        </w:rPr>
        <w:t xml:space="preserve">    </w:t>
      </w:r>
      <w:r>
        <w:rPr>
          <w:color w:val="000000"/>
          <w:kern w:val="21"/>
          <w:sz w:val="36"/>
          <w:szCs w:val="36"/>
          <w:u w:val="single"/>
        </w:rPr>
        <w:t xml:space="preserve"> </w:t>
      </w:r>
    </w:p>
    <w:p w14:paraId="04AAB377">
      <w:pPr>
        <w:adjustRightInd w:val="0"/>
        <w:snapToGrid w:val="0"/>
        <w:spacing w:line="360" w:lineRule="auto"/>
        <w:ind w:firstLine="567"/>
        <w:rPr>
          <w:color w:val="000000"/>
          <w:kern w:val="21"/>
          <w:sz w:val="36"/>
          <w:szCs w:val="36"/>
          <w:u w:val="single"/>
        </w:rPr>
      </w:pPr>
      <w:r>
        <w:rPr>
          <w:color w:val="000000"/>
          <w:spacing w:val="17"/>
          <w:kern w:val="21"/>
          <w:sz w:val="36"/>
          <w:szCs w:val="36"/>
        </w:rPr>
        <w:t>编制日期</w:t>
      </w:r>
      <w:r>
        <w:rPr>
          <w:color w:val="000000"/>
          <w:kern w:val="21"/>
          <w:sz w:val="36"/>
          <w:szCs w:val="36"/>
        </w:rPr>
        <w:t>：</w:t>
      </w:r>
      <w:r>
        <w:rPr>
          <w:color w:val="000000"/>
          <w:kern w:val="21"/>
          <w:sz w:val="36"/>
          <w:szCs w:val="36"/>
          <w:u w:val="single"/>
        </w:rPr>
        <w:t xml:space="preserve">   </w:t>
      </w:r>
      <w:r>
        <w:rPr>
          <w:rFonts w:hint="eastAsia"/>
          <w:color w:val="000000"/>
          <w:kern w:val="21"/>
          <w:sz w:val="36"/>
          <w:szCs w:val="36"/>
          <w:u w:val="single"/>
        </w:rPr>
        <w:t xml:space="preserve"> </w:t>
      </w:r>
      <w:r>
        <w:rPr>
          <w:color w:val="000000"/>
          <w:kern w:val="21"/>
          <w:sz w:val="36"/>
          <w:szCs w:val="36"/>
          <w:u w:val="single"/>
        </w:rPr>
        <w:t xml:space="preserve">  </w:t>
      </w:r>
      <w:r>
        <w:rPr>
          <w:rFonts w:hint="eastAsia"/>
          <w:color w:val="000000"/>
          <w:kern w:val="21"/>
          <w:sz w:val="36"/>
          <w:szCs w:val="36"/>
          <w:u w:val="single"/>
          <w:lang w:val="en-US" w:eastAsia="zh-CN"/>
        </w:rPr>
        <w:t xml:space="preserve">     </w:t>
      </w:r>
      <w:r>
        <w:rPr>
          <w:color w:val="000000"/>
          <w:kern w:val="21"/>
          <w:sz w:val="36"/>
          <w:szCs w:val="36"/>
          <w:u w:val="single"/>
        </w:rPr>
        <w:t>202</w:t>
      </w:r>
      <w:r>
        <w:rPr>
          <w:rFonts w:hint="eastAsia"/>
          <w:color w:val="000000"/>
          <w:kern w:val="21"/>
          <w:sz w:val="36"/>
          <w:szCs w:val="36"/>
          <w:u w:val="single"/>
        </w:rPr>
        <w:t>5</w:t>
      </w:r>
      <w:r>
        <w:rPr>
          <w:color w:val="000000"/>
          <w:kern w:val="21"/>
          <w:sz w:val="36"/>
          <w:szCs w:val="36"/>
          <w:u w:val="single"/>
        </w:rPr>
        <w:t>年</w:t>
      </w:r>
      <w:r>
        <w:rPr>
          <w:rFonts w:hint="eastAsia"/>
          <w:color w:val="000000"/>
          <w:kern w:val="21"/>
          <w:sz w:val="36"/>
          <w:szCs w:val="36"/>
          <w:u w:val="single"/>
          <w:lang w:val="en-US" w:eastAsia="zh-CN"/>
        </w:rPr>
        <w:t>6</w:t>
      </w:r>
      <w:r>
        <w:rPr>
          <w:color w:val="000000"/>
          <w:kern w:val="21"/>
          <w:sz w:val="36"/>
          <w:szCs w:val="36"/>
          <w:u w:val="single"/>
        </w:rPr>
        <w:t>月</w:t>
      </w:r>
      <w:r>
        <w:rPr>
          <w:rFonts w:hint="eastAsia"/>
          <w:color w:val="000000"/>
          <w:kern w:val="21"/>
          <w:sz w:val="36"/>
          <w:szCs w:val="36"/>
          <w:u w:val="single"/>
          <w:lang w:val="en-US" w:eastAsia="zh-CN"/>
        </w:rPr>
        <w:t xml:space="preserve">  </w:t>
      </w:r>
      <w:r>
        <w:rPr>
          <w:color w:val="000000"/>
          <w:kern w:val="21"/>
          <w:sz w:val="36"/>
          <w:szCs w:val="36"/>
          <w:u w:val="single"/>
        </w:rPr>
        <w:t xml:space="preserve">           </w:t>
      </w:r>
    </w:p>
    <w:p w14:paraId="0F868359">
      <w:pPr>
        <w:adjustRightInd w:val="0"/>
        <w:snapToGrid w:val="0"/>
        <w:spacing w:line="288" w:lineRule="auto"/>
        <w:ind w:firstLine="1040"/>
        <w:rPr>
          <w:color w:val="000000"/>
          <w:kern w:val="21"/>
          <w:sz w:val="36"/>
          <w:szCs w:val="36"/>
          <w:u w:val="single"/>
        </w:rPr>
      </w:pPr>
      <w:bookmarkStart w:id="2" w:name="_Hlk57884087"/>
    </w:p>
    <w:p w14:paraId="0FDDFDAA">
      <w:pPr>
        <w:adjustRightInd w:val="0"/>
        <w:snapToGrid w:val="0"/>
        <w:spacing w:line="288" w:lineRule="auto"/>
        <w:ind w:firstLine="1040"/>
        <w:rPr>
          <w:color w:val="000000"/>
          <w:kern w:val="21"/>
          <w:sz w:val="36"/>
          <w:szCs w:val="36"/>
        </w:rPr>
      </w:pPr>
    </w:p>
    <w:p w14:paraId="2E6234A4">
      <w:pPr>
        <w:adjustRightInd w:val="0"/>
        <w:snapToGrid w:val="0"/>
        <w:spacing w:line="288" w:lineRule="auto"/>
        <w:ind w:firstLine="1040"/>
        <w:rPr>
          <w:color w:val="000000"/>
          <w:kern w:val="21"/>
          <w:sz w:val="36"/>
          <w:szCs w:val="36"/>
        </w:rPr>
      </w:pPr>
    </w:p>
    <w:p w14:paraId="1F32035A">
      <w:pPr>
        <w:adjustRightInd w:val="0"/>
        <w:snapToGrid w:val="0"/>
        <w:spacing w:line="288" w:lineRule="auto"/>
        <w:ind w:firstLine="1040"/>
        <w:rPr>
          <w:color w:val="000000"/>
          <w:kern w:val="21"/>
          <w:sz w:val="36"/>
          <w:szCs w:val="36"/>
        </w:rPr>
      </w:pPr>
    </w:p>
    <w:p w14:paraId="19DF6C51">
      <w:pPr>
        <w:pStyle w:val="2"/>
      </w:pPr>
    </w:p>
    <w:bookmarkEnd w:id="2"/>
    <w:p w14:paraId="298B884C">
      <w:pPr>
        <w:adjustRightInd w:val="0"/>
        <w:snapToGrid w:val="0"/>
        <w:spacing w:line="288" w:lineRule="auto"/>
        <w:jc w:val="center"/>
        <w:rPr>
          <w:color w:val="000000"/>
          <w:kern w:val="21"/>
          <w:sz w:val="36"/>
          <w:szCs w:val="36"/>
        </w:rPr>
      </w:pPr>
      <w:r>
        <w:rPr>
          <w:color w:val="000000"/>
          <w:kern w:val="21"/>
          <w:sz w:val="36"/>
          <w:szCs w:val="36"/>
        </w:rPr>
        <w:t>中华人民共和国生态环境部制</w:t>
      </w:r>
    </w:p>
    <w:p w14:paraId="18BA4EB1">
      <w:pPr>
        <w:widowControl/>
        <w:jc w:val="center"/>
        <w:outlineLvl w:val="0"/>
        <w:rPr>
          <w:rFonts w:ascii="宋体" w:hAnsi="宋体"/>
          <w:b/>
          <w:bCs/>
          <w:color w:val="000000"/>
          <w:kern w:val="0"/>
          <w:sz w:val="30"/>
          <w:szCs w:val="30"/>
        </w:rPr>
        <w:sectPr>
          <w:headerReference r:id="rId3" w:type="default"/>
          <w:headerReference r:id="rId4" w:type="even"/>
          <w:footerReference r:id="rId5" w:type="even"/>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08B70DCC">
      <w:pPr>
        <w:widowControl/>
        <w:jc w:val="center"/>
        <w:outlineLvl w:val="0"/>
        <w:rPr>
          <w:rFonts w:hint="eastAsia" w:ascii="宋体" w:hAnsi="宋体"/>
          <w:b/>
          <w:color w:val="000000"/>
          <w:kern w:val="0"/>
          <w:sz w:val="30"/>
          <w:szCs w:val="30"/>
        </w:rPr>
      </w:pPr>
      <w:r>
        <w:rPr>
          <w:rFonts w:ascii="宋体" w:hAnsi="宋体"/>
          <w:b/>
          <w:bCs/>
          <w:color w:val="000000"/>
          <w:kern w:val="0"/>
          <w:sz w:val="30"/>
          <w:szCs w:val="30"/>
        </w:rPr>
        <w:t>一</w:t>
      </w:r>
      <w:r>
        <w:rPr>
          <w:rFonts w:hint="eastAsia" w:ascii="宋体" w:hAnsi="宋体"/>
          <w:b/>
          <w:bCs/>
          <w:color w:val="000000"/>
          <w:kern w:val="0"/>
          <w:sz w:val="30"/>
          <w:szCs w:val="30"/>
        </w:rPr>
        <w:t>、</w:t>
      </w:r>
      <w:r>
        <w:rPr>
          <w:rFonts w:ascii="宋体" w:hAnsi="宋体"/>
          <w:b/>
          <w:bCs/>
          <w:color w:val="000000"/>
          <w:kern w:val="0"/>
          <w:sz w:val="30"/>
          <w:szCs w:val="30"/>
        </w:rPr>
        <w:t>建设项目</w:t>
      </w:r>
      <w:r>
        <w:rPr>
          <w:rFonts w:ascii="宋体" w:hAnsi="宋体"/>
          <w:b/>
          <w:color w:val="000000"/>
          <w:kern w:val="0"/>
          <w:sz w:val="30"/>
          <w:szCs w:val="30"/>
        </w:rPr>
        <w:t>基本情况</w:t>
      </w:r>
      <w:bookmarkEnd w:id="1"/>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1"/>
        <w:gridCol w:w="373"/>
        <w:gridCol w:w="2414"/>
        <w:gridCol w:w="2304"/>
        <w:gridCol w:w="2923"/>
        <w:gridCol w:w="32"/>
      </w:tblGrid>
      <w:tr w14:paraId="15766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71991031">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建设项目名称</w:t>
            </w:r>
          </w:p>
        </w:tc>
        <w:tc>
          <w:tcPr>
            <w:tcW w:w="7585" w:type="dxa"/>
            <w:gridSpan w:val="4"/>
            <w:vAlign w:val="center"/>
          </w:tcPr>
          <w:p w14:paraId="180F13C6">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lang w:val="en-US" w:eastAsia="zh-CN"/>
              </w:rPr>
              <w:t>统型砼岔枕生产项目（一期工程）</w:t>
            </w:r>
          </w:p>
        </w:tc>
      </w:tr>
      <w:tr w14:paraId="7C158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79C1E40C">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项目代码</w:t>
            </w:r>
          </w:p>
        </w:tc>
        <w:tc>
          <w:tcPr>
            <w:tcW w:w="7585" w:type="dxa"/>
            <w:gridSpan w:val="4"/>
            <w:vAlign w:val="center"/>
          </w:tcPr>
          <w:p w14:paraId="1E569EC4">
            <w:pPr>
              <w:adjustRightInd w:val="0"/>
              <w:snapToGrid w:val="0"/>
              <w:jc w:val="center"/>
              <w:rPr>
                <w:rFonts w:hint="eastAsia" w:ascii="宋体" w:hAnsi="宋体" w:cs="宋体"/>
                <w:color w:val="auto"/>
                <w:sz w:val="24"/>
                <w:szCs w:val="24"/>
              </w:rPr>
            </w:pPr>
            <w:r>
              <w:rPr>
                <w:rFonts w:hint="default" w:ascii="Times New Roman" w:hAnsi="Times New Roman" w:cs="Times New Roman"/>
                <w:color w:val="auto"/>
                <w:sz w:val="24"/>
                <w:szCs w:val="24"/>
              </w:rPr>
              <w:t>2506-340461-04-01-480431</w:t>
            </w:r>
          </w:p>
        </w:tc>
      </w:tr>
      <w:tr w14:paraId="749A9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613BE06E">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建设单位联系人</w:t>
            </w:r>
          </w:p>
        </w:tc>
        <w:tc>
          <w:tcPr>
            <w:tcW w:w="2362" w:type="dxa"/>
            <w:vAlign w:val="center"/>
          </w:tcPr>
          <w:p w14:paraId="511DC396">
            <w:pPr>
              <w:adjustRightInd w:val="0"/>
              <w:snapToGrid w:val="0"/>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刘正红</w:t>
            </w:r>
          </w:p>
        </w:tc>
        <w:tc>
          <w:tcPr>
            <w:tcW w:w="2210" w:type="dxa"/>
            <w:vAlign w:val="center"/>
          </w:tcPr>
          <w:p w14:paraId="7DE53358">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联系方式</w:t>
            </w:r>
          </w:p>
        </w:tc>
        <w:tc>
          <w:tcPr>
            <w:tcW w:w="3013" w:type="dxa"/>
            <w:gridSpan w:val="2"/>
            <w:vAlign w:val="center"/>
          </w:tcPr>
          <w:p w14:paraId="5CEFBFB6">
            <w:pPr>
              <w:adjustRightInd w:val="0"/>
              <w:snapToGrid w:val="0"/>
              <w:jc w:val="center"/>
              <w:rPr>
                <w:rFonts w:hint="eastAsia" w:ascii="宋体" w:hAnsi="宋体" w:cs="宋体"/>
                <w:color w:val="auto"/>
                <w:sz w:val="24"/>
                <w:szCs w:val="24"/>
              </w:rPr>
            </w:pPr>
            <w:r>
              <w:rPr>
                <w:rFonts w:hint="eastAsia"/>
                <w:color w:val="auto"/>
                <w:sz w:val="24"/>
                <w:szCs w:val="24"/>
              </w:rPr>
              <w:t>18651223000</w:t>
            </w:r>
          </w:p>
        </w:tc>
      </w:tr>
      <w:tr w14:paraId="0527C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6978E1D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585" w:type="dxa"/>
            <w:gridSpan w:val="4"/>
            <w:vAlign w:val="center"/>
          </w:tcPr>
          <w:p w14:paraId="5D7C507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u w:val="single"/>
              </w:rPr>
              <w:t xml:space="preserve"> 安徽 </w:t>
            </w:r>
            <w:r>
              <w:rPr>
                <w:rFonts w:hint="default" w:ascii="Times New Roman" w:hAnsi="Times New Roman" w:cs="Times New Roman"/>
                <w:color w:val="auto"/>
                <w:sz w:val="24"/>
                <w:szCs w:val="24"/>
              </w:rPr>
              <w:t>省（自治区）</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淮南</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淮南经济开发 </w:t>
            </w:r>
            <w:r>
              <w:rPr>
                <w:rFonts w:hint="default" w:ascii="Times New Roman" w:hAnsi="Times New Roman" w:cs="Times New Roman"/>
                <w:color w:val="auto"/>
                <w:sz w:val="24"/>
                <w:szCs w:val="24"/>
              </w:rPr>
              <w:t>区</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锦绣路</w:t>
            </w:r>
            <w:r>
              <w:rPr>
                <w:rFonts w:hint="default" w:ascii="Times New Roman" w:hAnsi="Times New Roman" w:cs="Times New Roman"/>
                <w:color w:val="auto"/>
                <w:sz w:val="24"/>
                <w:szCs w:val="24"/>
                <w:u w:val="none"/>
              </w:rPr>
              <w:t>100号东侧</w:t>
            </w:r>
          </w:p>
        </w:tc>
      </w:tr>
      <w:tr w14:paraId="7D308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61DF7B7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585" w:type="dxa"/>
            <w:gridSpan w:val="4"/>
            <w:vAlign w:val="center"/>
          </w:tcPr>
          <w:p w14:paraId="558F800E">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117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4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27.529</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32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3</w:t>
            </w:r>
            <w:r>
              <w:rPr>
                <w:rFonts w:hint="default" w:ascii="Times New Roman" w:hAnsi="Times New Roman" w:cs="Times New Roman"/>
                <w:color w:val="auto"/>
                <w:sz w:val="24"/>
                <w:szCs w:val="24"/>
                <w:u w:val="single"/>
                <w:lang w:val="en-US" w:eastAsia="zh-CN"/>
              </w:rPr>
              <w:t>8</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25.661</w:t>
            </w:r>
            <w:r>
              <w:rPr>
                <w:rFonts w:hint="default" w:ascii="Times New Roman" w:hAnsi="Times New Roman" w:cs="Times New Roman"/>
                <w:color w:val="auto"/>
                <w:sz w:val="24"/>
                <w:szCs w:val="24"/>
              </w:rPr>
              <w:t>秒）</w:t>
            </w:r>
          </w:p>
        </w:tc>
      </w:tr>
      <w:tr w14:paraId="6B1B3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1042" w:type="dxa"/>
            <w:gridSpan w:val="2"/>
            <w:tcMar>
              <w:top w:w="16" w:type="dxa"/>
              <w:left w:w="16" w:type="dxa"/>
              <w:right w:w="16" w:type="dxa"/>
            </w:tcMar>
            <w:vAlign w:val="center"/>
          </w:tcPr>
          <w:p w14:paraId="4A1418F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000ED94F">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362" w:type="dxa"/>
            <w:vAlign w:val="center"/>
          </w:tcPr>
          <w:p w14:paraId="57AE4B2C">
            <w:pPr>
              <w:adjustRightInd w:val="0"/>
              <w:snapToGrid w:val="0"/>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rPr>
              <w:t>C</w:t>
            </w:r>
            <w:r>
              <w:rPr>
                <w:rFonts w:hint="default" w:ascii="Times New Roman" w:hAnsi="Times New Roman" w:cs="Times New Roman"/>
                <w:color w:val="auto"/>
                <w:sz w:val="24"/>
                <w:lang w:val="en-US" w:eastAsia="zh-CN"/>
              </w:rPr>
              <w:t>3021水泥制品制造</w:t>
            </w:r>
          </w:p>
        </w:tc>
        <w:tc>
          <w:tcPr>
            <w:tcW w:w="2210" w:type="dxa"/>
            <w:vAlign w:val="center"/>
          </w:tcPr>
          <w:p w14:paraId="516B7C6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2149739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rPr>
              <w:t>行业类别</w:t>
            </w:r>
          </w:p>
        </w:tc>
        <w:tc>
          <w:tcPr>
            <w:tcW w:w="3013" w:type="dxa"/>
            <w:gridSpan w:val="2"/>
            <w:vAlign w:val="center"/>
          </w:tcPr>
          <w:p w14:paraId="1FADD6EF">
            <w:pPr>
              <w:adjustRightInd w:val="0"/>
              <w:snapToGrid w:val="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二十七、非金属矿物制品业、</w:t>
            </w:r>
            <w:r>
              <w:rPr>
                <w:rFonts w:hint="default" w:ascii="Times New Roman" w:hAnsi="Times New Roman" w:cs="Times New Roman"/>
                <w:color w:val="auto"/>
                <w:sz w:val="24"/>
                <w:lang w:val="en-US" w:eastAsia="zh-CN"/>
              </w:rPr>
              <w:t>55、石膏、水泥制品及类似制品制造302水泥制品制造</w:t>
            </w:r>
          </w:p>
        </w:tc>
      </w:tr>
      <w:tr w14:paraId="1671E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6" w:hRule="atLeast"/>
          <w:jc w:val="center"/>
        </w:trPr>
        <w:tc>
          <w:tcPr>
            <w:tcW w:w="1042" w:type="dxa"/>
            <w:gridSpan w:val="2"/>
            <w:tcMar>
              <w:top w:w="16" w:type="dxa"/>
              <w:left w:w="16" w:type="dxa"/>
              <w:right w:w="16" w:type="dxa"/>
            </w:tcMar>
            <w:vAlign w:val="center"/>
          </w:tcPr>
          <w:p w14:paraId="0F4F4276">
            <w:pPr>
              <w:adjustRightInd w:val="0"/>
              <w:snapToGrid w:val="0"/>
              <w:jc w:val="center"/>
              <w:rPr>
                <w:rFonts w:hint="eastAsia"/>
                <w:color w:val="auto"/>
              </w:rPr>
            </w:pPr>
            <w:r>
              <w:rPr>
                <w:color w:val="auto"/>
                <w:sz w:val="24"/>
              </w:rPr>
              <w:t>建设性质</w:t>
            </w:r>
          </w:p>
        </w:tc>
        <w:tc>
          <w:tcPr>
            <w:tcW w:w="2362" w:type="dxa"/>
            <w:vAlign w:val="center"/>
          </w:tcPr>
          <w:p w14:paraId="274E066F">
            <w:pPr>
              <w:rPr>
                <w:color w:val="auto"/>
                <w:sz w:val="24"/>
              </w:rPr>
            </w:pPr>
            <w:r>
              <w:rPr>
                <w:rFonts w:hint="eastAsia"/>
                <w:color w:val="auto"/>
                <w:sz w:val="24"/>
                <w:lang w:eastAsia="zh-CN"/>
              </w:rPr>
              <w:t>☑</w:t>
            </w:r>
            <w:r>
              <w:rPr>
                <w:rFonts w:hint="eastAsia"/>
                <w:color w:val="auto"/>
                <w:sz w:val="24"/>
              </w:rPr>
              <w:t>新</w:t>
            </w:r>
            <w:r>
              <w:rPr>
                <w:color w:val="auto"/>
                <w:sz w:val="24"/>
              </w:rPr>
              <w:t>建</w:t>
            </w:r>
          </w:p>
          <w:p w14:paraId="313D64C2">
            <w:pPr>
              <w:rPr>
                <w:color w:val="auto"/>
                <w:sz w:val="24"/>
              </w:rPr>
            </w:pPr>
            <w:r>
              <w:rPr>
                <w:rFonts w:hint="eastAsia"/>
                <w:color w:val="auto"/>
                <w:sz w:val="24"/>
                <w:lang w:eastAsia="zh-CN"/>
              </w:rPr>
              <w:t>□</w:t>
            </w:r>
            <w:r>
              <w:rPr>
                <w:color w:val="auto"/>
                <w:sz w:val="24"/>
              </w:rPr>
              <w:t>改建</w:t>
            </w:r>
          </w:p>
          <w:p w14:paraId="09342A1E">
            <w:pPr>
              <w:rPr>
                <w:color w:val="auto"/>
                <w:sz w:val="24"/>
              </w:rPr>
            </w:pPr>
            <w:r>
              <w:rPr>
                <w:rFonts w:hint="eastAsia"/>
                <w:color w:val="auto"/>
                <w:sz w:val="24"/>
              </w:rPr>
              <w:t>□</w:t>
            </w:r>
            <w:r>
              <w:rPr>
                <w:color w:val="auto"/>
                <w:sz w:val="24"/>
              </w:rPr>
              <w:t>扩建</w:t>
            </w:r>
          </w:p>
          <w:p w14:paraId="6DE25FAC">
            <w:pPr>
              <w:rPr>
                <w:rFonts w:hint="eastAsia"/>
                <w:color w:val="auto"/>
              </w:rPr>
            </w:pPr>
            <w:r>
              <w:rPr>
                <w:rFonts w:hint="eastAsia"/>
                <w:color w:val="auto"/>
                <w:sz w:val="24"/>
              </w:rPr>
              <w:t>□</w:t>
            </w:r>
            <w:r>
              <w:rPr>
                <w:color w:val="auto"/>
                <w:sz w:val="24"/>
              </w:rPr>
              <w:t>技术改造</w:t>
            </w:r>
          </w:p>
        </w:tc>
        <w:tc>
          <w:tcPr>
            <w:tcW w:w="2210" w:type="dxa"/>
            <w:vAlign w:val="center"/>
          </w:tcPr>
          <w:p w14:paraId="15F350D3">
            <w:pPr>
              <w:adjustRightInd w:val="0"/>
              <w:snapToGrid w:val="0"/>
              <w:jc w:val="center"/>
              <w:rPr>
                <w:color w:val="auto"/>
                <w:sz w:val="24"/>
              </w:rPr>
            </w:pPr>
            <w:r>
              <w:rPr>
                <w:color w:val="auto"/>
                <w:sz w:val="24"/>
              </w:rPr>
              <w:t>建设项目</w:t>
            </w:r>
          </w:p>
          <w:p w14:paraId="7A1408EF">
            <w:pPr>
              <w:adjustRightInd w:val="0"/>
              <w:snapToGrid w:val="0"/>
              <w:jc w:val="center"/>
              <w:rPr>
                <w:rFonts w:hint="eastAsia"/>
                <w:color w:val="auto"/>
              </w:rPr>
            </w:pPr>
            <w:r>
              <w:rPr>
                <w:color w:val="auto"/>
                <w:sz w:val="24"/>
              </w:rPr>
              <w:t>申报情形</w:t>
            </w:r>
          </w:p>
        </w:tc>
        <w:tc>
          <w:tcPr>
            <w:tcW w:w="3013" w:type="dxa"/>
            <w:gridSpan w:val="2"/>
            <w:vAlign w:val="center"/>
          </w:tcPr>
          <w:p w14:paraId="39863A44">
            <w:pPr>
              <w:jc w:val="left"/>
              <w:rPr>
                <w:color w:val="auto"/>
                <w:sz w:val="24"/>
              </w:rPr>
            </w:pPr>
            <w:r>
              <w:rPr>
                <w:rFonts w:hint="eastAsia"/>
                <w:color w:val="auto"/>
                <w:sz w:val="24"/>
                <w:lang w:eastAsia="zh-CN"/>
              </w:rPr>
              <w:t>☑</w:t>
            </w:r>
            <w:r>
              <w:rPr>
                <w:color w:val="auto"/>
                <w:sz w:val="24"/>
              </w:rPr>
              <w:t xml:space="preserve">首次申报项目             </w:t>
            </w:r>
          </w:p>
          <w:p w14:paraId="4AC4E457">
            <w:pPr>
              <w:jc w:val="left"/>
              <w:rPr>
                <w:color w:val="auto"/>
                <w:sz w:val="24"/>
              </w:rPr>
            </w:pPr>
            <w:r>
              <w:rPr>
                <w:rFonts w:hint="eastAsia"/>
                <w:color w:val="auto"/>
                <w:sz w:val="24"/>
              </w:rPr>
              <w:t>□</w:t>
            </w:r>
            <w:r>
              <w:rPr>
                <w:color w:val="auto"/>
                <w:sz w:val="24"/>
              </w:rPr>
              <w:t>不予批准后再次申报项目</w:t>
            </w:r>
          </w:p>
          <w:p w14:paraId="6AACAB3C">
            <w:pPr>
              <w:jc w:val="left"/>
              <w:rPr>
                <w:color w:val="auto"/>
                <w:sz w:val="24"/>
              </w:rPr>
            </w:pPr>
            <w:r>
              <w:rPr>
                <w:rFonts w:hint="eastAsia"/>
                <w:color w:val="auto"/>
                <w:sz w:val="24"/>
              </w:rPr>
              <w:t>□</w:t>
            </w:r>
            <w:r>
              <w:rPr>
                <w:color w:val="auto"/>
                <w:sz w:val="24"/>
              </w:rPr>
              <w:t xml:space="preserve">超五年重新审核项目     </w:t>
            </w:r>
          </w:p>
          <w:p w14:paraId="085A76C9">
            <w:pPr>
              <w:jc w:val="left"/>
              <w:rPr>
                <w:rFonts w:hint="eastAsia"/>
                <w:color w:val="auto"/>
              </w:rPr>
            </w:pPr>
            <w:r>
              <w:rPr>
                <w:rFonts w:hint="eastAsia"/>
                <w:color w:val="auto"/>
                <w:sz w:val="24"/>
              </w:rPr>
              <w:t>□</w:t>
            </w:r>
            <w:r>
              <w:rPr>
                <w:color w:val="auto"/>
                <w:sz w:val="24"/>
              </w:rPr>
              <w:t>重大变动重新报批项目</w:t>
            </w:r>
          </w:p>
        </w:tc>
      </w:tr>
      <w:tr w14:paraId="5E294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1042" w:type="dxa"/>
            <w:gridSpan w:val="2"/>
            <w:tcMar>
              <w:top w:w="16" w:type="dxa"/>
              <w:left w:w="16" w:type="dxa"/>
              <w:right w:w="16" w:type="dxa"/>
            </w:tcMar>
            <w:vAlign w:val="center"/>
          </w:tcPr>
          <w:p w14:paraId="2BCADE29">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14:paraId="20B98C0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备案）部门（选填）</w:t>
            </w:r>
          </w:p>
        </w:tc>
        <w:tc>
          <w:tcPr>
            <w:tcW w:w="2362" w:type="dxa"/>
            <w:vAlign w:val="center"/>
          </w:tcPr>
          <w:p w14:paraId="093CFCA6">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淮南经济技术开发区管委会经济发展局</w:t>
            </w:r>
          </w:p>
        </w:tc>
        <w:tc>
          <w:tcPr>
            <w:tcW w:w="2210" w:type="dxa"/>
            <w:vAlign w:val="center"/>
          </w:tcPr>
          <w:p w14:paraId="03B5309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p>
          <w:p w14:paraId="5914F05C">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备案）文号（选填）</w:t>
            </w:r>
          </w:p>
        </w:tc>
        <w:tc>
          <w:tcPr>
            <w:tcW w:w="3013" w:type="dxa"/>
            <w:gridSpan w:val="2"/>
            <w:vAlign w:val="center"/>
          </w:tcPr>
          <w:p w14:paraId="1355D06B">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w:t>
            </w:r>
          </w:p>
        </w:tc>
      </w:tr>
      <w:tr w14:paraId="08226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70B92BA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总投资（万元）</w:t>
            </w:r>
          </w:p>
        </w:tc>
        <w:tc>
          <w:tcPr>
            <w:tcW w:w="2362" w:type="dxa"/>
            <w:vAlign w:val="center"/>
          </w:tcPr>
          <w:p w14:paraId="0ACBCC35">
            <w:pPr>
              <w:adjustRightInd w:val="0"/>
              <w:snapToGrid w:val="0"/>
              <w:jc w:val="center"/>
              <w:rPr>
                <w:color w:val="auto"/>
                <w:sz w:val="24"/>
                <w:szCs w:val="24"/>
              </w:rPr>
            </w:pPr>
            <w:r>
              <w:rPr>
                <w:rFonts w:hint="eastAsia"/>
                <w:color w:val="auto"/>
                <w:sz w:val="24"/>
                <w:szCs w:val="24"/>
                <w:lang w:val="en-US" w:eastAsia="zh-CN"/>
              </w:rPr>
              <w:t>10</w:t>
            </w:r>
            <w:r>
              <w:rPr>
                <w:rFonts w:hint="eastAsia"/>
                <w:color w:val="auto"/>
                <w:sz w:val="24"/>
                <w:szCs w:val="24"/>
              </w:rPr>
              <w:t>000</w:t>
            </w:r>
          </w:p>
        </w:tc>
        <w:tc>
          <w:tcPr>
            <w:tcW w:w="2210" w:type="dxa"/>
            <w:tcMar>
              <w:top w:w="16" w:type="dxa"/>
              <w:left w:w="16" w:type="dxa"/>
              <w:right w:w="16" w:type="dxa"/>
            </w:tcMar>
            <w:vAlign w:val="center"/>
          </w:tcPr>
          <w:p w14:paraId="4765C586">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环保投资（万元）</w:t>
            </w:r>
          </w:p>
        </w:tc>
        <w:tc>
          <w:tcPr>
            <w:tcW w:w="3013" w:type="dxa"/>
            <w:gridSpan w:val="2"/>
            <w:vAlign w:val="center"/>
          </w:tcPr>
          <w:p w14:paraId="26578F55">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62</w:t>
            </w:r>
          </w:p>
        </w:tc>
      </w:tr>
      <w:tr w14:paraId="302DF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2AF1243B">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环保投资占比（</w:t>
            </w:r>
            <w:r>
              <w:rPr>
                <w:rFonts w:ascii="宋体" w:hAnsi="宋体" w:cs="宋体"/>
                <w:color w:val="auto"/>
                <w:sz w:val="24"/>
                <w:szCs w:val="24"/>
              </w:rPr>
              <w:t>%</w:t>
            </w:r>
            <w:r>
              <w:rPr>
                <w:rFonts w:hint="eastAsia" w:ascii="宋体" w:hAnsi="宋体" w:cs="宋体"/>
                <w:color w:val="auto"/>
                <w:sz w:val="24"/>
                <w:szCs w:val="24"/>
              </w:rPr>
              <w:t>）</w:t>
            </w:r>
          </w:p>
        </w:tc>
        <w:tc>
          <w:tcPr>
            <w:tcW w:w="2362" w:type="dxa"/>
            <w:vAlign w:val="center"/>
          </w:tcPr>
          <w:p w14:paraId="0007BBFC">
            <w:pPr>
              <w:adjustRightInd w:val="0"/>
              <w:snapToGrid w:val="0"/>
              <w:jc w:val="center"/>
              <w:rPr>
                <w:color w:val="auto"/>
                <w:sz w:val="24"/>
                <w:szCs w:val="24"/>
              </w:rPr>
            </w:pPr>
            <w:r>
              <w:rPr>
                <w:rFonts w:hint="eastAsia"/>
                <w:color w:val="auto"/>
                <w:sz w:val="24"/>
                <w:szCs w:val="24"/>
                <w:lang w:val="en-US" w:eastAsia="zh-CN"/>
              </w:rPr>
              <w:t>0.62</w:t>
            </w:r>
            <w:r>
              <w:rPr>
                <w:rFonts w:hint="eastAsia"/>
                <w:color w:val="auto"/>
                <w:sz w:val="24"/>
                <w:szCs w:val="24"/>
              </w:rPr>
              <w:t>%</w:t>
            </w:r>
          </w:p>
        </w:tc>
        <w:tc>
          <w:tcPr>
            <w:tcW w:w="2210" w:type="dxa"/>
            <w:tcMar>
              <w:top w:w="16" w:type="dxa"/>
              <w:left w:w="16" w:type="dxa"/>
              <w:right w:w="16" w:type="dxa"/>
            </w:tcMar>
            <w:vAlign w:val="center"/>
          </w:tcPr>
          <w:p w14:paraId="43C37023">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施工工期</w:t>
            </w:r>
          </w:p>
        </w:tc>
        <w:tc>
          <w:tcPr>
            <w:tcW w:w="3013" w:type="dxa"/>
            <w:gridSpan w:val="2"/>
            <w:vAlign w:val="center"/>
          </w:tcPr>
          <w:p w14:paraId="3BB1D465">
            <w:pPr>
              <w:adjustRightInd w:val="0"/>
              <w:snapToGrid w:val="0"/>
              <w:jc w:val="center"/>
              <w:rPr>
                <w:color w:val="auto"/>
                <w:sz w:val="24"/>
                <w:szCs w:val="24"/>
              </w:rPr>
            </w:pPr>
            <w:r>
              <w:rPr>
                <w:rFonts w:hint="eastAsia"/>
                <w:color w:val="auto"/>
                <w:sz w:val="24"/>
                <w:szCs w:val="24"/>
                <w:lang w:val="en-US" w:eastAsia="zh-CN"/>
              </w:rPr>
              <w:t>7</w:t>
            </w:r>
            <w:r>
              <w:rPr>
                <w:rFonts w:hint="eastAsia"/>
                <w:color w:val="auto"/>
                <w:sz w:val="24"/>
                <w:szCs w:val="24"/>
              </w:rPr>
              <w:t>个月</w:t>
            </w:r>
          </w:p>
        </w:tc>
      </w:tr>
      <w:tr w14:paraId="287A2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42" w:type="dxa"/>
            <w:gridSpan w:val="2"/>
            <w:tcMar>
              <w:top w:w="16" w:type="dxa"/>
              <w:left w:w="16" w:type="dxa"/>
              <w:right w:w="16" w:type="dxa"/>
            </w:tcMar>
            <w:vAlign w:val="center"/>
          </w:tcPr>
          <w:p w14:paraId="6EEE5D8D">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是否开工建设</w:t>
            </w:r>
          </w:p>
        </w:tc>
        <w:tc>
          <w:tcPr>
            <w:tcW w:w="2362" w:type="dxa"/>
            <w:vAlign w:val="center"/>
          </w:tcPr>
          <w:p w14:paraId="4987DE83">
            <w:pPr>
              <w:adjustRightInd w:val="0"/>
              <w:snapToGrid w:val="0"/>
              <w:rPr>
                <w:rFonts w:hint="eastAsia" w:ascii="宋体" w:hAnsi="宋体" w:cs="宋体"/>
                <w:color w:val="auto"/>
                <w:sz w:val="24"/>
                <w:szCs w:val="24"/>
              </w:rPr>
            </w:pPr>
            <w:r>
              <w:rPr>
                <w:rFonts w:hint="eastAsia" w:ascii="宋体" w:hAnsi="宋体" w:cs="宋体"/>
                <w:color w:val="auto"/>
                <w:sz w:val="24"/>
                <w:szCs w:val="24"/>
              </w:rPr>
              <w:sym w:font="Wingdings 2" w:char="F052"/>
            </w:r>
            <w:r>
              <w:rPr>
                <w:rFonts w:hint="eastAsia" w:ascii="宋体" w:hAnsi="宋体" w:cs="宋体"/>
                <w:color w:val="auto"/>
                <w:sz w:val="24"/>
                <w:szCs w:val="24"/>
              </w:rPr>
              <w:t>否</w:t>
            </w:r>
          </w:p>
          <w:p w14:paraId="7C701DD4">
            <w:pPr>
              <w:adjustRightInd w:val="0"/>
              <w:snapToGrid w:val="0"/>
              <w:rPr>
                <w:rFonts w:hint="eastAsia"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是：</w:t>
            </w:r>
            <w:r>
              <w:rPr>
                <w:rFonts w:hint="eastAsia" w:ascii="宋体" w:hAnsi="宋体" w:cs="宋体"/>
                <w:color w:val="auto"/>
                <w:sz w:val="24"/>
                <w:szCs w:val="24"/>
                <w:u w:val="single"/>
              </w:rPr>
              <w:t xml:space="preserve">      </w:t>
            </w:r>
          </w:p>
        </w:tc>
        <w:tc>
          <w:tcPr>
            <w:tcW w:w="2210" w:type="dxa"/>
            <w:tcMar>
              <w:top w:w="16" w:type="dxa"/>
              <w:left w:w="16" w:type="dxa"/>
              <w:right w:w="16" w:type="dxa"/>
            </w:tcMar>
            <w:vAlign w:val="center"/>
          </w:tcPr>
          <w:p w14:paraId="743550D6">
            <w:pPr>
              <w:adjustRightInd w:val="0"/>
              <w:snapToGrid w:val="0"/>
              <w:jc w:val="center"/>
              <w:rPr>
                <w:rFonts w:hint="eastAsia" w:ascii="宋体" w:hAnsi="宋体" w:cs="宋体"/>
                <w:color w:val="auto"/>
                <w:spacing w:val="-6"/>
                <w:sz w:val="24"/>
                <w:szCs w:val="24"/>
              </w:rPr>
            </w:pPr>
            <w:r>
              <w:rPr>
                <w:rFonts w:hint="eastAsia" w:ascii="宋体" w:hAnsi="宋体" w:cs="宋体"/>
                <w:color w:val="auto"/>
                <w:spacing w:val="-6"/>
                <w:sz w:val="24"/>
                <w:szCs w:val="24"/>
              </w:rPr>
              <w:t>用地（用海）</w:t>
            </w:r>
          </w:p>
          <w:p w14:paraId="3C6B27A4">
            <w:pPr>
              <w:adjustRightInd w:val="0"/>
              <w:snapToGrid w:val="0"/>
              <w:jc w:val="center"/>
              <w:rPr>
                <w:rFonts w:hint="eastAsia" w:ascii="宋体" w:hAnsi="宋体" w:cs="宋体"/>
                <w:color w:val="auto"/>
                <w:sz w:val="24"/>
                <w:szCs w:val="24"/>
              </w:rPr>
            </w:pPr>
            <w:r>
              <w:rPr>
                <w:rFonts w:hint="eastAsia" w:ascii="宋体" w:hAnsi="宋体" w:cs="宋体"/>
                <w:color w:val="auto"/>
                <w:spacing w:val="-6"/>
                <w:sz w:val="24"/>
                <w:szCs w:val="24"/>
              </w:rPr>
              <w:t>面积（</w:t>
            </w:r>
            <w:r>
              <w:rPr>
                <w:color w:val="auto"/>
                <w:spacing w:val="-6"/>
                <w:sz w:val="24"/>
                <w:szCs w:val="24"/>
              </w:rPr>
              <w:t>m</w:t>
            </w:r>
            <w:r>
              <w:rPr>
                <w:color w:val="auto"/>
                <w:spacing w:val="-6"/>
                <w:sz w:val="24"/>
                <w:szCs w:val="24"/>
                <w:vertAlign w:val="superscript"/>
              </w:rPr>
              <w:t>2</w:t>
            </w:r>
            <w:r>
              <w:rPr>
                <w:rFonts w:hint="eastAsia" w:ascii="宋体" w:hAnsi="宋体" w:cs="宋体"/>
                <w:color w:val="auto"/>
                <w:spacing w:val="-6"/>
                <w:sz w:val="24"/>
                <w:szCs w:val="24"/>
              </w:rPr>
              <w:t>）</w:t>
            </w:r>
          </w:p>
        </w:tc>
        <w:tc>
          <w:tcPr>
            <w:tcW w:w="3013" w:type="dxa"/>
            <w:gridSpan w:val="2"/>
            <w:vAlign w:val="center"/>
          </w:tcPr>
          <w:p w14:paraId="75DC88D4">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12828</w:t>
            </w:r>
          </w:p>
        </w:tc>
      </w:tr>
      <w:tr w14:paraId="45C58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42" w:type="dxa"/>
            <w:gridSpan w:val="2"/>
            <w:vAlign w:val="center"/>
          </w:tcPr>
          <w:p w14:paraId="722E2EC6">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专项评价设置情况</w:t>
            </w:r>
          </w:p>
        </w:tc>
        <w:tc>
          <w:tcPr>
            <w:tcW w:w="7585" w:type="dxa"/>
            <w:gridSpan w:val="4"/>
            <w:vAlign w:val="center"/>
          </w:tcPr>
          <w:p w14:paraId="70C56341">
            <w:pPr>
              <w:bidi w:val="0"/>
              <w:spacing w:line="360" w:lineRule="auto"/>
              <w:ind w:firstLine="480" w:firstLineChars="200"/>
              <w:rPr>
                <w:color w:val="auto"/>
                <w:sz w:val="24"/>
                <w:szCs w:val="28"/>
              </w:rPr>
            </w:pPr>
            <w:r>
              <w:rPr>
                <w:rFonts w:hint="eastAsia"/>
                <w:color w:val="auto"/>
                <w:sz w:val="24"/>
                <w:szCs w:val="28"/>
              </w:rPr>
              <w:t>根据《建设项目环境影响报告表编制技术指南（污染影响类）》（试行）中的有关要求，对本项目的专项评价设置情况进行判定，本项目不设置专项评价，具体分析如表1-1所示。</w:t>
            </w:r>
          </w:p>
          <w:p w14:paraId="5F7DA23B">
            <w:pPr>
              <w:pStyle w:val="57"/>
              <w:spacing w:line="360" w:lineRule="auto"/>
              <w:jc w:val="center"/>
              <w:rPr>
                <w:b/>
                <w:bCs/>
                <w:color w:val="auto"/>
              </w:rPr>
            </w:pPr>
            <w:r>
              <w:rPr>
                <w:b/>
                <w:bCs/>
                <w:color w:val="auto"/>
              </w:rPr>
              <w:t>表1-1 专项评价设置情况判定</w:t>
            </w:r>
          </w:p>
          <w:tbl>
            <w:tblPr>
              <w:tblStyle w:val="4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70"/>
              <w:gridCol w:w="3140"/>
              <w:gridCol w:w="3657"/>
            </w:tblGrid>
            <w:tr w14:paraId="5BDAB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570" w:type="dxa"/>
                  <w:vAlign w:val="center"/>
                </w:tcPr>
                <w:p w14:paraId="71C5A7BE">
                  <w:pPr>
                    <w:pStyle w:val="57"/>
                    <w:spacing w:line="240" w:lineRule="auto"/>
                    <w:ind w:left="0" w:leftChars="0" w:firstLine="0" w:firstLineChars="0"/>
                    <w:jc w:val="both"/>
                    <w:rPr>
                      <w:b/>
                      <w:color w:val="auto"/>
                      <w:sz w:val="21"/>
                      <w:szCs w:val="21"/>
                    </w:rPr>
                  </w:pPr>
                  <w:r>
                    <w:rPr>
                      <w:rFonts w:hint="eastAsia"/>
                      <w:b/>
                      <w:color w:val="auto"/>
                      <w:sz w:val="21"/>
                      <w:szCs w:val="21"/>
                    </w:rPr>
                    <w:t>类别</w:t>
                  </w:r>
                </w:p>
              </w:tc>
              <w:tc>
                <w:tcPr>
                  <w:tcW w:w="3140" w:type="dxa"/>
                  <w:vAlign w:val="center"/>
                </w:tcPr>
                <w:p w14:paraId="46C11CF5">
                  <w:pPr>
                    <w:pStyle w:val="57"/>
                    <w:spacing w:line="240" w:lineRule="auto"/>
                    <w:jc w:val="center"/>
                    <w:rPr>
                      <w:b/>
                      <w:color w:val="auto"/>
                      <w:sz w:val="21"/>
                      <w:szCs w:val="21"/>
                    </w:rPr>
                  </w:pPr>
                  <w:r>
                    <w:rPr>
                      <w:rFonts w:hint="eastAsia"/>
                      <w:b/>
                      <w:color w:val="auto"/>
                      <w:sz w:val="21"/>
                      <w:szCs w:val="21"/>
                    </w:rPr>
                    <w:t>设置原则</w:t>
                  </w:r>
                </w:p>
              </w:tc>
              <w:tc>
                <w:tcPr>
                  <w:tcW w:w="3657" w:type="dxa"/>
                  <w:vAlign w:val="center"/>
                </w:tcPr>
                <w:p w14:paraId="4C9C804E">
                  <w:pPr>
                    <w:pStyle w:val="57"/>
                    <w:spacing w:line="240" w:lineRule="auto"/>
                    <w:jc w:val="center"/>
                    <w:rPr>
                      <w:b/>
                      <w:color w:val="auto"/>
                      <w:sz w:val="21"/>
                      <w:szCs w:val="21"/>
                    </w:rPr>
                  </w:pPr>
                  <w:r>
                    <w:rPr>
                      <w:rFonts w:hint="eastAsia"/>
                      <w:b/>
                      <w:color w:val="auto"/>
                      <w:sz w:val="21"/>
                      <w:szCs w:val="21"/>
                    </w:rPr>
                    <w:t>本项目判定情况</w:t>
                  </w:r>
                </w:p>
              </w:tc>
            </w:tr>
            <w:tr w14:paraId="14CEDF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570" w:type="dxa"/>
                  <w:vAlign w:val="center"/>
                </w:tcPr>
                <w:p w14:paraId="4CB0B0FF">
                  <w:pPr>
                    <w:pStyle w:val="57"/>
                    <w:spacing w:line="240" w:lineRule="auto"/>
                    <w:ind w:left="0" w:leftChars="0" w:firstLine="0" w:firstLineChars="0"/>
                    <w:jc w:val="center"/>
                    <w:rPr>
                      <w:b w:val="0"/>
                      <w:bCs w:val="0"/>
                      <w:color w:val="auto"/>
                      <w:sz w:val="21"/>
                      <w:szCs w:val="21"/>
                    </w:rPr>
                  </w:pPr>
                  <w:r>
                    <w:rPr>
                      <w:rFonts w:hint="eastAsia"/>
                      <w:b w:val="0"/>
                      <w:bCs w:val="0"/>
                      <w:color w:val="auto"/>
                      <w:sz w:val="21"/>
                      <w:szCs w:val="21"/>
                    </w:rPr>
                    <w:t>大气</w:t>
                  </w:r>
                </w:p>
              </w:tc>
              <w:tc>
                <w:tcPr>
                  <w:tcW w:w="3140" w:type="dxa"/>
                  <w:vAlign w:val="center"/>
                </w:tcPr>
                <w:p w14:paraId="3182FD68">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排放废气含有毒有害污染物、二噁英、苯并[a]芘、氰化物、氯气且厂界外500米范围内有环境空气保护目标的建设项目</w:t>
                  </w:r>
                </w:p>
              </w:tc>
              <w:tc>
                <w:tcPr>
                  <w:tcW w:w="3657" w:type="dxa"/>
                  <w:vAlign w:val="center"/>
                </w:tcPr>
                <w:p w14:paraId="05DF016C">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本项目排放废气主要为</w:t>
                  </w:r>
                  <w:r>
                    <w:rPr>
                      <w:rFonts w:hint="eastAsia"/>
                      <w:b w:val="0"/>
                      <w:bCs w:val="0"/>
                      <w:color w:val="auto"/>
                      <w:sz w:val="21"/>
                      <w:szCs w:val="21"/>
                      <w:lang w:val="en-US" w:eastAsia="zh-CN"/>
                    </w:rPr>
                    <w:t>颗粒物</w:t>
                  </w:r>
                  <w:r>
                    <w:rPr>
                      <w:rFonts w:hint="eastAsia"/>
                      <w:b w:val="0"/>
                      <w:bCs w:val="0"/>
                      <w:color w:val="auto"/>
                      <w:sz w:val="21"/>
                      <w:szCs w:val="21"/>
                    </w:rPr>
                    <w:t>，不属于《有毒有害大气污染物名录》中的污染物、二噁英、苯并[a]芘、氰化物和氯气，故不设置大气专项评价。</w:t>
                  </w:r>
                </w:p>
              </w:tc>
            </w:tr>
            <w:tr w14:paraId="51BA4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570" w:type="dxa"/>
                  <w:vAlign w:val="center"/>
                </w:tcPr>
                <w:p w14:paraId="3B70B5AC">
                  <w:pPr>
                    <w:pStyle w:val="57"/>
                    <w:spacing w:line="240" w:lineRule="auto"/>
                    <w:ind w:left="0" w:leftChars="0" w:firstLine="0" w:firstLineChars="0"/>
                    <w:jc w:val="center"/>
                    <w:rPr>
                      <w:b w:val="0"/>
                      <w:bCs w:val="0"/>
                      <w:color w:val="auto"/>
                      <w:sz w:val="21"/>
                      <w:szCs w:val="21"/>
                    </w:rPr>
                  </w:pPr>
                  <w:r>
                    <w:rPr>
                      <w:rFonts w:hint="eastAsia"/>
                      <w:b w:val="0"/>
                      <w:bCs w:val="0"/>
                      <w:color w:val="auto"/>
                      <w:sz w:val="21"/>
                      <w:szCs w:val="21"/>
                    </w:rPr>
                    <w:t>地表水</w:t>
                  </w:r>
                </w:p>
              </w:tc>
              <w:tc>
                <w:tcPr>
                  <w:tcW w:w="3140" w:type="dxa"/>
                  <w:vAlign w:val="center"/>
                </w:tcPr>
                <w:p w14:paraId="6DF64A2B">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新增工业废水直排建设项目（槽罐车外送污水处理厂的除外）；新增废水直排的污水集中处理厂</w:t>
                  </w:r>
                </w:p>
              </w:tc>
              <w:tc>
                <w:tcPr>
                  <w:tcW w:w="3657" w:type="dxa"/>
                  <w:vAlign w:val="center"/>
                </w:tcPr>
                <w:p w14:paraId="3F9BCE6D">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本项目位于</w:t>
                  </w:r>
                  <w:r>
                    <w:rPr>
                      <w:rFonts w:hint="eastAsia"/>
                      <w:b w:val="0"/>
                      <w:bCs w:val="0"/>
                      <w:color w:val="auto"/>
                      <w:sz w:val="21"/>
                      <w:szCs w:val="21"/>
                      <w:lang w:val="en-US" w:eastAsia="zh-CN"/>
                    </w:rPr>
                    <w:t>淮南市</w:t>
                  </w:r>
                  <w:r>
                    <w:rPr>
                      <w:rFonts w:hint="eastAsia"/>
                      <w:b w:val="0"/>
                      <w:bCs w:val="0"/>
                      <w:color w:val="auto"/>
                      <w:sz w:val="21"/>
                      <w:szCs w:val="21"/>
                    </w:rPr>
                    <w:t>经济开发区锦绣路100号东侧，本项目</w:t>
                  </w:r>
                  <w:r>
                    <w:rPr>
                      <w:rFonts w:hint="eastAsia"/>
                      <w:b w:val="0"/>
                      <w:bCs w:val="0"/>
                      <w:color w:val="auto"/>
                      <w:sz w:val="21"/>
                      <w:szCs w:val="21"/>
                      <w:lang w:val="en-US" w:eastAsia="zh-CN"/>
                    </w:rPr>
                    <w:t>无生产</w:t>
                  </w:r>
                  <w:r>
                    <w:rPr>
                      <w:rFonts w:hint="eastAsia"/>
                      <w:b w:val="0"/>
                      <w:bCs w:val="0"/>
                      <w:color w:val="auto"/>
                      <w:sz w:val="21"/>
                      <w:szCs w:val="21"/>
                    </w:rPr>
                    <w:t>废水</w:t>
                  </w:r>
                  <w:r>
                    <w:rPr>
                      <w:rFonts w:hint="eastAsia"/>
                      <w:b w:val="0"/>
                      <w:bCs w:val="0"/>
                      <w:color w:val="auto"/>
                      <w:sz w:val="21"/>
                      <w:szCs w:val="21"/>
                      <w:lang w:val="en-US" w:eastAsia="zh-CN"/>
                    </w:rPr>
                    <w:t>外排；生活污水经化粪池处理，处理后由</w:t>
                  </w:r>
                  <w:r>
                    <w:rPr>
                      <w:rFonts w:hint="eastAsia"/>
                      <w:b w:val="0"/>
                      <w:bCs w:val="0"/>
                      <w:color w:val="auto"/>
                      <w:sz w:val="21"/>
                      <w:szCs w:val="21"/>
                    </w:rPr>
                    <w:t>市政污水管网</w:t>
                  </w:r>
                  <w:r>
                    <w:rPr>
                      <w:rFonts w:hint="eastAsia"/>
                      <w:b w:val="0"/>
                      <w:bCs w:val="0"/>
                      <w:color w:val="auto"/>
                      <w:sz w:val="21"/>
                      <w:szCs w:val="21"/>
                      <w:lang w:val="en-US" w:eastAsia="zh-CN"/>
                    </w:rPr>
                    <w:t>进入</w:t>
                  </w:r>
                  <w:r>
                    <w:rPr>
                      <w:rFonts w:hint="eastAsia"/>
                      <w:b w:val="0"/>
                      <w:bCs w:val="0"/>
                      <w:color w:val="auto"/>
                      <w:sz w:val="21"/>
                      <w:szCs w:val="21"/>
                    </w:rPr>
                    <w:t>淮南经济技术开发区工业污水处理厂处理</w:t>
                  </w:r>
                </w:p>
              </w:tc>
            </w:tr>
            <w:tr w14:paraId="0CDEF4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570" w:type="dxa"/>
                  <w:vAlign w:val="center"/>
                </w:tcPr>
                <w:p w14:paraId="7886F63E">
                  <w:pPr>
                    <w:pStyle w:val="57"/>
                    <w:spacing w:line="240" w:lineRule="auto"/>
                    <w:ind w:left="0" w:leftChars="0" w:firstLine="0" w:firstLineChars="0"/>
                    <w:jc w:val="center"/>
                    <w:rPr>
                      <w:b w:val="0"/>
                      <w:bCs w:val="0"/>
                      <w:color w:val="auto"/>
                      <w:sz w:val="21"/>
                      <w:szCs w:val="21"/>
                    </w:rPr>
                  </w:pPr>
                  <w:r>
                    <w:rPr>
                      <w:rFonts w:hint="eastAsia"/>
                      <w:b w:val="0"/>
                      <w:bCs w:val="0"/>
                      <w:color w:val="auto"/>
                      <w:sz w:val="21"/>
                      <w:szCs w:val="21"/>
                    </w:rPr>
                    <w:t>环境风险</w:t>
                  </w:r>
                </w:p>
              </w:tc>
              <w:tc>
                <w:tcPr>
                  <w:tcW w:w="3140" w:type="dxa"/>
                  <w:vAlign w:val="center"/>
                </w:tcPr>
                <w:p w14:paraId="6CA1989D">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有毒有害和易燃易爆危险物质存储量超过临界量的建设项目</w:t>
                  </w:r>
                </w:p>
              </w:tc>
              <w:tc>
                <w:tcPr>
                  <w:tcW w:w="3657" w:type="dxa"/>
                  <w:vAlign w:val="center"/>
                </w:tcPr>
                <w:p w14:paraId="2D394503">
                  <w:pPr>
                    <w:pStyle w:val="57"/>
                    <w:spacing w:line="240" w:lineRule="auto"/>
                    <w:ind w:left="0" w:leftChars="0" w:firstLine="0" w:firstLineChars="0"/>
                    <w:jc w:val="both"/>
                    <w:rPr>
                      <w:b w:val="0"/>
                      <w:bCs w:val="0"/>
                      <w:color w:val="auto"/>
                      <w:sz w:val="21"/>
                      <w:szCs w:val="21"/>
                    </w:rPr>
                  </w:pPr>
                  <w:r>
                    <w:rPr>
                      <w:b w:val="0"/>
                      <w:bCs w:val="0"/>
                      <w:color w:val="auto"/>
                      <w:sz w:val="21"/>
                      <w:szCs w:val="21"/>
                    </w:rPr>
                    <w:t>本项目风险物质未超过临界量</w:t>
                  </w:r>
                </w:p>
              </w:tc>
            </w:tr>
            <w:tr w14:paraId="77FD0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570" w:type="dxa"/>
                  <w:vAlign w:val="center"/>
                </w:tcPr>
                <w:p w14:paraId="1BBC0EAC">
                  <w:pPr>
                    <w:pStyle w:val="57"/>
                    <w:spacing w:line="240" w:lineRule="auto"/>
                    <w:ind w:left="0" w:leftChars="0" w:firstLine="0" w:firstLineChars="0"/>
                    <w:jc w:val="center"/>
                    <w:rPr>
                      <w:b w:val="0"/>
                      <w:bCs w:val="0"/>
                      <w:color w:val="auto"/>
                      <w:sz w:val="21"/>
                      <w:szCs w:val="21"/>
                    </w:rPr>
                  </w:pPr>
                  <w:r>
                    <w:rPr>
                      <w:rFonts w:hint="eastAsia"/>
                      <w:b w:val="0"/>
                      <w:bCs w:val="0"/>
                      <w:color w:val="auto"/>
                      <w:sz w:val="21"/>
                      <w:szCs w:val="21"/>
                    </w:rPr>
                    <w:t>生态</w:t>
                  </w:r>
                </w:p>
              </w:tc>
              <w:tc>
                <w:tcPr>
                  <w:tcW w:w="3140" w:type="dxa"/>
                  <w:vAlign w:val="center"/>
                </w:tcPr>
                <w:p w14:paraId="188BAD56">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取水口下游500米范围内有重要水生生物的自然产卵场、索饵场、越冬场和洄游通道的新增河道取水的污染类建设项目</w:t>
                  </w:r>
                </w:p>
              </w:tc>
              <w:tc>
                <w:tcPr>
                  <w:tcW w:w="3657" w:type="dxa"/>
                  <w:vAlign w:val="center"/>
                </w:tcPr>
                <w:p w14:paraId="1CF1E814">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本项目非新增河道取水的建设项目，故不设置生态专项评价。</w:t>
                  </w:r>
                </w:p>
              </w:tc>
            </w:tr>
            <w:tr w14:paraId="3EBB15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570" w:type="dxa"/>
                  <w:vAlign w:val="center"/>
                </w:tcPr>
                <w:p w14:paraId="15FC0AE4">
                  <w:pPr>
                    <w:pStyle w:val="57"/>
                    <w:spacing w:line="240" w:lineRule="auto"/>
                    <w:ind w:left="0" w:leftChars="0" w:firstLine="0" w:firstLineChars="0"/>
                    <w:jc w:val="center"/>
                    <w:rPr>
                      <w:b w:val="0"/>
                      <w:bCs w:val="0"/>
                      <w:color w:val="auto"/>
                      <w:sz w:val="21"/>
                      <w:szCs w:val="21"/>
                    </w:rPr>
                  </w:pPr>
                  <w:r>
                    <w:rPr>
                      <w:rFonts w:hint="eastAsia"/>
                      <w:b w:val="0"/>
                      <w:bCs w:val="0"/>
                      <w:color w:val="auto"/>
                      <w:sz w:val="21"/>
                      <w:szCs w:val="21"/>
                    </w:rPr>
                    <w:t>海洋</w:t>
                  </w:r>
                </w:p>
              </w:tc>
              <w:tc>
                <w:tcPr>
                  <w:tcW w:w="3140" w:type="dxa"/>
                  <w:vAlign w:val="center"/>
                </w:tcPr>
                <w:p w14:paraId="013A992F">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直接向海排放污染物的海洋工程建设项目</w:t>
                  </w:r>
                </w:p>
              </w:tc>
              <w:tc>
                <w:tcPr>
                  <w:tcW w:w="3657" w:type="dxa"/>
                  <w:vAlign w:val="center"/>
                </w:tcPr>
                <w:p w14:paraId="3D831AAA">
                  <w:pPr>
                    <w:pStyle w:val="57"/>
                    <w:spacing w:line="240" w:lineRule="auto"/>
                    <w:ind w:left="0" w:leftChars="0" w:firstLine="0" w:firstLineChars="0"/>
                    <w:jc w:val="both"/>
                    <w:rPr>
                      <w:b w:val="0"/>
                      <w:bCs w:val="0"/>
                      <w:color w:val="auto"/>
                      <w:sz w:val="21"/>
                      <w:szCs w:val="21"/>
                    </w:rPr>
                  </w:pPr>
                  <w:r>
                    <w:rPr>
                      <w:rFonts w:hint="eastAsia"/>
                      <w:b w:val="0"/>
                      <w:bCs w:val="0"/>
                      <w:color w:val="auto"/>
                      <w:sz w:val="21"/>
                      <w:szCs w:val="21"/>
                    </w:rPr>
                    <w:t>本项目非直接向海排放污染物的海洋工程建设项目，故不设置海洋专项评价。</w:t>
                  </w:r>
                </w:p>
              </w:tc>
            </w:tr>
          </w:tbl>
          <w:p w14:paraId="3FD0BBE8">
            <w:pPr>
              <w:pStyle w:val="59"/>
              <w:ind w:firstLine="480"/>
              <w:jc w:val="left"/>
              <w:rPr>
                <w:rFonts w:hint="eastAsia" w:ascii="宋体" w:hAnsi="宋体" w:cs="宋体"/>
                <w:color w:val="auto"/>
                <w:szCs w:val="24"/>
              </w:rPr>
            </w:pPr>
          </w:p>
        </w:tc>
      </w:tr>
      <w:tr w14:paraId="302B5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42" w:type="dxa"/>
            <w:gridSpan w:val="2"/>
            <w:vAlign w:val="center"/>
          </w:tcPr>
          <w:p w14:paraId="4676136D">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sz w:val="24"/>
                <w:szCs w:val="24"/>
              </w:rPr>
              <w:t>规划情况</w:t>
            </w:r>
          </w:p>
        </w:tc>
        <w:tc>
          <w:tcPr>
            <w:tcW w:w="7585" w:type="dxa"/>
            <w:gridSpan w:val="4"/>
            <w:vAlign w:val="center"/>
          </w:tcPr>
          <w:p w14:paraId="3CEA81EF">
            <w:pPr>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规划名称：《淮南市东部工业区总体规划（2008-2020）》</w:t>
            </w:r>
          </w:p>
          <w:p w14:paraId="1CDC1109">
            <w:pPr>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审批机关：淮南市人民政府</w:t>
            </w:r>
          </w:p>
          <w:p w14:paraId="03932178">
            <w:pPr>
              <w:spacing w:line="360" w:lineRule="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审批文件：《关于淮南东部工业区总体规划的批复》</w:t>
            </w:r>
          </w:p>
          <w:p w14:paraId="1F94FAC4">
            <w:pPr>
              <w:spacing w:line="360" w:lineRule="auto"/>
              <w:rPr>
                <w:rFonts w:hint="eastAsia" w:ascii="宋体" w:hAnsi="宋体" w:cs="宋体"/>
                <w:color w:val="auto"/>
                <w:kern w:val="0"/>
                <w:sz w:val="24"/>
                <w:szCs w:val="24"/>
              </w:rPr>
            </w:pPr>
            <w:r>
              <w:rPr>
                <w:rFonts w:hint="default" w:ascii="Times New Roman" w:hAnsi="Times New Roman" w:cs="Times New Roman"/>
                <w:color w:val="auto"/>
                <w:kern w:val="0"/>
                <w:sz w:val="24"/>
                <w:szCs w:val="24"/>
              </w:rPr>
              <w:t>审批文号：淮府秘〔2009〕118号</w:t>
            </w:r>
          </w:p>
        </w:tc>
      </w:tr>
      <w:tr w14:paraId="5C458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42" w:type="dxa"/>
            <w:gridSpan w:val="2"/>
            <w:vAlign w:val="center"/>
          </w:tcPr>
          <w:p w14:paraId="08B1BC2E">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规划环境影响</w:t>
            </w:r>
          </w:p>
          <w:p w14:paraId="258CF4E6">
            <w:pPr>
              <w:adjustRightInd w:val="0"/>
              <w:snapToGrid w:val="0"/>
              <w:jc w:val="center"/>
              <w:rPr>
                <w:rFonts w:hint="eastAsia" w:ascii="宋体" w:hAnsi="宋体" w:cs="宋体"/>
                <w:color w:val="auto"/>
                <w:kern w:val="0"/>
                <w:sz w:val="24"/>
                <w:szCs w:val="24"/>
              </w:rPr>
            </w:pPr>
            <w:r>
              <w:rPr>
                <w:rFonts w:hint="eastAsia" w:ascii="宋体" w:hAnsi="宋体" w:cs="宋体"/>
                <w:color w:val="auto"/>
                <w:sz w:val="24"/>
                <w:szCs w:val="24"/>
              </w:rPr>
              <w:t>评价情况</w:t>
            </w:r>
          </w:p>
        </w:tc>
        <w:tc>
          <w:tcPr>
            <w:tcW w:w="7585" w:type="dxa"/>
            <w:gridSpan w:val="4"/>
            <w:vAlign w:val="center"/>
          </w:tcPr>
          <w:p w14:paraId="49858ECE">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1、规划环评名称：《淮南市东部工业区总体规划环境影响报告书》</w:t>
            </w:r>
          </w:p>
          <w:p w14:paraId="664C6967">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审批机关：淮南市环境保护局</w:t>
            </w:r>
          </w:p>
          <w:p w14:paraId="035A457F">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审批文件名称：《关于淮南市东部工业园区总体规划环境影响报告书的审查意见函》</w:t>
            </w:r>
          </w:p>
          <w:p w14:paraId="476DD28F">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审批文号：淮环函〔2010〕130号</w:t>
            </w:r>
          </w:p>
          <w:p w14:paraId="6926FB26">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2、规划跟踪评价名称：《淮南经济技术开发区总体发展规划环境影响跟踪评价报告书》</w:t>
            </w:r>
          </w:p>
          <w:p w14:paraId="2ABC9BDD">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审查机关：安徽省生态环境厅</w:t>
            </w:r>
          </w:p>
          <w:p w14:paraId="43B13E8C">
            <w:pPr>
              <w:pStyle w:val="59"/>
              <w:ind w:firstLine="0" w:firstLineChars="0"/>
              <w:rPr>
                <w:rFonts w:hint="default" w:ascii="Times New Roman" w:hAnsi="Times New Roman" w:cs="Times New Roman"/>
                <w:color w:val="auto"/>
              </w:rPr>
            </w:pPr>
            <w:r>
              <w:rPr>
                <w:rFonts w:hint="default" w:ascii="Times New Roman" w:hAnsi="Times New Roman" w:cs="Times New Roman"/>
                <w:color w:val="auto"/>
              </w:rPr>
              <w:t>审批文件：安徽省生态环境厅关于印发《淮南经济技术开发区总体发展规划环境影响跟踪评价报告书审核意见》的函</w:t>
            </w:r>
          </w:p>
          <w:p w14:paraId="5723CD16">
            <w:pPr>
              <w:pStyle w:val="59"/>
              <w:ind w:firstLine="0" w:firstLineChars="0"/>
              <w:rPr>
                <w:color w:val="auto"/>
              </w:rPr>
            </w:pPr>
            <w:r>
              <w:rPr>
                <w:rFonts w:hint="default" w:ascii="Times New Roman" w:hAnsi="Times New Roman" w:cs="Times New Roman"/>
                <w:color w:val="auto"/>
              </w:rPr>
              <w:t>审批文号：皖环函〔2020〕411号</w:t>
            </w:r>
          </w:p>
        </w:tc>
      </w:tr>
      <w:tr w14:paraId="24DA6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 w:type="dxa"/>
            <w:gridSpan w:val="2"/>
            <w:vAlign w:val="center"/>
          </w:tcPr>
          <w:p w14:paraId="53FFB360">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规划及规划环境影响评价符合性分析</w:t>
            </w:r>
          </w:p>
        </w:tc>
        <w:tc>
          <w:tcPr>
            <w:tcW w:w="7585" w:type="dxa"/>
            <w:gridSpan w:val="4"/>
            <w:vAlign w:val="center"/>
          </w:tcPr>
          <w:p w14:paraId="13915733">
            <w:pPr>
              <w:pStyle w:val="59"/>
              <w:ind w:firstLine="0" w:firstLineChars="0"/>
              <w:jc w:val="left"/>
              <w:rPr>
                <w:b/>
                <w:bCs/>
                <w:color w:val="auto"/>
              </w:rPr>
            </w:pPr>
            <w:r>
              <w:rPr>
                <w:rFonts w:hint="eastAsia"/>
                <w:b/>
                <w:bCs/>
                <w:color w:val="auto"/>
              </w:rPr>
              <w:t>（1）与规划用地相符性分析</w:t>
            </w:r>
          </w:p>
          <w:p w14:paraId="49CAF387">
            <w:pPr>
              <w:pStyle w:val="59"/>
              <w:ind w:firstLine="480"/>
              <w:rPr>
                <w:color w:val="auto"/>
                <w:highlight w:val="none"/>
              </w:rPr>
            </w:pPr>
            <w:r>
              <w:rPr>
                <w:rFonts w:hint="eastAsia"/>
                <w:color w:val="auto"/>
              </w:rPr>
              <w:t>本项目位于</w:t>
            </w:r>
            <w:r>
              <w:rPr>
                <w:rFonts w:hint="eastAsia"/>
                <w:color w:val="auto"/>
                <w:lang w:val="en-US" w:eastAsia="zh-CN"/>
              </w:rPr>
              <w:t>安徽省淮南市淮南</w:t>
            </w:r>
            <w:r>
              <w:rPr>
                <w:color w:val="auto"/>
              </w:rPr>
              <w:t>经济开发区</w:t>
            </w:r>
            <w:r>
              <w:rPr>
                <w:rFonts w:hint="default"/>
                <w:color w:val="auto"/>
              </w:rPr>
              <w:t>锦绣路100号东侧</w:t>
            </w:r>
            <w:r>
              <w:rPr>
                <w:rFonts w:hint="eastAsia"/>
                <w:color w:val="auto"/>
              </w:rPr>
              <w:t>，对照</w:t>
            </w:r>
            <w:r>
              <w:rPr>
                <w:color w:val="auto"/>
                <w:highlight w:val="none"/>
              </w:rPr>
              <w:t>《淮南市东部工业区总体规划》（2008-2020）</w:t>
            </w:r>
            <w:r>
              <w:rPr>
                <w:rFonts w:hint="eastAsia"/>
                <w:color w:val="auto"/>
              </w:rPr>
              <w:t>，规划范围为南至合徐高速公路淮南连接线、西至田大路、东至洛九路、北至电厂路，规划面积20km</w:t>
            </w:r>
            <w:r>
              <w:rPr>
                <w:rFonts w:hint="eastAsia"/>
                <w:color w:val="auto"/>
                <w:vertAlign w:val="superscript"/>
                <w:lang w:val="en-US" w:eastAsia="zh-CN"/>
              </w:rPr>
              <w:t>2</w:t>
            </w:r>
            <w:r>
              <w:rPr>
                <w:rFonts w:hint="eastAsia"/>
                <w:color w:val="auto"/>
              </w:rPr>
              <w:t>，规划主导产业为生物医药、纺织服装、化学工业、机械电子与新型材料、食品加工、商贸流通。</w:t>
            </w:r>
            <w:r>
              <w:rPr>
                <w:rFonts w:hint="eastAsia" w:ascii="Times New Roman" w:hAnsi="Times New Roman" w:eastAsia="宋体" w:cs="Times New Roman"/>
                <w:color w:val="auto"/>
                <w:highlight w:val="none"/>
                <w:lang w:val="en-US" w:eastAsia="zh-CN"/>
              </w:rPr>
              <w:t>本项目位于</w:t>
            </w:r>
            <w:r>
              <w:rPr>
                <w:rFonts w:hint="eastAsia" w:ascii="Times New Roman" w:hAnsi="Times New Roman" w:eastAsia="宋体" w:cs="Times New Roman"/>
                <w:color w:val="auto"/>
                <w:highlight w:val="none"/>
              </w:rPr>
              <w:t>安徽淮南经济技术开发区</w:t>
            </w:r>
            <w:r>
              <w:rPr>
                <w:rFonts w:hint="default"/>
                <w:color w:val="auto"/>
              </w:rPr>
              <w:t>锦绣路100号东侧</w:t>
            </w:r>
            <w:r>
              <w:rPr>
                <w:rFonts w:hint="eastAsia" w:ascii="Times New Roman" w:hAnsi="Times New Roman" w:eastAsia="宋体" w:cs="Times New Roman"/>
                <w:color w:val="auto"/>
                <w:highlight w:val="none"/>
                <w:lang w:val="en-US" w:eastAsia="zh-CN"/>
              </w:rPr>
              <w:t>，选址为工业用地，符合</w:t>
            </w:r>
            <w:r>
              <w:rPr>
                <w:rFonts w:ascii="Times New Roman" w:hAnsi="Times New Roman" w:eastAsia="宋体" w:cs="Times New Roman"/>
                <w:color w:val="auto"/>
                <w:highlight w:val="none"/>
              </w:rPr>
              <w:t>《</w:t>
            </w:r>
            <w:r>
              <w:rPr>
                <w:color w:val="auto"/>
                <w:highlight w:val="none"/>
              </w:rPr>
              <w:t>淮南市东部工业区总体规划》（2008-2020）</w:t>
            </w:r>
            <w:r>
              <w:rPr>
                <w:rFonts w:hint="eastAsia"/>
                <w:color w:val="auto"/>
                <w:highlight w:val="none"/>
                <w:lang w:eastAsia="zh-CN"/>
              </w:rPr>
              <w:t>。</w:t>
            </w:r>
            <w:r>
              <w:rPr>
                <w:color w:val="auto"/>
                <w:highlight w:val="none"/>
              </w:rPr>
              <w:t>《淮南市东部工业区总体规划》（2008-2020）</w:t>
            </w:r>
            <w:r>
              <w:rPr>
                <w:rFonts w:hint="eastAsia"/>
                <w:color w:val="auto"/>
                <w:highlight w:val="none"/>
                <w:lang w:val="en-US" w:eastAsia="zh-CN"/>
              </w:rPr>
              <w:t>用地与本项目相对位置图</w:t>
            </w:r>
            <w:r>
              <w:rPr>
                <w:rFonts w:hint="eastAsia"/>
                <w:color w:val="auto"/>
                <w:highlight w:val="none"/>
              </w:rPr>
              <w:t>详见附图1。</w:t>
            </w:r>
          </w:p>
          <w:p w14:paraId="09ED5E22">
            <w:pPr>
              <w:pStyle w:val="59"/>
              <w:ind w:firstLine="0" w:firstLineChars="0"/>
              <w:jc w:val="left"/>
              <w:rPr>
                <w:b/>
                <w:bCs/>
                <w:color w:val="auto"/>
              </w:rPr>
            </w:pPr>
            <w:r>
              <w:rPr>
                <w:rFonts w:hint="eastAsia"/>
                <w:b/>
                <w:bCs/>
                <w:color w:val="auto"/>
              </w:rPr>
              <w:t>（2）与规划环境影响评价符合性分析</w:t>
            </w:r>
          </w:p>
          <w:p w14:paraId="41E5F40A">
            <w:pPr>
              <w:pStyle w:val="59"/>
              <w:ind w:firstLine="480"/>
              <w:rPr>
                <w:color w:val="auto"/>
              </w:rPr>
            </w:pPr>
            <w:r>
              <w:rPr>
                <w:rFonts w:hint="eastAsia"/>
                <w:color w:val="auto"/>
                <w:lang w:val="en-US" w:eastAsia="zh-CN"/>
              </w:rPr>
              <w:t>根据</w:t>
            </w:r>
            <w:r>
              <w:rPr>
                <w:rFonts w:hint="eastAsia"/>
                <w:color w:val="auto"/>
              </w:rPr>
              <w:t>《淮南市东部工业区总体规划》（2008-2020）</w:t>
            </w:r>
            <w:r>
              <w:rPr>
                <w:rFonts w:hint="eastAsia"/>
                <w:color w:val="auto"/>
                <w:lang w:val="en-US" w:eastAsia="zh-CN"/>
              </w:rPr>
              <w:t>，可知淮南市东部工业区总体规划主导产业为生物医药、纺织服装、化学工业、机械电子与新型材料、食品加工、商贸流通</w:t>
            </w:r>
            <w:r>
              <w:rPr>
                <w:rFonts w:hint="eastAsia"/>
                <w:color w:val="auto"/>
              </w:rPr>
              <w:t>。</w:t>
            </w:r>
            <w:r>
              <w:rPr>
                <w:rFonts w:hint="eastAsia"/>
                <w:color w:val="auto"/>
                <w:lang w:val="en-US" w:eastAsia="zh-CN"/>
              </w:rPr>
              <w:t>本项目国民经济行业类别为</w:t>
            </w:r>
            <w:r>
              <w:rPr>
                <w:rFonts w:hint="eastAsia"/>
                <w:color w:val="auto"/>
              </w:rPr>
              <w:t>C</w:t>
            </w:r>
            <w:r>
              <w:rPr>
                <w:rFonts w:hint="eastAsia"/>
                <w:color w:val="auto"/>
                <w:lang w:val="en-US" w:eastAsia="zh-CN"/>
              </w:rPr>
              <w:t>3021</w:t>
            </w:r>
            <w:r>
              <w:rPr>
                <w:rFonts w:hint="eastAsia"/>
                <w:color w:val="auto"/>
              </w:rPr>
              <w:t xml:space="preserve"> </w:t>
            </w:r>
            <w:r>
              <w:rPr>
                <w:rFonts w:hint="eastAsia"/>
                <w:color w:val="auto"/>
                <w:lang w:val="en-US" w:eastAsia="zh-CN"/>
              </w:rPr>
              <w:t>水泥制品制造，</w:t>
            </w:r>
            <w:r>
              <w:rPr>
                <w:rFonts w:hint="eastAsia"/>
                <w:color w:val="auto"/>
              </w:rPr>
              <w:t>与园区主导产业不违背，可视为允许类，因此项目的建设符合园区规划</w:t>
            </w:r>
            <w:r>
              <w:rPr>
                <w:rFonts w:hint="eastAsia"/>
                <w:color w:val="auto"/>
                <w:lang w:val="en-US" w:eastAsia="zh-CN"/>
              </w:rPr>
              <w:t>。</w:t>
            </w:r>
          </w:p>
          <w:p w14:paraId="2DCFFD2C">
            <w:pPr>
              <w:pStyle w:val="57"/>
              <w:spacing w:line="360" w:lineRule="auto"/>
              <w:ind w:firstLine="482" w:firstLineChars="200"/>
              <w:jc w:val="center"/>
              <w:rPr>
                <w:b/>
                <w:bCs/>
                <w:color w:val="auto"/>
              </w:rPr>
            </w:pPr>
            <w:r>
              <w:rPr>
                <w:b/>
                <w:bCs/>
                <w:color w:val="auto"/>
              </w:rPr>
              <w:t>表1-</w:t>
            </w:r>
            <w:r>
              <w:rPr>
                <w:rFonts w:hint="eastAsia"/>
                <w:b/>
                <w:bCs/>
                <w:color w:val="auto"/>
                <w:lang w:val="en-US" w:eastAsia="zh-CN"/>
              </w:rPr>
              <w:t>2</w:t>
            </w:r>
            <w:r>
              <w:rPr>
                <w:b/>
                <w:bCs/>
                <w:color w:val="auto"/>
              </w:rPr>
              <w:t xml:space="preserve"> 淮南市东部工业园区生态环境准入清单</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5197"/>
              <w:gridCol w:w="1783"/>
            </w:tblGrid>
            <w:tr w14:paraId="724FC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498FE2A2">
                  <w:pPr>
                    <w:pStyle w:val="240"/>
                    <w:bidi w:val="0"/>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486" w:type="pct"/>
                  <w:tcBorders>
                    <w:tl2br w:val="nil"/>
                    <w:tr2bl w:val="nil"/>
                  </w:tcBorders>
                  <w:noWrap w:val="0"/>
                  <w:vAlign w:val="center"/>
                </w:tcPr>
                <w:p w14:paraId="7CFEB3BF">
                  <w:pPr>
                    <w:pStyle w:val="240"/>
                    <w:bidi w:val="0"/>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相关要求</w:t>
                  </w:r>
                </w:p>
              </w:tc>
              <w:tc>
                <w:tcPr>
                  <w:tcW w:w="1196" w:type="pct"/>
                  <w:tcBorders>
                    <w:tl2br w:val="nil"/>
                    <w:tr2bl w:val="nil"/>
                  </w:tcBorders>
                  <w:noWrap w:val="0"/>
                  <w:vAlign w:val="center"/>
                </w:tcPr>
                <w:p w14:paraId="1198C3FE">
                  <w:pPr>
                    <w:pStyle w:val="240"/>
                    <w:bidi w:val="0"/>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符合性分析</w:t>
                  </w:r>
                </w:p>
              </w:tc>
            </w:tr>
            <w:tr w14:paraId="1F79B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tcBorders>
                    <w:tl2br w:val="nil"/>
                    <w:tr2bl w:val="nil"/>
                  </w:tcBorders>
                  <w:noWrap w:val="0"/>
                  <w:vAlign w:val="center"/>
                </w:tcPr>
                <w:p w14:paraId="703CB997">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w:t>
                  </w:r>
                </w:p>
              </w:tc>
              <w:tc>
                <w:tcPr>
                  <w:tcW w:w="3486" w:type="pct"/>
                  <w:tcBorders>
                    <w:tl2br w:val="nil"/>
                    <w:tr2bl w:val="nil"/>
                  </w:tcBorders>
                  <w:noWrap w:val="0"/>
                  <w:vAlign w:val="center"/>
                </w:tcPr>
                <w:p w14:paraId="3400FFEE">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优先引入：</w:t>
                  </w:r>
                  <w:r>
                    <w:rPr>
                      <w:rFonts w:hint="default" w:ascii="Times New Roman" w:hAnsi="Times New Roman" w:cs="Times New Roman"/>
                      <w:color w:val="auto"/>
                      <w:sz w:val="21"/>
                      <w:szCs w:val="21"/>
                    </w:rPr>
                    <w:t>生物医药、纺织服装、化学工业、机械电子与新型材料、食品加工、商贸流通</w:t>
                  </w:r>
                </w:p>
              </w:tc>
              <w:tc>
                <w:tcPr>
                  <w:tcW w:w="1196" w:type="pct"/>
                  <w:vMerge w:val="restart"/>
                  <w:tcBorders>
                    <w:tl2br w:val="nil"/>
                    <w:tr2bl w:val="nil"/>
                  </w:tcBorders>
                  <w:noWrap w:val="0"/>
                  <w:vAlign w:val="center"/>
                </w:tcPr>
                <w:p w14:paraId="6697C5CC">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本项目属于C</w:t>
                  </w:r>
                  <w:r>
                    <w:rPr>
                      <w:rFonts w:hint="default" w:ascii="Times New Roman" w:hAnsi="Times New Roman" w:cs="Times New Roman"/>
                      <w:color w:val="auto"/>
                      <w:sz w:val="21"/>
                      <w:szCs w:val="21"/>
                      <w:lang w:val="en-US" w:eastAsia="zh-CN"/>
                    </w:rPr>
                    <w:t>3021水泥制品制造，不属于园区优先引入、禁止引入、控制进入、严格限值的项目，不属于污染严重、高耗能的项目，视为允许进入，符合</w:t>
                  </w:r>
                  <w:r>
                    <w:rPr>
                      <w:rFonts w:hint="default" w:ascii="Times New Roman" w:hAnsi="Times New Roman" w:cs="Times New Roman"/>
                      <w:color w:val="auto"/>
                      <w:sz w:val="21"/>
                      <w:szCs w:val="21"/>
                    </w:rPr>
                    <w:t>淮南市东部工业区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经济开发区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环境准入清单要求。</w:t>
                  </w:r>
                </w:p>
              </w:tc>
            </w:tr>
            <w:tr w14:paraId="73076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7" w:type="pct"/>
                  <w:tcBorders>
                    <w:tl2br w:val="nil"/>
                    <w:tr2bl w:val="nil"/>
                  </w:tcBorders>
                  <w:noWrap w:val="0"/>
                  <w:vAlign w:val="center"/>
                </w:tcPr>
                <w:p w14:paraId="6A21F270">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w:t>
                  </w:r>
                </w:p>
              </w:tc>
              <w:tc>
                <w:tcPr>
                  <w:tcW w:w="3486" w:type="pct"/>
                  <w:tcBorders>
                    <w:tl2br w:val="nil"/>
                    <w:tr2bl w:val="nil"/>
                  </w:tcBorders>
                  <w:noWrap w:val="0"/>
                  <w:vAlign w:val="center"/>
                </w:tcPr>
                <w:p w14:paraId="5EF595F1">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引入国家明令禁止建设或投资的、引入列入《产业结构调整指导目录(2019年本)》、《外商投资产业指导目录(2017年修订)》、《市场准入负面清单(2020年版)》等相关产业政策中禁止或淘汰类项目、产品、工艺和设备。</w:t>
                  </w:r>
                </w:p>
              </w:tc>
              <w:tc>
                <w:tcPr>
                  <w:tcW w:w="1196" w:type="pct"/>
                  <w:vMerge w:val="continue"/>
                  <w:tcBorders>
                    <w:tl2br w:val="nil"/>
                    <w:tr2bl w:val="nil"/>
                  </w:tcBorders>
                  <w:noWrap w:val="0"/>
                  <w:vAlign w:val="center"/>
                </w:tcPr>
                <w:p w14:paraId="1C1A4499">
                  <w:pPr>
                    <w:pStyle w:val="240"/>
                    <w:bidi w:val="0"/>
                    <w:spacing w:line="240" w:lineRule="auto"/>
                    <w:rPr>
                      <w:rFonts w:hint="default" w:ascii="Times New Roman" w:hAnsi="Times New Roman" w:cs="Times New Roman"/>
                      <w:color w:val="auto"/>
                      <w:sz w:val="21"/>
                      <w:szCs w:val="21"/>
                      <w:lang w:val="en-US" w:eastAsia="zh-CN"/>
                    </w:rPr>
                  </w:pPr>
                </w:p>
              </w:tc>
            </w:tr>
            <w:tr w14:paraId="25726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46F0FA60">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w:t>
                  </w:r>
                </w:p>
              </w:tc>
              <w:tc>
                <w:tcPr>
                  <w:tcW w:w="3486" w:type="pct"/>
                  <w:tcBorders>
                    <w:tl2br w:val="nil"/>
                    <w:tr2bl w:val="nil"/>
                  </w:tcBorders>
                  <w:noWrap w:val="0"/>
                  <w:vAlign w:val="center"/>
                </w:tcPr>
                <w:p w14:paraId="67EB5974">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禁止引进国家、安徽省明确规定不得审批的建设项目。</w:t>
                  </w:r>
                </w:p>
              </w:tc>
              <w:tc>
                <w:tcPr>
                  <w:tcW w:w="1196" w:type="pct"/>
                  <w:vMerge w:val="continue"/>
                  <w:tcBorders>
                    <w:tl2br w:val="nil"/>
                    <w:tr2bl w:val="nil"/>
                  </w:tcBorders>
                  <w:noWrap w:val="0"/>
                  <w:vAlign w:val="center"/>
                </w:tcPr>
                <w:p w14:paraId="310CFE3B">
                  <w:pPr>
                    <w:pStyle w:val="240"/>
                    <w:bidi w:val="0"/>
                    <w:spacing w:line="240" w:lineRule="auto"/>
                    <w:rPr>
                      <w:rFonts w:hint="default" w:ascii="Times New Roman" w:hAnsi="Times New Roman" w:cs="Times New Roman"/>
                      <w:color w:val="auto"/>
                      <w:sz w:val="21"/>
                      <w:szCs w:val="21"/>
                      <w:lang w:val="en-US" w:eastAsia="zh-CN"/>
                    </w:rPr>
                  </w:pPr>
                </w:p>
              </w:tc>
            </w:tr>
            <w:tr w14:paraId="22F6D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1A38C71A">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p>
              </w:tc>
              <w:tc>
                <w:tcPr>
                  <w:tcW w:w="3486" w:type="pct"/>
                  <w:tcBorders>
                    <w:tl2br w:val="nil"/>
                    <w:tr2bl w:val="nil"/>
                  </w:tcBorders>
                  <w:noWrap w:val="0"/>
                  <w:vAlign w:val="center"/>
                </w:tcPr>
                <w:p w14:paraId="6F789290">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禁止</w:t>
                  </w:r>
                  <w:r>
                    <w:rPr>
                      <w:rFonts w:hint="default" w:ascii="Times New Roman" w:hAnsi="Times New Roman" w:cs="Times New Roman"/>
                      <w:color w:val="auto"/>
                      <w:sz w:val="21"/>
                      <w:szCs w:val="21"/>
                    </w:rPr>
                    <w:t>引进生物医药：兽用药品制造等污染严重的项目。</w:t>
                  </w:r>
                </w:p>
                <w:p w14:paraId="674EFC31">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纺织服装：涉及印染等污染重的项目。</w:t>
                  </w:r>
                </w:p>
                <w:p w14:paraId="459E764C">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化学工业：农药制造等污染较重的化工类项目。</w:t>
                  </w:r>
                </w:p>
                <w:p w14:paraId="28335BA6">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机械电子与新型材料：电子元件材料制造等可能涉及重金属的项目、水泥陶瓷等高耗能高污染企业。</w:t>
                  </w:r>
                </w:p>
                <w:p w14:paraId="49466878">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食品加工：涉及发酵等污染重的项目。</w:t>
                  </w:r>
                </w:p>
                <w:p w14:paraId="11A5013D">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商贸物流：转运石油、危险化学品等项目。</w:t>
                  </w:r>
                </w:p>
              </w:tc>
              <w:tc>
                <w:tcPr>
                  <w:tcW w:w="1196" w:type="pct"/>
                  <w:vMerge w:val="continue"/>
                  <w:tcBorders>
                    <w:tl2br w:val="nil"/>
                    <w:tr2bl w:val="nil"/>
                  </w:tcBorders>
                  <w:noWrap w:val="0"/>
                  <w:vAlign w:val="center"/>
                </w:tcPr>
                <w:p w14:paraId="0759DD19">
                  <w:pPr>
                    <w:pStyle w:val="240"/>
                    <w:bidi w:val="0"/>
                    <w:spacing w:line="240" w:lineRule="auto"/>
                    <w:rPr>
                      <w:rFonts w:hint="default" w:ascii="Times New Roman" w:hAnsi="Times New Roman" w:cs="Times New Roman"/>
                      <w:color w:val="auto"/>
                      <w:sz w:val="21"/>
                      <w:szCs w:val="21"/>
                    </w:rPr>
                  </w:pPr>
                </w:p>
              </w:tc>
            </w:tr>
            <w:tr w14:paraId="49823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7E677C73">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p>
              </w:tc>
              <w:tc>
                <w:tcPr>
                  <w:tcW w:w="3486" w:type="pct"/>
                  <w:tcBorders>
                    <w:tl2br w:val="nil"/>
                    <w:tr2bl w:val="nil"/>
                  </w:tcBorders>
                  <w:noWrap w:val="0"/>
                  <w:vAlign w:val="center"/>
                </w:tcPr>
                <w:p w14:paraId="7269E99B">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1196" w:type="pct"/>
                  <w:vMerge w:val="continue"/>
                  <w:tcBorders>
                    <w:tl2br w:val="nil"/>
                    <w:tr2bl w:val="nil"/>
                  </w:tcBorders>
                  <w:noWrap w:val="0"/>
                  <w:vAlign w:val="center"/>
                </w:tcPr>
                <w:p w14:paraId="40DE28AD">
                  <w:pPr>
                    <w:pStyle w:val="240"/>
                    <w:bidi w:val="0"/>
                    <w:spacing w:line="240" w:lineRule="auto"/>
                    <w:rPr>
                      <w:rFonts w:hint="default" w:ascii="Times New Roman" w:hAnsi="Times New Roman" w:cs="Times New Roman"/>
                      <w:color w:val="auto"/>
                      <w:sz w:val="21"/>
                      <w:szCs w:val="21"/>
                      <w:lang w:eastAsia="zh-CN"/>
                    </w:rPr>
                  </w:pPr>
                </w:p>
              </w:tc>
            </w:tr>
            <w:tr w14:paraId="16127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6E934573">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3486" w:type="pct"/>
                  <w:tcBorders>
                    <w:tl2br w:val="nil"/>
                    <w:tr2bl w:val="nil"/>
                  </w:tcBorders>
                  <w:noWrap w:val="0"/>
                  <w:vAlign w:val="center"/>
                </w:tcPr>
                <w:p w14:paraId="6C1B84D9">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禁止新建、扩建不符合国家产能置换要求的严重过剩产能行业的项目。</w:t>
                  </w:r>
                </w:p>
              </w:tc>
              <w:tc>
                <w:tcPr>
                  <w:tcW w:w="1196" w:type="pct"/>
                  <w:vMerge w:val="continue"/>
                  <w:tcBorders>
                    <w:tl2br w:val="nil"/>
                    <w:tr2bl w:val="nil"/>
                  </w:tcBorders>
                  <w:noWrap w:val="0"/>
                  <w:vAlign w:val="center"/>
                </w:tcPr>
                <w:p w14:paraId="514B8EA3">
                  <w:pPr>
                    <w:pStyle w:val="240"/>
                    <w:bidi w:val="0"/>
                    <w:spacing w:line="240" w:lineRule="auto"/>
                    <w:rPr>
                      <w:rFonts w:hint="default" w:ascii="Times New Roman" w:hAnsi="Times New Roman" w:cs="Times New Roman"/>
                      <w:color w:val="auto"/>
                      <w:sz w:val="21"/>
                      <w:szCs w:val="21"/>
                    </w:rPr>
                  </w:pPr>
                </w:p>
              </w:tc>
            </w:tr>
            <w:tr w14:paraId="0A233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7" w:type="pct"/>
                  <w:tcBorders>
                    <w:tl2br w:val="nil"/>
                    <w:tr2bl w:val="nil"/>
                  </w:tcBorders>
                  <w:noWrap w:val="0"/>
                  <w:vAlign w:val="center"/>
                </w:tcPr>
                <w:p w14:paraId="04609C48">
                  <w:pPr>
                    <w:pStyle w:val="240"/>
                    <w:bidi w:val="0"/>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3486" w:type="pct"/>
                  <w:tcBorders>
                    <w:tl2br w:val="nil"/>
                    <w:tr2bl w:val="nil"/>
                  </w:tcBorders>
                  <w:noWrap w:val="0"/>
                  <w:vAlign w:val="center"/>
                </w:tcPr>
                <w:p w14:paraId="030EE863">
                  <w:pPr>
                    <w:pStyle w:val="240"/>
                    <w:bidi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限制发展能源、资源消耗量或排污量较大但效益相对较好的企业，主要为除经开区规划六大主导产业外、非禁止类项目，具体项目引入需经充分环境影响论证。</w:t>
                  </w:r>
                </w:p>
              </w:tc>
              <w:tc>
                <w:tcPr>
                  <w:tcW w:w="1196" w:type="pct"/>
                  <w:vMerge w:val="continue"/>
                  <w:tcBorders>
                    <w:tl2br w:val="nil"/>
                    <w:tr2bl w:val="nil"/>
                  </w:tcBorders>
                  <w:noWrap w:val="0"/>
                  <w:vAlign w:val="center"/>
                </w:tcPr>
                <w:p w14:paraId="32B1B9AD">
                  <w:pPr>
                    <w:pStyle w:val="240"/>
                    <w:bidi w:val="0"/>
                    <w:spacing w:line="240" w:lineRule="auto"/>
                    <w:rPr>
                      <w:rFonts w:hint="default" w:ascii="Times New Roman" w:hAnsi="Times New Roman" w:cs="Times New Roman"/>
                      <w:color w:val="auto"/>
                      <w:sz w:val="21"/>
                      <w:szCs w:val="21"/>
                    </w:rPr>
                  </w:pPr>
                </w:p>
              </w:tc>
            </w:tr>
          </w:tbl>
          <w:p w14:paraId="433A09F4">
            <w:pPr>
              <w:pStyle w:val="59"/>
              <w:ind w:firstLine="0" w:firstLineChars="0"/>
              <w:jc w:val="left"/>
              <w:rPr>
                <w:b/>
                <w:bCs/>
                <w:color w:val="auto"/>
              </w:rPr>
            </w:pPr>
            <w:r>
              <w:rPr>
                <w:rFonts w:hint="eastAsia"/>
                <w:b/>
                <w:bCs/>
                <w:color w:val="auto"/>
              </w:rPr>
              <w:t>（3）与开发区规划环评审查意见符合性分析</w:t>
            </w:r>
          </w:p>
          <w:p w14:paraId="28E024C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本项目与《淮南市东部工业区总体规划环境影响报告书》审查意见符合性分析见下表：</w:t>
            </w:r>
          </w:p>
          <w:p w14:paraId="7F676E51">
            <w:pPr>
              <w:autoSpaceDE w:val="0"/>
              <w:autoSpaceDN w:val="0"/>
              <w:snapToGrid w:val="0"/>
              <w:spacing w:line="360" w:lineRule="auto"/>
              <w:jc w:val="center"/>
              <w:rPr>
                <w:color w:val="auto"/>
                <w:kern w:val="0"/>
                <w:sz w:val="24"/>
                <w:szCs w:val="24"/>
              </w:rPr>
            </w:pPr>
            <w:r>
              <w:rPr>
                <w:b/>
                <w:bCs/>
                <w:color w:val="auto"/>
                <w:kern w:val="0"/>
                <w:sz w:val="24"/>
                <w:szCs w:val="24"/>
              </w:rPr>
              <w:t>表1-</w:t>
            </w:r>
            <w:r>
              <w:rPr>
                <w:rFonts w:hint="eastAsia"/>
                <w:b/>
                <w:bCs/>
                <w:color w:val="auto"/>
                <w:kern w:val="0"/>
                <w:sz w:val="24"/>
                <w:szCs w:val="24"/>
                <w:lang w:val="en-US" w:eastAsia="zh-CN"/>
              </w:rPr>
              <w:t>3</w:t>
            </w:r>
            <w:r>
              <w:rPr>
                <w:b/>
                <w:bCs/>
                <w:color w:val="auto"/>
                <w:kern w:val="0"/>
                <w:sz w:val="24"/>
                <w:szCs w:val="24"/>
              </w:rPr>
              <w:t xml:space="preserve"> 本项目与规划环评审查意见符合性分析</w:t>
            </w:r>
          </w:p>
          <w:tbl>
            <w:tblPr>
              <w:tblStyle w:val="40"/>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95"/>
              <w:gridCol w:w="2840"/>
              <w:gridCol w:w="718"/>
            </w:tblGrid>
            <w:tr w14:paraId="0DB21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51F3C793">
                  <w:pPr>
                    <w:jc w:val="center"/>
                    <w:rPr>
                      <w:b/>
                      <w:bCs/>
                      <w:color w:val="auto"/>
                      <w:szCs w:val="21"/>
                    </w:rPr>
                  </w:pPr>
                  <w:r>
                    <w:rPr>
                      <w:b/>
                      <w:bCs/>
                      <w:color w:val="auto"/>
                      <w:szCs w:val="21"/>
                    </w:rPr>
                    <w:t>规划环评审查意见</w:t>
                  </w:r>
                </w:p>
              </w:tc>
              <w:tc>
                <w:tcPr>
                  <w:tcW w:w="1905" w:type="pct"/>
                  <w:tcBorders>
                    <w:tl2br w:val="nil"/>
                    <w:tr2bl w:val="nil"/>
                  </w:tcBorders>
                  <w:vAlign w:val="center"/>
                </w:tcPr>
                <w:p w14:paraId="55BFAAA6">
                  <w:pPr>
                    <w:jc w:val="center"/>
                    <w:rPr>
                      <w:b/>
                      <w:bCs/>
                      <w:color w:val="auto"/>
                      <w:szCs w:val="21"/>
                    </w:rPr>
                  </w:pPr>
                  <w:r>
                    <w:rPr>
                      <w:b/>
                      <w:bCs/>
                      <w:color w:val="auto"/>
                      <w:szCs w:val="21"/>
                    </w:rPr>
                    <w:t>本项目情况</w:t>
                  </w:r>
                </w:p>
              </w:tc>
              <w:tc>
                <w:tcPr>
                  <w:tcW w:w="481" w:type="pct"/>
                  <w:tcBorders>
                    <w:tl2br w:val="nil"/>
                    <w:tr2bl w:val="nil"/>
                  </w:tcBorders>
                  <w:vAlign w:val="center"/>
                </w:tcPr>
                <w:p w14:paraId="3229F6D6">
                  <w:pPr>
                    <w:jc w:val="center"/>
                    <w:rPr>
                      <w:b/>
                      <w:bCs/>
                      <w:color w:val="auto"/>
                      <w:szCs w:val="21"/>
                    </w:rPr>
                  </w:pPr>
                  <w:r>
                    <w:rPr>
                      <w:b/>
                      <w:bCs/>
                      <w:color w:val="auto"/>
                      <w:szCs w:val="21"/>
                    </w:rPr>
                    <w:t>是否符合</w:t>
                  </w:r>
                </w:p>
              </w:tc>
            </w:tr>
            <w:tr w14:paraId="7A2F3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154FADA4">
                  <w:pPr>
                    <w:jc w:val="center"/>
                    <w:rPr>
                      <w:color w:val="auto"/>
                      <w:szCs w:val="21"/>
                    </w:rPr>
                  </w:pPr>
                  <w:r>
                    <w:rPr>
                      <w:rFonts w:hint="eastAsia"/>
                      <w:color w:val="auto"/>
                      <w:szCs w:val="21"/>
                    </w:rPr>
                    <w:t>（一）</w:t>
                  </w:r>
                  <w:r>
                    <w:rPr>
                      <w:color w:val="auto"/>
                      <w:szCs w:val="21"/>
                    </w:rPr>
                    <w:t>按照《报告书》提出的布局调整意见</w:t>
                  </w:r>
                  <w:r>
                    <w:rPr>
                      <w:rFonts w:hint="eastAsia"/>
                      <w:color w:val="auto"/>
                      <w:szCs w:val="21"/>
                      <w:lang w:eastAsia="zh-CN"/>
                    </w:rPr>
                    <w:t>，</w:t>
                  </w:r>
                  <w:r>
                    <w:rPr>
                      <w:color w:val="auto"/>
                      <w:szCs w:val="21"/>
                    </w:rPr>
                    <w:t>进一步完善东部工业区规划，优化用地布局，节约用地，提高土地利用率。</w:t>
                  </w:r>
                </w:p>
              </w:tc>
              <w:tc>
                <w:tcPr>
                  <w:tcW w:w="1905" w:type="pct"/>
                  <w:tcBorders>
                    <w:tl2br w:val="nil"/>
                    <w:tr2bl w:val="nil"/>
                  </w:tcBorders>
                  <w:vAlign w:val="center"/>
                </w:tcPr>
                <w:p w14:paraId="30A7AC21">
                  <w:pPr>
                    <w:jc w:val="center"/>
                    <w:rPr>
                      <w:rFonts w:hint="eastAsia" w:eastAsia="宋体"/>
                      <w:color w:val="auto"/>
                      <w:szCs w:val="21"/>
                      <w:lang w:eastAsia="zh-CN"/>
                    </w:rPr>
                  </w:pPr>
                  <w:r>
                    <w:rPr>
                      <w:color w:val="auto"/>
                      <w:szCs w:val="21"/>
                    </w:rPr>
                    <w:t>本项目</w:t>
                  </w:r>
                  <w:r>
                    <w:rPr>
                      <w:rFonts w:hint="eastAsia"/>
                      <w:color w:val="auto"/>
                      <w:szCs w:val="21"/>
                      <w:lang w:val="en-US" w:eastAsia="zh-CN"/>
                    </w:rPr>
                    <w:t>位于淮南经济开发开发区，属于规划工业用地范围内</w:t>
                  </w:r>
                  <w:r>
                    <w:rPr>
                      <w:rFonts w:hint="eastAsia"/>
                      <w:color w:val="auto"/>
                      <w:szCs w:val="21"/>
                      <w:lang w:eastAsia="zh-CN"/>
                    </w:rPr>
                    <w:t>。</w:t>
                  </w:r>
                </w:p>
              </w:tc>
              <w:tc>
                <w:tcPr>
                  <w:tcW w:w="481" w:type="pct"/>
                  <w:tcBorders>
                    <w:tl2br w:val="nil"/>
                    <w:tr2bl w:val="nil"/>
                  </w:tcBorders>
                  <w:vAlign w:val="center"/>
                </w:tcPr>
                <w:p w14:paraId="2C183DC5">
                  <w:pPr>
                    <w:jc w:val="center"/>
                    <w:rPr>
                      <w:color w:val="auto"/>
                      <w:szCs w:val="21"/>
                    </w:rPr>
                  </w:pPr>
                  <w:r>
                    <w:rPr>
                      <w:color w:val="auto"/>
                      <w:szCs w:val="21"/>
                    </w:rPr>
                    <w:t>符合</w:t>
                  </w:r>
                </w:p>
              </w:tc>
            </w:tr>
            <w:tr w14:paraId="09E8E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3C01096C">
                  <w:pPr>
                    <w:jc w:val="center"/>
                    <w:rPr>
                      <w:color w:val="auto"/>
                      <w:szCs w:val="21"/>
                    </w:rPr>
                  </w:pPr>
                  <w:r>
                    <w:rPr>
                      <w:rFonts w:hint="eastAsia"/>
                      <w:color w:val="auto"/>
                      <w:szCs w:val="21"/>
                    </w:rPr>
                    <w:t>（二）</w:t>
                  </w:r>
                  <w:r>
                    <w:rPr>
                      <w:color w:val="auto"/>
                      <w:szCs w:val="21"/>
                    </w:rPr>
                    <w:t>优化集聚区产业结构，提高入区项目技术含量</w:t>
                  </w:r>
                  <w:r>
                    <w:rPr>
                      <w:rFonts w:hint="eastAsia"/>
                      <w:color w:val="auto"/>
                      <w:szCs w:val="21"/>
                    </w:rPr>
                    <w:t>，</w:t>
                  </w:r>
                  <w:r>
                    <w:rPr>
                      <w:color w:val="auto"/>
                      <w:szCs w:val="21"/>
                    </w:rPr>
                    <w:t>采用新型清洁生产工艺和设备。严格控制污染严重和有重大环境风险隐患的企业入区,不符合国家产业政策、环保政策及产业要求的项目不得入区。</w:t>
                  </w:r>
                </w:p>
              </w:tc>
              <w:tc>
                <w:tcPr>
                  <w:tcW w:w="1905" w:type="pct"/>
                  <w:tcBorders>
                    <w:tl2br w:val="nil"/>
                    <w:tr2bl w:val="nil"/>
                  </w:tcBorders>
                  <w:vAlign w:val="center"/>
                </w:tcPr>
                <w:p w14:paraId="082B83D9">
                  <w:pPr>
                    <w:jc w:val="center"/>
                    <w:rPr>
                      <w:rFonts w:hint="eastAsia" w:eastAsia="宋体"/>
                      <w:color w:val="auto"/>
                      <w:szCs w:val="21"/>
                      <w:lang w:eastAsia="zh-CN"/>
                    </w:rPr>
                  </w:pPr>
                  <w:r>
                    <w:rPr>
                      <w:color w:val="auto"/>
                      <w:szCs w:val="21"/>
                    </w:rPr>
                    <w:t>本项目采用国内先进的生产设备和工艺，采用电等清洁能源，使生产过程尽量减少污染物的产生和排放。项目不涉及到重大环境风险隐串，且项目符合国家产业政策、政策及产业要求</w:t>
                  </w:r>
                  <w:r>
                    <w:rPr>
                      <w:rFonts w:hint="eastAsia"/>
                      <w:color w:val="auto"/>
                      <w:szCs w:val="21"/>
                      <w:lang w:eastAsia="zh-CN"/>
                    </w:rPr>
                    <w:t>。</w:t>
                  </w:r>
                </w:p>
              </w:tc>
              <w:tc>
                <w:tcPr>
                  <w:tcW w:w="481" w:type="pct"/>
                  <w:tcBorders>
                    <w:tl2br w:val="nil"/>
                    <w:tr2bl w:val="nil"/>
                  </w:tcBorders>
                  <w:vAlign w:val="center"/>
                </w:tcPr>
                <w:p w14:paraId="1334BBBE">
                  <w:pPr>
                    <w:jc w:val="center"/>
                    <w:rPr>
                      <w:color w:val="auto"/>
                      <w:szCs w:val="21"/>
                    </w:rPr>
                  </w:pPr>
                  <w:r>
                    <w:rPr>
                      <w:color w:val="auto"/>
                      <w:szCs w:val="21"/>
                    </w:rPr>
                    <w:t>符合</w:t>
                  </w:r>
                </w:p>
              </w:tc>
            </w:tr>
            <w:tr w14:paraId="0C5E1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1F9D201C">
                  <w:pPr>
                    <w:jc w:val="center"/>
                    <w:rPr>
                      <w:color w:val="auto"/>
                      <w:szCs w:val="21"/>
                    </w:rPr>
                  </w:pPr>
                  <w:r>
                    <w:rPr>
                      <w:rFonts w:hint="eastAsia"/>
                      <w:color w:val="auto"/>
                      <w:szCs w:val="21"/>
                      <w:lang w:eastAsia="zh-CN"/>
                    </w:rPr>
                    <w:t>（</w:t>
                  </w:r>
                  <w:r>
                    <w:rPr>
                      <w:rFonts w:hint="eastAsia"/>
                      <w:color w:val="auto"/>
                      <w:szCs w:val="21"/>
                      <w:lang w:val="en-US" w:eastAsia="zh-CN"/>
                    </w:rPr>
                    <w:t>三</w:t>
                  </w:r>
                  <w:r>
                    <w:rPr>
                      <w:rFonts w:hint="eastAsia"/>
                      <w:color w:val="auto"/>
                      <w:szCs w:val="21"/>
                      <w:lang w:eastAsia="zh-CN"/>
                    </w:rPr>
                    <w:t>）</w:t>
                  </w:r>
                  <w:r>
                    <w:rPr>
                      <w:color w:val="auto"/>
                      <w:szCs w:val="21"/>
                    </w:rPr>
                    <w:t>排水采取雨污分流制。远期实现工业废水和生活污水分系统排放。生活污水纳入城市污水管网，进入淮南市第一污水处理厂。工业区污水处理厂和污水管网建成后，区内各企业污废水自行处理达到接管标准后进入区内污水处理厂，区内污水处理厂和污水管网未建成，各企业废水必须处理后达到《污水综合排放标准》（GB8978—1996）一级标准的要求。</w:t>
                  </w:r>
                </w:p>
              </w:tc>
              <w:tc>
                <w:tcPr>
                  <w:tcW w:w="1905" w:type="pct"/>
                  <w:tcBorders>
                    <w:tl2br w:val="nil"/>
                    <w:tr2bl w:val="nil"/>
                  </w:tcBorders>
                  <w:vAlign w:val="center"/>
                </w:tcPr>
                <w:p w14:paraId="3F48724F">
                  <w:pPr>
                    <w:jc w:val="center"/>
                    <w:rPr>
                      <w:rFonts w:hint="eastAsia" w:eastAsia="宋体"/>
                      <w:color w:val="auto"/>
                      <w:szCs w:val="21"/>
                      <w:lang w:eastAsia="zh-CN"/>
                    </w:rPr>
                  </w:pPr>
                  <w:r>
                    <w:rPr>
                      <w:color w:val="auto"/>
                      <w:szCs w:val="21"/>
                    </w:rPr>
                    <w:t>项目</w:t>
                  </w:r>
                  <w:r>
                    <w:rPr>
                      <w:rFonts w:hint="eastAsia"/>
                      <w:color w:val="auto"/>
                      <w:szCs w:val="21"/>
                      <w:lang w:val="en-US" w:eastAsia="zh-CN"/>
                    </w:rPr>
                    <w:t>排水采取雨</w:t>
                  </w:r>
                  <w:r>
                    <w:rPr>
                      <w:color w:val="auto"/>
                      <w:szCs w:val="21"/>
                    </w:rPr>
                    <w:t>污分流，污水排入市政污水管网，雨水排入周边雨水管网。职工生活污水</w:t>
                  </w:r>
                  <w:r>
                    <w:rPr>
                      <w:rFonts w:hint="eastAsia"/>
                      <w:color w:val="auto"/>
                      <w:kern w:val="0"/>
                      <w:szCs w:val="21"/>
                    </w:rPr>
                    <w:t>经化粪池处理后排入淮南经济技术开发区工业污水处理厂处理</w:t>
                  </w:r>
                  <w:r>
                    <w:rPr>
                      <w:color w:val="auto"/>
                      <w:szCs w:val="21"/>
                    </w:rPr>
                    <w:t>达标后排入淮河</w:t>
                  </w:r>
                  <w:r>
                    <w:rPr>
                      <w:rFonts w:hint="eastAsia"/>
                      <w:color w:val="auto"/>
                      <w:szCs w:val="21"/>
                      <w:lang w:eastAsia="zh-CN"/>
                    </w:rPr>
                    <w:t>。</w:t>
                  </w:r>
                </w:p>
              </w:tc>
              <w:tc>
                <w:tcPr>
                  <w:tcW w:w="481" w:type="pct"/>
                  <w:tcBorders>
                    <w:tl2br w:val="nil"/>
                    <w:tr2bl w:val="nil"/>
                  </w:tcBorders>
                  <w:vAlign w:val="center"/>
                </w:tcPr>
                <w:p w14:paraId="74DC74E8">
                  <w:pPr>
                    <w:jc w:val="center"/>
                    <w:rPr>
                      <w:color w:val="auto"/>
                      <w:szCs w:val="21"/>
                    </w:rPr>
                  </w:pPr>
                  <w:r>
                    <w:rPr>
                      <w:color w:val="auto"/>
                      <w:szCs w:val="21"/>
                    </w:rPr>
                    <w:t>符合</w:t>
                  </w:r>
                </w:p>
              </w:tc>
            </w:tr>
            <w:tr w14:paraId="338C4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220DC0FB">
                  <w:pPr>
                    <w:jc w:val="center"/>
                    <w:rPr>
                      <w:color w:val="auto"/>
                      <w:szCs w:val="21"/>
                    </w:rPr>
                  </w:pPr>
                  <w:r>
                    <w:rPr>
                      <w:rFonts w:hint="eastAsia"/>
                      <w:color w:val="auto"/>
                      <w:szCs w:val="21"/>
                      <w:lang w:eastAsia="zh-CN"/>
                    </w:rPr>
                    <w:t>（</w:t>
                  </w:r>
                  <w:r>
                    <w:rPr>
                      <w:rFonts w:hint="eastAsia"/>
                      <w:color w:val="auto"/>
                      <w:szCs w:val="21"/>
                      <w:lang w:val="en-US" w:eastAsia="zh-CN"/>
                    </w:rPr>
                    <w:t>四</w:t>
                  </w:r>
                  <w:r>
                    <w:rPr>
                      <w:rFonts w:hint="eastAsia"/>
                      <w:color w:val="auto"/>
                      <w:szCs w:val="21"/>
                      <w:lang w:eastAsia="zh-CN"/>
                    </w:rPr>
                    <w:t>）</w:t>
                  </w:r>
                  <w:r>
                    <w:rPr>
                      <w:color w:val="auto"/>
                      <w:szCs w:val="21"/>
                    </w:rPr>
                    <w:t>按照循环经济的要求，提高工业区固废的综合利用率，严禁企业随意弃置。生活垃圾由环卫部门统一清运。企业产生的危险固废的收集、贮存应满足《危险废物贮存污染控制标准》</w:t>
                  </w:r>
                  <w:r>
                    <w:rPr>
                      <w:rFonts w:hint="eastAsia"/>
                      <w:color w:val="auto"/>
                      <w:szCs w:val="21"/>
                      <w:lang w:eastAsia="zh-CN"/>
                    </w:rPr>
                    <w:t>（</w:t>
                  </w:r>
                  <w:r>
                    <w:rPr>
                      <w:color w:val="auto"/>
                      <w:szCs w:val="21"/>
                    </w:rPr>
                    <w:t>GB18597—20</w:t>
                  </w:r>
                  <w:r>
                    <w:rPr>
                      <w:rFonts w:hint="eastAsia"/>
                      <w:color w:val="auto"/>
                      <w:szCs w:val="21"/>
                    </w:rPr>
                    <w:t>23</w:t>
                  </w:r>
                  <w:r>
                    <w:rPr>
                      <w:color w:val="auto"/>
                      <w:szCs w:val="21"/>
                    </w:rPr>
                    <w:t>）的要求，并送有资质的危险废物处置单位处置，危险废物的转运应执行《危险废物转移联单管理办法》的有关规定。</w:t>
                  </w:r>
                </w:p>
              </w:tc>
              <w:tc>
                <w:tcPr>
                  <w:tcW w:w="1905" w:type="pct"/>
                  <w:tcBorders>
                    <w:tl2br w:val="nil"/>
                    <w:tr2bl w:val="nil"/>
                  </w:tcBorders>
                  <w:vAlign w:val="center"/>
                </w:tcPr>
                <w:p w14:paraId="749D21D0">
                  <w:pPr>
                    <w:jc w:val="center"/>
                    <w:rPr>
                      <w:color w:val="auto"/>
                      <w:szCs w:val="21"/>
                    </w:rPr>
                  </w:pPr>
                  <w:r>
                    <w:rPr>
                      <w:color w:val="auto"/>
                      <w:szCs w:val="21"/>
                    </w:rPr>
                    <w:t>本项目生活垃圾集中收集后由环卫部门统一清运；废包装材料</w:t>
                  </w:r>
                  <w:r>
                    <w:rPr>
                      <w:rFonts w:hint="eastAsia"/>
                      <w:color w:val="auto"/>
                      <w:szCs w:val="21"/>
                    </w:rPr>
                    <w:t>、</w:t>
                  </w:r>
                  <w:r>
                    <w:rPr>
                      <w:rFonts w:hint="eastAsia"/>
                      <w:color w:val="auto"/>
                      <w:szCs w:val="21"/>
                      <w:lang w:val="en-US" w:eastAsia="zh-CN"/>
                    </w:rPr>
                    <w:t>废切割</w:t>
                  </w:r>
                  <w:r>
                    <w:rPr>
                      <w:rFonts w:hint="eastAsia"/>
                      <w:color w:val="auto"/>
                      <w:szCs w:val="21"/>
                    </w:rPr>
                    <w:t>边角料</w:t>
                  </w:r>
                  <w:r>
                    <w:rPr>
                      <w:rFonts w:hint="eastAsia"/>
                      <w:color w:val="auto"/>
                      <w:szCs w:val="21"/>
                      <w:lang w:eastAsia="zh-CN"/>
                    </w:rPr>
                    <w:t>、</w:t>
                  </w:r>
                  <w:r>
                    <w:rPr>
                      <w:rFonts w:hint="eastAsia"/>
                      <w:color w:val="auto"/>
                      <w:szCs w:val="21"/>
                      <w:lang w:val="en-US" w:eastAsia="zh-CN"/>
                    </w:rPr>
                    <w:t>废布袋</w:t>
                  </w:r>
                  <w:r>
                    <w:rPr>
                      <w:color w:val="auto"/>
                      <w:szCs w:val="21"/>
                    </w:rPr>
                    <w:t>由物资回收部门回收综合利用</w:t>
                  </w:r>
                  <w:r>
                    <w:rPr>
                      <w:rFonts w:hint="eastAsia"/>
                      <w:color w:val="auto"/>
                      <w:szCs w:val="21"/>
                      <w:lang w:eastAsia="zh-CN"/>
                    </w:rPr>
                    <w:t>，</w:t>
                  </w:r>
                  <w:r>
                    <w:rPr>
                      <w:rFonts w:hint="default"/>
                      <w:color w:val="auto"/>
                      <w:szCs w:val="21"/>
                      <w:lang w:val="en-US" w:eastAsia="en-US"/>
                    </w:rPr>
                    <w:t>沉淀池沉渣</w:t>
                  </w:r>
                  <w:r>
                    <w:rPr>
                      <w:rFonts w:hint="eastAsia"/>
                      <w:color w:val="auto"/>
                      <w:szCs w:val="21"/>
                      <w:lang w:val="en-US" w:eastAsia="zh-CN"/>
                    </w:rPr>
                    <w:t>、除尘灰回用于生产</w:t>
                  </w:r>
                  <w:r>
                    <w:rPr>
                      <w:color w:val="auto"/>
                      <w:szCs w:val="21"/>
                    </w:rPr>
                    <w:t>；危废在危废暂存间暂存，定期交由有资质单位进行处置。</w:t>
                  </w:r>
                </w:p>
              </w:tc>
              <w:tc>
                <w:tcPr>
                  <w:tcW w:w="481" w:type="pct"/>
                  <w:tcBorders>
                    <w:tl2br w:val="nil"/>
                    <w:tr2bl w:val="nil"/>
                  </w:tcBorders>
                  <w:vAlign w:val="center"/>
                </w:tcPr>
                <w:p w14:paraId="2B7BF947">
                  <w:pPr>
                    <w:jc w:val="center"/>
                    <w:rPr>
                      <w:color w:val="auto"/>
                      <w:szCs w:val="21"/>
                    </w:rPr>
                  </w:pPr>
                  <w:r>
                    <w:rPr>
                      <w:color w:val="auto"/>
                      <w:szCs w:val="21"/>
                    </w:rPr>
                    <w:t>符合</w:t>
                  </w:r>
                </w:p>
              </w:tc>
            </w:tr>
            <w:tr w14:paraId="51DE0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3" w:type="pct"/>
                  <w:tcBorders>
                    <w:tl2br w:val="nil"/>
                    <w:tr2bl w:val="nil"/>
                  </w:tcBorders>
                  <w:vAlign w:val="center"/>
                </w:tcPr>
                <w:p w14:paraId="1D0CDCC3">
                  <w:pPr>
                    <w:jc w:val="center"/>
                    <w:rPr>
                      <w:color w:val="auto"/>
                      <w:szCs w:val="21"/>
                    </w:rPr>
                  </w:pPr>
                  <w:r>
                    <w:rPr>
                      <w:rFonts w:hint="eastAsia"/>
                      <w:color w:val="auto"/>
                      <w:szCs w:val="21"/>
                      <w:lang w:eastAsia="zh-CN"/>
                    </w:rPr>
                    <w:t>（</w:t>
                  </w:r>
                  <w:r>
                    <w:rPr>
                      <w:rFonts w:hint="eastAsia"/>
                      <w:color w:val="auto"/>
                      <w:szCs w:val="21"/>
                      <w:lang w:val="en-US" w:eastAsia="zh-CN"/>
                    </w:rPr>
                    <w:t>五</w:t>
                  </w:r>
                  <w:r>
                    <w:rPr>
                      <w:rFonts w:hint="eastAsia"/>
                      <w:color w:val="auto"/>
                      <w:szCs w:val="21"/>
                      <w:lang w:eastAsia="zh-CN"/>
                    </w:rPr>
                    <w:t>）</w:t>
                  </w:r>
                  <w:r>
                    <w:rPr>
                      <w:color w:val="auto"/>
                      <w:szCs w:val="21"/>
                    </w:rPr>
                    <w:t>工业区内采用清洁能源，禁止使用燃煤锅炉。</w:t>
                  </w:r>
                </w:p>
              </w:tc>
              <w:tc>
                <w:tcPr>
                  <w:tcW w:w="1905" w:type="pct"/>
                  <w:tcBorders>
                    <w:tl2br w:val="nil"/>
                    <w:tr2bl w:val="nil"/>
                  </w:tcBorders>
                  <w:vAlign w:val="center"/>
                </w:tcPr>
                <w:p w14:paraId="63C09B49">
                  <w:pPr>
                    <w:jc w:val="center"/>
                    <w:rPr>
                      <w:color w:val="auto"/>
                      <w:szCs w:val="21"/>
                    </w:rPr>
                  </w:pPr>
                  <w:r>
                    <w:rPr>
                      <w:color w:val="auto"/>
                      <w:szCs w:val="21"/>
                    </w:rPr>
                    <w:t>本项目</w:t>
                  </w:r>
                  <w:r>
                    <w:rPr>
                      <w:rFonts w:hint="eastAsia"/>
                      <w:color w:val="auto"/>
                      <w:szCs w:val="21"/>
                      <w:lang w:val="en-US" w:eastAsia="zh-CN"/>
                    </w:rPr>
                    <w:t>采用电加热蒸汽发生器</w:t>
                  </w:r>
                  <w:r>
                    <w:rPr>
                      <w:color w:val="auto"/>
                      <w:szCs w:val="21"/>
                    </w:rPr>
                    <w:t>。</w:t>
                  </w:r>
                </w:p>
              </w:tc>
              <w:tc>
                <w:tcPr>
                  <w:tcW w:w="481" w:type="pct"/>
                  <w:tcBorders>
                    <w:tl2br w:val="nil"/>
                    <w:tr2bl w:val="nil"/>
                  </w:tcBorders>
                  <w:vAlign w:val="center"/>
                </w:tcPr>
                <w:p w14:paraId="4B827ECD">
                  <w:pPr>
                    <w:jc w:val="center"/>
                    <w:rPr>
                      <w:color w:val="auto"/>
                      <w:szCs w:val="21"/>
                    </w:rPr>
                  </w:pPr>
                  <w:r>
                    <w:rPr>
                      <w:color w:val="auto"/>
                      <w:szCs w:val="21"/>
                    </w:rPr>
                    <w:t>符合</w:t>
                  </w:r>
                </w:p>
              </w:tc>
            </w:tr>
          </w:tbl>
          <w:p w14:paraId="35FD12ED">
            <w:pPr>
              <w:pStyle w:val="239"/>
              <w:ind w:firstLine="480"/>
              <w:rPr>
                <w:rFonts w:hint="eastAsia"/>
                <w:b w:val="0"/>
                <w:bCs w:val="0"/>
                <w:color w:val="auto"/>
                <w:sz w:val="24"/>
                <w:szCs w:val="28"/>
                <w:highlight w:val="none"/>
                <w:lang w:eastAsia="zh-CN"/>
              </w:rPr>
            </w:pPr>
            <w:r>
              <w:rPr>
                <w:b w:val="0"/>
                <w:bCs w:val="0"/>
                <w:color w:val="auto"/>
                <w:sz w:val="24"/>
                <w:szCs w:val="28"/>
                <w:highlight w:val="none"/>
              </w:rPr>
              <w:t>与</w:t>
            </w:r>
            <w:r>
              <w:rPr>
                <w:rFonts w:hint="eastAsia"/>
                <w:b w:val="0"/>
                <w:bCs w:val="0"/>
                <w:color w:val="auto"/>
                <w:sz w:val="24"/>
                <w:szCs w:val="28"/>
                <w:highlight w:val="none"/>
                <w:lang w:eastAsia="zh-CN"/>
              </w:rPr>
              <w:t>《</w:t>
            </w:r>
            <w:r>
              <w:rPr>
                <w:b w:val="0"/>
                <w:bCs w:val="0"/>
                <w:color w:val="auto"/>
                <w:sz w:val="24"/>
                <w:szCs w:val="28"/>
                <w:highlight w:val="none"/>
              </w:rPr>
              <w:t>淮南经济技术开发区总体发展规划环境影响跟踪评价</w:t>
            </w:r>
            <w:r>
              <w:rPr>
                <w:rFonts w:hint="eastAsia"/>
                <w:b w:val="0"/>
                <w:bCs w:val="0"/>
                <w:color w:val="auto"/>
                <w:sz w:val="24"/>
                <w:szCs w:val="28"/>
                <w:highlight w:val="none"/>
                <w:lang w:val="en-US" w:eastAsia="zh-CN"/>
              </w:rPr>
              <w:t>报告书》</w:t>
            </w:r>
            <w:r>
              <w:rPr>
                <w:b w:val="0"/>
                <w:bCs w:val="0"/>
                <w:color w:val="auto"/>
                <w:sz w:val="24"/>
                <w:szCs w:val="28"/>
                <w:highlight w:val="none"/>
              </w:rPr>
              <w:t>相符性分析</w:t>
            </w:r>
            <w:r>
              <w:rPr>
                <w:rFonts w:hint="eastAsia"/>
                <w:b w:val="0"/>
                <w:bCs w:val="0"/>
                <w:color w:val="auto"/>
                <w:sz w:val="24"/>
                <w:szCs w:val="28"/>
                <w:highlight w:val="none"/>
                <w:lang w:eastAsia="zh-CN"/>
              </w:rPr>
              <w:t>：</w:t>
            </w:r>
          </w:p>
          <w:p w14:paraId="3E05229A">
            <w:pPr>
              <w:pStyle w:val="239"/>
              <w:ind w:firstLine="480"/>
              <w:rPr>
                <w:rFonts w:hint="default"/>
                <w:b w:val="0"/>
                <w:bCs w:val="0"/>
                <w:color w:val="auto"/>
                <w:sz w:val="24"/>
                <w:szCs w:val="28"/>
                <w:highlight w:val="none"/>
                <w:lang w:val="en-US" w:eastAsia="zh-CN"/>
              </w:rPr>
            </w:pPr>
            <w:r>
              <w:rPr>
                <w:rFonts w:hint="eastAsia"/>
                <w:b w:val="0"/>
                <w:bCs w:val="0"/>
                <w:color w:val="auto"/>
                <w:sz w:val="24"/>
                <w:szCs w:val="28"/>
                <w:highlight w:val="none"/>
                <w:lang w:eastAsia="zh-CN"/>
              </w:rPr>
              <w:t>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了审核意见的函。</w:t>
            </w:r>
            <w:r>
              <w:rPr>
                <w:rFonts w:hint="eastAsia"/>
                <w:b w:val="0"/>
                <w:bCs w:val="0"/>
                <w:color w:val="auto"/>
                <w:sz w:val="24"/>
                <w:szCs w:val="28"/>
                <w:highlight w:val="none"/>
                <w:lang w:val="en-US" w:eastAsia="zh-CN"/>
              </w:rPr>
              <w:t>具体分析见下表1-4。</w:t>
            </w:r>
          </w:p>
          <w:p w14:paraId="6ED6FACB">
            <w:pPr>
              <w:pStyle w:val="241"/>
              <w:spacing w:line="360" w:lineRule="auto"/>
              <w:rPr>
                <w:rFonts w:hint="eastAsia"/>
                <w:color w:val="auto"/>
                <w:sz w:val="24"/>
                <w:szCs w:val="28"/>
                <w:highlight w:val="none"/>
              </w:rPr>
            </w:pPr>
            <w:r>
              <w:rPr>
                <w:rFonts w:hint="eastAsia"/>
                <w:color w:val="auto"/>
                <w:sz w:val="24"/>
                <w:szCs w:val="28"/>
                <w:highlight w:val="none"/>
              </w:rPr>
              <w:t>表1-</w:t>
            </w:r>
            <w:r>
              <w:rPr>
                <w:rFonts w:hint="eastAsia"/>
                <w:color w:val="auto"/>
                <w:sz w:val="24"/>
                <w:szCs w:val="28"/>
                <w:highlight w:val="none"/>
                <w:lang w:val="en-US" w:eastAsia="zh-CN"/>
              </w:rPr>
              <w:t>4</w:t>
            </w:r>
            <w:r>
              <w:rPr>
                <w:rFonts w:hint="eastAsia"/>
                <w:color w:val="auto"/>
                <w:sz w:val="24"/>
                <w:szCs w:val="28"/>
                <w:highlight w:val="none"/>
              </w:rPr>
              <w:t xml:space="preserve"> 与淮南经济技术开发区总体发展规划环境影响跟踪评价相符性分析</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462"/>
              <w:gridCol w:w="3463"/>
            </w:tblGrid>
            <w:tr w14:paraId="54160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62FF2E76">
                  <w:pPr>
                    <w:pStyle w:val="242"/>
                    <w:spacing w:line="240" w:lineRule="auto"/>
                    <w:rPr>
                      <w:rFonts w:hint="eastAsia"/>
                      <w:b/>
                      <w:bCs/>
                      <w:color w:val="auto"/>
                      <w:highlight w:val="none"/>
                    </w:rPr>
                  </w:pPr>
                  <w:r>
                    <w:rPr>
                      <w:rFonts w:hint="eastAsia"/>
                      <w:b/>
                      <w:bCs/>
                      <w:color w:val="auto"/>
                      <w:highlight w:val="none"/>
                    </w:rPr>
                    <w:t>序号</w:t>
                  </w:r>
                </w:p>
              </w:tc>
              <w:tc>
                <w:tcPr>
                  <w:tcW w:w="2322" w:type="pct"/>
                  <w:tcBorders>
                    <w:tl2br w:val="nil"/>
                    <w:tr2bl w:val="nil"/>
                  </w:tcBorders>
                  <w:noWrap w:val="0"/>
                  <w:vAlign w:val="center"/>
                </w:tcPr>
                <w:p w14:paraId="3876780F">
                  <w:pPr>
                    <w:pStyle w:val="242"/>
                    <w:spacing w:line="240" w:lineRule="auto"/>
                    <w:rPr>
                      <w:rFonts w:hint="eastAsia"/>
                      <w:b/>
                      <w:bCs/>
                      <w:color w:val="auto"/>
                      <w:highlight w:val="none"/>
                    </w:rPr>
                  </w:pPr>
                  <w:r>
                    <w:rPr>
                      <w:rFonts w:hint="eastAsia"/>
                      <w:b/>
                      <w:bCs/>
                      <w:color w:val="auto"/>
                      <w:highlight w:val="none"/>
                    </w:rPr>
                    <w:t>相关要求</w:t>
                  </w:r>
                </w:p>
              </w:tc>
              <w:tc>
                <w:tcPr>
                  <w:tcW w:w="2323" w:type="pct"/>
                  <w:tcBorders>
                    <w:tl2br w:val="nil"/>
                    <w:tr2bl w:val="nil"/>
                  </w:tcBorders>
                  <w:noWrap w:val="0"/>
                  <w:vAlign w:val="center"/>
                </w:tcPr>
                <w:p w14:paraId="0963DCD7">
                  <w:pPr>
                    <w:pStyle w:val="242"/>
                    <w:spacing w:line="240" w:lineRule="auto"/>
                    <w:rPr>
                      <w:rFonts w:hint="eastAsia"/>
                      <w:b/>
                      <w:bCs/>
                      <w:color w:val="auto"/>
                      <w:highlight w:val="none"/>
                    </w:rPr>
                  </w:pPr>
                  <w:r>
                    <w:rPr>
                      <w:rFonts w:hint="eastAsia"/>
                      <w:b/>
                      <w:bCs/>
                      <w:color w:val="auto"/>
                      <w:highlight w:val="none"/>
                    </w:rPr>
                    <w:t>符合性分析</w:t>
                  </w:r>
                </w:p>
              </w:tc>
            </w:tr>
            <w:tr w14:paraId="77C13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30EB88B2">
                  <w:pPr>
                    <w:pStyle w:val="242"/>
                    <w:rPr>
                      <w:color w:val="auto"/>
                      <w:highlight w:val="none"/>
                    </w:rPr>
                  </w:pPr>
                  <w:r>
                    <w:rPr>
                      <w:rFonts w:hint="eastAsia"/>
                      <w:color w:val="auto"/>
                      <w:highlight w:val="none"/>
                    </w:rPr>
                    <w:t>1</w:t>
                  </w:r>
                </w:p>
              </w:tc>
              <w:tc>
                <w:tcPr>
                  <w:tcW w:w="2322" w:type="pct"/>
                  <w:tcBorders>
                    <w:tl2br w:val="nil"/>
                    <w:tr2bl w:val="nil"/>
                  </w:tcBorders>
                  <w:noWrap w:val="0"/>
                  <w:vAlign w:val="center"/>
                </w:tcPr>
                <w:p w14:paraId="6621EE41">
                  <w:pPr>
                    <w:pStyle w:val="242"/>
                    <w:rPr>
                      <w:rFonts w:hint="eastAsia"/>
                      <w:color w:val="auto"/>
                      <w:highlight w:val="none"/>
                    </w:rPr>
                  </w:pPr>
                  <w:r>
                    <w:rPr>
                      <w:rFonts w:hint="eastAsia"/>
                      <w:color w:val="auto"/>
                      <w:highlight w:val="none"/>
                    </w:rPr>
                    <w:t>优先引入符合开发区产业定位（六大主导产业：生物医药、纺织服装、化学工业、机械电子与新型材料、食品加工、商贸流通）的项目；禁止引入电子元件材料制造等可能涉及重金属的项目、水泥陶瓷等高耗能高污染企业。</w:t>
                  </w:r>
                </w:p>
              </w:tc>
              <w:tc>
                <w:tcPr>
                  <w:tcW w:w="2323" w:type="pct"/>
                  <w:vMerge w:val="restart"/>
                  <w:tcBorders>
                    <w:tl2br w:val="nil"/>
                    <w:tr2bl w:val="nil"/>
                  </w:tcBorders>
                  <w:noWrap w:val="0"/>
                  <w:vAlign w:val="center"/>
                </w:tcPr>
                <w:p w14:paraId="3713BFB2">
                  <w:pPr>
                    <w:pStyle w:val="242"/>
                    <w:rPr>
                      <w:rFonts w:hint="eastAsia"/>
                      <w:color w:val="auto"/>
                      <w:highlight w:val="none"/>
                    </w:rPr>
                  </w:pPr>
                  <w:r>
                    <w:rPr>
                      <w:rFonts w:hint="eastAsia" w:ascii="Times New Roman" w:hAnsi="Times New Roman" w:eastAsia="宋体" w:cs="Times New Roman"/>
                      <w:color w:val="auto"/>
                      <w:highlight w:val="none"/>
                    </w:rPr>
                    <w:t>本项目</w:t>
                  </w:r>
                  <w:r>
                    <w:rPr>
                      <w:rFonts w:hint="eastAsia"/>
                      <w:color w:val="auto"/>
                    </w:rPr>
                    <w:t>属于C</w:t>
                  </w:r>
                  <w:r>
                    <w:rPr>
                      <w:rFonts w:hint="eastAsia"/>
                      <w:color w:val="auto"/>
                      <w:lang w:val="en-US" w:eastAsia="zh-CN"/>
                    </w:rPr>
                    <w:t>3021水泥制品制造</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不属于优先引入类，</w:t>
                  </w:r>
                  <w:r>
                    <w:rPr>
                      <w:rFonts w:hint="eastAsia" w:ascii="Times New Roman" w:hAnsi="Times New Roman" w:eastAsia="宋体" w:cs="Times New Roman"/>
                      <w:color w:val="auto"/>
                      <w:highlight w:val="none"/>
                      <w:lang w:val="en-US" w:eastAsia="zh-CN"/>
                    </w:rPr>
                    <w:t>不属于</w:t>
                  </w:r>
                  <w:r>
                    <w:rPr>
                      <w:rFonts w:hint="eastAsia" w:ascii="Times New Roman" w:hAnsi="Times New Roman" w:eastAsia="宋体" w:cs="Times New Roman"/>
                      <w:color w:val="auto"/>
                      <w:highlight w:val="none"/>
                    </w:rPr>
                    <w:t>电子元件材料制造等可能涉及重金属的项目、水</w:t>
                  </w:r>
                  <w:r>
                    <w:rPr>
                      <w:rFonts w:hint="eastAsia"/>
                      <w:color w:val="auto"/>
                      <w:highlight w:val="none"/>
                    </w:rPr>
                    <w:t>泥陶瓷等高耗能高污染企业</w:t>
                  </w:r>
                  <w:r>
                    <w:rPr>
                      <w:rFonts w:hint="eastAsia"/>
                      <w:color w:val="auto"/>
                      <w:highlight w:val="none"/>
                      <w:lang w:eastAsia="zh-CN"/>
                    </w:rPr>
                    <w:t>，</w:t>
                  </w:r>
                  <w:r>
                    <w:rPr>
                      <w:rFonts w:hint="eastAsia"/>
                      <w:color w:val="auto"/>
                      <w:highlight w:val="none"/>
                      <w:lang w:val="en-US" w:eastAsia="zh-CN"/>
                    </w:rPr>
                    <w:t>可视为允许类，</w:t>
                  </w:r>
                  <w:r>
                    <w:rPr>
                      <w:rFonts w:hint="eastAsia"/>
                      <w:color w:val="auto"/>
                      <w:highlight w:val="none"/>
                    </w:rPr>
                    <w:t>符合开发区产业定位。</w:t>
                  </w:r>
                </w:p>
              </w:tc>
            </w:tr>
            <w:tr w14:paraId="7A031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47FA4FCC">
                  <w:pPr>
                    <w:pStyle w:val="242"/>
                    <w:rPr>
                      <w:color w:val="auto"/>
                      <w:highlight w:val="none"/>
                    </w:rPr>
                  </w:pPr>
                  <w:r>
                    <w:rPr>
                      <w:rFonts w:hint="eastAsia"/>
                      <w:color w:val="auto"/>
                      <w:highlight w:val="none"/>
                    </w:rPr>
                    <w:t>2</w:t>
                  </w:r>
                </w:p>
              </w:tc>
              <w:tc>
                <w:tcPr>
                  <w:tcW w:w="2322" w:type="pct"/>
                  <w:tcBorders>
                    <w:tl2br w:val="nil"/>
                    <w:tr2bl w:val="nil"/>
                  </w:tcBorders>
                  <w:noWrap w:val="0"/>
                  <w:vAlign w:val="center"/>
                </w:tcPr>
                <w:p w14:paraId="64C13549">
                  <w:pPr>
                    <w:pStyle w:val="242"/>
                    <w:rPr>
                      <w:rFonts w:hint="eastAsia"/>
                      <w:color w:val="auto"/>
                      <w:highlight w:val="none"/>
                    </w:rPr>
                  </w:pPr>
                  <w:r>
                    <w:rPr>
                      <w:rFonts w:hint="eastAsia"/>
                      <w:color w:val="auto"/>
                      <w:highlight w:val="none"/>
                    </w:rPr>
                    <w:t>淮南经济技术开发区功能定位：全国重要的能源基地、先进制造业基地、煤化工及化工新材料基地和创新基地，全国重要的商品粮基地和农副产品加工基地，全省重要的生物医药基地。加强重点产业基地建设，培育壮大机械制造、新能源汽车及汽车零部件、煤化工及化工新材料、硅基新材料基地、商贸物流及电子信息、新能源等产业。</w:t>
                  </w:r>
                </w:p>
              </w:tc>
              <w:tc>
                <w:tcPr>
                  <w:tcW w:w="2323" w:type="pct"/>
                  <w:vMerge w:val="continue"/>
                  <w:tcBorders>
                    <w:tl2br w:val="nil"/>
                    <w:tr2bl w:val="nil"/>
                  </w:tcBorders>
                  <w:noWrap w:val="0"/>
                  <w:vAlign w:val="center"/>
                </w:tcPr>
                <w:p w14:paraId="5095AF8C">
                  <w:pPr>
                    <w:pStyle w:val="242"/>
                    <w:rPr>
                      <w:rFonts w:hint="eastAsia"/>
                      <w:color w:val="auto"/>
                      <w:highlight w:val="none"/>
                    </w:rPr>
                  </w:pPr>
                </w:p>
              </w:tc>
            </w:tr>
            <w:tr w14:paraId="37977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67171F05">
                  <w:pPr>
                    <w:pStyle w:val="242"/>
                    <w:rPr>
                      <w:color w:val="auto"/>
                      <w:highlight w:val="none"/>
                    </w:rPr>
                  </w:pPr>
                  <w:r>
                    <w:rPr>
                      <w:rFonts w:hint="eastAsia"/>
                      <w:color w:val="auto"/>
                      <w:highlight w:val="none"/>
                    </w:rPr>
                    <w:t>3</w:t>
                  </w:r>
                </w:p>
              </w:tc>
              <w:tc>
                <w:tcPr>
                  <w:tcW w:w="2322" w:type="pct"/>
                  <w:tcBorders>
                    <w:tl2br w:val="nil"/>
                    <w:tr2bl w:val="nil"/>
                  </w:tcBorders>
                  <w:noWrap w:val="0"/>
                  <w:vAlign w:val="center"/>
                </w:tcPr>
                <w:p w14:paraId="473E17E0">
                  <w:pPr>
                    <w:pStyle w:val="242"/>
                    <w:rPr>
                      <w:rFonts w:hint="eastAsia"/>
                      <w:color w:val="auto"/>
                      <w:highlight w:val="none"/>
                    </w:rPr>
                  </w:pPr>
                  <w:r>
                    <w:rPr>
                      <w:rFonts w:hint="eastAsia"/>
                      <w:color w:val="auto"/>
                      <w:highlight w:val="none"/>
                    </w:rPr>
                    <w:t>加强现有企业无组织废气的收集和处理，同时加强废气处理设施的维护，确保有组织废气及厂界无组织废气污染物达标排放。</w:t>
                  </w:r>
                </w:p>
              </w:tc>
              <w:tc>
                <w:tcPr>
                  <w:tcW w:w="2323" w:type="pct"/>
                  <w:tcBorders>
                    <w:tl2br w:val="nil"/>
                    <w:tr2bl w:val="nil"/>
                  </w:tcBorders>
                  <w:noWrap w:val="0"/>
                  <w:vAlign w:val="center"/>
                </w:tcPr>
                <w:p w14:paraId="6716A37A">
                  <w:pPr>
                    <w:pStyle w:val="242"/>
                    <w:rPr>
                      <w:color w:val="auto"/>
                      <w:highlight w:val="none"/>
                    </w:rPr>
                  </w:pPr>
                  <w:r>
                    <w:rPr>
                      <w:rFonts w:hint="eastAsia"/>
                      <w:color w:val="auto"/>
                      <w:highlight w:val="none"/>
                      <w:lang w:val="en-US" w:eastAsia="zh-CN"/>
                    </w:rPr>
                    <w:t>本项目砂子、碎石配料废气通过设置集气罩收集，收集效率为90%搅拌废气密闭收集，收集效率为100%，对产生的颗粒物可有效收集，厂房内部设置喷淋降尘系统，可有效减少无组织废气对周边环境的影响</w:t>
                  </w:r>
                </w:p>
              </w:tc>
            </w:tr>
            <w:tr w14:paraId="172A2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0335DE7D">
                  <w:pPr>
                    <w:pStyle w:val="242"/>
                    <w:rPr>
                      <w:color w:val="auto"/>
                      <w:highlight w:val="none"/>
                    </w:rPr>
                  </w:pPr>
                  <w:r>
                    <w:rPr>
                      <w:rFonts w:hint="eastAsia"/>
                      <w:color w:val="auto"/>
                      <w:highlight w:val="none"/>
                    </w:rPr>
                    <w:t>4</w:t>
                  </w:r>
                </w:p>
              </w:tc>
              <w:tc>
                <w:tcPr>
                  <w:tcW w:w="2322" w:type="pct"/>
                  <w:tcBorders>
                    <w:tl2br w:val="nil"/>
                    <w:tr2bl w:val="nil"/>
                  </w:tcBorders>
                  <w:noWrap w:val="0"/>
                  <w:vAlign w:val="center"/>
                </w:tcPr>
                <w:p w14:paraId="44E8EB83">
                  <w:pPr>
                    <w:pStyle w:val="242"/>
                    <w:rPr>
                      <w:rFonts w:hint="eastAsia"/>
                      <w:color w:val="auto"/>
                      <w:highlight w:val="none"/>
                    </w:rPr>
                  </w:pPr>
                  <w:r>
                    <w:rPr>
                      <w:rFonts w:hint="eastAsia"/>
                      <w:color w:val="auto"/>
                      <w:highlight w:val="none"/>
                    </w:rPr>
                    <w:t>严禁生活污水和生产废水直排；加强水环境风险管控，区内企业严格按照项目环评建设事故应急并保证其不被占用。</w:t>
                  </w:r>
                </w:p>
              </w:tc>
              <w:tc>
                <w:tcPr>
                  <w:tcW w:w="2323" w:type="pct"/>
                  <w:tcBorders>
                    <w:tl2br w:val="nil"/>
                    <w:tr2bl w:val="nil"/>
                  </w:tcBorders>
                  <w:noWrap w:val="0"/>
                  <w:vAlign w:val="center"/>
                </w:tcPr>
                <w:p w14:paraId="306388E3">
                  <w:pPr>
                    <w:pStyle w:val="244"/>
                    <w:bidi w:val="0"/>
                    <w:rPr>
                      <w:rFonts w:hint="eastAsia" w:eastAsia="宋体"/>
                      <w:color w:val="auto"/>
                      <w:highlight w:val="none"/>
                      <w:lang w:eastAsia="zh-CN"/>
                    </w:rPr>
                  </w:pPr>
                  <w:r>
                    <w:rPr>
                      <w:rFonts w:hint="eastAsia"/>
                      <w:color w:val="auto"/>
                      <w:lang w:eastAsia="zh-CN"/>
                    </w:rPr>
                    <w:t>本项目</w:t>
                  </w:r>
                  <w:r>
                    <w:rPr>
                      <w:rFonts w:hint="eastAsia"/>
                      <w:color w:val="auto"/>
                      <w:lang w:val="en-US" w:eastAsia="zh-CN"/>
                    </w:rPr>
                    <w:t>无生产废水外排，</w:t>
                  </w:r>
                  <w:r>
                    <w:rPr>
                      <w:rFonts w:hint="eastAsia"/>
                      <w:color w:val="auto"/>
                      <w:lang w:eastAsia="zh-CN"/>
                    </w:rPr>
                    <w:t>生活污水经化粪池处理后</w:t>
                  </w:r>
                  <w:r>
                    <w:rPr>
                      <w:color w:val="auto"/>
                    </w:rPr>
                    <w:t>排入</w:t>
                  </w:r>
                  <w:r>
                    <w:rPr>
                      <w:rFonts w:hint="eastAsia"/>
                      <w:color w:val="auto"/>
                      <w:lang w:val="en-US" w:eastAsia="zh-CN"/>
                    </w:rPr>
                    <w:t>市政</w:t>
                  </w:r>
                  <w:r>
                    <w:rPr>
                      <w:color w:val="auto"/>
                    </w:rPr>
                    <w:t>污水管网后进入淮南经济开发区污水处理厂处理达标后尾水排入淮河。</w:t>
                  </w:r>
                </w:p>
              </w:tc>
            </w:tr>
            <w:tr w14:paraId="7744A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tcBorders>
                    <w:tl2br w:val="nil"/>
                    <w:tr2bl w:val="nil"/>
                  </w:tcBorders>
                  <w:noWrap w:val="0"/>
                  <w:vAlign w:val="center"/>
                </w:tcPr>
                <w:p w14:paraId="469F5A0F">
                  <w:pPr>
                    <w:pStyle w:val="242"/>
                    <w:rPr>
                      <w:color w:val="auto"/>
                      <w:highlight w:val="none"/>
                    </w:rPr>
                  </w:pPr>
                  <w:r>
                    <w:rPr>
                      <w:rFonts w:hint="eastAsia"/>
                      <w:color w:val="auto"/>
                      <w:highlight w:val="none"/>
                    </w:rPr>
                    <w:t>5</w:t>
                  </w:r>
                </w:p>
              </w:tc>
              <w:tc>
                <w:tcPr>
                  <w:tcW w:w="2322" w:type="pct"/>
                  <w:tcBorders>
                    <w:tl2br w:val="nil"/>
                    <w:tr2bl w:val="nil"/>
                  </w:tcBorders>
                  <w:noWrap w:val="0"/>
                  <w:vAlign w:val="center"/>
                </w:tcPr>
                <w:p w14:paraId="77A43283">
                  <w:pPr>
                    <w:pStyle w:val="242"/>
                    <w:rPr>
                      <w:rFonts w:hint="eastAsia"/>
                      <w:color w:val="auto"/>
                      <w:highlight w:val="none"/>
                    </w:rPr>
                  </w:pPr>
                  <w:r>
                    <w:rPr>
                      <w:rFonts w:hint="eastAsia"/>
                      <w:color w:val="auto"/>
                      <w:highlight w:val="none"/>
                    </w:rPr>
                    <w:t>合理设置绿化隔离带；加强对区内噪声控制，规范社会生活噪声排放行为；加大噪声管理的宣传、严格控制，避免噪声干扰正常工作环境。</w:t>
                  </w:r>
                </w:p>
              </w:tc>
              <w:tc>
                <w:tcPr>
                  <w:tcW w:w="2323" w:type="pct"/>
                  <w:tcBorders>
                    <w:tl2br w:val="nil"/>
                    <w:tr2bl w:val="nil"/>
                  </w:tcBorders>
                  <w:noWrap w:val="0"/>
                  <w:vAlign w:val="center"/>
                </w:tcPr>
                <w:p w14:paraId="2222E448">
                  <w:pPr>
                    <w:pStyle w:val="242"/>
                    <w:rPr>
                      <w:rFonts w:hint="eastAsia"/>
                      <w:color w:val="auto"/>
                      <w:highlight w:val="none"/>
                    </w:rPr>
                  </w:pPr>
                  <w:r>
                    <w:rPr>
                      <w:rFonts w:hint="eastAsia"/>
                      <w:color w:val="auto"/>
                      <w:highlight w:val="none"/>
                    </w:rPr>
                    <w:t>本项目通过选用低噪声设备、厂房隔声、减震减少噪声对周边环境的影响。</w:t>
                  </w:r>
                </w:p>
              </w:tc>
            </w:tr>
          </w:tbl>
          <w:p w14:paraId="487AAA0C">
            <w:pPr>
              <w:pStyle w:val="59"/>
              <w:ind w:firstLine="480"/>
              <w:jc w:val="left"/>
              <w:rPr>
                <w:color w:val="auto"/>
              </w:rPr>
            </w:pPr>
            <w:r>
              <w:rPr>
                <w:rFonts w:hint="eastAsia"/>
                <w:color w:val="auto"/>
              </w:rPr>
              <w:t>综合分析，项目建设符合规划及规划环评要求</w:t>
            </w:r>
            <w:r>
              <w:rPr>
                <w:rFonts w:hint="eastAsia"/>
                <w:color w:val="auto"/>
                <w:lang w:eastAsia="zh-CN"/>
              </w:rPr>
              <w:t>。</w:t>
            </w:r>
          </w:p>
        </w:tc>
      </w:tr>
      <w:tr w14:paraId="550B4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8" w:type="dxa"/>
          <w:trHeight w:val="13971" w:hRule="atLeast"/>
          <w:jc w:val="center"/>
        </w:trPr>
        <w:tc>
          <w:tcPr>
            <w:tcW w:w="581" w:type="dxa"/>
            <w:vAlign w:val="center"/>
          </w:tcPr>
          <w:p w14:paraId="696383A1">
            <w:pPr>
              <w:autoSpaceDE w:val="0"/>
              <w:autoSpaceDN w:val="0"/>
              <w:adjustRightInd w:val="0"/>
              <w:snapToGrid w:val="0"/>
              <w:spacing w:line="360" w:lineRule="auto"/>
              <w:jc w:val="center"/>
              <w:rPr>
                <w:rFonts w:hint="eastAsia" w:ascii="宋体" w:hAnsi="宋体" w:cs="宋体"/>
                <w:color w:val="auto"/>
                <w:kern w:val="0"/>
                <w:sz w:val="24"/>
                <w:szCs w:val="24"/>
              </w:rPr>
            </w:pPr>
            <w:bookmarkStart w:id="3" w:name="_Toc354926674"/>
            <w:r>
              <w:rPr>
                <w:color w:val="auto"/>
              </w:rPr>
              <w:br w:type="page"/>
            </w:r>
            <w:r>
              <w:rPr>
                <w:rFonts w:hint="eastAsia" w:ascii="宋体" w:hAnsi="宋体" w:cs="宋体"/>
                <w:color w:val="auto"/>
                <w:kern w:val="0"/>
                <w:sz w:val="24"/>
                <w:szCs w:val="24"/>
              </w:rPr>
              <w:t>其他符合性分析</w:t>
            </w:r>
          </w:p>
        </w:tc>
        <w:tc>
          <w:tcPr>
            <w:tcW w:w="7978" w:type="dxa"/>
            <w:gridSpan w:val="4"/>
            <w:vAlign w:val="center"/>
          </w:tcPr>
          <w:p w14:paraId="29BDA483">
            <w:pPr>
              <w:spacing w:line="360" w:lineRule="auto"/>
              <w:ind w:firstLine="480" w:firstLineChars="200"/>
              <w:jc w:val="left"/>
              <w:rPr>
                <w:rFonts w:hint="eastAsia" w:hAnsi="黑体" w:eastAsia="黑体"/>
                <w:color w:val="auto"/>
                <w:sz w:val="24"/>
                <w:szCs w:val="24"/>
              </w:rPr>
            </w:pPr>
            <w:r>
              <w:rPr>
                <w:rFonts w:hint="eastAsia" w:hAnsi="黑体" w:eastAsia="黑体"/>
                <w:color w:val="auto"/>
                <w:sz w:val="24"/>
                <w:szCs w:val="24"/>
              </w:rPr>
              <w:t>1、</w:t>
            </w:r>
            <w:r>
              <w:rPr>
                <w:rFonts w:hint="eastAsia" w:ascii="宋体" w:hAnsi="宋体"/>
                <w:color w:val="auto"/>
                <w:sz w:val="24"/>
                <w:szCs w:val="24"/>
              </w:rPr>
              <w:t>产业政策符合性</w:t>
            </w:r>
          </w:p>
          <w:p w14:paraId="6B5CF414">
            <w:pPr>
              <w:spacing w:line="360" w:lineRule="auto"/>
              <w:ind w:firstLine="480" w:firstLineChars="200"/>
              <w:rPr>
                <w:rFonts w:hint="eastAsia" w:hAnsi="宋体"/>
                <w:color w:val="auto"/>
                <w:sz w:val="24"/>
              </w:rPr>
            </w:pPr>
            <w:r>
              <w:rPr>
                <w:rFonts w:hint="eastAsia" w:hAnsi="宋体"/>
                <w:color w:val="auto"/>
                <w:sz w:val="24"/>
              </w:rPr>
              <w:t>本项目属于C</w:t>
            </w:r>
            <w:r>
              <w:rPr>
                <w:rFonts w:hint="eastAsia" w:hAnsi="宋体"/>
                <w:color w:val="auto"/>
                <w:sz w:val="24"/>
                <w:lang w:val="en-US" w:eastAsia="zh-CN"/>
              </w:rPr>
              <w:t>3021水泥制品制造</w:t>
            </w:r>
            <w:r>
              <w:rPr>
                <w:rFonts w:hint="eastAsia"/>
                <w:color w:val="auto"/>
              </w:rPr>
              <w:t>，</w:t>
            </w:r>
            <w:r>
              <w:rPr>
                <w:rFonts w:hint="eastAsia" w:hAnsi="宋体"/>
                <w:color w:val="auto"/>
                <w:sz w:val="24"/>
              </w:rPr>
              <w:t>根据《产业结构调整指导目录</w:t>
            </w:r>
            <w:r>
              <w:rPr>
                <w:rFonts w:hint="eastAsia"/>
                <w:color w:val="auto"/>
                <w:sz w:val="24"/>
                <w:lang w:eastAsia="zh-CN"/>
              </w:rPr>
              <w:t>（</w:t>
            </w:r>
            <w:r>
              <w:rPr>
                <w:color w:val="auto"/>
                <w:sz w:val="24"/>
              </w:rPr>
              <w:t>20</w:t>
            </w:r>
            <w:r>
              <w:rPr>
                <w:rFonts w:hint="eastAsia"/>
                <w:color w:val="auto"/>
                <w:sz w:val="24"/>
              </w:rPr>
              <w:t>24</w:t>
            </w:r>
            <w:r>
              <w:rPr>
                <w:rFonts w:hint="eastAsia" w:hAnsi="宋体"/>
                <w:color w:val="auto"/>
                <w:sz w:val="24"/>
              </w:rPr>
              <w:t>年本</w:t>
            </w:r>
            <w:r>
              <w:rPr>
                <w:rFonts w:hint="eastAsia" w:hAnsi="宋体"/>
                <w:color w:val="auto"/>
                <w:sz w:val="24"/>
                <w:lang w:eastAsia="zh-CN"/>
              </w:rPr>
              <w:t>）</w:t>
            </w:r>
            <w:r>
              <w:rPr>
                <w:rFonts w:hint="eastAsia" w:hAnsi="宋体"/>
                <w:color w:val="auto"/>
                <w:sz w:val="24"/>
              </w:rPr>
              <w:t>》，本项目不属于其中规定的限制类和淘汰类。因此可视为允许建设项目。</w:t>
            </w:r>
          </w:p>
          <w:p w14:paraId="680C8FD6">
            <w:pPr>
              <w:spacing w:line="360" w:lineRule="auto"/>
              <w:ind w:firstLine="480" w:firstLineChars="200"/>
              <w:rPr>
                <w:rFonts w:hint="eastAsia" w:hAnsi="宋体"/>
                <w:color w:val="auto"/>
                <w:sz w:val="24"/>
              </w:rPr>
            </w:pPr>
            <w:r>
              <w:rPr>
                <w:rFonts w:hint="eastAsia" w:hAnsi="宋体"/>
                <w:color w:val="auto"/>
                <w:sz w:val="24"/>
              </w:rPr>
              <w:t>根据《环境保护综合名录》（环办综合函（2021）495号）文件，本项目属于C</w:t>
            </w:r>
            <w:r>
              <w:rPr>
                <w:rFonts w:hint="eastAsia" w:hAnsi="宋体"/>
                <w:color w:val="auto"/>
                <w:sz w:val="24"/>
                <w:lang w:val="en-US" w:eastAsia="zh-CN"/>
              </w:rPr>
              <w:t>3021水泥制品制造</w:t>
            </w:r>
            <w:r>
              <w:rPr>
                <w:rFonts w:hint="eastAsia" w:hAnsi="宋体"/>
                <w:color w:val="auto"/>
                <w:sz w:val="24"/>
              </w:rPr>
              <w:t>，不在“高污染、高环境风险”产品目录清单中。</w:t>
            </w:r>
          </w:p>
          <w:p w14:paraId="44F6E639">
            <w:pPr>
              <w:spacing w:line="360" w:lineRule="auto"/>
              <w:ind w:firstLine="480" w:firstLineChars="200"/>
              <w:rPr>
                <w:rFonts w:hint="eastAsia" w:hAnsi="宋体"/>
                <w:color w:val="auto"/>
                <w:sz w:val="24"/>
              </w:rPr>
            </w:pPr>
            <w:r>
              <w:rPr>
                <w:rFonts w:hint="eastAsia" w:hAnsi="宋体"/>
                <w:color w:val="auto"/>
                <w:sz w:val="24"/>
              </w:rPr>
              <w:t>本项目于202</w:t>
            </w:r>
            <w:r>
              <w:rPr>
                <w:rFonts w:hint="eastAsia" w:hAnsi="宋体"/>
                <w:color w:val="auto"/>
                <w:sz w:val="24"/>
                <w:lang w:val="en-US" w:eastAsia="zh-CN"/>
              </w:rPr>
              <w:t>5</w:t>
            </w:r>
            <w:r>
              <w:rPr>
                <w:rFonts w:hint="eastAsia" w:hAnsi="宋体"/>
                <w:color w:val="auto"/>
                <w:sz w:val="24"/>
              </w:rPr>
              <w:t>年</w:t>
            </w:r>
            <w:r>
              <w:rPr>
                <w:rFonts w:hint="eastAsia" w:hAnsi="宋体"/>
                <w:color w:val="auto"/>
                <w:sz w:val="24"/>
                <w:lang w:val="en-US" w:eastAsia="zh-CN"/>
              </w:rPr>
              <w:t>6</w:t>
            </w:r>
            <w:r>
              <w:rPr>
                <w:rFonts w:hint="eastAsia" w:hAnsi="宋体"/>
                <w:color w:val="auto"/>
                <w:sz w:val="24"/>
              </w:rPr>
              <w:t>月</w:t>
            </w:r>
            <w:r>
              <w:rPr>
                <w:rFonts w:hint="eastAsia" w:hAnsi="宋体"/>
                <w:color w:val="auto"/>
                <w:sz w:val="24"/>
                <w:lang w:val="en-US" w:eastAsia="zh-CN"/>
              </w:rPr>
              <w:t>18</w:t>
            </w:r>
            <w:r>
              <w:rPr>
                <w:rFonts w:hint="eastAsia" w:hAnsi="宋体"/>
                <w:color w:val="auto"/>
                <w:sz w:val="24"/>
              </w:rPr>
              <w:t>日取得淮南经开区经济发展局备案，项目</w:t>
            </w:r>
            <w:r>
              <w:rPr>
                <w:rFonts w:hint="eastAsia" w:hAnsi="宋体"/>
                <w:color w:val="auto"/>
                <w:sz w:val="24"/>
                <w:lang w:val="en-US" w:eastAsia="zh-CN"/>
              </w:rPr>
              <w:t>代码</w:t>
            </w:r>
            <w:r>
              <w:rPr>
                <w:rFonts w:hint="eastAsia" w:hAnsi="宋体"/>
                <w:color w:val="auto"/>
                <w:sz w:val="24"/>
              </w:rPr>
              <w:t>为</w:t>
            </w:r>
            <w:r>
              <w:rPr>
                <w:rFonts w:hint="default" w:ascii="Times New Roman" w:hAnsi="Times New Roman" w:cs="Times New Roman"/>
                <w:color w:val="auto"/>
                <w:sz w:val="24"/>
                <w:szCs w:val="24"/>
              </w:rPr>
              <w:t>2506-340461-04-01-480431</w:t>
            </w:r>
            <w:r>
              <w:rPr>
                <w:rFonts w:hint="eastAsia" w:hAnsi="宋体"/>
                <w:color w:val="auto"/>
                <w:sz w:val="24"/>
                <w:highlight w:val="none"/>
              </w:rPr>
              <w:t>。详见附件2。</w:t>
            </w:r>
          </w:p>
          <w:p w14:paraId="4EEAFE9C">
            <w:pPr>
              <w:spacing w:line="360" w:lineRule="auto"/>
              <w:ind w:firstLine="480" w:firstLineChars="200"/>
              <w:rPr>
                <w:rFonts w:hint="eastAsia" w:hAnsi="宋体"/>
                <w:color w:val="auto"/>
                <w:sz w:val="24"/>
              </w:rPr>
            </w:pPr>
            <w:r>
              <w:rPr>
                <w:rFonts w:hint="eastAsia" w:hAnsi="宋体"/>
                <w:color w:val="auto"/>
                <w:sz w:val="24"/>
              </w:rPr>
              <w:t>综上所述，本项目符合国家和地方相关产业政策要求。</w:t>
            </w:r>
          </w:p>
          <w:p w14:paraId="283681B6">
            <w:pPr>
              <w:pStyle w:val="57"/>
              <w:ind w:firstLine="482" w:firstLineChars="200"/>
              <w:rPr>
                <w:color w:val="auto"/>
              </w:rPr>
            </w:pPr>
            <w:r>
              <w:rPr>
                <w:rFonts w:hint="eastAsia"/>
                <w:color w:val="auto"/>
              </w:rPr>
              <w:t>2、选址合理性分析</w:t>
            </w:r>
          </w:p>
          <w:p w14:paraId="4F229ADD">
            <w:pPr>
              <w:spacing w:line="360" w:lineRule="auto"/>
              <w:ind w:firstLine="480" w:firstLineChars="200"/>
              <w:jc w:val="left"/>
              <w:rPr>
                <w:rFonts w:hint="default" w:ascii="Times New Roman" w:hAnsi="Times New Roman" w:cs="Times New Roman"/>
                <w:b w:val="0"/>
                <w:bCs w:val="0"/>
                <w:color w:val="auto"/>
                <w:sz w:val="24"/>
              </w:rPr>
            </w:pPr>
            <w:r>
              <w:rPr>
                <w:rFonts w:hint="eastAsia" w:ascii="Times New Roman" w:hAnsi="Times New Roman" w:cs="Times New Roman"/>
                <w:b w:val="0"/>
                <w:bCs w:val="0"/>
                <w:color w:val="auto"/>
                <w:sz w:val="24"/>
                <w:lang w:val="en-US" w:eastAsia="zh-CN"/>
              </w:rPr>
              <w:t>本项目</w:t>
            </w:r>
            <w:r>
              <w:rPr>
                <w:rFonts w:hint="default" w:ascii="Times New Roman" w:hAnsi="Times New Roman" w:cs="Times New Roman"/>
                <w:b w:val="0"/>
                <w:bCs w:val="0"/>
                <w:color w:val="auto"/>
                <w:sz w:val="24"/>
                <w:lang w:val="en-US" w:eastAsia="zh-CN"/>
              </w:rPr>
              <w:t>位于</w:t>
            </w:r>
            <w:r>
              <w:rPr>
                <w:rFonts w:hint="default" w:ascii="Times New Roman" w:hAnsi="Times New Roman" w:cs="Times New Roman"/>
                <w:b w:val="0"/>
                <w:bCs w:val="0"/>
                <w:color w:val="auto"/>
                <w:sz w:val="24"/>
              </w:rPr>
              <w:t>安徽中志轨道交通装备制造有限公司</w:t>
            </w:r>
            <w:r>
              <w:rPr>
                <w:rFonts w:hint="default" w:ascii="Times New Roman" w:hAnsi="Times New Roman" w:cs="Times New Roman"/>
                <w:b w:val="0"/>
                <w:bCs w:val="0"/>
                <w:color w:val="auto"/>
                <w:sz w:val="24"/>
                <w:lang w:val="en-US" w:eastAsia="zh-CN"/>
              </w:rPr>
              <w:t>东南侧空地，占地面积约20亩</w:t>
            </w:r>
            <w:r>
              <w:rPr>
                <w:rFonts w:hint="default" w:ascii="Times New Roman" w:hAnsi="Times New Roman" w:cs="Times New Roman"/>
                <w:b w:val="0"/>
                <w:bCs w:val="0"/>
                <w:color w:val="auto"/>
                <w:sz w:val="24"/>
              </w:rPr>
              <w:t>。建设地点不位于饮用水源保护区范围内，本项目未被列入自然资源部、国家发展和改革委员会、国家林业和草原局发布的《自然资源要素支撑产业高质量发展指导目录（2024年本）》中限制类、禁止类项目，并由淮南经开区经济发展局予以备案。根据《淮南市东部工业区总体规划（2008-2020）》，项目用地为二类工业用地。因此项目用地符合当地用地规划。</w:t>
            </w:r>
          </w:p>
          <w:p w14:paraId="500ABF2F">
            <w:pPr>
              <w:pStyle w:val="57"/>
              <w:spacing w:line="360" w:lineRule="auto"/>
              <w:ind w:firstLine="480" w:firstLineChars="200"/>
              <w:jc w:val="both"/>
              <w:rPr>
                <w:rFonts w:hint="default" w:ascii="Times New Roman" w:hAnsi="Times New Roman" w:cs="Times New Roman"/>
                <w:b w:val="0"/>
                <w:bCs w:val="0"/>
                <w:color w:val="auto"/>
                <w:sz w:val="24"/>
                <w:lang w:val="en-US"/>
              </w:rPr>
            </w:pPr>
            <w:r>
              <w:rPr>
                <w:rFonts w:hint="default" w:ascii="Times New Roman" w:hAnsi="Times New Roman" w:cs="Times New Roman"/>
                <w:b w:val="0"/>
                <w:bCs w:val="0"/>
                <w:color w:val="auto"/>
                <w:sz w:val="24"/>
              </w:rPr>
              <w:t>本项目主要从事</w:t>
            </w:r>
            <w:r>
              <w:rPr>
                <w:rFonts w:hint="eastAsia" w:cs="Times New Roman"/>
                <w:b w:val="0"/>
                <w:bCs w:val="0"/>
                <w:color w:val="auto"/>
                <w:kern w:val="0"/>
                <w:sz w:val="24"/>
                <w:szCs w:val="24"/>
                <w:lang w:val="en-US" w:eastAsia="zh-CN"/>
              </w:rPr>
              <w:t>水泥</w:t>
            </w:r>
            <w:r>
              <w:rPr>
                <w:rFonts w:hint="default" w:ascii="Times New Roman" w:hAnsi="Times New Roman" w:cs="Times New Roman"/>
                <w:b w:val="0"/>
                <w:bCs w:val="0"/>
                <w:color w:val="auto"/>
                <w:kern w:val="0"/>
                <w:sz w:val="24"/>
                <w:szCs w:val="24"/>
                <w:lang w:val="en-US" w:eastAsia="zh-CN"/>
              </w:rPr>
              <w:t>制品制造</w:t>
            </w:r>
            <w:r>
              <w:rPr>
                <w:rFonts w:hint="default" w:ascii="Times New Roman" w:hAnsi="Times New Roman" w:cs="Times New Roman"/>
                <w:b w:val="0"/>
                <w:bCs w:val="0"/>
                <w:color w:val="auto"/>
                <w:sz w:val="24"/>
              </w:rPr>
              <w:t>，</w:t>
            </w:r>
            <w:r>
              <w:rPr>
                <w:rFonts w:hint="default" w:ascii="Times New Roman" w:hAnsi="Times New Roman" w:cs="Times New Roman"/>
                <w:b w:val="0"/>
                <w:bCs w:val="0"/>
                <w:color w:val="auto"/>
                <w:kern w:val="0"/>
                <w:sz w:val="24"/>
                <w:lang w:val="en-US" w:bidi="ar"/>
              </w:rPr>
              <w:t>项目评价范围内无自然保护区、风景名胜区、文化遗产保护区、世界文化自然遗产和森林公园、地质公园、湿地公园等保护地以及饮用水水源保护区，评价范围内无明显环境制约因素</w:t>
            </w:r>
            <w:r>
              <w:rPr>
                <w:rFonts w:hint="default" w:ascii="Times New Roman" w:hAnsi="Times New Roman" w:cs="Times New Roman"/>
                <w:b w:val="0"/>
                <w:bCs w:val="0"/>
                <w:color w:val="auto"/>
                <w:sz w:val="24"/>
              </w:rPr>
              <w:t>。项目排放的废水、废气、固废、噪声均能得到有效的处理处置，对周边的环境影响较小，因此项目选址合理</w:t>
            </w:r>
            <w:r>
              <w:rPr>
                <w:rFonts w:hint="default" w:ascii="Times New Roman" w:hAnsi="Times New Roman" w:cs="Times New Roman"/>
                <w:b w:val="0"/>
                <w:bCs w:val="0"/>
                <w:color w:val="auto"/>
                <w:sz w:val="24"/>
                <w:lang w:val="en-US"/>
              </w:rPr>
              <w:t>。</w:t>
            </w:r>
          </w:p>
          <w:p w14:paraId="78621966">
            <w:pPr>
              <w:pStyle w:val="57"/>
              <w:spacing w:line="360" w:lineRule="auto"/>
              <w:ind w:firstLine="480" w:firstLineChars="200"/>
              <w:rPr>
                <w:b w:val="0"/>
                <w:bCs w:val="0"/>
                <w:color w:val="auto"/>
              </w:rPr>
            </w:pPr>
            <w:r>
              <w:rPr>
                <w:rFonts w:hint="eastAsia"/>
                <w:b w:val="0"/>
                <w:bCs w:val="0"/>
                <w:color w:val="auto"/>
              </w:rPr>
              <w:t>综上，本项目选址较合理。</w:t>
            </w:r>
          </w:p>
          <w:p w14:paraId="6675648D">
            <w:pPr>
              <w:pStyle w:val="57"/>
              <w:adjustRightInd/>
              <w:spacing w:line="360" w:lineRule="auto"/>
              <w:ind w:firstLine="482" w:firstLineChars="200"/>
              <w:jc w:val="both"/>
              <w:rPr>
                <w:color w:val="auto"/>
              </w:rPr>
            </w:pPr>
            <w:r>
              <w:rPr>
                <w:rFonts w:hint="eastAsia"/>
                <w:color w:val="auto"/>
              </w:rPr>
              <w:t>3、“三线一单”相符性分析</w:t>
            </w:r>
          </w:p>
          <w:p w14:paraId="1DEAD81F">
            <w:pPr>
              <w:pStyle w:val="57"/>
              <w:adjustRightInd/>
              <w:spacing w:line="360" w:lineRule="auto"/>
              <w:ind w:firstLine="480" w:firstLineChars="200"/>
              <w:jc w:val="both"/>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根据环境保护部2016年10月27日下发的环评[2016]150号</w:t>
            </w:r>
            <w:r>
              <w:rPr>
                <w:b w:val="0"/>
                <w:bCs w:val="0"/>
                <w:color w:val="auto"/>
                <w:sz w:val="24"/>
              </w:rPr>
              <w:t>《关于以改善环境质量为核心加强环境影响评价管理的通知》</w:t>
            </w:r>
            <w:r>
              <w:rPr>
                <w:rFonts w:hint="eastAsia"/>
                <w:b w:val="0"/>
                <w:bCs w:val="0"/>
                <w:color w:val="auto"/>
                <w:sz w:val="24"/>
              </w:rPr>
              <w:t>和安徽省生态环境厅关于印发《安徽省“三线一单”生态环境分区管控管理办法（暂行）的通知》</w:t>
            </w:r>
            <w:r>
              <w:rPr>
                <w:rFonts w:hint="default" w:ascii="Times New Roman" w:hAnsi="Times New Roman" w:cs="Times New Roman"/>
                <w:b w:val="0"/>
                <w:bCs w:val="0"/>
                <w:color w:val="auto"/>
                <w:sz w:val="24"/>
              </w:rPr>
              <w:t>（皖环发[2022]5号）要求，切实加强环境影响评价管理，落实</w:t>
            </w:r>
            <w:r>
              <w:rPr>
                <w:rFonts w:hint="eastAsia" w:ascii="宋体" w:hAnsi="宋体" w:eastAsia="宋体" w:cs="宋体"/>
                <w:b w:val="0"/>
                <w:bCs w:val="0"/>
                <w:color w:val="auto"/>
                <w:sz w:val="24"/>
              </w:rPr>
              <w:t>“</w:t>
            </w:r>
            <w:r>
              <w:rPr>
                <w:rFonts w:hint="default" w:ascii="Times New Roman" w:hAnsi="Times New Roman" w:cs="Times New Roman"/>
                <w:b w:val="0"/>
                <w:bCs w:val="0"/>
                <w:color w:val="auto"/>
                <w:sz w:val="24"/>
              </w:rPr>
              <w:t>生态保护红线、环境质量底线、资源利用上线</w:t>
            </w:r>
            <w:r>
              <w:rPr>
                <w:rFonts w:hint="eastAsia" w:ascii="宋体" w:hAnsi="宋体" w:eastAsia="宋体" w:cs="宋体"/>
                <w:b w:val="0"/>
                <w:bCs w:val="0"/>
                <w:color w:val="auto"/>
                <w:sz w:val="24"/>
              </w:rPr>
              <w:t>”</w:t>
            </w:r>
            <w:r>
              <w:rPr>
                <w:rFonts w:hint="default" w:ascii="Times New Roman" w:hAnsi="Times New Roman" w:cs="Times New Roman"/>
                <w:b w:val="0"/>
                <w:bCs w:val="0"/>
                <w:color w:val="auto"/>
                <w:sz w:val="24"/>
              </w:rPr>
              <w:t>约束，加快推进</w:t>
            </w:r>
            <w:r>
              <w:rPr>
                <w:rFonts w:hint="eastAsia" w:ascii="宋体" w:hAnsi="宋体" w:eastAsia="宋体" w:cs="宋体"/>
                <w:b w:val="0"/>
                <w:bCs w:val="0"/>
                <w:color w:val="auto"/>
                <w:sz w:val="24"/>
              </w:rPr>
              <w:t>“</w:t>
            </w:r>
            <w:r>
              <w:rPr>
                <w:rFonts w:hint="default" w:ascii="Times New Roman" w:hAnsi="Times New Roman" w:cs="Times New Roman"/>
                <w:b w:val="0"/>
                <w:bCs w:val="0"/>
                <w:color w:val="auto"/>
                <w:sz w:val="24"/>
              </w:rPr>
              <w:t>三线一单</w:t>
            </w:r>
            <w:r>
              <w:rPr>
                <w:rFonts w:hint="eastAsia" w:ascii="宋体" w:hAnsi="宋体" w:eastAsia="宋体" w:cs="宋体"/>
                <w:b w:val="0"/>
                <w:bCs w:val="0"/>
                <w:color w:val="auto"/>
                <w:sz w:val="24"/>
              </w:rPr>
              <w:t>”</w:t>
            </w:r>
            <w:r>
              <w:rPr>
                <w:rFonts w:hint="default" w:ascii="Times New Roman" w:hAnsi="Times New Roman" w:cs="Times New Roman"/>
                <w:b w:val="0"/>
                <w:bCs w:val="0"/>
                <w:color w:val="auto"/>
                <w:sz w:val="24"/>
              </w:rPr>
              <w:t>生态环境分区管控落地应用，建立项目环评审批与规划环评、现有项目环境管理、区域环境质量联动机制，更好地发挥环评制度从源头防范环境污染和生态破坏的作用，加快推进改善环境质量。</w:t>
            </w:r>
          </w:p>
          <w:p w14:paraId="3CAE9471">
            <w:pPr>
              <w:pStyle w:val="57"/>
              <w:adjustRightInd/>
              <w:spacing w:line="360" w:lineRule="auto"/>
              <w:ind w:firstLine="480" w:firstLineChars="200"/>
              <w:jc w:val="both"/>
              <w:rPr>
                <w:color w:val="auto"/>
              </w:rPr>
            </w:pPr>
            <w:r>
              <w:rPr>
                <w:b w:val="0"/>
                <w:bCs w:val="0"/>
                <w:color w:val="auto"/>
                <w:sz w:val="24"/>
              </w:rPr>
              <mc:AlternateContent>
                <mc:Choice Requires="wps">
                  <w:drawing>
                    <wp:anchor distT="0" distB="0" distL="114300" distR="114300" simplePos="0" relativeHeight="251676672" behindDoc="0" locked="0" layoutInCell="1" allowOverlap="1">
                      <wp:simplePos x="0" y="0"/>
                      <wp:positionH relativeFrom="column">
                        <wp:posOffset>2470150</wp:posOffset>
                      </wp:positionH>
                      <wp:positionV relativeFrom="paragraph">
                        <wp:posOffset>1848485</wp:posOffset>
                      </wp:positionV>
                      <wp:extent cx="924560" cy="302895"/>
                      <wp:effectExtent l="162560" t="5080" r="17780" b="415925"/>
                      <wp:wrapNone/>
                      <wp:docPr id="5" name="圆角矩形标注 5"/>
                      <wp:cNvGraphicFramePr/>
                      <a:graphic xmlns:a="http://schemas.openxmlformats.org/drawingml/2006/main">
                        <a:graphicData uri="http://schemas.microsoft.com/office/word/2010/wordprocessingShape">
                          <wps:wsp>
                            <wps:cNvSpPr/>
                            <wps:spPr>
                              <a:xfrm>
                                <a:off x="3659505" y="5244465"/>
                                <a:ext cx="924560" cy="302895"/>
                              </a:xfrm>
                              <a:prstGeom prst="wedgeRoundRectCallout">
                                <a:avLst>
                                  <a:gd name="adj1" fmla="val -64972"/>
                                  <a:gd name="adj2" fmla="val 175786"/>
                                  <a:gd name="adj3" fmla="val 16667"/>
                                </a:avLst>
                              </a:prstGeom>
                              <a:ln w="3175"/>
                            </wps:spPr>
                            <wps:style>
                              <a:lnRef idx="2">
                                <a:schemeClr val="accent1">
                                  <a:lumMod val="75000"/>
                                </a:schemeClr>
                              </a:lnRef>
                              <a:fillRef idx="1">
                                <a:schemeClr val="accent1"/>
                              </a:fillRef>
                              <a:effectRef idx="0">
                                <a:srgbClr val="FFFFFF"/>
                              </a:effectRef>
                              <a:fontRef idx="minor">
                                <a:schemeClr val="lt1"/>
                              </a:fontRef>
                            </wps:style>
                            <wps:txbx>
                              <w:txbxContent>
                                <w:p w14:paraId="3014B457">
                                  <w:pPr>
                                    <w:spacing w:line="240" w:lineRule="auto"/>
                                    <w:jc w:val="center"/>
                                    <w:rPr>
                                      <w:rFonts w:hint="default" w:eastAsia="宋体"/>
                                      <w:b/>
                                      <w:bCs/>
                                      <w:sz w:val="20"/>
                                      <w:szCs w:val="21"/>
                                      <w:lang w:val="en-US" w:eastAsia="zh-CN"/>
                                    </w:rPr>
                                  </w:pPr>
                                  <w:r>
                                    <w:rPr>
                                      <w:rFonts w:hint="eastAsia"/>
                                      <w:b/>
                                      <w:bCs/>
                                      <w:sz w:val="20"/>
                                      <w:szCs w:val="21"/>
                                      <w:lang w:val="en-US" w:eastAsia="zh-CN"/>
                                    </w:rPr>
                                    <w:t>项目厂址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5pt;margin-top:145.55pt;height:23.85pt;width:72.8pt;z-index:251676672;v-text-anchor:middle;mso-width-relative:page;mso-height-relative:page;" fillcolor="#4472C4 [3204]" filled="t" stroked="t" coordsize="21600,21600" o:gfxdata="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ic5YjaAAAACwEAAA8AAAAAAAAAAQAgAAAAIgAAAGRy&#10;cy9kb3ducmV2LnhtbFBLAQIUABQAAAAIAIdO4kBZ8E0Y5wIAAL8FAAAOAAAAAAAAAAEAIAAAACkB&#10;AABkcnMvZTJvRG9jLnhtbFBLBQYAAAAABgAGAFkBAACCBgAAAAA=&#10;" adj="-3234,48770,14400">
                      <v:fill on="t" focussize="0,0"/>
                      <v:stroke weight="0.25pt" color="#2F5597 [2404]" miterlimit="8" joinstyle="miter"/>
                      <v:imagedata o:title=""/>
                      <o:lock v:ext="edit" aspectratio="f"/>
                      <v:textbox>
                        <w:txbxContent>
                          <w:p w14:paraId="3014B457">
                            <w:pPr>
                              <w:spacing w:line="240" w:lineRule="auto"/>
                              <w:jc w:val="center"/>
                              <w:rPr>
                                <w:rFonts w:hint="default" w:eastAsia="宋体"/>
                                <w:b/>
                                <w:bCs/>
                                <w:sz w:val="20"/>
                                <w:szCs w:val="21"/>
                                <w:lang w:val="en-US" w:eastAsia="zh-CN"/>
                              </w:rPr>
                            </w:pPr>
                            <w:r>
                              <w:rPr>
                                <w:rFonts w:hint="eastAsia"/>
                                <w:b/>
                                <w:bCs/>
                                <w:sz w:val="20"/>
                                <w:szCs w:val="21"/>
                                <w:lang w:val="en-US" w:eastAsia="zh-CN"/>
                              </w:rPr>
                              <w:t>项目厂址</w:t>
                            </w:r>
                          </w:p>
                        </w:txbxContent>
                      </v:textbox>
                    </v:shape>
                  </w:pict>
                </mc:Fallback>
              </mc:AlternateContent>
            </w:r>
            <w:r>
              <w:rPr>
                <w:b w:val="0"/>
                <w:bCs w:val="0"/>
                <w:color w:val="auto"/>
              </w:rPr>
              <w:t>经查阅安徽省</w:t>
            </w:r>
            <w:r>
              <w:rPr>
                <w:rFonts w:hint="eastAsia"/>
                <w:b w:val="0"/>
                <w:bCs w:val="0"/>
                <w:color w:val="auto"/>
              </w:rPr>
              <w:t>“</w:t>
            </w:r>
            <w:r>
              <w:rPr>
                <w:b w:val="0"/>
                <w:bCs w:val="0"/>
                <w:color w:val="auto"/>
              </w:rPr>
              <w:t>三线一单</w:t>
            </w:r>
            <w:r>
              <w:rPr>
                <w:rFonts w:hint="eastAsia"/>
                <w:b w:val="0"/>
                <w:bCs w:val="0"/>
                <w:color w:val="auto"/>
              </w:rPr>
              <w:t>”</w:t>
            </w:r>
            <w:r>
              <w:rPr>
                <w:b w:val="0"/>
                <w:bCs w:val="0"/>
                <w:color w:val="auto"/>
              </w:rPr>
              <w:t>公共服务平台，拟建项目涉及1个重点管控单元</w:t>
            </w:r>
            <w:r>
              <w:rPr>
                <w:rFonts w:hint="eastAsia"/>
                <w:b w:val="0"/>
                <w:bCs w:val="0"/>
                <w:color w:val="auto"/>
              </w:rPr>
              <w:t>，</w:t>
            </w:r>
            <w:r>
              <w:rPr>
                <w:b w:val="0"/>
                <w:bCs w:val="0"/>
                <w:color w:val="auto"/>
              </w:rPr>
              <w:t>单元管控编号为</w:t>
            </w:r>
            <w:r>
              <w:rPr>
                <w:rFonts w:hint="eastAsia"/>
                <w:b w:val="0"/>
                <w:bCs w:val="0"/>
                <w:color w:val="auto"/>
              </w:rPr>
              <w:t>：ZH34040220006</w:t>
            </w:r>
            <w:r>
              <w:rPr>
                <w:b w:val="0"/>
                <w:bCs w:val="0"/>
                <w:color w:val="auto"/>
              </w:rPr>
              <w:t>，管控单元细类属于</w:t>
            </w:r>
            <w:r>
              <w:rPr>
                <w:rFonts w:hint="eastAsia"/>
                <w:b w:val="0"/>
                <w:bCs w:val="0"/>
                <w:color w:val="auto"/>
              </w:rPr>
              <w:t>：水重点/</w:t>
            </w:r>
            <w:r>
              <w:rPr>
                <w:b w:val="0"/>
                <w:bCs w:val="0"/>
                <w:color w:val="auto"/>
              </w:rPr>
              <w:t>大气重点。拟建项目在安徽省</w:t>
            </w:r>
            <w:r>
              <w:rPr>
                <w:rFonts w:hint="eastAsia"/>
                <w:b w:val="0"/>
                <w:bCs w:val="0"/>
                <w:color w:val="auto"/>
              </w:rPr>
              <w:t>“</w:t>
            </w:r>
            <w:r>
              <w:rPr>
                <w:b w:val="0"/>
                <w:bCs w:val="0"/>
                <w:color w:val="auto"/>
              </w:rPr>
              <w:t>三线一单</w:t>
            </w:r>
            <w:r>
              <w:rPr>
                <w:rFonts w:hint="eastAsia"/>
                <w:b w:val="0"/>
                <w:bCs w:val="0"/>
                <w:color w:val="auto"/>
              </w:rPr>
              <w:t>”</w:t>
            </w:r>
            <w:r>
              <w:rPr>
                <w:b w:val="0"/>
                <w:bCs w:val="0"/>
                <w:color w:val="auto"/>
              </w:rPr>
              <w:t>公众服务平台中截图见图</w:t>
            </w:r>
            <w:r>
              <w:rPr>
                <w:rFonts w:hint="eastAsia"/>
                <w:b w:val="0"/>
                <w:bCs w:val="0"/>
                <w:color w:val="auto"/>
              </w:rPr>
              <w:t>1</w:t>
            </w:r>
            <w:r>
              <w:rPr>
                <w:b w:val="0"/>
                <w:bCs w:val="0"/>
                <w:color w:val="auto"/>
              </w:rPr>
              <w:t>-</w:t>
            </w:r>
            <w:r>
              <w:rPr>
                <w:rFonts w:hint="eastAsia"/>
                <w:b w:val="0"/>
                <w:bCs w:val="0"/>
                <w:color w:val="auto"/>
              </w:rPr>
              <w:t>1</w:t>
            </w:r>
            <w:r>
              <w:rPr>
                <w:b w:val="0"/>
                <w:bCs w:val="0"/>
                <w:color w:val="auto"/>
              </w:rPr>
              <w:t>。</w:t>
            </w:r>
            <w:r>
              <w:rPr>
                <w:color w:val="auto"/>
              </w:rPr>
              <w:drawing>
                <wp:inline distT="0" distB="0" distL="114300" distR="114300">
                  <wp:extent cx="4923790" cy="3700145"/>
                  <wp:effectExtent l="0" t="0" r="10160" b="14605"/>
                  <wp:docPr id="4" name="图片 4"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png1"/>
                          <pic:cNvPicPr>
                            <a:picLocks noChangeAspect="1"/>
                          </pic:cNvPicPr>
                        </pic:nvPicPr>
                        <pic:blipFill>
                          <a:blip r:embed="rId9"/>
                          <a:srcRect l="2042" r="2042"/>
                          <a:stretch>
                            <a:fillRect/>
                          </a:stretch>
                        </pic:blipFill>
                        <pic:spPr>
                          <a:xfrm>
                            <a:off x="0" y="0"/>
                            <a:ext cx="4923790" cy="3700145"/>
                          </a:xfrm>
                          <a:prstGeom prst="rect">
                            <a:avLst/>
                          </a:prstGeom>
                        </pic:spPr>
                      </pic:pic>
                    </a:graphicData>
                  </a:graphic>
                </wp:inline>
              </w:drawing>
            </w:r>
          </w:p>
          <w:p w14:paraId="4123E934">
            <w:pPr>
              <w:pStyle w:val="57"/>
              <w:adjustRightInd/>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图1-1 安徽省</w:t>
            </w:r>
            <w:r>
              <w:rPr>
                <w:rFonts w:hint="eastAsia" w:ascii="宋体" w:hAnsi="宋体" w:eastAsia="宋体" w:cs="宋体"/>
                <w:b/>
                <w:bCs/>
                <w:color w:val="auto"/>
                <w:lang w:val="en-US" w:eastAsia="zh-CN"/>
              </w:rPr>
              <w:t>“</w:t>
            </w:r>
            <w:r>
              <w:rPr>
                <w:rFonts w:hint="default" w:ascii="Times New Roman" w:hAnsi="Times New Roman" w:cs="Times New Roman"/>
                <w:b/>
                <w:bCs/>
                <w:color w:val="auto"/>
                <w:lang w:val="en-US" w:eastAsia="zh-CN"/>
              </w:rPr>
              <w:t>三线一单</w:t>
            </w:r>
            <w:r>
              <w:rPr>
                <w:rFonts w:hint="eastAsia" w:ascii="宋体" w:hAnsi="宋体" w:eastAsia="宋体" w:cs="宋体"/>
                <w:b/>
                <w:bCs/>
                <w:color w:val="auto"/>
                <w:lang w:val="en-US" w:eastAsia="zh-CN"/>
              </w:rPr>
              <w:t>”</w:t>
            </w:r>
            <w:r>
              <w:rPr>
                <w:rFonts w:hint="default" w:ascii="Times New Roman" w:hAnsi="Times New Roman" w:cs="Times New Roman"/>
                <w:b/>
                <w:bCs/>
                <w:color w:val="auto"/>
                <w:lang w:val="en-US" w:eastAsia="zh-CN"/>
              </w:rPr>
              <w:t>公众服务平台</w:t>
            </w:r>
            <w:r>
              <w:rPr>
                <w:rFonts w:hint="eastAsia" w:ascii="Times New Roman" w:hAnsi="Times New Roman" w:cs="Times New Roman"/>
                <w:b/>
                <w:bCs/>
                <w:color w:val="auto"/>
                <w:lang w:val="en-US" w:eastAsia="zh-CN"/>
              </w:rPr>
              <w:t>截图</w:t>
            </w:r>
          </w:p>
          <w:p w14:paraId="409F50DC">
            <w:pPr>
              <w:pStyle w:val="57"/>
              <w:adjustRightInd/>
              <w:spacing w:line="360" w:lineRule="auto"/>
              <w:ind w:firstLine="480" w:firstLineChars="200"/>
              <w:rPr>
                <w:b w:val="0"/>
                <w:bCs w:val="0"/>
                <w:color w:val="auto"/>
              </w:rPr>
            </w:pPr>
            <w:r>
              <w:rPr>
                <w:b w:val="0"/>
                <w:bCs w:val="0"/>
                <w:color w:val="auto"/>
              </w:rPr>
              <w:t>（1）生态保护红线</w:t>
            </w:r>
          </w:p>
          <w:p w14:paraId="3AEDE762">
            <w:pPr>
              <w:pStyle w:val="57"/>
              <w:adjustRightInd/>
              <w:spacing w:line="360" w:lineRule="auto"/>
              <w:ind w:firstLine="480" w:firstLineChars="200"/>
              <w:jc w:val="both"/>
              <w:rPr>
                <w:b w:val="0"/>
                <w:bCs w:val="0"/>
                <w:color w:val="auto"/>
              </w:rPr>
            </w:pPr>
            <w:r>
              <w:rPr>
                <w:b w:val="0"/>
                <w:bCs w:val="0"/>
                <w:color w:val="auto"/>
              </w:rPr>
              <w:t>对照《</w:t>
            </w:r>
            <w:r>
              <w:rPr>
                <w:rFonts w:hint="eastAsia"/>
                <w:b w:val="0"/>
                <w:bCs w:val="0"/>
                <w:color w:val="auto"/>
                <w:lang w:val="en-US" w:eastAsia="zh-CN"/>
              </w:rPr>
              <w:t>淮南市</w:t>
            </w:r>
            <w:r>
              <w:rPr>
                <w:b w:val="0"/>
                <w:bCs w:val="0"/>
                <w:color w:val="auto"/>
              </w:rPr>
              <w:t>生态保护红线分布图》可知，本项目不在</w:t>
            </w:r>
            <w:r>
              <w:rPr>
                <w:rFonts w:hint="eastAsia"/>
                <w:b w:val="0"/>
                <w:bCs w:val="0"/>
                <w:color w:val="auto"/>
                <w:lang w:val="en-US" w:eastAsia="zh-CN"/>
              </w:rPr>
              <w:t>淮南</w:t>
            </w:r>
            <w:r>
              <w:rPr>
                <w:b w:val="0"/>
                <w:bCs w:val="0"/>
                <w:color w:val="auto"/>
              </w:rPr>
              <w:t>市生态保护红线区域范围内，且不在当地饮用水源、风景区、自然保护区等生态保护区内。</w:t>
            </w:r>
            <w:r>
              <w:rPr>
                <w:b w:val="0"/>
                <w:bCs w:val="0"/>
                <w:color w:val="auto"/>
                <w:highlight w:val="none"/>
              </w:rPr>
              <w:t>项目区生态红线图</w:t>
            </w:r>
            <w:r>
              <w:rPr>
                <w:rFonts w:hint="eastAsia"/>
                <w:b w:val="0"/>
                <w:bCs w:val="0"/>
                <w:color w:val="auto"/>
                <w:highlight w:val="none"/>
              </w:rPr>
              <w:t>见</w:t>
            </w:r>
            <w:r>
              <w:rPr>
                <w:b w:val="0"/>
                <w:bCs w:val="0"/>
                <w:color w:val="auto"/>
                <w:highlight w:val="none"/>
              </w:rPr>
              <w:t>附图</w:t>
            </w:r>
            <w:r>
              <w:rPr>
                <w:rFonts w:hint="eastAsia"/>
                <w:b w:val="0"/>
                <w:bCs w:val="0"/>
                <w:color w:val="auto"/>
                <w:highlight w:val="none"/>
                <w:lang w:val="en-US" w:eastAsia="zh-CN"/>
              </w:rPr>
              <w:t>7</w:t>
            </w:r>
            <w:r>
              <w:rPr>
                <w:b w:val="0"/>
                <w:bCs w:val="0"/>
                <w:color w:val="auto"/>
              </w:rPr>
              <w:t>。</w:t>
            </w:r>
          </w:p>
          <w:p w14:paraId="59ADDDCC">
            <w:pPr>
              <w:pStyle w:val="57"/>
              <w:spacing w:line="360" w:lineRule="auto"/>
              <w:ind w:firstLine="480" w:firstLineChars="200"/>
              <w:jc w:val="both"/>
              <w:rPr>
                <w:rFonts w:hint="eastAsia"/>
                <w:b w:val="0"/>
                <w:bCs w:val="0"/>
                <w:color w:val="auto"/>
              </w:rPr>
            </w:pPr>
            <w:r>
              <w:rPr>
                <w:rFonts w:hint="eastAsia"/>
                <w:b w:val="0"/>
                <w:bCs w:val="0"/>
                <w:color w:val="auto"/>
              </w:rPr>
              <w:t>（2）环境质量底线及分区管控</w:t>
            </w:r>
          </w:p>
          <w:p w14:paraId="4A25200A">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①水环境质量底线及分区管控</w:t>
            </w:r>
          </w:p>
          <w:p w14:paraId="5FE2A32E">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A.水环境质量底线</w:t>
            </w:r>
          </w:p>
          <w:p w14:paraId="48DAC768">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本项目评价区域内的地表水体为淮河，淮河执行《地表水环境质量标准》（GB3838-2002）III类标准。根据《202</w:t>
            </w:r>
            <w:r>
              <w:rPr>
                <w:rFonts w:hint="eastAsia"/>
                <w:b w:val="0"/>
                <w:bCs w:val="0"/>
                <w:color w:val="auto"/>
                <w:lang w:val="en-US" w:eastAsia="zh-CN"/>
              </w:rPr>
              <w:t>4</w:t>
            </w:r>
            <w:r>
              <w:rPr>
                <w:rFonts w:hint="eastAsia"/>
                <w:b w:val="0"/>
                <w:bCs w:val="0"/>
                <w:color w:val="auto"/>
                <w:lang w:eastAsia="zh-CN"/>
              </w:rPr>
              <w:t>年淮南市生态环境质量状况公报》，地表水淮河</w:t>
            </w:r>
            <w:r>
              <w:rPr>
                <w:rFonts w:hint="eastAsia"/>
                <w:b w:val="0"/>
                <w:bCs w:val="0"/>
                <w:color w:val="auto"/>
                <w:lang w:val="zh-CN" w:eastAsia="zh-CN"/>
              </w:rPr>
              <w:t>水质</w:t>
            </w:r>
            <w:r>
              <w:rPr>
                <w:rFonts w:hint="eastAsia"/>
                <w:b w:val="0"/>
                <w:bCs w:val="0"/>
                <w:color w:val="auto"/>
                <w:lang w:eastAsia="zh-CN"/>
              </w:rPr>
              <w:t>能满足《地表水环境质量标准》（GB3838-2002）中III类标准，表明该区域内地表水能满足相应功能区划的要求。</w:t>
            </w:r>
          </w:p>
          <w:p w14:paraId="27BC9D28">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B.水环境管控分区</w:t>
            </w:r>
          </w:p>
          <w:p w14:paraId="7B6F0598">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对照《长江经济带战略环境评价安徽省淮南市“三线一单”文本》及淮南市水环境分区管控图</w:t>
            </w:r>
            <w:r>
              <w:rPr>
                <w:rFonts w:hint="eastAsia"/>
                <w:b w:val="0"/>
                <w:bCs w:val="0"/>
                <w:color w:val="auto"/>
                <w:lang w:val="en-US" w:eastAsia="zh-CN"/>
              </w:rPr>
              <w:t>9</w:t>
            </w:r>
            <w:r>
              <w:rPr>
                <w:rFonts w:hint="eastAsia"/>
                <w:b w:val="0"/>
                <w:bCs w:val="0"/>
                <w:color w:val="auto"/>
                <w:lang w:eastAsia="zh-CN"/>
              </w:rPr>
              <w:t>，本项目位于工业污染重点管控区。</w:t>
            </w:r>
          </w:p>
          <w:p w14:paraId="4F965A78">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C.水环境分区管控要求</w:t>
            </w:r>
          </w:p>
          <w:p w14:paraId="37686DFE">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重点管控区：依据《中华人民共和国水污染防治法》、《水污染防治行动计划》、《安徽省水污染防治工作方案》及《淮南市水生态环境保护“十四五”规划》（淮环通[2022]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w:t>
            </w:r>
          </w:p>
          <w:p w14:paraId="12A6C04C">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本项目执行雨污分流制，生活污水经化粪池处理后</w:t>
            </w:r>
            <w:r>
              <w:rPr>
                <w:rFonts w:hint="eastAsia"/>
                <w:b w:val="0"/>
                <w:bCs w:val="0"/>
                <w:color w:val="auto"/>
                <w:lang w:val="en-US" w:eastAsia="zh-CN"/>
              </w:rPr>
              <w:t>进</w:t>
            </w:r>
            <w:r>
              <w:rPr>
                <w:rFonts w:hint="eastAsia"/>
                <w:b w:val="0"/>
                <w:bCs w:val="0"/>
                <w:color w:val="auto"/>
                <w:lang w:eastAsia="zh-CN"/>
              </w:rPr>
              <w:t>入淮南经济技术开发区工业污水处理厂处理，项目废水处理后可达标排放。本项目实施后基本不会对区域水环境产生影响，满足重点管控区管控要求</w:t>
            </w:r>
          </w:p>
          <w:p w14:paraId="7894A9CB">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②大气环境质量底线及分区管控</w:t>
            </w:r>
          </w:p>
          <w:p w14:paraId="2438D0BF">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A.大气环境质量底线</w:t>
            </w:r>
          </w:p>
          <w:p w14:paraId="5F7D5C0D">
            <w:pPr>
              <w:pStyle w:val="57"/>
              <w:spacing w:line="360" w:lineRule="auto"/>
              <w:ind w:firstLine="480" w:firstLineChars="200"/>
              <w:jc w:val="both"/>
              <w:rPr>
                <w:rFonts w:hint="default"/>
                <w:b w:val="0"/>
                <w:bCs w:val="0"/>
                <w:color w:val="auto"/>
                <w:lang w:val="en-US" w:eastAsia="zh-CN"/>
              </w:rPr>
            </w:pPr>
            <w:r>
              <w:rPr>
                <w:rFonts w:hint="eastAsia"/>
                <w:b w:val="0"/>
                <w:bCs w:val="0"/>
                <w:color w:val="auto"/>
                <w:lang w:eastAsia="zh-CN"/>
              </w:rPr>
              <w:t>根据《202</w:t>
            </w:r>
            <w:r>
              <w:rPr>
                <w:rFonts w:hint="eastAsia"/>
                <w:b w:val="0"/>
                <w:bCs w:val="0"/>
                <w:color w:val="auto"/>
                <w:lang w:val="en-US" w:eastAsia="zh-CN"/>
              </w:rPr>
              <w:t>4</w:t>
            </w:r>
            <w:r>
              <w:rPr>
                <w:rFonts w:hint="eastAsia"/>
                <w:b w:val="0"/>
                <w:bCs w:val="0"/>
                <w:color w:val="auto"/>
                <w:lang w:eastAsia="zh-CN"/>
              </w:rPr>
              <w:t>年淮南市生态环境质量状况公报》可知，项目所在区域二氧化硫（SO</w:t>
            </w:r>
            <w:r>
              <w:rPr>
                <w:rFonts w:hint="eastAsia"/>
                <w:b w:val="0"/>
                <w:bCs w:val="0"/>
                <w:color w:val="auto"/>
                <w:vertAlign w:val="subscript"/>
                <w:lang w:eastAsia="zh-CN"/>
              </w:rPr>
              <w:t>2</w:t>
            </w:r>
            <w:r>
              <w:rPr>
                <w:rFonts w:hint="eastAsia"/>
                <w:b w:val="0"/>
                <w:bCs w:val="0"/>
                <w:color w:val="auto"/>
                <w:lang w:eastAsia="zh-CN"/>
              </w:rPr>
              <w:t>）、二氧化氮（NO</w:t>
            </w:r>
            <w:r>
              <w:rPr>
                <w:rFonts w:hint="eastAsia"/>
                <w:b w:val="0"/>
                <w:bCs w:val="0"/>
                <w:color w:val="auto"/>
                <w:vertAlign w:val="subscript"/>
                <w:lang w:eastAsia="zh-CN"/>
              </w:rPr>
              <w:t>2</w:t>
            </w:r>
            <w:r>
              <w:rPr>
                <w:rFonts w:hint="eastAsia"/>
                <w:b w:val="0"/>
                <w:bCs w:val="0"/>
                <w:color w:val="auto"/>
                <w:lang w:eastAsia="zh-CN"/>
              </w:rPr>
              <w:t>）、一氧化碳（CO）、可吸入颗粒物（PM</w:t>
            </w:r>
            <w:r>
              <w:rPr>
                <w:rFonts w:hint="eastAsia"/>
                <w:b w:val="0"/>
                <w:bCs w:val="0"/>
                <w:color w:val="auto"/>
                <w:vertAlign w:val="subscript"/>
                <w:lang w:eastAsia="zh-CN"/>
              </w:rPr>
              <w:t>10</w:t>
            </w:r>
            <w:r>
              <w:rPr>
                <w:rFonts w:hint="eastAsia"/>
                <w:b w:val="0"/>
                <w:bCs w:val="0"/>
                <w:color w:val="auto"/>
                <w:lang w:eastAsia="zh-CN"/>
              </w:rPr>
              <w:t>）年均浓度、臭氧（O</w:t>
            </w:r>
            <w:r>
              <w:rPr>
                <w:rFonts w:hint="eastAsia"/>
                <w:b w:val="0"/>
                <w:bCs w:val="0"/>
                <w:color w:val="auto"/>
                <w:vertAlign w:val="subscript"/>
                <w:lang w:eastAsia="zh-CN"/>
              </w:rPr>
              <w:t>3</w:t>
            </w:r>
            <w:r>
              <w:rPr>
                <w:rFonts w:hint="eastAsia"/>
                <w:b w:val="0"/>
                <w:bCs w:val="0"/>
                <w:color w:val="auto"/>
                <w:lang w:eastAsia="zh-CN"/>
              </w:rPr>
              <w:t>）日最大8小时滑动平均值均符合《环境空气质量标准》（GB3095-2012）二级标准，细颗粒物（PM</w:t>
            </w:r>
            <w:r>
              <w:rPr>
                <w:rFonts w:hint="eastAsia"/>
                <w:b w:val="0"/>
                <w:bCs w:val="0"/>
                <w:color w:val="auto"/>
                <w:vertAlign w:val="subscript"/>
                <w:lang w:eastAsia="zh-CN"/>
              </w:rPr>
              <w:t>2.5</w:t>
            </w:r>
            <w:r>
              <w:rPr>
                <w:rFonts w:hint="eastAsia"/>
                <w:b w:val="0"/>
                <w:bCs w:val="0"/>
                <w:color w:val="auto"/>
                <w:lang w:eastAsia="zh-CN"/>
              </w:rPr>
              <w:t>）年均浓度超过《环境空气质量标准》（GB3095-2012）二级标准要求，项目所在区域环境空气质量为不达标区。根据大气环境质量达标规划，通过进一步控制扬尘污染，机动车尾气污染防治等措施，预计大气环境质量状况可以得到进一步改善。特征污染物</w:t>
            </w:r>
            <w:r>
              <w:rPr>
                <w:rFonts w:hint="eastAsia"/>
                <w:b w:val="0"/>
                <w:bCs w:val="0"/>
                <w:color w:val="auto"/>
                <w:lang w:val="en-US" w:eastAsia="zh-CN"/>
              </w:rPr>
              <w:t>TSP</w:t>
            </w:r>
            <w:r>
              <w:rPr>
                <w:rFonts w:hint="eastAsia"/>
                <w:b w:val="0"/>
                <w:bCs w:val="0"/>
                <w:color w:val="auto"/>
                <w:lang w:eastAsia="zh-CN"/>
              </w:rPr>
              <w:t>引用</w:t>
            </w:r>
            <w:r>
              <w:rPr>
                <w:rFonts w:hint="eastAsia"/>
                <w:b w:val="0"/>
                <w:bCs w:val="0"/>
                <w:color w:val="auto"/>
                <w:sz w:val="24"/>
                <w:szCs w:val="24"/>
                <w:highlight w:val="none"/>
              </w:rPr>
              <w:t>《安徽德邦化工有限公司联碱安全环保节能提质改造项目(一期工程)环境影响报告书》中的监测数据</w:t>
            </w:r>
            <w:r>
              <w:rPr>
                <w:rFonts w:hint="eastAsia"/>
                <w:b w:val="0"/>
                <w:bCs w:val="0"/>
                <w:color w:val="auto"/>
                <w:lang w:eastAsia="zh-CN"/>
              </w:rPr>
              <w:t>，评价区域内评价因子</w:t>
            </w:r>
            <w:r>
              <w:rPr>
                <w:rFonts w:hint="eastAsia"/>
                <w:b w:val="0"/>
                <w:bCs w:val="0"/>
                <w:color w:val="auto"/>
                <w:lang w:val="en-US" w:eastAsia="zh-CN"/>
              </w:rPr>
              <w:t>TSP</w:t>
            </w:r>
            <w:r>
              <w:rPr>
                <w:rFonts w:hint="eastAsia"/>
                <w:b w:val="0"/>
                <w:bCs w:val="0"/>
                <w:color w:val="auto"/>
                <w:lang w:eastAsia="zh-CN"/>
              </w:rPr>
              <w:t>浓度能够满足</w:t>
            </w:r>
            <w:r>
              <w:rPr>
                <w:rFonts w:ascii="Times New Roman" w:hAnsi="Times New Roman" w:eastAsia="宋体" w:cs="Times New Roman"/>
                <w:b w:val="0"/>
                <w:bCs w:val="0"/>
                <w:color w:val="auto"/>
                <w:spacing w:val="-3"/>
                <w:sz w:val="24"/>
                <w:szCs w:val="28"/>
              </w:rPr>
              <w:t>《环境空气质量标准》（GB3095-2012）及其</w:t>
            </w:r>
            <w:r>
              <w:rPr>
                <w:rFonts w:ascii="Times New Roman" w:hAnsi="Times New Roman" w:eastAsia="宋体" w:cs="Times New Roman"/>
                <w:b w:val="0"/>
                <w:bCs w:val="0"/>
                <w:color w:val="auto"/>
                <w:sz w:val="24"/>
                <w:szCs w:val="28"/>
              </w:rPr>
              <w:t>2018年修改单</w:t>
            </w:r>
            <w:r>
              <w:rPr>
                <w:rFonts w:ascii="Times New Roman" w:hAnsi="Times New Roman" w:eastAsia="宋体" w:cs="Times New Roman"/>
                <w:b w:val="0"/>
                <w:bCs w:val="0"/>
                <w:color w:val="auto"/>
                <w:spacing w:val="-3"/>
                <w:sz w:val="24"/>
                <w:szCs w:val="28"/>
              </w:rPr>
              <w:t>中二级标准</w:t>
            </w:r>
            <w:r>
              <w:rPr>
                <w:rFonts w:hint="eastAsia"/>
                <w:b w:val="0"/>
                <w:bCs w:val="0"/>
                <w:color w:val="auto"/>
                <w:lang w:eastAsia="zh-CN"/>
              </w:rPr>
              <w:t>，说明评价区域内环境空气质量现状总体良好。</w:t>
            </w:r>
          </w:p>
          <w:p w14:paraId="03837ECF">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B.大气环境管控分区</w:t>
            </w:r>
          </w:p>
          <w:p w14:paraId="71A80552">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对照《长江经济带战略环境评价安徽省淮南市“三线一单”文本》及淮南市大气环境分区管控图</w:t>
            </w:r>
            <w:r>
              <w:rPr>
                <w:rFonts w:hint="eastAsia"/>
                <w:b w:val="0"/>
                <w:bCs w:val="0"/>
                <w:color w:val="auto"/>
                <w:lang w:val="en-US" w:eastAsia="zh-CN"/>
              </w:rPr>
              <w:t>8</w:t>
            </w:r>
            <w:r>
              <w:rPr>
                <w:rFonts w:hint="eastAsia"/>
                <w:b w:val="0"/>
                <w:bCs w:val="0"/>
                <w:color w:val="auto"/>
                <w:lang w:eastAsia="zh-CN"/>
              </w:rPr>
              <w:t>，本项目位于受体敏感重点管控区。</w:t>
            </w:r>
          </w:p>
          <w:p w14:paraId="68B804C2">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C.大气环境分区管控要求</w:t>
            </w:r>
          </w:p>
          <w:p w14:paraId="48618646">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重点管控区：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PM</w:t>
            </w:r>
            <w:r>
              <w:rPr>
                <w:rFonts w:hint="eastAsia"/>
                <w:b w:val="0"/>
                <w:bCs w:val="0"/>
                <w:color w:val="auto"/>
                <w:vertAlign w:val="subscript"/>
                <w:lang w:eastAsia="zh-CN"/>
              </w:rPr>
              <w:t>2.5</w:t>
            </w:r>
            <w:r>
              <w:rPr>
                <w:rFonts w:hint="eastAsia"/>
                <w:b w:val="0"/>
                <w:bCs w:val="0"/>
                <w:color w:val="auto"/>
                <w:lang w:eastAsia="zh-CN"/>
              </w:rPr>
              <w:t>不达标城市新建、改建和扩建项目大气污染物实施“倍量替代”，执行特别排放标准的行业实施提标升级改造。</w:t>
            </w:r>
          </w:p>
          <w:p w14:paraId="5B46603C">
            <w:pPr>
              <w:pStyle w:val="57"/>
              <w:spacing w:line="360" w:lineRule="auto"/>
              <w:ind w:firstLine="480" w:firstLineChars="200"/>
              <w:jc w:val="both"/>
              <w:rPr>
                <w:rFonts w:hint="eastAsia"/>
                <w:b w:val="0"/>
                <w:bCs w:val="0"/>
                <w:color w:val="auto"/>
                <w:lang w:eastAsia="zh-CN"/>
              </w:rPr>
            </w:pPr>
            <w:r>
              <w:rPr>
                <w:rFonts w:hint="eastAsia"/>
                <w:b w:val="0"/>
                <w:bCs w:val="0"/>
                <w:color w:val="auto"/>
                <w:sz w:val="24"/>
                <w:lang w:val="en-US" w:eastAsia="zh-CN"/>
              </w:rPr>
              <w:t>配料废气、搅拌废气</w:t>
            </w:r>
            <w:r>
              <w:rPr>
                <w:rFonts w:hint="eastAsia"/>
                <w:b w:val="0"/>
                <w:bCs w:val="0"/>
                <w:color w:val="auto"/>
                <w:sz w:val="24"/>
              </w:rPr>
              <w:t>产生的</w:t>
            </w:r>
            <w:r>
              <w:rPr>
                <w:rFonts w:hint="eastAsia"/>
                <w:b w:val="0"/>
                <w:bCs w:val="0"/>
                <w:color w:val="auto"/>
                <w:sz w:val="24"/>
                <w:lang w:val="en-US" w:eastAsia="zh-CN"/>
              </w:rPr>
              <w:t>颗粒物</w:t>
            </w:r>
            <w:r>
              <w:rPr>
                <w:rFonts w:hint="eastAsia"/>
                <w:b w:val="0"/>
                <w:bCs w:val="0"/>
                <w:color w:val="auto"/>
                <w:sz w:val="24"/>
              </w:rPr>
              <w:t>经“</w:t>
            </w:r>
            <w:r>
              <w:rPr>
                <w:rFonts w:hint="eastAsia"/>
                <w:b w:val="0"/>
                <w:bCs w:val="0"/>
                <w:color w:val="auto"/>
                <w:sz w:val="24"/>
                <w:lang w:val="en-US" w:eastAsia="zh-CN"/>
              </w:rPr>
              <w:t>布袋除尘器</w:t>
            </w:r>
            <w:r>
              <w:rPr>
                <w:rFonts w:hint="eastAsia"/>
                <w:b w:val="0"/>
                <w:bCs w:val="0"/>
                <w:color w:val="auto"/>
                <w:sz w:val="24"/>
              </w:rPr>
              <w:t>”处理后，经15m高的排气筒（DA001）排放。采取以上措施后本项目大气污染物排放浓度和排放速率均满足相应排放标准要求，均能实现达标排放，本项目的建设不会导致当地大气环境质量恶化，满足大气环境重点管控区管控要求。</w:t>
            </w:r>
          </w:p>
          <w:p w14:paraId="61F822F4">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③土壤环境风险防控底线及分区管控</w:t>
            </w:r>
          </w:p>
          <w:p w14:paraId="416EA406">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A.土壤环境风险防控底线</w:t>
            </w:r>
          </w:p>
          <w:p w14:paraId="773B3B93">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根据《淮南市土壤污染防治工作方案》要求，到2020年，全市土壤污染趋势得到初步遏制，土壤环境质量总体保持稳定，农用地和建设用地土壤环境安全得到基本保障，土壤环境风险得到基本控制。受污染耕地安全利用率达到95%左右，污染地块安全利用率达到90%以上；到2030年，全市土壤环境质量稳中向好，农用地和建设用地土壤环境安全得到有效保障，土壤环境风险得到全面管控。受污染耕地安全利用率达到96%以上，污染地块安全利用率达到95%以上。</w:t>
            </w:r>
          </w:p>
          <w:p w14:paraId="64C08904">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B.土壤环境风险防控分区</w:t>
            </w:r>
          </w:p>
          <w:p w14:paraId="54B6516D">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对照《长江经济带战略环境评价安徽省淮南市“三线一单”文本》及淮南市土壤污染风险分区管控图</w:t>
            </w:r>
            <w:r>
              <w:rPr>
                <w:rFonts w:hint="eastAsia"/>
                <w:b w:val="0"/>
                <w:bCs w:val="0"/>
                <w:color w:val="auto"/>
                <w:lang w:val="en-US" w:eastAsia="zh-CN"/>
              </w:rPr>
              <w:t>见附图10</w:t>
            </w:r>
            <w:r>
              <w:rPr>
                <w:rFonts w:hint="eastAsia"/>
                <w:b w:val="0"/>
                <w:bCs w:val="0"/>
                <w:color w:val="auto"/>
                <w:lang w:eastAsia="zh-CN"/>
              </w:rPr>
              <w:t>，本项目位于建设用地污染风险重点管控区。</w:t>
            </w:r>
          </w:p>
          <w:p w14:paraId="38058EB8">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C.土壤环境风险分区防控要求</w:t>
            </w:r>
          </w:p>
          <w:p w14:paraId="7903AD87">
            <w:pPr>
              <w:pStyle w:val="57"/>
              <w:spacing w:line="360" w:lineRule="auto"/>
              <w:ind w:firstLine="480" w:firstLineChars="200"/>
              <w:jc w:val="both"/>
              <w:rPr>
                <w:rFonts w:hint="eastAsia"/>
                <w:b w:val="0"/>
                <w:bCs w:val="0"/>
                <w:color w:val="auto"/>
                <w:lang w:eastAsia="zh-CN"/>
              </w:rPr>
            </w:pPr>
            <w:r>
              <w:rPr>
                <w:rFonts w:hint="eastAsia"/>
                <w:b w:val="0"/>
                <w:bCs w:val="0"/>
                <w:color w:val="auto"/>
                <w:lang w:eastAsia="zh-CN"/>
              </w:rPr>
              <w:t>重点管控区：落实《安徽省“十</w:t>
            </w:r>
            <w:r>
              <w:rPr>
                <w:rFonts w:hint="eastAsia"/>
                <w:b w:val="0"/>
                <w:bCs w:val="0"/>
                <w:color w:val="auto"/>
                <w:lang w:val="en-US" w:eastAsia="zh-CN"/>
              </w:rPr>
              <w:t>四</w:t>
            </w:r>
            <w:r>
              <w:rPr>
                <w:rFonts w:hint="eastAsia"/>
                <w:b w:val="0"/>
                <w:bCs w:val="0"/>
                <w:color w:val="auto"/>
                <w:lang w:eastAsia="zh-CN"/>
              </w:rPr>
              <w:t>五”环境保护规划》、《安徽省“十四五”危险废物工业固体废物污染环境防治规划》、《安徽省土壤污染防治工作方案》等要求，防止土壤污染风险。</w:t>
            </w:r>
          </w:p>
          <w:p w14:paraId="53D25DD0">
            <w:pPr>
              <w:pStyle w:val="57"/>
              <w:spacing w:line="360" w:lineRule="auto"/>
              <w:ind w:firstLine="480" w:firstLineChars="200"/>
              <w:jc w:val="both"/>
              <w:rPr>
                <w:rFonts w:hint="eastAsia" w:eastAsia="宋体"/>
                <w:b w:val="0"/>
                <w:bCs w:val="0"/>
                <w:color w:val="auto"/>
                <w:lang w:val="en-US" w:eastAsia="zh-CN"/>
              </w:rPr>
            </w:pPr>
            <w:r>
              <w:rPr>
                <w:rFonts w:hint="eastAsia"/>
                <w:b w:val="0"/>
                <w:bCs w:val="0"/>
                <w:color w:val="auto"/>
                <w:lang w:eastAsia="zh-CN"/>
              </w:rPr>
              <w:t>本项目选址位于安徽省淮南经济技术开发区</w:t>
            </w:r>
            <w:r>
              <w:rPr>
                <w:rFonts w:hint="eastAsia"/>
                <w:b w:val="0"/>
                <w:bCs w:val="0"/>
                <w:color w:val="auto"/>
                <w:lang w:val="en-US" w:eastAsia="zh-CN"/>
              </w:rPr>
              <w:t>锦绣路100号东侧</w:t>
            </w:r>
            <w:r>
              <w:rPr>
                <w:rFonts w:hint="eastAsia"/>
                <w:b w:val="0"/>
                <w:bCs w:val="0"/>
                <w:color w:val="auto"/>
                <w:lang w:eastAsia="zh-CN"/>
              </w:rPr>
              <w:t>，对照《淮南市土壤污染风险分区管控图》，本项目位于建设用地污染重点管控区。本项目建成后对厂区采取分区防渗措施，危废暂存间作为重点防渗区实施重点防渗；生产</w:t>
            </w:r>
            <w:r>
              <w:rPr>
                <w:rFonts w:hint="eastAsia"/>
                <w:b w:val="0"/>
                <w:bCs w:val="0"/>
                <w:color w:val="auto"/>
                <w:lang w:val="en-US" w:eastAsia="zh-CN"/>
              </w:rPr>
              <w:t>厂房等</w:t>
            </w:r>
            <w:r>
              <w:rPr>
                <w:rFonts w:hint="eastAsia"/>
                <w:b w:val="0"/>
                <w:bCs w:val="0"/>
                <w:color w:val="auto"/>
                <w:lang w:eastAsia="zh-CN"/>
              </w:rPr>
              <w:t>作为一般防渗区实施一般防渗，项目在落实各项防渗措施后，可将地下水、土壤污染的风险降至最低。因此本项目符合建设用地污染重点管控区要求。</w:t>
            </w:r>
          </w:p>
          <w:p w14:paraId="49152E0F">
            <w:pPr>
              <w:pStyle w:val="57"/>
              <w:spacing w:line="360" w:lineRule="auto"/>
              <w:ind w:firstLine="480" w:firstLineChars="200"/>
              <w:rPr>
                <w:b w:val="0"/>
                <w:bCs w:val="0"/>
                <w:color w:val="auto"/>
              </w:rPr>
            </w:pPr>
            <w:r>
              <w:rPr>
                <w:b w:val="0"/>
                <w:bCs w:val="0"/>
                <w:color w:val="auto"/>
              </w:rPr>
              <w:t>（3）资源利用上线</w:t>
            </w:r>
          </w:p>
          <w:p w14:paraId="4C94E35E">
            <w:pPr>
              <w:pStyle w:val="57"/>
              <w:spacing w:line="360" w:lineRule="auto"/>
              <w:ind w:firstLine="480" w:firstLineChars="200"/>
              <w:rPr>
                <w:b w:val="0"/>
                <w:bCs w:val="0"/>
                <w:color w:val="auto"/>
              </w:rPr>
            </w:pPr>
            <w:r>
              <w:rPr>
                <w:rFonts w:hint="eastAsia"/>
                <w:b w:val="0"/>
                <w:bCs w:val="0"/>
                <w:color w:val="auto"/>
              </w:rPr>
              <w:t>拟建项目使用的能源为电能，属于清洁能源，用电来自区域供电管网；项目用水来自区域供水管网，能够满足本项目用水要求；</w:t>
            </w:r>
            <w:r>
              <w:rPr>
                <w:rFonts w:hint="eastAsia" w:ascii="Times New Roman" w:hAnsi="Times New Roman" w:cs="Times New Roman"/>
                <w:b w:val="0"/>
                <w:bCs w:val="0"/>
                <w:color w:val="auto"/>
                <w:sz w:val="24"/>
                <w:lang w:val="en-US" w:eastAsia="zh-CN"/>
              </w:rPr>
              <w:t>本项目</w:t>
            </w:r>
            <w:r>
              <w:rPr>
                <w:rFonts w:hint="default" w:ascii="Times New Roman" w:hAnsi="Times New Roman" w:cs="Times New Roman"/>
                <w:b w:val="0"/>
                <w:bCs w:val="0"/>
                <w:color w:val="auto"/>
                <w:sz w:val="24"/>
                <w:lang w:val="en-US" w:eastAsia="zh-CN"/>
              </w:rPr>
              <w:t>占地面积约20亩，建设一栋钢结构厂房</w:t>
            </w:r>
            <w:r>
              <w:rPr>
                <w:rFonts w:hint="eastAsia" w:cs="Times New Roman"/>
                <w:b w:val="0"/>
                <w:bCs w:val="0"/>
                <w:color w:val="auto"/>
                <w:sz w:val="24"/>
                <w:lang w:val="en-US" w:eastAsia="zh-CN"/>
              </w:rPr>
              <w:t>并建设</w:t>
            </w:r>
            <w:r>
              <w:rPr>
                <w:rFonts w:hint="eastAsia" w:cs="Times New Roman"/>
                <w:b w:val="0"/>
                <w:bCs w:val="0"/>
                <w:color w:val="auto"/>
                <w:sz w:val="24"/>
                <w:vertAlign w:val="baseline"/>
                <w:lang w:val="en-US" w:eastAsia="zh-CN"/>
              </w:rPr>
              <w:t>一条年产50万根</w:t>
            </w:r>
            <w:r>
              <w:rPr>
                <w:rFonts w:hint="default" w:ascii="Times New Roman" w:hAnsi="Times New Roman" w:cs="Times New Roman"/>
                <w:b w:val="0"/>
                <w:bCs w:val="0"/>
                <w:color w:val="auto"/>
                <w:sz w:val="24"/>
                <w:szCs w:val="24"/>
                <w:lang w:val="en-US" w:eastAsia="zh-CN"/>
              </w:rPr>
              <w:t>统型砼岔枕</w:t>
            </w:r>
            <w:r>
              <w:rPr>
                <w:rFonts w:hint="eastAsia" w:ascii="Times New Roman" w:hAnsi="Times New Roman" w:cs="Times New Roman"/>
                <w:b w:val="0"/>
                <w:bCs w:val="0"/>
                <w:color w:val="auto"/>
                <w:sz w:val="24"/>
                <w:szCs w:val="24"/>
                <w:lang w:val="en-US" w:eastAsia="zh-CN"/>
              </w:rPr>
              <w:t>生产线</w:t>
            </w:r>
            <w:r>
              <w:rPr>
                <w:rFonts w:hint="eastAsia"/>
                <w:b w:val="0"/>
                <w:bCs w:val="0"/>
                <w:color w:val="auto"/>
              </w:rPr>
              <w:t>；项目通过优先选用先进的工艺技术和设备，并在运营期加强内部管理，制定合理有效的制度，项目的能源、水、土地等资源利用不会突破区域上限。</w:t>
            </w:r>
          </w:p>
          <w:p w14:paraId="06E378E6">
            <w:pPr>
              <w:pStyle w:val="57"/>
              <w:spacing w:line="360" w:lineRule="auto"/>
              <w:ind w:firstLine="240" w:firstLineChars="100"/>
              <w:rPr>
                <w:b w:val="0"/>
                <w:bCs w:val="0"/>
                <w:color w:val="auto"/>
              </w:rPr>
            </w:pPr>
            <w:r>
              <w:rPr>
                <w:b w:val="0"/>
                <w:bCs w:val="0"/>
                <w:color w:val="auto"/>
              </w:rPr>
              <w:t>（4）环境准入负面清单</w:t>
            </w:r>
          </w:p>
          <w:p w14:paraId="5FA1CAAC">
            <w:pPr>
              <w:pStyle w:val="57"/>
              <w:spacing w:line="360" w:lineRule="auto"/>
              <w:ind w:firstLine="480" w:firstLineChars="200"/>
              <w:jc w:val="both"/>
              <w:rPr>
                <w:b w:val="0"/>
                <w:bCs w:val="0"/>
                <w:color w:val="auto"/>
              </w:rPr>
            </w:pPr>
            <w:r>
              <w:rPr>
                <w:rFonts w:hint="eastAsia"/>
                <w:b w:val="0"/>
                <w:bCs w:val="0"/>
                <w:color w:val="auto"/>
              </w:rPr>
              <w:t>本项目位于安徽</w:t>
            </w:r>
            <w:r>
              <w:rPr>
                <w:rFonts w:hint="eastAsia"/>
                <w:b w:val="0"/>
                <w:bCs w:val="0"/>
                <w:color w:val="auto"/>
                <w:lang w:val="en-US" w:eastAsia="zh-CN"/>
              </w:rPr>
              <w:t>省淮南市淮南</w:t>
            </w:r>
            <w:r>
              <w:rPr>
                <w:rFonts w:hint="eastAsia"/>
                <w:b w:val="0"/>
                <w:bCs w:val="0"/>
                <w:color w:val="auto"/>
              </w:rPr>
              <w:t>经济开发区，对照《长江经济带战略环境评价安徽省淮南市“三线一单”文本》，本项目大气环境属于受体敏感重点管控区，地表水环境属于工业污染重点管控区，土壤环境属于重金属污染风险重点防控区。本项目与</w:t>
            </w:r>
            <w:r>
              <w:rPr>
                <w:rFonts w:hint="eastAsia"/>
                <w:b w:val="0"/>
                <w:bCs w:val="0"/>
                <w:color w:val="auto"/>
                <w:lang w:val="en-US" w:eastAsia="zh-CN"/>
              </w:rPr>
              <w:t>淮南</w:t>
            </w:r>
            <w:r>
              <w:rPr>
                <w:rFonts w:hint="eastAsia"/>
                <w:b w:val="0"/>
                <w:bCs w:val="0"/>
                <w:color w:val="auto"/>
              </w:rPr>
              <w:t>经济开发区生态环境准入清单符合性分析见上表1-2，与</w:t>
            </w:r>
            <w:r>
              <w:rPr>
                <w:rFonts w:hint="eastAsia"/>
                <w:b w:val="0"/>
                <w:bCs w:val="0"/>
                <w:color w:val="auto"/>
                <w:lang w:val="en-US" w:eastAsia="zh-CN"/>
              </w:rPr>
              <w:t>淮南市</w:t>
            </w:r>
            <w:r>
              <w:rPr>
                <w:rFonts w:hint="eastAsia"/>
                <w:b w:val="0"/>
                <w:bCs w:val="0"/>
                <w:color w:val="auto"/>
              </w:rPr>
              <w:t>重点环境管控单元生态环境准入清单符合性分析详见下表1-</w:t>
            </w:r>
            <w:r>
              <w:rPr>
                <w:rFonts w:hint="eastAsia"/>
                <w:b w:val="0"/>
                <w:bCs w:val="0"/>
                <w:color w:val="auto"/>
                <w:lang w:val="en-US" w:eastAsia="zh-CN"/>
              </w:rPr>
              <w:t>5</w:t>
            </w:r>
            <w:r>
              <w:rPr>
                <w:rFonts w:hint="eastAsia"/>
                <w:b w:val="0"/>
                <w:bCs w:val="0"/>
                <w:color w:val="auto"/>
              </w:rPr>
              <w:t>。</w:t>
            </w:r>
          </w:p>
          <w:p w14:paraId="5CE90E63">
            <w:pPr>
              <w:pStyle w:val="57"/>
              <w:spacing w:line="360" w:lineRule="auto"/>
              <w:ind w:firstLine="482" w:firstLineChars="200"/>
              <w:jc w:val="center"/>
              <w:rPr>
                <w:b/>
                <w:bCs/>
                <w:color w:val="auto"/>
              </w:rPr>
            </w:pPr>
            <w:r>
              <w:rPr>
                <w:b/>
                <w:bCs/>
                <w:color w:val="auto"/>
              </w:rPr>
              <w:t>表1-</w:t>
            </w:r>
            <w:r>
              <w:rPr>
                <w:rFonts w:hint="eastAsia"/>
                <w:b/>
                <w:bCs/>
                <w:color w:val="auto"/>
                <w:lang w:val="en-US" w:eastAsia="zh-CN"/>
              </w:rPr>
              <w:t>5</w:t>
            </w:r>
            <w:r>
              <w:rPr>
                <w:b/>
                <w:bCs/>
                <w:color w:val="auto"/>
              </w:rPr>
              <w:t xml:space="preserve"> </w:t>
            </w:r>
            <w:r>
              <w:rPr>
                <w:rFonts w:hint="eastAsia"/>
                <w:b/>
                <w:bCs/>
                <w:color w:val="auto"/>
                <w:lang w:val="en-US" w:eastAsia="zh-CN"/>
              </w:rPr>
              <w:t>淮南市</w:t>
            </w:r>
            <w:r>
              <w:rPr>
                <w:rFonts w:hint="eastAsia"/>
                <w:b/>
                <w:bCs/>
                <w:color w:val="auto"/>
              </w:rPr>
              <w:t>重点环境管控单元</w:t>
            </w:r>
            <w:r>
              <w:rPr>
                <w:b/>
                <w:bCs/>
                <w:color w:val="auto"/>
              </w:rPr>
              <w:t>生态环境准入清单</w:t>
            </w:r>
          </w:p>
          <w:tbl>
            <w:tblPr>
              <w:tblStyle w:val="4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689"/>
              <w:gridCol w:w="3695"/>
              <w:gridCol w:w="1608"/>
              <w:gridCol w:w="898"/>
            </w:tblGrid>
            <w:tr w14:paraId="24432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tcBorders>
                    <w:tl2br w:val="nil"/>
                    <w:tr2bl w:val="nil"/>
                  </w:tcBorders>
                  <w:noWrap w:val="0"/>
                  <w:vAlign w:val="center"/>
                </w:tcPr>
                <w:p w14:paraId="5E867179">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区域管控要求</w:t>
                  </w:r>
                </w:p>
              </w:tc>
              <w:tc>
                <w:tcPr>
                  <w:tcW w:w="442" w:type="pct"/>
                  <w:tcBorders>
                    <w:tl2br w:val="nil"/>
                    <w:tr2bl w:val="nil"/>
                  </w:tcBorders>
                  <w:noWrap w:val="0"/>
                  <w:vAlign w:val="center"/>
                </w:tcPr>
                <w:p w14:paraId="682E19D8">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管控</w:t>
                  </w:r>
                </w:p>
                <w:p w14:paraId="51A58017">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类别</w:t>
                  </w:r>
                </w:p>
              </w:tc>
              <w:tc>
                <w:tcPr>
                  <w:tcW w:w="2371" w:type="pct"/>
                  <w:tcBorders>
                    <w:tl2br w:val="nil"/>
                    <w:tr2bl w:val="nil"/>
                  </w:tcBorders>
                  <w:noWrap w:val="0"/>
                  <w:vAlign w:val="center"/>
                </w:tcPr>
                <w:p w14:paraId="325A286D">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管控要求</w:t>
                  </w:r>
                </w:p>
              </w:tc>
              <w:tc>
                <w:tcPr>
                  <w:tcW w:w="1032" w:type="pct"/>
                  <w:tcBorders>
                    <w:tl2br w:val="nil"/>
                    <w:tr2bl w:val="nil"/>
                  </w:tcBorders>
                  <w:noWrap w:val="0"/>
                  <w:vAlign w:val="center"/>
                </w:tcPr>
                <w:p w14:paraId="7E93912D">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协调性分析</w:t>
                  </w:r>
                </w:p>
              </w:tc>
              <w:tc>
                <w:tcPr>
                  <w:tcW w:w="576" w:type="pct"/>
                  <w:tcBorders>
                    <w:tl2br w:val="nil"/>
                    <w:tr2bl w:val="nil"/>
                  </w:tcBorders>
                  <w:noWrap w:val="0"/>
                  <w:vAlign w:val="center"/>
                </w:tcPr>
                <w:p w14:paraId="429C9780">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符合性分析</w:t>
                  </w:r>
                </w:p>
              </w:tc>
            </w:tr>
            <w:tr w14:paraId="51662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restart"/>
                  <w:tcBorders>
                    <w:tl2br w:val="nil"/>
                    <w:tr2bl w:val="nil"/>
                  </w:tcBorders>
                  <w:noWrap w:val="0"/>
                  <w:vAlign w:val="center"/>
                </w:tcPr>
                <w:p w14:paraId="74895FB8">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重点管控单元</w:t>
                  </w:r>
                  <w:r>
                    <w:rPr>
                      <w:rFonts w:hint="default" w:ascii="Times New Roman" w:hAnsi="Times New Roman" w:cs="Times New Roman"/>
                      <w:color w:val="auto"/>
                      <w:lang w:val="en-US" w:eastAsia="zh-CN"/>
                    </w:rPr>
                    <w:t>3</w:t>
                  </w:r>
                </w:p>
              </w:tc>
              <w:tc>
                <w:tcPr>
                  <w:tcW w:w="442" w:type="pct"/>
                  <w:vMerge w:val="restart"/>
                  <w:tcBorders>
                    <w:tl2br w:val="nil"/>
                    <w:tr2bl w:val="nil"/>
                  </w:tcBorders>
                  <w:noWrap w:val="0"/>
                  <w:vAlign w:val="center"/>
                </w:tcPr>
                <w:p w14:paraId="2E9FBDA9">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lang w:val="en-US" w:eastAsia="zh-CN"/>
                    </w:rPr>
                    <w:t>空间布局约束</w:t>
                  </w:r>
                </w:p>
              </w:tc>
              <w:tc>
                <w:tcPr>
                  <w:tcW w:w="2371" w:type="pct"/>
                  <w:tcBorders>
                    <w:tl2br w:val="nil"/>
                    <w:tr2bl w:val="nil"/>
                  </w:tcBorders>
                  <w:noWrap w:val="0"/>
                  <w:vAlign w:val="center"/>
                </w:tcPr>
                <w:p w14:paraId="7F6102C4">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3严禁新增钢铁、焦化、电解铝、铸造、水泥和平板玻璃等产能；严格执行钢铁、水泥、平板玻璃等行业产能置换实施办法。</w:t>
                  </w:r>
                </w:p>
                <w:p w14:paraId="5BA90590">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lang w:val="en-US" w:eastAsia="zh-CN"/>
                    </w:rPr>
                    <w:t>4严格执行国家关于“两高”产业准入目录和产能总量控制政策措施。严禁新增钢铁、焦化、电解铝、铸造、水泥和平板玻璃等产能</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新、改、扩建涉及大宗物料运输的建设项目，原则上不得采用公路运输。</w:t>
                  </w:r>
                </w:p>
              </w:tc>
              <w:tc>
                <w:tcPr>
                  <w:tcW w:w="1032" w:type="pct"/>
                  <w:tcBorders>
                    <w:tl2br w:val="nil"/>
                    <w:tr2bl w:val="nil"/>
                  </w:tcBorders>
                  <w:noWrap w:val="0"/>
                  <w:vAlign w:val="center"/>
                </w:tcPr>
                <w:p w14:paraId="00793653">
                  <w:pPr>
                    <w:pStyle w:val="240"/>
                    <w:bidi w:val="0"/>
                    <w:spacing w:line="240" w:lineRule="auto"/>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对照《安徽省</w:t>
                  </w:r>
                  <w:r>
                    <w:rPr>
                      <w:rFonts w:hint="eastAsia" w:ascii="宋体" w:hAnsi="宋体" w:eastAsia="宋体" w:cs="宋体"/>
                      <w:color w:val="auto"/>
                      <w:lang w:val="en-US" w:eastAsia="zh-CN"/>
                    </w:rPr>
                    <w:t>“两高”</w:t>
                  </w:r>
                  <w:r>
                    <w:rPr>
                      <w:rFonts w:hint="default" w:ascii="Times New Roman" w:hAnsi="Times New Roman" w:cs="Times New Roman"/>
                      <w:color w:val="auto"/>
                      <w:lang w:val="en-US" w:eastAsia="zh-CN"/>
                    </w:rPr>
                    <w:t>项目管理目录（试行）》，本项目不属于两高项目。项目物料运输采用公路运输，运输车辆选用新能源或达到国六标准车辆。</w:t>
                  </w:r>
                </w:p>
              </w:tc>
              <w:tc>
                <w:tcPr>
                  <w:tcW w:w="576" w:type="pct"/>
                  <w:tcBorders>
                    <w:tl2br w:val="nil"/>
                    <w:tr2bl w:val="nil"/>
                  </w:tcBorders>
                  <w:noWrap w:val="0"/>
                  <w:vAlign w:val="center"/>
                </w:tcPr>
                <w:p w14:paraId="1F20CD95">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2BE2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continue"/>
                  <w:tcBorders>
                    <w:tl2br w:val="nil"/>
                    <w:tr2bl w:val="nil"/>
                  </w:tcBorders>
                  <w:noWrap w:val="0"/>
                  <w:vAlign w:val="center"/>
                </w:tcPr>
                <w:p w14:paraId="1EC97111">
                  <w:pPr>
                    <w:pStyle w:val="240"/>
                    <w:bidi w:val="0"/>
                    <w:spacing w:line="240" w:lineRule="auto"/>
                    <w:jc w:val="center"/>
                    <w:rPr>
                      <w:rFonts w:hint="default" w:ascii="Times New Roman" w:hAnsi="Times New Roman" w:cs="Times New Roman"/>
                      <w:color w:val="auto"/>
                    </w:rPr>
                  </w:pPr>
                </w:p>
              </w:tc>
              <w:tc>
                <w:tcPr>
                  <w:tcW w:w="442" w:type="pct"/>
                  <w:vMerge w:val="continue"/>
                  <w:tcBorders>
                    <w:tl2br w:val="nil"/>
                    <w:tr2bl w:val="nil"/>
                  </w:tcBorders>
                  <w:noWrap w:val="0"/>
                  <w:vAlign w:val="center"/>
                </w:tcPr>
                <w:p w14:paraId="22957378">
                  <w:pPr>
                    <w:pStyle w:val="240"/>
                    <w:bidi w:val="0"/>
                    <w:spacing w:line="240" w:lineRule="auto"/>
                    <w:jc w:val="center"/>
                    <w:rPr>
                      <w:rFonts w:hint="default" w:ascii="Times New Roman" w:hAnsi="Times New Roman" w:cs="Times New Roman"/>
                      <w:color w:val="auto"/>
                    </w:rPr>
                  </w:pPr>
                </w:p>
              </w:tc>
              <w:tc>
                <w:tcPr>
                  <w:tcW w:w="2371" w:type="pct"/>
                  <w:tcBorders>
                    <w:tl2br w:val="nil"/>
                    <w:tr2bl w:val="nil"/>
                  </w:tcBorders>
                  <w:noWrap w:val="0"/>
                  <w:vAlign w:val="center"/>
                </w:tcPr>
                <w:p w14:paraId="7353AA24">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9严格控制新增</w:t>
                  </w:r>
                  <w:r>
                    <w:rPr>
                      <w:rFonts w:hint="default" w:ascii="Times New Roman" w:hAnsi="Times New Roman" w:cs="Times New Roman"/>
                      <w:color w:val="auto"/>
                      <w:lang w:eastAsia="zh-CN"/>
                    </w:rPr>
                    <w:t>“</w:t>
                  </w:r>
                  <w:r>
                    <w:rPr>
                      <w:rFonts w:hint="default" w:ascii="Times New Roman" w:hAnsi="Times New Roman" w:cs="Times New Roman"/>
                      <w:color w:val="auto"/>
                    </w:rPr>
                    <w:t>两高</w:t>
                  </w:r>
                  <w:r>
                    <w:rPr>
                      <w:rFonts w:hint="default" w:ascii="Times New Roman" w:hAnsi="Times New Roman" w:cs="Times New Roman"/>
                      <w:color w:val="auto"/>
                      <w:lang w:eastAsia="zh-CN"/>
                    </w:rPr>
                    <w:t>”</w:t>
                  </w:r>
                  <w:r>
                    <w:rPr>
                      <w:rFonts w:hint="default" w:ascii="Times New Roman" w:hAnsi="Times New Roman" w:cs="Times New Roman"/>
                      <w:color w:val="auto"/>
                    </w:rPr>
                    <w:t>项目审批，认真分析评估拟建项目必要性、可行性和对产业高质量发展、能耗双控、碳排放和环境质量的影响，严格审查项目是否符合产业政策、产业规划、</w:t>
                  </w:r>
                  <w:r>
                    <w:rPr>
                      <w:rFonts w:hint="default" w:ascii="Times New Roman" w:hAnsi="Times New Roman" w:cs="Times New Roman"/>
                      <w:color w:val="auto"/>
                      <w:lang w:eastAsia="zh-CN"/>
                    </w:rPr>
                    <w:t>“</w:t>
                  </w:r>
                  <w:r>
                    <w:rPr>
                      <w:rFonts w:hint="default" w:ascii="Times New Roman" w:hAnsi="Times New Roman" w:cs="Times New Roman"/>
                      <w:color w:val="auto"/>
                    </w:rPr>
                    <w:t>三线一单</w:t>
                  </w:r>
                  <w:r>
                    <w:rPr>
                      <w:rFonts w:hint="default" w:ascii="Times New Roman" w:hAnsi="Times New Roman" w:cs="Times New Roman"/>
                      <w:color w:val="auto"/>
                      <w:lang w:eastAsia="zh-CN"/>
                    </w:rPr>
                    <w:t>”</w:t>
                  </w:r>
                  <w:r>
                    <w:rPr>
                      <w:rFonts w:hint="default" w:ascii="Times New Roman" w:hAnsi="Times New Roman" w:cs="Times New Roman"/>
                      <w:color w:val="auto"/>
                    </w:rPr>
                    <w:t>、规划环评要求，是否依法依规落实产能置换、能耗置换、煤炭消费减量替代、污染物排放区域削减等要求。对已建成投产的存量</w:t>
                  </w:r>
                  <w:r>
                    <w:rPr>
                      <w:rFonts w:hint="default" w:ascii="Times New Roman" w:hAnsi="Times New Roman" w:cs="Times New Roman"/>
                      <w:color w:val="auto"/>
                      <w:lang w:eastAsia="zh-CN"/>
                    </w:rPr>
                    <w:t>“</w:t>
                  </w:r>
                  <w:r>
                    <w:rPr>
                      <w:rFonts w:hint="default" w:ascii="Times New Roman" w:hAnsi="Times New Roman" w:cs="Times New Roman"/>
                      <w:color w:val="auto"/>
                    </w:rPr>
                    <w:t>两高</w:t>
                  </w:r>
                  <w:r>
                    <w:rPr>
                      <w:rFonts w:hint="default" w:ascii="Times New Roman" w:hAnsi="Times New Roman" w:cs="Times New Roman"/>
                      <w:color w:val="auto"/>
                      <w:lang w:eastAsia="zh-CN"/>
                    </w:rPr>
                    <w:t>”</w:t>
                  </w:r>
                  <w:r>
                    <w:rPr>
                      <w:rFonts w:hint="default" w:ascii="Times New Roman" w:hAnsi="Times New Roman" w:cs="Times New Roman"/>
                      <w:color w:val="auto"/>
                    </w:rPr>
                    <w:t>项目，有节能减排潜力的加快改造升级，属于落后产能的加快淘汰。</w:t>
                  </w:r>
                </w:p>
              </w:tc>
              <w:tc>
                <w:tcPr>
                  <w:tcW w:w="1032" w:type="pct"/>
                  <w:tcBorders>
                    <w:tl2br w:val="nil"/>
                    <w:tr2bl w:val="nil"/>
                  </w:tcBorders>
                  <w:noWrap w:val="0"/>
                  <w:vAlign w:val="center"/>
                </w:tcPr>
                <w:p w14:paraId="5292AFF2">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lang w:val="en-US" w:eastAsia="zh-CN"/>
                    </w:rPr>
                    <w:t>对照《安徽省</w:t>
                  </w:r>
                  <w:r>
                    <w:rPr>
                      <w:rFonts w:hint="eastAsia" w:ascii="宋体" w:hAnsi="宋体" w:eastAsia="宋体" w:cs="宋体"/>
                      <w:color w:val="auto"/>
                      <w:lang w:val="en-US" w:eastAsia="zh-CN"/>
                    </w:rPr>
                    <w:t>“两高”</w:t>
                  </w:r>
                  <w:r>
                    <w:rPr>
                      <w:rFonts w:hint="default" w:ascii="Times New Roman" w:hAnsi="Times New Roman" w:cs="Times New Roman"/>
                      <w:color w:val="auto"/>
                      <w:lang w:val="en-US" w:eastAsia="zh-CN"/>
                    </w:rPr>
                    <w:t>项目管理目录（试行）》，本项目不属于两高项目。</w:t>
                  </w:r>
                </w:p>
              </w:tc>
              <w:tc>
                <w:tcPr>
                  <w:tcW w:w="576" w:type="pct"/>
                  <w:tcBorders>
                    <w:tl2br w:val="nil"/>
                    <w:tr2bl w:val="nil"/>
                  </w:tcBorders>
                  <w:noWrap w:val="0"/>
                  <w:vAlign w:val="center"/>
                </w:tcPr>
                <w:p w14:paraId="2A2F9DA1">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CBF0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continue"/>
                  <w:tcBorders>
                    <w:tl2br w:val="nil"/>
                    <w:tr2bl w:val="nil"/>
                  </w:tcBorders>
                  <w:noWrap w:val="0"/>
                  <w:vAlign w:val="center"/>
                </w:tcPr>
                <w:p w14:paraId="3B93B8CB">
                  <w:pPr>
                    <w:pStyle w:val="240"/>
                    <w:bidi w:val="0"/>
                    <w:spacing w:line="240" w:lineRule="auto"/>
                    <w:jc w:val="center"/>
                    <w:rPr>
                      <w:rFonts w:hint="default" w:ascii="Times New Roman" w:hAnsi="Times New Roman" w:cs="Times New Roman"/>
                      <w:color w:val="auto"/>
                    </w:rPr>
                  </w:pPr>
                </w:p>
              </w:tc>
              <w:tc>
                <w:tcPr>
                  <w:tcW w:w="442" w:type="pct"/>
                  <w:vMerge w:val="restart"/>
                  <w:tcBorders>
                    <w:tl2br w:val="nil"/>
                    <w:tr2bl w:val="nil"/>
                  </w:tcBorders>
                  <w:noWrap w:val="0"/>
                  <w:vAlign w:val="center"/>
                </w:tcPr>
                <w:p w14:paraId="3578EE69">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2371" w:type="pct"/>
                  <w:tcBorders>
                    <w:tl2br w:val="nil"/>
                    <w:tr2bl w:val="nil"/>
                  </w:tcBorders>
                  <w:noWrap w:val="0"/>
                  <w:vAlign w:val="center"/>
                </w:tcPr>
                <w:p w14:paraId="5B6DFD8E">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lang w:val="en-US" w:eastAsia="zh-CN"/>
                    </w:rPr>
                    <w:t>49新建、改建、扩建排放重点大气污染物的项目不符合总量控制要求的，不得通过环境影响评价。</w:t>
                  </w:r>
                </w:p>
              </w:tc>
              <w:tc>
                <w:tcPr>
                  <w:tcW w:w="1032" w:type="pct"/>
                  <w:tcBorders>
                    <w:tl2br w:val="nil"/>
                    <w:tr2bl w:val="nil"/>
                  </w:tcBorders>
                  <w:noWrap w:val="0"/>
                  <w:vAlign w:val="center"/>
                </w:tcPr>
                <w:p w14:paraId="3607D360">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本项目目前正积极履行环评手续</w:t>
                  </w:r>
                </w:p>
              </w:tc>
              <w:tc>
                <w:tcPr>
                  <w:tcW w:w="576" w:type="pct"/>
                  <w:tcBorders>
                    <w:tl2br w:val="nil"/>
                    <w:tr2bl w:val="nil"/>
                  </w:tcBorders>
                  <w:noWrap w:val="0"/>
                  <w:vAlign w:val="center"/>
                </w:tcPr>
                <w:p w14:paraId="3ED1BAC8">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51002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continue"/>
                  <w:tcBorders>
                    <w:tl2br w:val="nil"/>
                    <w:tr2bl w:val="nil"/>
                  </w:tcBorders>
                  <w:noWrap w:val="0"/>
                  <w:vAlign w:val="center"/>
                </w:tcPr>
                <w:p w14:paraId="3619556F">
                  <w:pPr>
                    <w:pStyle w:val="240"/>
                    <w:bidi w:val="0"/>
                    <w:spacing w:line="240" w:lineRule="auto"/>
                    <w:jc w:val="center"/>
                    <w:rPr>
                      <w:rFonts w:hint="default" w:ascii="Times New Roman" w:hAnsi="Times New Roman" w:cs="Times New Roman"/>
                      <w:color w:val="auto"/>
                    </w:rPr>
                  </w:pPr>
                </w:p>
              </w:tc>
              <w:tc>
                <w:tcPr>
                  <w:tcW w:w="442" w:type="pct"/>
                  <w:vMerge w:val="continue"/>
                  <w:tcBorders>
                    <w:tl2br w:val="nil"/>
                    <w:tr2bl w:val="nil"/>
                  </w:tcBorders>
                  <w:noWrap w:val="0"/>
                  <w:vAlign w:val="center"/>
                </w:tcPr>
                <w:p w14:paraId="267E063F">
                  <w:pPr>
                    <w:pStyle w:val="240"/>
                    <w:bidi w:val="0"/>
                    <w:spacing w:line="240" w:lineRule="auto"/>
                    <w:jc w:val="center"/>
                    <w:rPr>
                      <w:rFonts w:hint="default" w:ascii="Times New Roman" w:hAnsi="Times New Roman" w:cs="Times New Roman"/>
                      <w:color w:val="auto"/>
                    </w:rPr>
                  </w:pPr>
                </w:p>
              </w:tc>
              <w:tc>
                <w:tcPr>
                  <w:tcW w:w="2371" w:type="pct"/>
                  <w:tcBorders>
                    <w:tl2br w:val="nil"/>
                    <w:tr2bl w:val="nil"/>
                  </w:tcBorders>
                  <w:noWrap w:val="0"/>
                  <w:vAlign w:val="center"/>
                </w:tcPr>
                <w:p w14:paraId="46D25586">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54全面推动挥发性有机物纳入排污许可管理。禁止建设生产和使用高挥发油墨、胶粘剂、清洗剂等项目。加快推进石化、化工性有机物含量涂料、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032" w:type="pct"/>
                  <w:tcBorders>
                    <w:tl2br w:val="nil"/>
                    <w:tr2bl w:val="nil"/>
                  </w:tcBorders>
                  <w:noWrap w:val="0"/>
                  <w:vAlign w:val="center"/>
                </w:tcPr>
                <w:p w14:paraId="4C67B44D">
                  <w:pPr>
                    <w:pStyle w:val="240"/>
                    <w:bidi w:val="0"/>
                    <w:spacing w:line="240" w:lineRule="auto"/>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项目按照要求进行排污许可管理。项目不使用</w:t>
                  </w:r>
                  <w:r>
                    <w:rPr>
                      <w:rFonts w:hint="eastAsia" w:ascii="Times New Roman" w:hAnsi="Times New Roman" w:cs="Times New Roman"/>
                      <w:color w:val="auto"/>
                      <w:lang w:val="en-US" w:eastAsia="zh-CN"/>
                    </w:rPr>
                    <w:t>有机物料</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项目主要废物污染物为颗粒物</w:t>
                  </w:r>
                </w:p>
              </w:tc>
              <w:tc>
                <w:tcPr>
                  <w:tcW w:w="576" w:type="pct"/>
                  <w:tcBorders>
                    <w:tl2br w:val="nil"/>
                    <w:tr2bl w:val="nil"/>
                  </w:tcBorders>
                  <w:noWrap w:val="0"/>
                  <w:vAlign w:val="center"/>
                </w:tcPr>
                <w:p w14:paraId="5CD11994">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7AA3B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7" w:type="pct"/>
                  <w:vMerge w:val="continue"/>
                  <w:tcBorders>
                    <w:tl2br w:val="nil"/>
                    <w:tr2bl w:val="nil"/>
                  </w:tcBorders>
                  <w:noWrap w:val="0"/>
                  <w:vAlign w:val="center"/>
                </w:tcPr>
                <w:p w14:paraId="66FA8AF0">
                  <w:pPr>
                    <w:pStyle w:val="240"/>
                    <w:bidi w:val="0"/>
                    <w:spacing w:line="240" w:lineRule="auto"/>
                    <w:jc w:val="center"/>
                    <w:rPr>
                      <w:rFonts w:hint="default" w:ascii="Times New Roman" w:hAnsi="Times New Roman" w:cs="Times New Roman"/>
                      <w:color w:val="auto"/>
                    </w:rPr>
                  </w:pPr>
                </w:p>
              </w:tc>
              <w:tc>
                <w:tcPr>
                  <w:tcW w:w="442" w:type="pct"/>
                  <w:vMerge w:val="continue"/>
                  <w:tcBorders>
                    <w:tl2br w:val="nil"/>
                    <w:tr2bl w:val="nil"/>
                  </w:tcBorders>
                  <w:noWrap w:val="0"/>
                  <w:vAlign w:val="center"/>
                </w:tcPr>
                <w:p w14:paraId="2F0CC262">
                  <w:pPr>
                    <w:pStyle w:val="240"/>
                    <w:bidi w:val="0"/>
                    <w:spacing w:line="240" w:lineRule="auto"/>
                    <w:jc w:val="center"/>
                    <w:rPr>
                      <w:rFonts w:hint="default" w:ascii="Times New Roman" w:hAnsi="Times New Roman" w:cs="Times New Roman"/>
                      <w:color w:val="auto"/>
                    </w:rPr>
                  </w:pPr>
                </w:p>
              </w:tc>
              <w:tc>
                <w:tcPr>
                  <w:tcW w:w="2371" w:type="pct"/>
                  <w:tcBorders>
                    <w:tl2br w:val="nil"/>
                    <w:tr2bl w:val="nil"/>
                  </w:tcBorders>
                  <w:noWrap w:val="0"/>
                  <w:vAlign w:val="center"/>
                </w:tcPr>
                <w:p w14:paraId="6ACED8A0">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59按《挥发性有机物无组织排放控制标准》(GB37822-2019)要求，做好VOCs物料储存、物料转移和输送、工艺过程、设备与管线组件、敞开液面VOCs排放，以及VOCs无组织排放废气收集处理系统要求。</w:t>
                  </w:r>
                </w:p>
              </w:tc>
              <w:tc>
                <w:tcPr>
                  <w:tcW w:w="1032" w:type="pct"/>
                  <w:tcBorders>
                    <w:tl2br w:val="nil"/>
                    <w:tr2bl w:val="nil"/>
                  </w:tcBorders>
                  <w:noWrap w:val="0"/>
                  <w:vAlign w:val="center"/>
                </w:tcPr>
                <w:p w14:paraId="0E28BD37">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不涉及有机物料</w:t>
                  </w:r>
                </w:p>
              </w:tc>
              <w:tc>
                <w:tcPr>
                  <w:tcW w:w="576" w:type="pct"/>
                  <w:tcBorders>
                    <w:tl2br w:val="nil"/>
                    <w:tr2bl w:val="nil"/>
                  </w:tcBorders>
                  <w:noWrap w:val="0"/>
                  <w:vAlign w:val="center"/>
                </w:tcPr>
                <w:p w14:paraId="0CA90614">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bl>
          <w:p w14:paraId="6F5A95AF">
            <w:pPr>
              <w:pStyle w:val="57"/>
              <w:spacing w:line="360" w:lineRule="auto"/>
              <w:ind w:firstLine="482" w:firstLineChars="200"/>
              <w:rPr>
                <w:color w:val="auto"/>
              </w:rPr>
            </w:pPr>
            <w:r>
              <w:rPr>
                <w:color w:val="auto"/>
              </w:rPr>
              <w:t>综上所述，项目的建设符合</w:t>
            </w:r>
            <w:r>
              <w:rPr>
                <w:rFonts w:hint="eastAsia" w:ascii="宋体" w:hAnsi="宋体" w:eastAsia="宋体" w:cs="宋体"/>
                <w:color w:val="auto"/>
              </w:rPr>
              <w:t>“三线一单”</w:t>
            </w:r>
            <w:r>
              <w:rPr>
                <w:color w:val="auto"/>
              </w:rPr>
              <w:t>相关要求。</w:t>
            </w:r>
          </w:p>
          <w:p w14:paraId="46570C99">
            <w:pPr>
              <w:spacing w:line="360" w:lineRule="auto"/>
              <w:jc w:val="left"/>
              <w:rPr>
                <w:color w:val="auto"/>
                <w:sz w:val="24"/>
              </w:rPr>
            </w:pPr>
            <w:r>
              <w:rPr>
                <w:rFonts w:hint="eastAsia"/>
                <w:color w:val="auto"/>
                <w:sz w:val="24"/>
              </w:rPr>
              <w:t>4、与安徽省空气质量持续改善行动方案（皖政【2024】36号）符合性分析</w:t>
            </w:r>
          </w:p>
          <w:p w14:paraId="0B691557">
            <w:pPr>
              <w:spacing w:line="240" w:lineRule="auto"/>
              <w:jc w:val="center"/>
              <w:rPr>
                <w:b/>
                <w:bCs/>
                <w:color w:val="auto"/>
                <w:sz w:val="24"/>
              </w:rPr>
            </w:pPr>
            <w:r>
              <w:rPr>
                <w:b/>
                <w:bCs/>
                <w:color w:val="auto"/>
                <w:sz w:val="24"/>
              </w:rPr>
              <w:t>表</w:t>
            </w:r>
            <w:r>
              <w:rPr>
                <w:rFonts w:hint="eastAsia"/>
                <w:b/>
                <w:bCs/>
                <w:color w:val="auto"/>
                <w:sz w:val="24"/>
              </w:rPr>
              <w:t>1-</w:t>
            </w:r>
            <w:r>
              <w:rPr>
                <w:rFonts w:hint="eastAsia"/>
                <w:b/>
                <w:bCs/>
                <w:color w:val="auto"/>
                <w:sz w:val="24"/>
                <w:lang w:val="en-US" w:eastAsia="zh-CN"/>
              </w:rPr>
              <w:t>6</w:t>
            </w:r>
            <w:r>
              <w:rPr>
                <w:rFonts w:hint="eastAsia"/>
                <w:b/>
                <w:bCs/>
                <w:color w:val="auto"/>
                <w:sz w:val="24"/>
              </w:rPr>
              <w:t xml:space="preserve"> 与</w:t>
            </w:r>
            <w:r>
              <w:rPr>
                <w:b/>
                <w:bCs/>
                <w:color w:val="auto"/>
                <w:sz w:val="24"/>
              </w:rPr>
              <w:t>《</w:t>
            </w:r>
            <w:r>
              <w:rPr>
                <w:rFonts w:hint="eastAsia"/>
                <w:b/>
                <w:bCs/>
                <w:color w:val="auto"/>
                <w:sz w:val="24"/>
              </w:rPr>
              <w:t>安徽省空气质量持续改善行动方案</w:t>
            </w:r>
            <w:r>
              <w:rPr>
                <w:b/>
                <w:bCs/>
                <w:color w:val="auto"/>
                <w:sz w:val="24"/>
              </w:rPr>
              <w:t>》</w:t>
            </w:r>
            <w:r>
              <w:rPr>
                <w:rFonts w:hint="eastAsia"/>
                <w:b/>
                <w:bCs/>
                <w:color w:val="auto"/>
                <w:sz w:val="24"/>
              </w:rPr>
              <w:t>（皖政【2024】36号）</w:t>
            </w:r>
            <w:r>
              <w:rPr>
                <w:b/>
                <w:bCs/>
                <w:color w:val="auto"/>
                <w:sz w:val="24"/>
              </w:rPr>
              <w:t>符合性分析</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559"/>
              <w:gridCol w:w="1943"/>
              <w:gridCol w:w="869"/>
            </w:tblGrid>
            <w:tr w14:paraId="26639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73" w:type="pct"/>
                  <w:vAlign w:val="center"/>
                </w:tcPr>
                <w:p w14:paraId="4B389097">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922" w:type="pct"/>
                  <w:vAlign w:val="center"/>
                </w:tcPr>
                <w:p w14:paraId="540FCD2B">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具体内容</w:t>
                  </w:r>
                </w:p>
              </w:tc>
              <w:tc>
                <w:tcPr>
                  <w:tcW w:w="1245" w:type="pct"/>
                  <w:vAlign w:val="center"/>
                </w:tcPr>
                <w:p w14:paraId="7D3EBC11">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本项目情况</w:t>
                  </w:r>
                </w:p>
              </w:tc>
              <w:tc>
                <w:tcPr>
                  <w:tcW w:w="557" w:type="pct"/>
                  <w:vAlign w:val="center"/>
                </w:tcPr>
                <w:p w14:paraId="6AC1C305">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符合性分析</w:t>
                  </w:r>
                </w:p>
              </w:tc>
            </w:tr>
            <w:tr w14:paraId="59A79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5C7EAEF">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922" w:type="pct"/>
                  <w:vAlign w:val="center"/>
                </w:tcPr>
                <w:p w14:paraId="718CC77C">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245" w:type="pct"/>
                  <w:vAlign w:val="center"/>
                </w:tcPr>
                <w:p w14:paraId="40CDD92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val="en-US" w:eastAsia="zh-CN"/>
                    </w:rPr>
                    <w:t>为水泥制品制造，</w:t>
                  </w:r>
                  <w:r>
                    <w:rPr>
                      <w:rFonts w:hint="default" w:ascii="Times New Roman" w:hAnsi="Times New Roman" w:cs="Times New Roman"/>
                      <w:color w:val="auto"/>
                      <w:szCs w:val="21"/>
                    </w:rPr>
                    <w:t>不属于两高项目，符合相关产业政策和规划要求，不属于产能严重过剩行业。</w:t>
                  </w:r>
                </w:p>
              </w:tc>
              <w:tc>
                <w:tcPr>
                  <w:tcW w:w="557" w:type="pct"/>
                  <w:vAlign w:val="center"/>
                </w:tcPr>
                <w:p w14:paraId="340FB535">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8362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CD2D997">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922" w:type="pct"/>
                  <w:vAlign w:val="center"/>
                </w:tcPr>
                <w:p w14:paraId="0FF236E6">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245" w:type="pct"/>
                  <w:vAlign w:val="center"/>
                </w:tcPr>
                <w:p w14:paraId="5A30BC24">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本项目不属于《产业结构调整指导目录》（2024年本）中淘汰类行业。</w:t>
                  </w:r>
                </w:p>
              </w:tc>
              <w:tc>
                <w:tcPr>
                  <w:tcW w:w="557" w:type="pct"/>
                  <w:vAlign w:val="center"/>
                </w:tcPr>
                <w:p w14:paraId="1AAE9FD3">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3418A163">
            <w:pPr>
              <w:spacing w:line="360" w:lineRule="auto"/>
              <w:jc w:val="left"/>
              <w:rPr>
                <w:rFonts w:hint="default"/>
                <w:color w:val="auto"/>
                <w:sz w:val="24"/>
                <w:lang w:val="en-US" w:eastAsia="zh-CN"/>
              </w:rPr>
            </w:pPr>
            <w:r>
              <w:rPr>
                <w:rFonts w:hint="eastAsia"/>
                <w:b w:val="0"/>
                <w:bCs w:val="0"/>
                <w:color w:val="auto"/>
                <w:sz w:val="24"/>
                <w:lang w:val="en-US" w:eastAsia="zh-CN"/>
              </w:rPr>
              <w:t>5、与《安徽省建筑工程施工和预拌混凝土生产扬尘污染防治标准（试行）》（皖环发﹝2019﹞17号）相符性分析</w:t>
            </w:r>
          </w:p>
          <w:p w14:paraId="386B2A44">
            <w:pPr>
              <w:spacing w:line="240" w:lineRule="auto"/>
              <w:jc w:val="center"/>
              <w:rPr>
                <w:rFonts w:hint="default"/>
                <w:color w:val="auto"/>
                <w:sz w:val="24"/>
                <w:szCs w:val="24"/>
                <w:lang w:val="en-US" w:eastAsia="zh-CN"/>
              </w:rPr>
            </w:pPr>
            <w:r>
              <w:rPr>
                <w:rFonts w:hint="eastAsia"/>
                <w:b/>
                <w:bCs/>
                <w:color w:val="auto"/>
                <w:sz w:val="24"/>
                <w:lang w:val="en-US" w:eastAsia="zh-CN"/>
              </w:rPr>
              <w:t>表1-7 与《安</w:t>
            </w:r>
            <w:r>
              <w:rPr>
                <w:rFonts w:hint="eastAsia"/>
                <w:b/>
                <w:bCs/>
                <w:color w:val="auto"/>
                <w:sz w:val="24"/>
                <w:szCs w:val="24"/>
                <w:lang w:val="en-US" w:eastAsia="zh-CN"/>
              </w:rPr>
              <w:t>徽省建筑工程施工和预拌混凝土生产扬尘污染防治标准（试行）》（皖环发﹝2019﹞17号）符合性分析</w:t>
            </w:r>
          </w:p>
          <w:tbl>
            <w:tblPr>
              <w:tblStyle w:val="4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3320"/>
              <w:gridCol w:w="3041"/>
              <w:gridCol w:w="852"/>
            </w:tblGrid>
            <w:tr w14:paraId="5A54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182D15E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128" w:type="pct"/>
                  <w:tcBorders>
                    <w:tl2br w:val="nil"/>
                    <w:tr2bl w:val="nil"/>
                  </w:tcBorders>
                  <w:noWrap w:val="0"/>
                  <w:vAlign w:val="center"/>
                </w:tcPr>
                <w:p w14:paraId="5799222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文件要求</w:t>
                  </w:r>
                </w:p>
              </w:tc>
              <w:tc>
                <w:tcPr>
                  <w:tcW w:w="1949" w:type="pct"/>
                  <w:tcBorders>
                    <w:tl2br w:val="nil"/>
                    <w:tr2bl w:val="nil"/>
                  </w:tcBorders>
                  <w:noWrap w:val="0"/>
                  <w:vAlign w:val="center"/>
                </w:tcPr>
                <w:p w14:paraId="08732A1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546" w:type="pct"/>
                  <w:tcBorders>
                    <w:tl2br w:val="nil"/>
                    <w:tr2bl w:val="nil"/>
                  </w:tcBorders>
                  <w:noWrap w:val="0"/>
                  <w:vAlign w:val="center"/>
                </w:tcPr>
                <w:p w14:paraId="7A4328E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w:t>
                  </w:r>
                </w:p>
              </w:tc>
            </w:tr>
            <w:tr w14:paraId="3AD79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28F097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128" w:type="pct"/>
                  <w:tcBorders>
                    <w:tl2br w:val="nil"/>
                    <w:tr2bl w:val="nil"/>
                  </w:tcBorders>
                  <w:noWrap w:val="0"/>
                  <w:vAlign w:val="center"/>
                </w:tcPr>
                <w:p w14:paraId="47E9C8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6.3.1预拌混凝土生产区宜使用封闭式厂房。</w:t>
                  </w:r>
                </w:p>
                <w:p w14:paraId="47EA8CC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6.3.2砂石堆场与配料设施应整体封闭，骨料传输皮带机与生产主机楼包括粉料筒仓应整体封闭。</w:t>
                  </w:r>
                </w:p>
                <w:p w14:paraId="2C23AA0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6.3.3砂石堆场应建设分仓档隔墙，宜设置排水沟。砂石堆场、卸料区、车辆进出口及骨料配料设施应有降尘抑尘设施设备。骨料卸料、配料应在室内完成，宜采用布料机。下料点应采取喷淋或其他抑尘措施。</w:t>
                  </w:r>
                </w:p>
              </w:tc>
              <w:tc>
                <w:tcPr>
                  <w:tcW w:w="1949" w:type="pct"/>
                  <w:tcBorders>
                    <w:tl2br w:val="nil"/>
                    <w:tr2bl w:val="nil"/>
                  </w:tcBorders>
                  <w:noWrap w:val="0"/>
                  <w:vAlign w:val="center"/>
                </w:tcPr>
                <w:p w14:paraId="27D3D9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本项目混凝土生产区采用封闭式钢结构厂房；</w:t>
                  </w:r>
                </w:p>
                <w:p w14:paraId="6CC864A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rPr>
                    <w:t>砂子、碎石</w:t>
                  </w:r>
                  <w:r>
                    <w:rPr>
                      <w:rFonts w:hint="default" w:ascii="Times New Roman" w:hAnsi="Times New Roman" w:eastAsia="宋体" w:cs="Times New Roman"/>
                      <w:color w:val="auto"/>
                      <w:sz w:val="21"/>
                      <w:szCs w:val="21"/>
                      <w:highlight w:val="none"/>
                    </w:rPr>
                    <w:t>堆场设置在封闭式厂房内且设置分仓档隔墙，</w:t>
                  </w:r>
                  <w:r>
                    <w:rPr>
                      <w:rFonts w:hint="eastAsia" w:cs="Times New Roman"/>
                      <w:color w:val="auto"/>
                      <w:sz w:val="21"/>
                      <w:szCs w:val="21"/>
                      <w:highlight w:val="none"/>
                      <w:lang w:val="en-US" w:eastAsia="zh-CN"/>
                    </w:rPr>
                    <w:t>骨料为密闭输送，水泥及粉煤灰筒仓均密闭储存。</w:t>
                  </w:r>
                  <w:r>
                    <w:rPr>
                      <w:rFonts w:hint="default" w:ascii="Times New Roman" w:hAnsi="Times New Roman" w:eastAsia="宋体" w:cs="Times New Roman"/>
                      <w:color w:val="auto"/>
                      <w:sz w:val="21"/>
                      <w:szCs w:val="21"/>
                    </w:rPr>
                    <w:t>骨料卸料、配料</w:t>
                  </w:r>
                  <w:r>
                    <w:rPr>
                      <w:rFonts w:hint="eastAsia" w:cs="Times New Roman"/>
                      <w:color w:val="auto"/>
                      <w:sz w:val="21"/>
                      <w:szCs w:val="21"/>
                      <w:lang w:val="en-US" w:eastAsia="zh-CN"/>
                    </w:rPr>
                    <w:t>均</w:t>
                  </w:r>
                  <w:r>
                    <w:rPr>
                      <w:rFonts w:hint="default" w:ascii="Times New Roman" w:hAnsi="Times New Roman" w:eastAsia="宋体" w:cs="Times New Roman"/>
                      <w:color w:val="auto"/>
                      <w:sz w:val="21"/>
                      <w:szCs w:val="21"/>
                    </w:rPr>
                    <w:t>室内完</w:t>
                  </w:r>
                  <w:r>
                    <w:rPr>
                      <w:rFonts w:hint="default" w:ascii="Times New Roman" w:hAnsi="Times New Roman" w:eastAsia="宋体" w:cs="Times New Roman"/>
                      <w:color w:val="auto"/>
                      <w:sz w:val="21"/>
                      <w:szCs w:val="21"/>
                      <w:highlight w:val="none"/>
                    </w:rPr>
                    <w:t>成</w:t>
                  </w:r>
                  <w:r>
                    <w:rPr>
                      <w:rFonts w:hint="eastAsia" w:cs="Times New Roman"/>
                      <w:color w:val="auto"/>
                      <w:sz w:val="21"/>
                      <w:szCs w:val="21"/>
                      <w:highlight w:val="none"/>
                      <w:lang w:val="en-US" w:eastAsia="zh-CN"/>
                    </w:rPr>
                    <w:t>并采用布料仓，骨料堆放区、配料区、搅拌区上方，均安装水喷淋抑尘装置</w:t>
                  </w:r>
                </w:p>
              </w:tc>
              <w:tc>
                <w:tcPr>
                  <w:tcW w:w="546" w:type="pct"/>
                  <w:tcBorders>
                    <w:tl2br w:val="nil"/>
                    <w:tr2bl w:val="nil"/>
                  </w:tcBorders>
                  <w:noWrap w:val="0"/>
                  <w:vAlign w:val="center"/>
                </w:tcPr>
                <w:p w14:paraId="4540140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D3F5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5D75C9A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128" w:type="pct"/>
                  <w:tcBorders>
                    <w:tl2br w:val="nil"/>
                    <w:tr2bl w:val="nil"/>
                  </w:tcBorders>
                  <w:noWrap w:val="0"/>
                  <w:vAlign w:val="center"/>
                </w:tcPr>
                <w:p w14:paraId="7E79902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6.3.4搅拌站（楼）一层宜采用混凝土结构，主体二层及以上部分应实施封闭。主机楼内应保持清洁，不得扬尘。主机楼搅拌层和称量层宜安装冲洗设备，冲洗产生的废水应收集再利用。</w:t>
                  </w:r>
                </w:p>
              </w:tc>
              <w:tc>
                <w:tcPr>
                  <w:tcW w:w="1949" w:type="pct"/>
                  <w:tcBorders>
                    <w:tl2br w:val="nil"/>
                    <w:tr2bl w:val="nil"/>
                  </w:tcBorders>
                  <w:noWrap w:val="0"/>
                  <w:vAlign w:val="center"/>
                </w:tcPr>
                <w:p w14:paraId="40728C3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项目混凝土搅拌</w:t>
                  </w:r>
                  <w:r>
                    <w:rPr>
                      <w:rFonts w:hint="eastAsia" w:cs="Times New Roman"/>
                      <w:color w:val="auto"/>
                      <w:sz w:val="21"/>
                      <w:szCs w:val="21"/>
                      <w:highlight w:val="none"/>
                      <w:lang w:val="en-US" w:eastAsia="zh-CN"/>
                    </w:rPr>
                    <w:t>站</w:t>
                  </w:r>
                  <w:r>
                    <w:rPr>
                      <w:rFonts w:hint="default" w:ascii="Times New Roman" w:hAnsi="Times New Roman" w:eastAsia="宋体" w:cs="Times New Roman"/>
                      <w:color w:val="auto"/>
                      <w:sz w:val="21"/>
                      <w:szCs w:val="21"/>
                      <w:highlight w:val="none"/>
                    </w:rPr>
                    <w:t>整体为封闭，搅拌</w:t>
                  </w:r>
                  <w:r>
                    <w:rPr>
                      <w:rFonts w:hint="eastAsia" w:cs="Times New Roman"/>
                      <w:color w:val="auto"/>
                      <w:sz w:val="21"/>
                      <w:szCs w:val="21"/>
                      <w:highlight w:val="none"/>
                      <w:lang w:val="en-US" w:eastAsia="zh-CN"/>
                    </w:rPr>
                    <w:t>机清洗废水经沉淀池处理后回用于生产</w:t>
                  </w:r>
                </w:p>
              </w:tc>
              <w:tc>
                <w:tcPr>
                  <w:tcW w:w="546" w:type="pct"/>
                  <w:tcBorders>
                    <w:tl2br w:val="nil"/>
                    <w:tr2bl w:val="nil"/>
                  </w:tcBorders>
                  <w:shd w:val="clear" w:color="auto" w:fill="auto"/>
                  <w:noWrap w:val="0"/>
                  <w:vAlign w:val="center"/>
                </w:tcPr>
                <w:p w14:paraId="0E0F7DB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符合</w:t>
                  </w:r>
                </w:p>
              </w:tc>
            </w:tr>
            <w:tr w14:paraId="3E048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77B15A0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128" w:type="pct"/>
                  <w:tcBorders>
                    <w:tl2br w:val="nil"/>
                    <w:tr2bl w:val="nil"/>
                  </w:tcBorders>
                  <w:noWrap w:val="0"/>
                  <w:vAlign w:val="center"/>
                </w:tcPr>
                <w:p w14:paraId="08E781E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6.3.5搅拌主机、骨料集料仓及粉料筒仓应安装强制式除尘脉冲清理设备，滤芯宜采用专用除尘布袋，除尘机宜安装用于判断滤芯使用有效性的压力感应设备。螺旋机与枰体软连接应采用专用除尘布袋。除尘设备必须保持正常使用状态，滤芯、除尘布袋等易损部件必须定期保养、更换。</w:t>
                  </w:r>
                </w:p>
                <w:p w14:paraId="4F8D4A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6.3.6搅拌主机除与各类材料秤体和除尘设备接口外，不应有其他通向大气的出口。粉料筒仓除吹灰管、除尘设备以及压力安全阀出口外，不应有其他通向厂房外界大气的出口。</w:t>
                  </w:r>
                </w:p>
                <w:p w14:paraId="20E5D3C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6.3.7粉料筒仓应配备装料限位及压力报警系统。吹灰管应采用硬式封闭接口，粉料上料储存过程应有专人监控，不得泄露。上料期间收尘设备设施应同步有效运转。</w:t>
                  </w:r>
                </w:p>
              </w:tc>
              <w:tc>
                <w:tcPr>
                  <w:tcW w:w="1949" w:type="pct"/>
                  <w:tcBorders>
                    <w:tl2br w:val="nil"/>
                    <w:tr2bl w:val="nil"/>
                  </w:tcBorders>
                  <w:noWrap w:val="0"/>
                  <w:vAlign w:val="center"/>
                </w:tcPr>
                <w:p w14:paraId="0117CF0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本项目搅拌主机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骨料配料</w:t>
                  </w:r>
                  <w:r>
                    <w:rPr>
                      <w:rFonts w:hint="default" w:ascii="Times New Roman" w:hAnsi="Times New Roman" w:eastAsia="宋体" w:cs="Times New Roman"/>
                      <w:color w:val="auto"/>
                      <w:sz w:val="21"/>
                      <w:szCs w:val="21"/>
                      <w:highlight w:val="none"/>
                    </w:rPr>
                    <w:t>及粉料筒仓均已安装布袋除尘器处理，除尘布袋定期保养更换。搅拌主机除与各类材料秤体和除尘设备接口外，其余均封闭。粉料筒仓除吹灰管、除尘设备以及压力安全阀出口外，其余均封闭；粉料筒仓吹灰管已采用硬式封闭接口，粉料上料储存过程已设置专人监控，不得泄露。上料期间收尘设备设施已确保同步有效运转</w:t>
                  </w:r>
                </w:p>
              </w:tc>
              <w:tc>
                <w:tcPr>
                  <w:tcW w:w="546" w:type="pct"/>
                  <w:tcBorders>
                    <w:tl2br w:val="nil"/>
                    <w:tr2bl w:val="nil"/>
                  </w:tcBorders>
                  <w:shd w:val="clear" w:color="auto" w:fill="auto"/>
                  <w:noWrap w:val="0"/>
                  <w:vAlign w:val="center"/>
                </w:tcPr>
                <w:p w14:paraId="12C654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符合</w:t>
                  </w:r>
                </w:p>
              </w:tc>
            </w:tr>
          </w:tbl>
          <w:p w14:paraId="07E49785">
            <w:pPr>
              <w:spacing w:line="360" w:lineRule="auto"/>
              <w:jc w:val="left"/>
              <w:rPr>
                <w:rFonts w:hint="eastAsia"/>
                <w:color w:val="auto"/>
                <w:sz w:val="24"/>
                <w:lang w:val="en-US" w:eastAsia="zh-CN"/>
              </w:rPr>
            </w:pP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与</w:t>
            </w:r>
            <w:r>
              <w:rPr>
                <w:rFonts w:hint="eastAsia" w:ascii="Times New Roman" w:hAnsi="Times New Roman" w:eastAsia="宋体" w:cs="Times New Roman"/>
                <w:bCs/>
                <w:color w:val="auto"/>
                <w:sz w:val="24"/>
                <w:szCs w:val="24"/>
              </w:rPr>
              <w:t>《安徽省混凝土搅拌站环境综合整治工作方案》</w:t>
            </w:r>
            <w:r>
              <w:rPr>
                <w:rFonts w:ascii="Times New Roman" w:hAnsi="Times New Roman" w:eastAsia="宋体" w:cs="Times New Roman"/>
                <w:color w:val="auto"/>
                <w:sz w:val="24"/>
                <w:szCs w:val="24"/>
              </w:rPr>
              <w:t>符合性分析</w:t>
            </w:r>
          </w:p>
          <w:p w14:paraId="1C226717">
            <w:pPr>
              <w:spacing w:line="360" w:lineRule="auto"/>
              <w:jc w:val="center"/>
              <w:rPr>
                <w:rFonts w:hint="default"/>
                <w:b/>
                <w:bCs/>
                <w:color w:val="auto"/>
                <w:sz w:val="24"/>
                <w:lang w:val="en-US" w:eastAsia="zh-CN"/>
              </w:rPr>
            </w:pPr>
            <w:r>
              <w:rPr>
                <w:rFonts w:hint="eastAsia"/>
                <w:b/>
                <w:bCs/>
                <w:color w:val="auto"/>
                <w:sz w:val="24"/>
                <w:lang w:val="en-US" w:eastAsia="zh-CN"/>
              </w:rPr>
              <w:t>表1-8 与《安徽省混凝土搅拌站环境综合整治工作方案》符合性分析</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506"/>
              <w:gridCol w:w="3420"/>
              <w:gridCol w:w="869"/>
            </w:tblGrid>
            <w:tr w14:paraId="19AE40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2FFC2587">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文件要求</w:t>
                  </w:r>
                </w:p>
              </w:tc>
              <w:tc>
                <w:tcPr>
                  <w:tcW w:w="2193" w:type="pct"/>
                  <w:vAlign w:val="center"/>
                </w:tcPr>
                <w:p w14:paraId="773871B9">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本项目情况</w:t>
                  </w:r>
                </w:p>
              </w:tc>
              <w:tc>
                <w:tcPr>
                  <w:tcW w:w="557" w:type="pct"/>
                  <w:vAlign w:val="center"/>
                </w:tcPr>
                <w:p w14:paraId="4B6FC390">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结论</w:t>
                  </w:r>
                </w:p>
              </w:tc>
            </w:tr>
            <w:tr w14:paraId="155CA9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571EA287">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 xml:space="preserve">新建、迁建、扩建、改建混凝土搅拌站应当符合城市总体规划要求和布点规划要求；避开环境敏感区，远离居民聚居区，布局在当地主导风向的下风向；并严格履行建设项目环境影响 </w:t>
                  </w:r>
                </w:p>
                <w:p w14:paraId="33567C94">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评价，按照规范要求同步配套建设环保设施，落实环境管理</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三同时</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 xml:space="preserve">制度，符合国家和本省的法律、法规、规章和技术标准的，建设行政主管部门方可予以备案，环境保护主管部门 </w:t>
                  </w:r>
                </w:p>
                <w:p w14:paraId="4CF90257">
                  <w:pPr>
                    <w:adjustRightInd w:val="0"/>
                    <w:snapToGrid w:val="0"/>
                    <w:jc w:val="center"/>
                    <w:rPr>
                      <w:rFonts w:ascii="Times New Roman" w:hAnsi="Times New Roman" w:eastAsia="宋体" w:cs="Times New Roman"/>
                      <w:b/>
                      <w:bCs/>
                      <w:color w:val="auto"/>
                      <w:szCs w:val="21"/>
                    </w:rPr>
                  </w:pPr>
                  <w:r>
                    <w:rPr>
                      <w:rFonts w:hint="eastAsia" w:ascii="Times New Roman" w:hAnsi="Times New Roman" w:eastAsia="宋体" w:cs="Times New Roman"/>
                      <w:color w:val="auto"/>
                      <w:szCs w:val="21"/>
                    </w:rPr>
                    <w:t>方可履行建设项目竣工环保验收</w:t>
                  </w:r>
                </w:p>
              </w:tc>
              <w:tc>
                <w:tcPr>
                  <w:tcW w:w="2193" w:type="pct"/>
                  <w:vAlign w:val="center"/>
                </w:tcPr>
                <w:p w14:paraId="07DBA5D7">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本项目建设《淮南市东部工业区总体规划（2008-2020）》；</w:t>
                  </w:r>
                  <w:r>
                    <w:rPr>
                      <w:rFonts w:hint="eastAsia" w:ascii="Times New Roman" w:hAnsi="Times New Roman" w:eastAsia="宋体" w:cs="Times New Roman"/>
                      <w:color w:val="auto"/>
                      <w:szCs w:val="21"/>
                      <w:lang w:val="en-US" w:eastAsia="zh-CN"/>
                    </w:rPr>
                    <w:t>淮南市</w:t>
                  </w:r>
                  <w:r>
                    <w:rPr>
                      <w:rFonts w:hint="eastAsia" w:ascii="Times New Roman" w:hAnsi="Times New Roman" w:eastAsia="宋体" w:cs="Times New Roman"/>
                      <w:color w:val="auto"/>
                      <w:szCs w:val="21"/>
                    </w:rPr>
                    <w:t>主导风向为东风，本项目位于下风向500m范围内无居民。项目严格执行环境影响评价制度，按照规范要求同步配套建设环保设施，落实环境管理</w:t>
                  </w:r>
                  <w:r>
                    <w:rPr>
                      <w:rFonts w:hint="eastAsia" w:ascii="宋体" w:hAnsi="宋体" w:eastAsia="宋体" w:cs="宋体"/>
                      <w:color w:val="auto"/>
                      <w:szCs w:val="21"/>
                    </w:rPr>
                    <w:t>“三同时”</w:t>
                  </w:r>
                  <w:r>
                    <w:rPr>
                      <w:rFonts w:hint="eastAsia" w:ascii="Times New Roman" w:hAnsi="Times New Roman" w:eastAsia="宋体" w:cs="Times New Roman"/>
                      <w:color w:val="auto"/>
                      <w:szCs w:val="21"/>
                    </w:rPr>
                    <w:t>制度。</w:t>
                  </w:r>
                </w:p>
              </w:tc>
              <w:tc>
                <w:tcPr>
                  <w:tcW w:w="557" w:type="pct"/>
                  <w:vAlign w:val="center"/>
                </w:tcPr>
                <w:p w14:paraId="1075E19B">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785AE5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3B447E5D">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混凝土搅拌站应采用封闭式管理，外围护应使用砖砌围墙或彩钢板围墙，高度应≥2m，并确保牢固和整洁，出入门符合规范要求。</w:t>
                  </w:r>
                </w:p>
              </w:tc>
              <w:tc>
                <w:tcPr>
                  <w:tcW w:w="2193" w:type="pct"/>
                  <w:vAlign w:val="center"/>
                </w:tcPr>
                <w:p w14:paraId="4DB07C24">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本项目混凝土搅拌站采用全封闭式，外围护使用</w:t>
                  </w:r>
                  <w:r>
                    <w:rPr>
                      <w:rFonts w:hint="eastAsia" w:ascii="Times New Roman" w:hAnsi="Times New Roman" w:eastAsia="宋体" w:cs="Times New Roman"/>
                      <w:color w:val="auto"/>
                      <w:szCs w:val="21"/>
                    </w:rPr>
                    <w:t>砖砌围墙</w:t>
                  </w:r>
                  <w:r>
                    <w:rPr>
                      <w:rFonts w:hint="eastAsia" w:cs="Times New Roman"/>
                      <w:color w:val="auto"/>
                      <w:szCs w:val="21"/>
                      <w:lang w:eastAsia="zh-CN"/>
                    </w:rPr>
                    <w:t>，</w:t>
                  </w:r>
                  <w:r>
                    <w:rPr>
                      <w:rFonts w:ascii="Times New Roman" w:hAnsi="Times New Roman" w:eastAsia="宋体" w:cs="Times New Roman"/>
                      <w:color w:val="auto"/>
                      <w:szCs w:val="21"/>
                    </w:rPr>
                    <w:t>高度高于2m，定期检修确保牢固、整洁，符合要求。</w:t>
                  </w:r>
                </w:p>
              </w:tc>
              <w:tc>
                <w:tcPr>
                  <w:tcW w:w="557" w:type="pct"/>
                  <w:vAlign w:val="center"/>
                </w:tcPr>
                <w:p w14:paraId="0697606D">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53CFE6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52339501">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应在出入门口内侧水平距离1m范围内以及混凝土搅拌站区域内设置排水沟槽，排水沟槽的设置应满足区域内总排水量并达到连环贯通；应设置与排水沟槽相连通的污水、废浆水沉淀池，经沉淀处理后的废水应重复使用，做到少排放或零排放。未经沉淀处理且不达标的废水不得排入市政管网和河道。沉淀池应及时清理，清理物应回用或及时运走妥为处理。</w:t>
                  </w:r>
                </w:p>
              </w:tc>
              <w:tc>
                <w:tcPr>
                  <w:tcW w:w="2193" w:type="pct"/>
                  <w:vAlign w:val="center"/>
                </w:tcPr>
                <w:p w14:paraId="1FE83463">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项目</w:t>
                  </w:r>
                  <w:r>
                    <w:rPr>
                      <w:rFonts w:ascii="Times New Roman" w:hAnsi="Times New Roman" w:eastAsia="宋体" w:cs="Times New Roman"/>
                      <w:color w:val="auto"/>
                      <w:szCs w:val="21"/>
                    </w:rPr>
                    <w:t>布设排水沟槽，排水沟槽</w:t>
                  </w:r>
                  <w:r>
                    <w:rPr>
                      <w:rFonts w:hint="eastAsia" w:ascii="Times New Roman" w:hAnsi="Times New Roman" w:eastAsia="宋体" w:cs="Times New Roman"/>
                      <w:color w:val="auto"/>
                      <w:szCs w:val="21"/>
                    </w:rPr>
                    <w:t>设置</w:t>
                  </w:r>
                  <w:r>
                    <w:rPr>
                      <w:rFonts w:ascii="Times New Roman" w:hAnsi="Times New Roman" w:eastAsia="宋体" w:cs="Times New Roman"/>
                      <w:color w:val="auto"/>
                      <w:szCs w:val="21"/>
                    </w:rPr>
                    <w:t>满足总排水量</w:t>
                  </w:r>
                  <w:r>
                    <w:rPr>
                      <w:rFonts w:hint="eastAsia" w:ascii="Times New Roman" w:hAnsi="Times New Roman" w:eastAsia="宋体" w:cs="Times New Roman"/>
                      <w:color w:val="auto"/>
                      <w:szCs w:val="21"/>
                    </w:rPr>
                    <w:t>要求，并达到连环贯通</w:t>
                  </w:r>
                  <w:r>
                    <w:rPr>
                      <w:rFonts w:ascii="Times New Roman" w:hAnsi="Times New Roman" w:eastAsia="宋体" w:cs="Times New Roman"/>
                      <w:color w:val="auto"/>
                      <w:szCs w:val="21"/>
                    </w:rPr>
                    <w:t>。厂区</w:t>
                  </w:r>
                  <w:r>
                    <w:rPr>
                      <w:rFonts w:hint="eastAsia" w:ascii="Times New Roman" w:hAnsi="Times New Roman" w:eastAsia="宋体" w:cs="Times New Roman"/>
                      <w:color w:val="auto"/>
                      <w:szCs w:val="21"/>
                      <w:lang w:val="en-US" w:eastAsia="zh-CN"/>
                    </w:rPr>
                    <w:t>搅拌机清洗</w:t>
                  </w:r>
                  <w:r>
                    <w:rPr>
                      <w:rFonts w:ascii="Times New Roman" w:hAnsi="Times New Roman" w:eastAsia="宋体" w:cs="Times New Roman"/>
                      <w:color w:val="auto"/>
                      <w:szCs w:val="21"/>
                    </w:rPr>
                    <w:t>废水经排水沟槽进入沉淀池，项目产生的生产废水均经过沉淀池沉淀后回用不外排，沉淀池产生的污泥</w:t>
                  </w:r>
                  <w:r>
                    <w:rPr>
                      <w:rFonts w:hint="eastAsia" w:ascii="Times New Roman" w:hAnsi="Times New Roman" w:eastAsia="宋体" w:cs="Times New Roman"/>
                      <w:color w:val="auto"/>
                      <w:szCs w:val="21"/>
                    </w:rPr>
                    <w:t>回用于生产</w:t>
                  </w:r>
                </w:p>
              </w:tc>
              <w:tc>
                <w:tcPr>
                  <w:tcW w:w="557" w:type="pct"/>
                  <w:vAlign w:val="center"/>
                </w:tcPr>
                <w:p w14:paraId="2A2E7875">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293CAD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69D2B586">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混凝土搅拌站内道路路面及生产作业区、物料堆放区的地面应作硬化处理。</w:t>
                  </w:r>
                </w:p>
              </w:tc>
              <w:tc>
                <w:tcPr>
                  <w:tcW w:w="2193" w:type="pct"/>
                  <w:vAlign w:val="center"/>
                </w:tcPr>
                <w:p w14:paraId="538AB49D">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rPr>
                    <w:t>根据调查，</w:t>
                  </w:r>
                  <w:r>
                    <w:rPr>
                      <w:rFonts w:ascii="Times New Roman" w:hAnsi="Times New Roman" w:eastAsia="宋体" w:cs="Times New Roman"/>
                      <w:color w:val="auto"/>
                    </w:rPr>
                    <w:t>项目厂区路面及厂房内部均进行硬化处理</w:t>
                  </w:r>
                </w:p>
              </w:tc>
              <w:tc>
                <w:tcPr>
                  <w:tcW w:w="557" w:type="pct"/>
                  <w:vAlign w:val="center"/>
                </w:tcPr>
                <w:p w14:paraId="0B3FCA33">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609646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17E6DEFD">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围墙四周、生活区、办公区内未硬化的裸土空地应设置绿化。</w:t>
                  </w:r>
                </w:p>
              </w:tc>
              <w:tc>
                <w:tcPr>
                  <w:tcW w:w="2193" w:type="pct"/>
                  <w:vAlign w:val="center"/>
                </w:tcPr>
                <w:p w14:paraId="0F055260">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项目</w:t>
                  </w:r>
                  <w:r>
                    <w:rPr>
                      <w:rFonts w:hint="eastAsia" w:ascii="Times New Roman" w:hAnsi="Times New Roman" w:eastAsia="宋体" w:cs="Times New Roman"/>
                      <w:color w:val="auto"/>
                    </w:rPr>
                    <w:t>生产区、道路均已进行硬化处理，部分未硬化的区域要求进行绿化；本环评要求建设单位对未硬化区域进行绿化</w:t>
                  </w:r>
                </w:p>
              </w:tc>
              <w:tc>
                <w:tcPr>
                  <w:tcW w:w="557" w:type="pct"/>
                  <w:vAlign w:val="center"/>
                </w:tcPr>
                <w:p w14:paraId="5A35E4C5">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32BB3F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6810895E">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混凝土搅拌站内各类混凝土生产需用的骨料堆场，均应分类加装控制扬尘的封闭式库房，确保骨料堆置于库房之中</w:t>
                  </w:r>
                </w:p>
              </w:tc>
              <w:tc>
                <w:tcPr>
                  <w:tcW w:w="2193" w:type="pct"/>
                  <w:vAlign w:val="center"/>
                </w:tcPr>
                <w:p w14:paraId="5D72BDD4">
                  <w:pPr>
                    <w:adjustRightInd w:val="0"/>
                    <w:snapToGrid w:val="0"/>
                    <w:jc w:val="center"/>
                    <w:rPr>
                      <w:rFonts w:ascii="Times New Roman" w:hAnsi="Times New Roman" w:eastAsia="宋体" w:cs="Times New Roman"/>
                      <w:color w:val="auto"/>
                      <w:spacing w:val="12"/>
                      <w:szCs w:val="21"/>
                    </w:rPr>
                  </w:pPr>
                  <w:r>
                    <w:rPr>
                      <w:rFonts w:hint="eastAsia" w:ascii="Times New Roman" w:hAnsi="Times New Roman" w:eastAsia="宋体" w:cs="Times New Roman"/>
                      <w:color w:val="auto"/>
                      <w:lang w:val="en-US" w:eastAsia="zh-CN"/>
                    </w:rPr>
                    <w:t>项目原料堆放区进行</w:t>
                  </w:r>
                  <w:r>
                    <w:rPr>
                      <w:rFonts w:ascii="Times New Roman" w:hAnsi="Times New Roman" w:eastAsia="宋体" w:cs="Times New Roman"/>
                      <w:color w:val="auto"/>
                    </w:rPr>
                    <w:t>封闭</w:t>
                  </w:r>
                  <w:r>
                    <w:rPr>
                      <w:rFonts w:hint="eastAsia" w:ascii="Times New Roman" w:hAnsi="Times New Roman" w:eastAsia="宋体" w:cs="Times New Roman"/>
                      <w:color w:val="auto"/>
                    </w:rPr>
                    <w:t>处理，且设置喷洗系统；本项目</w:t>
                  </w:r>
                  <w:r>
                    <w:rPr>
                      <w:rFonts w:ascii="Times New Roman" w:hAnsi="Times New Roman" w:eastAsia="宋体" w:cs="Times New Roman"/>
                      <w:color w:val="auto"/>
                    </w:rPr>
                    <w:t>物料均放置于封闭的库房中，</w:t>
                  </w:r>
                  <w:r>
                    <w:rPr>
                      <w:rFonts w:hint="eastAsia" w:ascii="Times New Roman" w:hAnsi="Times New Roman" w:eastAsia="宋体" w:cs="Times New Roman"/>
                      <w:color w:val="auto"/>
                      <w:lang w:val="en-US" w:eastAsia="zh-CN"/>
                    </w:rPr>
                    <w:t>原料堆放区</w:t>
                  </w:r>
                  <w:r>
                    <w:rPr>
                      <w:rFonts w:ascii="Times New Roman" w:hAnsi="Times New Roman" w:eastAsia="宋体" w:cs="Times New Roman"/>
                      <w:color w:val="auto"/>
                    </w:rPr>
                    <w:t>内设置喷淋洒水降尘抑尘设施</w:t>
                  </w:r>
                </w:p>
              </w:tc>
              <w:tc>
                <w:tcPr>
                  <w:tcW w:w="557" w:type="pct"/>
                  <w:vAlign w:val="center"/>
                </w:tcPr>
                <w:p w14:paraId="15E95053">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2E0A92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4CA6D770">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搅拌主机、粉料筒仓应使用集尘设施除尘，除尘设施应保持完好，滤芯等易损装置应定期保养或更换。搅拌楼（塔)、粉料筒仓及泵拌车等应保持标识完整和外观整洁。</w:t>
                  </w:r>
                </w:p>
              </w:tc>
              <w:tc>
                <w:tcPr>
                  <w:tcW w:w="2193" w:type="pct"/>
                  <w:vAlign w:val="center"/>
                </w:tcPr>
                <w:p w14:paraId="37A3C086">
                  <w:pPr>
                    <w:adjustRightInd w:val="0"/>
                    <w:snapToGrid w:val="0"/>
                    <w:jc w:val="center"/>
                    <w:rPr>
                      <w:rFonts w:ascii="Times New Roman" w:hAnsi="Times New Roman" w:eastAsia="宋体" w:cs="Times New Roman"/>
                      <w:color w:val="auto"/>
                      <w:spacing w:val="12"/>
                      <w:szCs w:val="21"/>
                    </w:rPr>
                  </w:pPr>
                  <w:r>
                    <w:rPr>
                      <w:rFonts w:ascii="Times New Roman" w:hAnsi="Times New Roman" w:eastAsia="宋体" w:cs="Times New Roman"/>
                      <w:color w:val="auto"/>
                    </w:rPr>
                    <w:t>本项目搅拌机、筒仓均配套除尘设施；混合搅拌粉尘经</w:t>
                  </w:r>
                  <w:r>
                    <w:rPr>
                      <w:rFonts w:hint="eastAsia" w:cs="Times New Roman"/>
                      <w:color w:val="auto"/>
                      <w:lang w:eastAsia="zh-CN"/>
                    </w:rPr>
                    <w:t>密闭收集</w:t>
                  </w:r>
                  <w:r>
                    <w:rPr>
                      <w:rFonts w:ascii="Times New Roman" w:hAnsi="Times New Roman" w:eastAsia="宋体" w:cs="Times New Roman"/>
                      <w:color w:val="auto"/>
                    </w:rPr>
                    <w:t>后引入</w:t>
                  </w:r>
                  <w:r>
                    <w:rPr>
                      <w:rFonts w:hint="eastAsia" w:ascii="Times New Roman" w:hAnsi="Times New Roman" w:eastAsia="宋体" w:cs="Times New Roman"/>
                      <w:color w:val="auto"/>
                      <w:lang w:val="en-US" w:eastAsia="zh-CN"/>
                    </w:rPr>
                    <w:t>布袋</w:t>
                  </w:r>
                  <w:r>
                    <w:rPr>
                      <w:rFonts w:ascii="Times New Roman" w:hAnsi="Times New Roman" w:eastAsia="宋体" w:cs="Times New Roman"/>
                      <w:color w:val="auto"/>
                    </w:rPr>
                    <w:t>除尘器处理后有组织排放。水泥筒仓呼吸粉尘经除尘设施处理后</w:t>
                  </w:r>
                  <w:r>
                    <w:rPr>
                      <w:rFonts w:hint="eastAsia" w:ascii="Times New Roman" w:hAnsi="Times New Roman" w:eastAsia="宋体" w:cs="Times New Roman"/>
                      <w:color w:val="auto"/>
                      <w:lang w:val="en-US" w:eastAsia="zh-CN"/>
                    </w:rPr>
                    <w:t>无组织排放</w:t>
                  </w:r>
                  <w:r>
                    <w:rPr>
                      <w:rFonts w:ascii="Times New Roman" w:hAnsi="Times New Roman" w:eastAsia="宋体" w:cs="Times New Roman"/>
                      <w:color w:val="auto"/>
                    </w:rPr>
                    <w:t>。</w:t>
                  </w:r>
                </w:p>
              </w:tc>
              <w:tc>
                <w:tcPr>
                  <w:tcW w:w="557" w:type="pct"/>
                  <w:vAlign w:val="center"/>
                </w:tcPr>
                <w:p w14:paraId="201DB08B">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6B2F40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48" w:type="pct"/>
                  <w:vAlign w:val="center"/>
                </w:tcPr>
                <w:p w14:paraId="66A2EF58">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混凝土搅拌站应设置胶凝材料浆水回收利用设施，并通过计量等手段在保证混凝土质量的前提下重复使用</w:t>
                  </w:r>
                </w:p>
              </w:tc>
              <w:tc>
                <w:tcPr>
                  <w:tcW w:w="2193" w:type="pct"/>
                  <w:vAlign w:val="center"/>
                </w:tcPr>
                <w:p w14:paraId="13C501AD">
                  <w:pPr>
                    <w:adjustRightInd w:val="0"/>
                    <w:snapToGrid w:val="0"/>
                    <w:jc w:val="center"/>
                    <w:rPr>
                      <w:rFonts w:ascii="Times New Roman" w:hAnsi="Times New Roman" w:eastAsia="宋体" w:cs="Times New Roman"/>
                      <w:color w:val="auto"/>
                      <w:spacing w:val="12"/>
                      <w:szCs w:val="21"/>
                    </w:rPr>
                  </w:pPr>
                  <w:r>
                    <w:rPr>
                      <w:rFonts w:ascii="Times New Roman" w:hAnsi="Times New Roman" w:eastAsia="宋体" w:cs="Times New Roman"/>
                      <w:color w:val="auto"/>
                    </w:rPr>
                    <w:t>本项目设置沉淀池，对</w:t>
                  </w:r>
                  <w:r>
                    <w:rPr>
                      <w:rFonts w:hint="eastAsia" w:ascii="Times New Roman" w:hAnsi="Times New Roman" w:eastAsia="宋体" w:cs="Times New Roman"/>
                      <w:color w:val="auto"/>
                      <w:lang w:val="en-US" w:eastAsia="zh-CN"/>
                    </w:rPr>
                    <w:t>搅拌机清洗</w:t>
                  </w:r>
                  <w:r>
                    <w:rPr>
                      <w:rFonts w:ascii="Times New Roman" w:hAnsi="Times New Roman" w:eastAsia="宋体" w:cs="Times New Roman"/>
                      <w:color w:val="auto"/>
                    </w:rPr>
                    <w:t>废水进行回收利用，并通过计量等手段在保证混凝土质量的前提下重复使用</w:t>
                  </w:r>
                </w:p>
              </w:tc>
              <w:tc>
                <w:tcPr>
                  <w:tcW w:w="557" w:type="pct"/>
                  <w:vAlign w:val="center"/>
                </w:tcPr>
                <w:p w14:paraId="07DE033F">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bl>
          <w:p w14:paraId="3C608562">
            <w:pPr>
              <w:spacing w:line="360" w:lineRule="auto"/>
              <w:jc w:val="left"/>
              <w:rPr>
                <w:color w:val="auto"/>
                <w:sz w:val="24"/>
              </w:rPr>
            </w:pPr>
            <w:r>
              <w:rPr>
                <w:rFonts w:hint="eastAsia"/>
                <w:color w:val="auto"/>
                <w:sz w:val="24"/>
                <w:lang w:val="en-US" w:eastAsia="zh-CN"/>
              </w:rPr>
              <w:t>7</w:t>
            </w:r>
            <w:r>
              <w:rPr>
                <w:rFonts w:hint="eastAsia"/>
                <w:color w:val="auto"/>
                <w:sz w:val="24"/>
              </w:rPr>
              <w:t>、《淮南市202</w:t>
            </w:r>
            <w:r>
              <w:rPr>
                <w:rFonts w:hint="eastAsia"/>
                <w:color w:val="auto"/>
                <w:sz w:val="24"/>
                <w:lang w:val="en-US" w:eastAsia="zh-CN"/>
              </w:rPr>
              <w:t>3</w:t>
            </w:r>
            <w:r>
              <w:rPr>
                <w:rFonts w:hint="eastAsia"/>
                <w:color w:val="auto"/>
                <w:sz w:val="24"/>
              </w:rPr>
              <w:t>年大气污染防治工作要点》（淮</w:t>
            </w:r>
            <w:r>
              <w:rPr>
                <w:rFonts w:hint="eastAsia"/>
                <w:color w:val="auto"/>
                <w:sz w:val="24"/>
                <w:lang w:val="en-US" w:eastAsia="zh-CN"/>
              </w:rPr>
              <w:t>大气</w:t>
            </w:r>
            <w:r>
              <w:rPr>
                <w:rFonts w:hint="eastAsia"/>
                <w:color w:val="auto"/>
                <w:sz w:val="24"/>
              </w:rPr>
              <w:t>办〔202</w:t>
            </w:r>
            <w:r>
              <w:rPr>
                <w:rFonts w:hint="eastAsia"/>
                <w:color w:val="auto"/>
                <w:sz w:val="24"/>
                <w:lang w:val="en-US" w:eastAsia="zh-CN"/>
              </w:rPr>
              <w:t>3</w:t>
            </w:r>
            <w:r>
              <w:rPr>
                <w:rFonts w:hint="eastAsia"/>
                <w:color w:val="auto"/>
                <w:sz w:val="24"/>
              </w:rPr>
              <w:t>〕</w:t>
            </w:r>
            <w:r>
              <w:rPr>
                <w:rFonts w:hint="eastAsia"/>
                <w:color w:val="auto"/>
                <w:sz w:val="24"/>
                <w:lang w:val="en-US" w:eastAsia="zh-CN"/>
              </w:rPr>
              <w:t>6</w:t>
            </w:r>
            <w:r>
              <w:rPr>
                <w:rFonts w:hint="eastAsia"/>
                <w:color w:val="auto"/>
                <w:sz w:val="24"/>
              </w:rPr>
              <w:t>号）相符性分析</w:t>
            </w:r>
          </w:p>
          <w:p w14:paraId="5DE9D5DE">
            <w:pPr>
              <w:spacing w:line="240" w:lineRule="auto"/>
              <w:jc w:val="center"/>
              <w:rPr>
                <w:b/>
                <w:bCs/>
                <w:color w:val="auto"/>
                <w:sz w:val="24"/>
              </w:rPr>
            </w:pPr>
            <w:r>
              <w:rPr>
                <w:b/>
                <w:bCs/>
                <w:color w:val="auto"/>
                <w:sz w:val="24"/>
              </w:rPr>
              <w:t>表1-</w:t>
            </w:r>
            <w:r>
              <w:rPr>
                <w:rFonts w:hint="eastAsia"/>
                <w:b/>
                <w:bCs/>
                <w:color w:val="auto"/>
                <w:sz w:val="24"/>
                <w:lang w:val="en-US" w:eastAsia="zh-CN"/>
              </w:rPr>
              <w:t xml:space="preserve">9 </w:t>
            </w:r>
            <w:r>
              <w:rPr>
                <w:b/>
                <w:bCs/>
                <w:color w:val="auto"/>
                <w:sz w:val="24"/>
              </w:rPr>
              <w:t>与</w:t>
            </w:r>
            <w:r>
              <w:rPr>
                <w:rFonts w:hint="eastAsia"/>
                <w:b/>
                <w:bCs/>
                <w:color w:val="auto"/>
                <w:sz w:val="24"/>
              </w:rPr>
              <w:t>《淮南市202</w:t>
            </w:r>
            <w:r>
              <w:rPr>
                <w:rFonts w:hint="eastAsia"/>
                <w:b/>
                <w:bCs/>
                <w:color w:val="auto"/>
                <w:sz w:val="24"/>
                <w:lang w:val="en-US" w:eastAsia="zh-CN"/>
              </w:rPr>
              <w:t>3</w:t>
            </w:r>
            <w:r>
              <w:rPr>
                <w:rFonts w:hint="eastAsia"/>
                <w:b/>
                <w:bCs/>
                <w:color w:val="auto"/>
                <w:sz w:val="24"/>
              </w:rPr>
              <w:t>年大气污染防治工作要点》（淮</w:t>
            </w:r>
            <w:r>
              <w:rPr>
                <w:rFonts w:hint="eastAsia"/>
                <w:b/>
                <w:bCs/>
                <w:color w:val="auto"/>
                <w:sz w:val="24"/>
                <w:lang w:val="en-US" w:eastAsia="zh-CN"/>
              </w:rPr>
              <w:t>大气</w:t>
            </w:r>
            <w:r>
              <w:rPr>
                <w:rFonts w:hint="eastAsia"/>
                <w:b/>
                <w:bCs/>
                <w:color w:val="auto"/>
                <w:sz w:val="24"/>
              </w:rPr>
              <w:t>办〔202</w:t>
            </w:r>
            <w:r>
              <w:rPr>
                <w:rFonts w:hint="eastAsia"/>
                <w:b/>
                <w:bCs/>
                <w:color w:val="auto"/>
                <w:sz w:val="24"/>
                <w:lang w:val="en-US" w:eastAsia="zh-CN"/>
              </w:rPr>
              <w:t>3</w:t>
            </w:r>
            <w:r>
              <w:rPr>
                <w:rFonts w:hint="eastAsia"/>
                <w:b/>
                <w:bCs/>
                <w:color w:val="auto"/>
                <w:sz w:val="24"/>
              </w:rPr>
              <w:t>〕</w:t>
            </w:r>
            <w:r>
              <w:rPr>
                <w:rFonts w:hint="eastAsia"/>
                <w:b/>
                <w:bCs/>
                <w:color w:val="auto"/>
                <w:sz w:val="24"/>
                <w:lang w:val="en-US" w:eastAsia="zh-CN"/>
              </w:rPr>
              <w:t>6</w:t>
            </w:r>
            <w:r>
              <w:rPr>
                <w:rFonts w:hint="eastAsia"/>
                <w:b/>
                <w:bCs/>
                <w:color w:val="auto"/>
                <w:sz w:val="24"/>
              </w:rPr>
              <w:t>号）</w:t>
            </w:r>
            <w:r>
              <w:rPr>
                <w:b/>
                <w:bCs/>
                <w:color w:val="auto"/>
                <w:sz w:val="24"/>
              </w:rPr>
              <w:t>符合性分析</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43"/>
              <w:gridCol w:w="4510"/>
              <w:gridCol w:w="1736"/>
              <w:gridCol w:w="908"/>
            </w:tblGrid>
            <w:tr w14:paraId="6D6FCA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6EBE9A9C">
                  <w:pPr>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510" w:type="dxa"/>
                  <w:tcBorders>
                    <w:tl2br w:val="nil"/>
                    <w:tr2bl w:val="nil"/>
                  </w:tcBorders>
                  <w:vAlign w:val="center"/>
                </w:tcPr>
                <w:p w14:paraId="6312490B">
                  <w:p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具体内容</w:t>
                  </w:r>
                </w:p>
              </w:tc>
              <w:tc>
                <w:tcPr>
                  <w:tcW w:w="1736" w:type="dxa"/>
                  <w:tcBorders>
                    <w:tl2br w:val="nil"/>
                    <w:tr2bl w:val="nil"/>
                  </w:tcBorders>
                  <w:vAlign w:val="center"/>
                </w:tcPr>
                <w:p w14:paraId="213E4145">
                  <w:p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908" w:type="dxa"/>
                  <w:tcBorders>
                    <w:tl2br w:val="nil"/>
                    <w:tr2bl w:val="nil"/>
                  </w:tcBorders>
                  <w:vAlign w:val="center"/>
                </w:tcPr>
                <w:p w14:paraId="6C5AAB70">
                  <w:pPr>
                    <w:bidi w:val="0"/>
                    <w:spacing w:line="24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相符性</w:t>
                  </w:r>
                </w:p>
              </w:tc>
            </w:tr>
            <w:tr w14:paraId="1574A5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74B63A79">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510" w:type="dxa"/>
                  <w:tcBorders>
                    <w:tl2br w:val="nil"/>
                    <w:tr2bl w:val="nil"/>
                  </w:tcBorders>
                  <w:vAlign w:val="center"/>
                </w:tcPr>
                <w:p w14:paraId="4EC652E7">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全面推进碳达峰碳中和。制订实施淮南市《碳达峰实施方案》。落实安徽省减污降碳协同增效工作方案，构建减污降碳协同制度，完善碳达峰行动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政策体系。积极参与碳排放权交易，开展发电行业重点排放单位碳排放权交易配额分配和清缴。加强甲烷等非二氧化碳温室气体排放管控，探索将温室气体管控纳入环评管理。</w:t>
                  </w:r>
                </w:p>
              </w:tc>
              <w:tc>
                <w:tcPr>
                  <w:tcW w:w="1736" w:type="dxa"/>
                  <w:tcBorders>
                    <w:tl2br w:val="nil"/>
                    <w:tr2bl w:val="nil"/>
                  </w:tcBorders>
                  <w:vAlign w:val="center"/>
                </w:tcPr>
                <w:p w14:paraId="0DEE23AE">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本项目符合国家的相关法律法规，无甲烷等非二氧化碳温室气体排放。</w:t>
                  </w:r>
                </w:p>
              </w:tc>
              <w:tc>
                <w:tcPr>
                  <w:tcW w:w="908" w:type="dxa"/>
                  <w:tcBorders>
                    <w:tl2br w:val="nil"/>
                    <w:tr2bl w:val="nil"/>
                  </w:tcBorders>
                  <w:vAlign w:val="center"/>
                </w:tcPr>
                <w:p w14:paraId="03DB7719">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22E16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00DD0786">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510" w:type="dxa"/>
                  <w:tcBorders>
                    <w:tl2br w:val="nil"/>
                    <w:tr2bl w:val="nil"/>
                  </w:tcBorders>
                  <w:vAlign w:val="center"/>
                </w:tcPr>
                <w:p w14:paraId="4D11D77E">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做好煤炭减量控制。压减非电行业用煤，完成省下达的煤炭消费量年度目标；新、改、扩建项目严格实施煤炭减量替代，煤炭替代方案不完善的依法不予审批。加强商品煤质量监督和管理，确保符合国家和地方标准要求。推进煤炭清洁高效利用。禁止新建企业自备燃煤设施，加快供热管网建设，充分释放燃煤电厂、工业余热等供热能力。</w:t>
                  </w:r>
                </w:p>
              </w:tc>
              <w:tc>
                <w:tcPr>
                  <w:tcW w:w="1736" w:type="dxa"/>
                  <w:vMerge w:val="restart"/>
                  <w:tcBorders>
                    <w:tl2br w:val="nil"/>
                    <w:tr2bl w:val="nil"/>
                  </w:tcBorders>
                  <w:vAlign w:val="center"/>
                </w:tcPr>
                <w:p w14:paraId="571DC1F0">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本项目无自建燃煤设施。</w:t>
                  </w:r>
                </w:p>
              </w:tc>
              <w:tc>
                <w:tcPr>
                  <w:tcW w:w="908" w:type="dxa"/>
                  <w:tcBorders>
                    <w:tl2br w:val="nil"/>
                    <w:tr2bl w:val="nil"/>
                  </w:tcBorders>
                  <w:vAlign w:val="center"/>
                </w:tcPr>
                <w:p w14:paraId="709A3D79">
                  <w:pPr>
                    <w:bidi w:val="0"/>
                    <w:spacing w:line="240" w:lineRule="auto"/>
                    <w:jc w:val="center"/>
                    <w:rPr>
                      <w:rFonts w:hint="default" w:ascii="Times New Roman" w:hAnsi="Times New Roman" w:eastAsia="宋体" w:cs="Times New Roman"/>
                      <w:color w:val="auto"/>
                      <w:sz w:val="21"/>
                      <w:szCs w:val="21"/>
                    </w:rPr>
                  </w:pPr>
                </w:p>
              </w:tc>
            </w:tr>
            <w:tr w14:paraId="4576CD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4B3DAC2B">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510" w:type="dxa"/>
                  <w:tcBorders>
                    <w:tl2br w:val="nil"/>
                    <w:tr2bl w:val="nil"/>
                  </w:tcBorders>
                  <w:vAlign w:val="center"/>
                </w:tcPr>
                <w:p w14:paraId="4EDF4D06">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深度实施清洁能源替代。鼓励砖瓦炉窑外投燃料使用天然气、液化石油气等清洁能源。禁燃区内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散煤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动态清零，禁燃区外积极发展生物质、农村沼气等多种清洁能源。燃气锅炉应全部安装低氮燃烧装置，完成低氮燃烧改造的锅炉应逐一核实低氮燃烧装置运行情况。实施可再生能源替代行动，加快建设新型能源供应系统，因地制宜开发风电与光伏发电，鼓励建设风能、太阳能、生物质能等新能源项目。</w:t>
                  </w:r>
                </w:p>
              </w:tc>
              <w:tc>
                <w:tcPr>
                  <w:tcW w:w="1736" w:type="dxa"/>
                  <w:vMerge w:val="continue"/>
                  <w:tcBorders>
                    <w:tl2br w:val="nil"/>
                    <w:tr2bl w:val="nil"/>
                  </w:tcBorders>
                  <w:vAlign w:val="center"/>
                </w:tcPr>
                <w:p w14:paraId="4A313220">
                  <w:pPr>
                    <w:bidi w:val="0"/>
                    <w:spacing w:line="240" w:lineRule="auto"/>
                    <w:jc w:val="center"/>
                    <w:rPr>
                      <w:rFonts w:hint="default" w:ascii="Times New Roman" w:hAnsi="Times New Roman" w:eastAsia="宋体" w:cs="Times New Roman"/>
                      <w:color w:val="auto"/>
                      <w:sz w:val="21"/>
                      <w:szCs w:val="21"/>
                    </w:rPr>
                  </w:pPr>
                </w:p>
              </w:tc>
              <w:tc>
                <w:tcPr>
                  <w:tcW w:w="908" w:type="dxa"/>
                  <w:tcBorders>
                    <w:tl2br w:val="nil"/>
                    <w:tr2bl w:val="nil"/>
                  </w:tcBorders>
                  <w:vAlign w:val="center"/>
                </w:tcPr>
                <w:p w14:paraId="78CD816E">
                  <w:pPr>
                    <w:bidi w:val="0"/>
                    <w:spacing w:line="240" w:lineRule="auto"/>
                    <w:jc w:val="center"/>
                    <w:rPr>
                      <w:rFonts w:hint="default" w:ascii="Times New Roman" w:hAnsi="Times New Roman" w:eastAsia="宋体" w:cs="Times New Roman"/>
                      <w:color w:val="auto"/>
                      <w:sz w:val="21"/>
                      <w:szCs w:val="21"/>
                    </w:rPr>
                  </w:pPr>
                </w:p>
              </w:tc>
            </w:tr>
            <w:tr w14:paraId="6F4D8F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6100D30B">
                  <w:pPr>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510" w:type="dxa"/>
                  <w:tcBorders>
                    <w:tl2br w:val="nil"/>
                    <w:tr2bl w:val="nil"/>
                  </w:tcBorders>
                  <w:vAlign w:val="center"/>
                </w:tcPr>
                <w:p w14:paraId="6015216F">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加快产业结构转型升级。开展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项目排查，实施清单管理、分类处置、动态监控，对不符合规定的新申项目坚决停批停建，科学稳妥推进符合要求的拟建项目。依法依规淘汰落后产能和化解过剩产能。</w:t>
                  </w:r>
                </w:p>
              </w:tc>
              <w:tc>
                <w:tcPr>
                  <w:tcW w:w="1736" w:type="dxa"/>
                  <w:tcBorders>
                    <w:tl2br w:val="nil"/>
                    <w:tr2bl w:val="nil"/>
                  </w:tcBorders>
                  <w:vAlign w:val="center"/>
                </w:tcPr>
                <w:p w14:paraId="20400C32">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对照《安徽省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两高</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rPr>
                    <w:t>项目管理目录（试行）》，本项目不属于两高项目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落后产能和化解过剩产能</w:t>
                  </w:r>
                  <w:r>
                    <w:rPr>
                      <w:rFonts w:hint="default" w:ascii="Times New Roman" w:hAnsi="Times New Roman" w:eastAsia="宋体" w:cs="Times New Roman"/>
                      <w:color w:val="auto"/>
                      <w:sz w:val="21"/>
                      <w:szCs w:val="21"/>
                      <w:lang w:val="en-US" w:eastAsia="zh-CN"/>
                    </w:rPr>
                    <w:t>。</w:t>
                  </w:r>
                </w:p>
              </w:tc>
              <w:tc>
                <w:tcPr>
                  <w:tcW w:w="908" w:type="dxa"/>
                  <w:tcBorders>
                    <w:tl2br w:val="nil"/>
                    <w:tr2bl w:val="nil"/>
                  </w:tcBorders>
                  <w:vAlign w:val="center"/>
                </w:tcPr>
                <w:p w14:paraId="0E0B101C">
                  <w:pPr>
                    <w:bidi w:val="0"/>
                    <w:spacing w:line="240" w:lineRule="auto"/>
                    <w:jc w:val="center"/>
                    <w:rPr>
                      <w:rFonts w:hint="default" w:ascii="Times New Roman" w:hAnsi="Times New Roman" w:eastAsia="宋体" w:cs="Times New Roman"/>
                      <w:color w:val="auto"/>
                      <w:sz w:val="21"/>
                      <w:szCs w:val="21"/>
                    </w:rPr>
                  </w:pPr>
                </w:p>
              </w:tc>
            </w:tr>
          </w:tbl>
          <w:p w14:paraId="3710C5AF">
            <w:pPr>
              <w:spacing w:line="360" w:lineRule="auto"/>
              <w:jc w:val="left"/>
              <w:rPr>
                <w:rFonts w:hint="eastAsia" w:hAnsi="黑体" w:eastAsia="黑体"/>
                <w:color w:val="auto"/>
                <w:sz w:val="24"/>
                <w:szCs w:val="24"/>
              </w:rPr>
            </w:pPr>
            <w:r>
              <w:rPr>
                <w:rFonts w:hint="eastAsia"/>
                <w:color w:val="auto"/>
                <w:sz w:val="24"/>
                <w:lang w:val="en-US" w:eastAsia="zh-CN"/>
              </w:rPr>
              <w:t>8</w:t>
            </w:r>
            <w:r>
              <w:rPr>
                <w:rFonts w:hint="eastAsia"/>
                <w:color w:val="auto"/>
                <w:sz w:val="24"/>
              </w:rPr>
              <w:t>、与《</w:t>
            </w:r>
            <w:r>
              <w:rPr>
                <w:color w:val="auto"/>
                <w:sz w:val="24"/>
              </w:rPr>
              <w:t>安徽省淮河流域水污染防治条例</w:t>
            </w:r>
            <w:r>
              <w:rPr>
                <w:rFonts w:hint="eastAsia"/>
                <w:color w:val="auto"/>
                <w:sz w:val="24"/>
              </w:rPr>
              <w:t>》符合性</w:t>
            </w:r>
          </w:p>
          <w:p w14:paraId="197C9E32">
            <w:pPr>
              <w:pStyle w:val="57"/>
              <w:adjustRightInd/>
              <w:spacing w:line="360" w:lineRule="auto"/>
              <w:jc w:val="center"/>
              <w:rPr>
                <w:b/>
                <w:bCs/>
                <w:color w:val="auto"/>
              </w:rPr>
            </w:pPr>
            <w:r>
              <w:rPr>
                <w:b/>
                <w:bCs/>
                <w:color w:val="auto"/>
              </w:rPr>
              <w:t>表1-</w:t>
            </w:r>
            <w:r>
              <w:rPr>
                <w:rFonts w:hint="eastAsia"/>
                <w:b/>
                <w:bCs/>
                <w:color w:val="auto"/>
                <w:lang w:val="en-US" w:eastAsia="zh-CN"/>
              </w:rPr>
              <w:t>10</w:t>
            </w:r>
            <w:r>
              <w:rPr>
                <w:rFonts w:hint="eastAsia"/>
                <w:b/>
                <w:bCs/>
                <w:color w:val="auto"/>
              </w:rPr>
              <w:t xml:space="preserve"> </w:t>
            </w:r>
            <w:r>
              <w:rPr>
                <w:b/>
                <w:bCs/>
                <w:color w:val="auto"/>
              </w:rPr>
              <w:t>与《安徽省淮河流域水污染防治条例》符合性分析</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4407"/>
              <w:gridCol w:w="1828"/>
              <w:gridCol w:w="906"/>
            </w:tblGrid>
            <w:tr w14:paraId="2F625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5CCDB2EA">
                  <w:pPr>
                    <w:jc w:val="center"/>
                    <w:rPr>
                      <w:b/>
                      <w:color w:val="auto"/>
                      <w:szCs w:val="21"/>
                    </w:rPr>
                  </w:pPr>
                  <w:bookmarkStart w:id="4" w:name="OLE_LINK2"/>
                  <w:r>
                    <w:rPr>
                      <w:b/>
                      <w:color w:val="auto"/>
                      <w:szCs w:val="21"/>
                    </w:rPr>
                    <w:t>序号</w:t>
                  </w:r>
                </w:p>
              </w:tc>
              <w:tc>
                <w:tcPr>
                  <w:tcW w:w="2826" w:type="pct"/>
                  <w:vAlign w:val="center"/>
                </w:tcPr>
                <w:p w14:paraId="5A55912D">
                  <w:pPr>
                    <w:jc w:val="center"/>
                    <w:rPr>
                      <w:b/>
                      <w:color w:val="auto"/>
                      <w:szCs w:val="21"/>
                    </w:rPr>
                  </w:pPr>
                  <w:r>
                    <w:rPr>
                      <w:rFonts w:hint="eastAsia"/>
                      <w:b/>
                      <w:color w:val="auto"/>
                      <w:szCs w:val="21"/>
                    </w:rPr>
                    <w:t>相关要求</w:t>
                  </w:r>
                </w:p>
              </w:tc>
              <w:tc>
                <w:tcPr>
                  <w:tcW w:w="1172" w:type="pct"/>
                  <w:vAlign w:val="center"/>
                </w:tcPr>
                <w:p w14:paraId="1FAF40D8">
                  <w:pPr>
                    <w:jc w:val="center"/>
                    <w:rPr>
                      <w:b/>
                      <w:color w:val="auto"/>
                      <w:szCs w:val="21"/>
                    </w:rPr>
                  </w:pPr>
                  <w:r>
                    <w:rPr>
                      <w:rFonts w:hint="eastAsia"/>
                      <w:b/>
                      <w:color w:val="auto"/>
                      <w:szCs w:val="21"/>
                    </w:rPr>
                    <w:t>本项目情况</w:t>
                  </w:r>
                </w:p>
              </w:tc>
              <w:tc>
                <w:tcPr>
                  <w:tcW w:w="581" w:type="pct"/>
                  <w:vAlign w:val="center"/>
                </w:tcPr>
                <w:p w14:paraId="21575B9D">
                  <w:pPr>
                    <w:jc w:val="center"/>
                    <w:rPr>
                      <w:b/>
                      <w:color w:val="auto"/>
                      <w:szCs w:val="21"/>
                    </w:rPr>
                  </w:pPr>
                  <w:r>
                    <w:rPr>
                      <w:rFonts w:hint="eastAsia"/>
                      <w:b/>
                      <w:color w:val="auto"/>
                      <w:szCs w:val="21"/>
                    </w:rPr>
                    <w:t>符合性分析</w:t>
                  </w:r>
                </w:p>
              </w:tc>
            </w:tr>
            <w:tr w14:paraId="501D7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69ECE9C6">
                  <w:pPr>
                    <w:jc w:val="center"/>
                    <w:rPr>
                      <w:color w:val="auto"/>
                      <w:szCs w:val="21"/>
                    </w:rPr>
                  </w:pPr>
                  <w:r>
                    <w:rPr>
                      <w:color w:val="auto"/>
                      <w:szCs w:val="21"/>
                    </w:rPr>
                    <w:t>1</w:t>
                  </w:r>
                </w:p>
              </w:tc>
              <w:tc>
                <w:tcPr>
                  <w:tcW w:w="2826" w:type="pct"/>
                  <w:vAlign w:val="center"/>
                </w:tcPr>
                <w:p w14:paraId="40D14F7C">
                  <w:pPr>
                    <w:jc w:val="center"/>
                    <w:rPr>
                      <w:color w:val="auto"/>
                      <w:kern w:val="0"/>
                      <w:szCs w:val="21"/>
                    </w:rPr>
                  </w:pPr>
                  <w:r>
                    <w:rPr>
                      <w:color w:val="auto"/>
                      <w:kern w:val="0"/>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r>
                    <w:rPr>
                      <w:rFonts w:hint="eastAsia"/>
                      <w:color w:val="auto"/>
                      <w:kern w:val="0"/>
                      <w:szCs w:val="21"/>
                    </w:rPr>
                    <w:t>。</w:t>
                  </w:r>
                </w:p>
              </w:tc>
              <w:tc>
                <w:tcPr>
                  <w:tcW w:w="1172" w:type="pct"/>
                  <w:vAlign w:val="center"/>
                </w:tcPr>
                <w:p w14:paraId="38E319DF">
                  <w:pPr>
                    <w:jc w:val="center"/>
                    <w:rPr>
                      <w:color w:val="auto"/>
                      <w:kern w:val="0"/>
                      <w:szCs w:val="21"/>
                    </w:rPr>
                  </w:pPr>
                  <w:r>
                    <w:rPr>
                      <w:color w:val="auto"/>
                      <w:kern w:val="0"/>
                      <w:szCs w:val="21"/>
                    </w:rPr>
                    <w:t>本项目</w:t>
                  </w:r>
                  <w:r>
                    <w:rPr>
                      <w:rFonts w:hint="eastAsia"/>
                      <w:color w:val="auto"/>
                      <w:kern w:val="0"/>
                      <w:szCs w:val="21"/>
                    </w:rPr>
                    <w:t>为</w:t>
                  </w:r>
                  <w:r>
                    <w:rPr>
                      <w:rFonts w:hint="eastAsia"/>
                      <w:color w:val="auto"/>
                      <w:lang w:val="en-US" w:eastAsia="zh-CN"/>
                    </w:rPr>
                    <w:t>水泥制品制造</w:t>
                  </w:r>
                  <w:r>
                    <w:rPr>
                      <w:rFonts w:hint="eastAsia"/>
                      <w:color w:val="auto"/>
                      <w:kern w:val="0"/>
                      <w:szCs w:val="21"/>
                    </w:rPr>
                    <w:t>，不属于印染、制革、化工、电镀、酿造等类型项目。</w:t>
                  </w:r>
                </w:p>
              </w:tc>
              <w:tc>
                <w:tcPr>
                  <w:tcW w:w="581" w:type="pct"/>
                  <w:vAlign w:val="center"/>
                </w:tcPr>
                <w:p w14:paraId="7B6440F9">
                  <w:pPr>
                    <w:jc w:val="center"/>
                    <w:rPr>
                      <w:color w:val="auto"/>
                      <w:szCs w:val="21"/>
                    </w:rPr>
                  </w:pPr>
                  <w:r>
                    <w:rPr>
                      <w:rFonts w:hint="eastAsia"/>
                      <w:color w:val="auto"/>
                      <w:szCs w:val="21"/>
                    </w:rPr>
                    <w:t>符合</w:t>
                  </w:r>
                </w:p>
              </w:tc>
            </w:tr>
            <w:tr w14:paraId="163B6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1649B77E">
                  <w:pPr>
                    <w:jc w:val="center"/>
                    <w:rPr>
                      <w:color w:val="auto"/>
                      <w:szCs w:val="21"/>
                    </w:rPr>
                  </w:pPr>
                  <w:r>
                    <w:rPr>
                      <w:color w:val="auto"/>
                      <w:szCs w:val="21"/>
                    </w:rPr>
                    <w:t>2</w:t>
                  </w:r>
                </w:p>
              </w:tc>
              <w:tc>
                <w:tcPr>
                  <w:tcW w:w="2826" w:type="pct"/>
                  <w:vAlign w:val="center"/>
                </w:tcPr>
                <w:p w14:paraId="25110948">
                  <w:pPr>
                    <w:jc w:val="left"/>
                    <w:rPr>
                      <w:color w:val="auto"/>
                      <w:kern w:val="0"/>
                      <w:szCs w:val="21"/>
                    </w:rPr>
                  </w:pPr>
                  <w:r>
                    <w:rPr>
                      <w:color w:val="auto"/>
                      <w:kern w:val="0"/>
                      <w:szCs w:val="21"/>
                    </w:rPr>
                    <w:t>在淮河流域城市公共排水设施覆盖区域内，应当实行雨水、污水分流；排水户应当将雨水、污水分别排入公共雨水、污水管网及其附属设施。</w:t>
                  </w:r>
                </w:p>
              </w:tc>
              <w:tc>
                <w:tcPr>
                  <w:tcW w:w="1172" w:type="pct"/>
                  <w:vAlign w:val="center"/>
                </w:tcPr>
                <w:p w14:paraId="199DE4F4">
                  <w:pPr>
                    <w:jc w:val="center"/>
                    <w:rPr>
                      <w:color w:val="auto"/>
                      <w:kern w:val="0"/>
                      <w:szCs w:val="21"/>
                    </w:rPr>
                  </w:pPr>
                  <w:r>
                    <w:rPr>
                      <w:color w:val="auto"/>
                      <w:kern w:val="0"/>
                      <w:szCs w:val="21"/>
                    </w:rPr>
                    <w:t>项目实行雨污分流</w:t>
                  </w:r>
                  <w:r>
                    <w:rPr>
                      <w:rFonts w:hint="eastAsia"/>
                      <w:color w:val="auto"/>
                      <w:kern w:val="0"/>
                      <w:szCs w:val="21"/>
                    </w:rPr>
                    <w:t>，</w:t>
                  </w:r>
                  <w:r>
                    <w:rPr>
                      <w:color w:val="auto"/>
                      <w:kern w:val="0"/>
                      <w:szCs w:val="21"/>
                    </w:rPr>
                    <w:t>雨水进入市政雨水管网，</w:t>
                  </w:r>
                  <w:r>
                    <w:rPr>
                      <w:rFonts w:hint="eastAsia"/>
                      <w:color w:val="auto"/>
                      <w:kern w:val="0"/>
                      <w:szCs w:val="21"/>
                    </w:rPr>
                    <w:t>产生的废水主要为生活污水，接管进入</w:t>
                  </w:r>
                  <w:r>
                    <w:rPr>
                      <w:rFonts w:hint="eastAsia"/>
                      <w:color w:val="auto"/>
                      <w:kern w:val="0"/>
                      <w:szCs w:val="21"/>
                      <w:lang w:val="en-US" w:eastAsia="zh-CN"/>
                    </w:rPr>
                    <w:t>经开区</w:t>
                  </w:r>
                  <w:r>
                    <w:rPr>
                      <w:rFonts w:hint="eastAsia"/>
                      <w:color w:val="auto"/>
                      <w:kern w:val="0"/>
                      <w:szCs w:val="21"/>
                    </w:rPr>
                    <w:t>污水处理厂。</w:t>
                  </w:r>
                </w:p>
              </w:tc>
              <w:tc>
                <w:tcPr>
                  <w:tcW w:w="581" w:type="pct"/>
                  <w:vAlign w:val="center"/>
                </w:tcPr>
                <w:p w14:paraId="5965174A">
                  <w:pPr>
                    <w:jc w:val="center"/>
                    <w:rPr>
                      <w:color w:val="auto"/>
                      <w:szCs w:val="21"/>
                    </w:rPr>
                  </w:pPr>
                  <w:r>
                    <w:rPr>
                      <w:rFonts w:hint="eastAsia"/>
                      <w:color w:val="auto"/>
                      <w:szCs w:val="21"/>
                    </w:rPr>
                    <w:t>符合</w:t>
                  </w:r>
                </w:p>
              </w:tc>
            </w:tr>
            <w:tr w14:paraId="32246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14:paraId="005E15A3">
                  <w:pPr>
                    <w:jc w:val="center"/>
                    <w:rPr>
                      <w:color w:val="auto"/>
                      <w:szCs w:val="21"/>
                    </w:rPr>
                  </w:pPr>
                  <w:r>
                    <w:rPr>
                      <w:rFonts w:hint="eastAsia"/>
                      <w:color w:val="auto"/>
                      <w:szCs w:val="21"/>
                    </w:rPr>
                    <w:t>3</w:t>
                  </w:r>
                </w:p>
              </w:tc>
              <w:tc>
                <w:tcPr>
                  <w:tcW w:w="2826" w:type="pct"/>
                  <w:vAlign w:val="center"/>
                </w:tcPr>
                <w:p w14:paraId="3470B1F5">
                  <w:pPr>
                    <w:jc w:val="left"/>
                    <w:rPr>
                      <w:color w:val="auto"/>
                      <w:kern w:val="0"/>
                      <w:szCs w:val="21"/>
                    </w:rPr>
                  </w:pPr>
                  <w:r>
                    <w:rPr>
                      <w:rFonts w:hint="eastAsia"/>
                      <w:color w:val="auto"/>
                      <w:kern w:val="0"/>
                      <w:szCs w:val="21"/>
                    </w:rPr>
                    <w:t>第十七条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172" w:type="pct"/>
                  <w:vAlign w:val="center"/>
                </w:tcPr>
                <w:p w14:paraId="6267D021">
                  <w:pPr>
                    <w:jc w:val="center"/>
                    <w:rPr>
                      <w:color w:val="auto"/>
                      <w:kern w:val="0"/>
                      <w:szCs w:val="21"/>
                    </w:rPr>
                  </w:pPr>
                  <w:r>
                    <w:rPr>
                      <w:rFonts w:hint="eastAsia"/>
                      <w:color w:val="auto"/>
                      <w:kern w:val="0"/>
                      <w:szCs w:val="21"/>
                    </w:rPr>
                    <w:t>本项目位于</w:t>
                  </w:r>
                  <w:r>
                    <w:rPr>
                      <w:rFonts w:hint="eastAsia"/>
                      <w:color w:val="auto"/>
                      <w:kern w:val="0"/>
                      <w:szCs w:val="21"/>
                      <w:lang w:val="en-US" w:eastAsia="zh-CN"/>
                    </w:rPr>
                    <w:t>淮南</w:t>
                  </w:r>
                  <w:r>
                    <w:rPr>
                      <w:rFonts w:hint="eastAsia"/>
                      <w:color w:val="auto"/>
                      <w:kern w:val="0"/>
                      <w:szCs w:val="21"/>
                    </w:rPr>
                    <w:t>经济开发区，不在饮用水水源保护区内。</w:t>
                  </w:r>
                </w:p>
              </w:tc>
              <w:tc>
                <w:tcPr>
                  <w:tcW w:w="581" w:type="pct"/>
                  <w:vAlign w:val="center"/>
                </w:tcPr>
                <w:p w14:paraId="43A87F32">
                  <w:pPr>
                    <w:jc w:val="center"/>
                    <w:rPr>
                      <w:color w:val="auto"/>
                      <w:szCs w:val="21"/>
                    </w:rPr>
                  </w:pPr>
                  <w:r>
                    <w:rPr>
                      <w:rFonts w:hint="eastAsia"/>
                      <w:color w:val="auto"/>
                      <w:szCs w:val="21"/>
                    </w:rPr>
                    <w:t>符合</w:t>
                  </w:r>
                </w:p>
              </w:tc>
            </w:tr>
            <w:bookmarkEnd w:id="4"/>
          </w:tbl>
          <w:p w14:paraId="4BFA33B2">
            <w:pPr>
              <w:adjustRightInd w:val="0"/>
              <w:snapToGrid w:val="0"/>
              <w:spacing w:line="240" w:lineRule="auto"/>
              <w:rPr>
                <w:color w:val="auto"/>
                <w:sz w:val="24"/>
              </w:rPr>
            </w:pPr>
            <w:r>
              <w:rPr>
                <w:rFonts w:hint="eastAsia"/>
                <w:bCs/>
                <w:color w:val="auto"/>
                <w:sz w:val="24"/>
                <w:szCs w:val="24"/>
                <w:lang w:val="en-US" w:eastAsia="zh-CN"/>
              </w:rPr>
              <w:t>9</w:t>
            </w:r>
            <w:r>
              <w:rPr>
                <w:rFonts w:hint="eastAsia"/>
                <w:bCs/>
                <w:color w:val="auto"/>
                <w:sz w:val="24"/>
                <w:szCs w:val="24"/>
              </w:rPr>
              <w:t>、项目与排污许可联动内容</w:t>
            </w:r>
            <w:r>
              <w:rPr>
                <w:rFonts w:hint="eastAsia"/>
                <w:color w:val="auto"/>
                <w:sz w:val="24"/>
              </w:rPr>
              <w:t>分析</w:t>
            </w:r>
          </w:p>
          <w:p w14:paraId="589E245B">
            <w:pPr>
              <w:pStyle w:val="57"/>
              <w:spacing w:line="360" w:lineRule="auto"/>
              <w:ind w:firstLine="480" w:firstLineChars="200"/>
              <w:jc w:val="both"/>
              <w:rPr>
                <w:b w:val="0"/>
                <w:bCs w:val="0"/>
                <w:color w:val="auto"/>
              </w:rPr>
            </w:pPr>
            <w:r>
              <w:rPr>
                <w:rFonts w:hint="eastAsia"/>
                <w:b w:val="0"/>
                <w:bCs w:val="0"/>
                <w:color w:val="auto"/>
              </w:rPr>
              <w:t>排污许可管理类别判定：拟建项目国民经济行业类别为C</w:t>
            </w:r>
            <w:r>
              <w:rPr>
                <w:rFonts w:hint="eastAsia"/>
                <w:b w:val="0"/>
                <w:bCs w:val="0"/>
                <w:color w:val="auto"/>
                <w:lang w:val="en-US" w:eastAsia="zh-CN"/>
              </w:rPr>
              <w:t>3021</w:t>
            </w:r>
            <w:r>
              <w:rPr>
                <w:rFonts w:hint="eastAsia" w:hAnsi="宋体"/>
                <w:b w:val="0"/>
                <w:bCs w:val="0"/>
                <w:color w:val="auto"/>
                <w:sz w:val="24"/>
                <w:lang w:val="en-US" w:eastAsia="zh-CN"/>
              </w:rPr>
              <w:t>水泥制品制造</w:t>
            </w:r>
            <w:r>
              <w:rPr>
                <w:rFonts w:hint="eastAsia"/>
                <w:b w:val="0"/>
                <w:bCs w:val="0"/>
                <w:color w:val="auto"/>
              </w:rPr>
              <w:t>，根据《固定污染源排污许可分类管理名录（2019年版）》，拟建项目属于固定污染源排污许可分类管理名录表中的“二十五、非金属矿物制品业 30</w:t>
            </w:r>
            <w:r>
              <w:rPr>
                <w:rFonts w:hint="eastAsia"/>
                <w:b w:val="0"/>
                <w:bCs w:val="0"/>
                <w:color w:val="auto"/>
                <w:lang w:val="en-US" w:eastAsia="zh-CN"/>
              </w:rPr>
              <w:t>中63.水泥、石灰和石膏制造301，石膏、水泥制品及类似制品制造302</w:t>
            </w:r>
            <w:r>
              <w:rPr>
                <w:rFonts w:hint="eastAsia"/>
                <w:b w:val="0"/>
                <w:bCs w:val="0"/>
                <w:color w:val="auto"/>
              </w:rPr>
              <w:t>”，具体分类见下表。</w:t>
            </w:r>
          </w:p>
          <w:p w14:paraId="45E59817">
            <w:pPr>
              <w:pStyle w:val="57"/>
              <w:spacing w:line="360" w:lineRule="auto"/>
              <w:jc w:val="center"/>
              <w:rPr>
                <w:b/>
                <w:bCs/>
                <w:color w:val="auto"/>
              </w:rPr>
            </w:pPr>
            <w:r>
              <w:rPr>
                <w:b/>
                <w:bCs/>
                <w:color w:val="auto"/>
              </w:rPr>
              <w:t>表1-</w:t>
            </w:r>
            <w:r>
              <w:rPr>
                <w:rFonts w:hint="eastAsia"/>
                <w:b/>
                <w:bCs/>
                <w:color w:val="auto"/>
                <w:lang w:val="en-US" w:eastAsia="zh-CN"/>
              </w:rPr>
              <w:t>10</w:t>
            </w:r>
            <w:r>
              <w:rPr>
                <w:rFonts w:hint="eastAsia"/>
                <w:b/>
                <w:bCs/>
                <w:color w:val="auto"/>
              </w:rPr>
              <w:t xml:space="preserve"> 固定污染源排污许可分类管理名录</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7"/>
              <w:gridCol w:w="1239"/>
              <w:gridCol w:w="1440"/>
              <w:gridCol w:w="1680"/>
              <w:gridCol w:w="2982"/>
            </w:tblGrid>
            <w:tr w14:paraId="3C41F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93" w:type="pct"/>
                  <w:vAlign w:val="center"/>
                </w:tcPr>
                <w:p w14:paraId="14088CD0">
                  <w:pPr>
                    <w:bidi w:val="0"/>
                    <w:jc w:val="center"/>
                    <w:rPr>
                      <w:rFonts w:hint="default"/>
                      <w:b/>
                      <w:bCs/>
                      <w:color w:val="auto"/>
                    </w:rPr>
                  </w:pPr>
                  <w:r>
                    <w:rPr>
                      <w:rFonts w:hint="default"/>
                      <w:b/>
                      <w:bCs/>
                      <w:color w:val="auto"/>
                    </w:rPr>
                    <w:t>序号</w:t>
                  </w:r>
                </w:p>
              </w:tc>
              <w:tc>
                <w:tcPr>
                  <w:tcW w:w="794" w:type="pct"/>
                  <w:vAlign w:val="center"/>
                </w:tcPr>
                <w:p w14:paraId="270ED4F7">
                  <w:pPr>
                    <w:bidi w:val="0"/>
                    <w:jc w:val="center"/>
                    <w:rPr>
                      <w:rFonts w:hint="default"/>
                      <w:b/>
                      <w:bCs/>
                      <w:color w:val="auto"/>
                    </w:rPr>
                  </w:pPr>
                  <w:r>
                    <w:rPr>
                      <w:rFonts w:hint="default"/>
                      <w:b/>
                      <w:bCs/>
                      <w:color w:val="auto"/>
                    </w:rPr>
                    <w:t>行业类别</w:t>
                  </w:r>
                </w:p>
              </w:tc>
              <w:tc>
                <w:tcPr>
                  <w:tcW w:w="923" w:type="pct"/>
                  <w:vAlign w:val="center"/>
                </w:tcPr>
                <w:p w14:paraId="7F0CD38E">
                  <w:pPr>
                    <w:bidi w:val="0"/>
                    <w:jc w:val="center"/>
                    <w:rPr>
                      <w:rFonts w:hint="default"/>
                      <w:b/>
                      <w:bCs/>
                      <w:color w:val="auto"/>
                    </w:rPr>
                  </w:pPr>
                  <w:r>
                    <w:rPr>
                      <w:rFonts w:hint="default"/>
                      <w:b/>
                      <w:bCs/>
                      <w:color w:val="auto"/>
                    </w:rPr>
                    <w:t>重点管理</w:t>
                  </w:r>
                </w:p>
              </w:tc>
              <w:tc>
                <w:tcPr>
                  <w:tcW w:w="1077" w:type="pct"/>
                  <w:vAlign w:val="center"/>
                </w:tcPr>
                <w:p w14:paraId="2A1CE7E6">
                  <w:pPr>
                    <w:bidi w:val="0"/>
                    <w:jc w:val="center"/>
                    <w:rPr>
                      <w:rFonts w:hint="default"/>
                      <w:b/>
                      <w:bCs/>
                      <w:color w:val="auto"/>
                    </w:rPr>
                  </w:pPr>
                  <w:r>
                    <w:rPr>
                      <w:rFonts w:hint="default"/>
                      <w:b/>
                      <w:bCs/>
                      <w:color w:val="auto"/>
                    </w:rPr>
                    <w:t>简化管理</w:t>
                  </w:r>
                </w:p>
              </w:tc>
              <w:tc>
                <w:tcPr>
                  <w:tcW w:w="1911" w:type="pct"/>
                  <w:vAlign w:val="center"/>
                </w:tcPr>
                <w:p w14:paraId="31F91907">
                  <w:pPr>
                    <w:bidi w:val="0"/>
                    <w:jc w:val="center"/>
                    <w:rPr>
                      <w:rFonts w:hint="default"/>
                      <w:b/>
                      <w:bCs/>
                      <w:color w:val="auto"/>
                    </w:rPr>
                  </w:pPr>
                  <w:r>
                    <w:rPr>
                      <w:rFonts w:hint="default"/>
                      <w:b/>
                      <w:bCs/>
                      <w:color w:val="auto"/>
                    </w:rPr>
                    <w:t>登记管理</w:t>
                  </w:r>
                </w:p>
              </w:tc>
            </w:tr>
            <w:tr w14:paraId="45E4E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93" w:type="pct"/>
                  <w:shd w:val="clear" w:color="auto" w:fill="auto"/>
                  <w:vAlign w:val="center"/>
                </w:tcPr>
                <w:p w14:paraId="4AA34CC8">
                  <w:pPr>
                    <w:bidi w:val="0"/>
                    <w:jc w:val="center"/>
                    <w:rPr>
                      <w:rFonts w:hint="default"/>
                      <w:color w:val="auto"/>
                      <w:lang w:val="en-US" w:eastAsia="zh-CN"/>
                    </w:rPr>
                  </w:pPr>
                  <w:r>
                    <w:rPr>
                      <w:rFonts w:hint="default"/>
                      <w:color w:val="auto"/>
                      <w:lang w:val="en-US" w:eastAsia="zh-CN"/>
                    </w:rPr>
                    <w:t>6</w:t>
                  </w:r>
                  <w:r>
                    <w:rPr>
                      <w:rFonts w:hint="eastAsia"/>
                      <w:color w:val="auto"/>
                      <w:lang w:val="en-US" w:eastAsia="zh-CN"/>
                    </w:rPr>
                    <w:t>3</w:t>
                  </w:r>
                </w:p>
              </w:tc>
              <w:tc>
                <w:tcPr>
                  <w:tcW w:w="794" w:type="pct"/>
                  <w:shd w:val="clear" w:color="auto" w:fill="auto"/>
                  <w:vAlign w:val="center"/>
                </w:tcPr>
                <w:p w14:paraId="75C571DD">
                  <w:pPr>
                    <w:bidi w:val="0"/>
                    <w:jc w:val="center"/>
                    <w:rPr>
                      <w:rFonts w:hint="default"/>
                      <w:color w:val="auto"/>
                      <w:lang w:val="en-US" w:eastAsia="zh-CN"/>
                    </w:rPr>
                  </w:pPr>
                  <w:r>
                    <w:rPr>
                      <w:rFonts w:hint="default"/>
                      <w:color w:val="auto"/>
                      <w:lang w:val="en-US" w:eastAsia="zh-CN"/>
                    </w:rPr>
                    <w:t>石膏、水泥制品及类似制品制造302</w:t>
                  </w:r>
                </w:p>
              </w:tc>
              <w:tc>
                <w:tcPr>
                  <w:tcW w:w="923" w:type="pct"/>
                  <w:shd w:val="clear" w:color="auto" w:fill="auto"/>
                  <w:vAlign w:val="center"/>
                </w:tcPr>
                <w:p w14:paraId="32AE29FD">
                  <w:pPr>
                    <w:bidi w:val="0"/>
                    <w:jc w:val="center"/>
                    <w:rPr>
                      <w:rFonts w:hint="default" w:ascii="Times New Roman" w:hAnsi="Times New Roman" w:eastAsia="宋体" w:cs="Times New Roman"/>
                      <w:color w:val="auto"/>
                      <w:kern w:val="2"/>
                      <w:sz w:val="21"/>
                      <w:szCs w:val="22"/>
                      <w:lang w:val="zh-CN" w:eastAsia="zh-CN" w:bidi="ar-SA"/>
                    </w:rPr>
                  </w:pPr>
                  <w:r>
                    <w:rPr>
                      <w:rFonts w:hint="default" w:ascii="Times New Roman" w:hAnsi="Times New Roman" w:eastAsia="宋体" w:cs="Times New Roman"/>
                      <w:color w:val="auto"/>
                      <w:kern w:val="2"/>
                      <w:sz w:val="21"/>
                      <w:szCs w:val="22"/>
                      <w:lang w:val="zh-CN" w:eastAsia="zh-CN" w:bidi="ar-SA"/>
                    </w:rPr>
                    <w:t>水泥（熟料）制造</w:t>
                  </w:r>
                </w:p>
              </w:tc>
              <w:tc>
                <w:tcPr>
                  <w:tcW w:w="1077" w:type="pct"/>
                  <w:shd w:val="clear" w:color="auto" w:fill="auto"/>
                  <w:vAlign w:val="center"/>
                </w:tcPr>
                <w:p w14:paraId="5E8DAEBE">
                  <w:pPr>
                    <w:bidi w:val="0"/>
                    <w:jc w:val="center"/>
                    <w:rPr>
                      <w:rFonts w:hint="default" w:ascii="Times New Roman" w:hAnsi="Times New Roman" w:eastAsia="宋体" w:cs="Times New Roman"/>
                      <w:color w:val="auto"/>
                      <w:kern w:val="2"/>
                      <w:sz w:val="21"/>
                      <w:szCs w:val="22"/>
                      <w:lang w:val="zh-CN" w:eastAsia="zh-CN" w:bidi="ar-SA"/>
                    </w:rPr>
                  </w:pPr>
                  <w:r>
                    <w:rPr>
                      <w:rFonts w:hint="default" w:ascii="Times New Roman" w:hAnsi="Times New Roman" w:eastAsia="宋体" w:cs="Times New Roman"/>
                      <w:color w:val="auto"/>
                      <w:kern w:val="2"/>
                      <w:sz w:val="21"/>
                      <w:szCs w:val="22"/>
                      <w:lang w:val="zh-CN" w:eastAsia="zh-CN" w:bidi="ar-SA"/>
                    </w:rPr>
                    <w:t>水泥粉磨站、石灰和石膏制造3012</w:t>
                  </w:r>
                </w:p>
              </w:tc>
              <w:tc>
                <w:tcPr>
                  <w:tcW w:w="1911" w:type="pct"/>
                  <w:shd w:val="clear" w:color="auto" w:fill="auto"/>
                  <w:vAlign w:val="center"/>
                </w:tcPr>
                <w:p w14:paraId="7C759513">
                  <w:pPr>
                    <w:bidi w:val="0"/>
                    <w:jc w:val="center"/>
                    <w:rPr>
                      <w:rFonts w:hint="default" w:ascii="Times New Roman" w:hAnsi="Times New Roman" w:eastAsia="宋体" w:cs="Times New Roman"/>
                      <w:color w:val="auto"/>
                      <w:kern w:val="2"/>
                      <w:sz w:val="21"/>
                      <w:szCs w:val="22"/>
                      <w:lang w:val="zh-CN" w:eastAsia="zh-CN" w:bidi="ar-SA"/>
                    </w:rPr>
                  </w:pPr>
                  <w:r>
                    <w:rPr>
                      <w:rFonts w:hint="default" w:ascii="Times New Roman" w:hAnsi="Times New Roman" w:eastAsia="宋体" w:cs="Times New Roman"/>
                      <w:b/>
                      <w:bCs/>
                      <w:color w:val="auto"/>
                      <w:kern w:val="2"/>
                      <w:sz w:val="21"/>
                      <w:szCs w:val="22"/>
                      <w:lang w:val="zh-CN" w:eastAsia="zh-CN" w:bidi="ar-SA"/>
                    </w:rPr>
                    <w:t>水泥制品制造3021</w:t>
                  </w:r>
                  <w:r>
                    <w:rPr>
                      <w:rFonts w:hint="default" w:ascii="Times New Roman" w:hAnsi="Times New Roman" w:eastAsia="宋体" w:cs="Times New Roman"/>
                      <w:color w:val="auto"/>
                      <w:kern w:val="2"/>
                      <w:sz w:val="21"/>
                      <w:szCs w:val="22"/>
                      <w:lang w:val="zh-CN" w:eastAsia="zh-CN" w:bidi="ar-SA"/>
                    </w:rPr>
                    <w:t>，砼结构构件制造3022，石棉水泥制品制造3023，轻质建筑材料制造3024，其他水泥类似制品制造3029</w:t>
                  </w:r>
                </w:p>
              </w:tc>
            </w:tr>
          </w:tbl>
          <w:p w14:paraId="78E097A5">
            <w:pPr>
              <w:pStyle w:val="57"/>
              <w:spacing w:line="360" w:lineRule="auto"/>
              <w:ind w:firstLine="480" w:firstLineChars="200"/>
              <w:jc w:val="both"/>
              <w:rPr>
                <w:b w:val="0"/>
                <w:bCs w:val="0"/>
                <w:color w:val="auto"/>
              </w:rPr>
            </w:pPr>
            <w:r>
              <w:rPr>
                <w:rFonts w:hint="eastAsia"/>
                <w:b w:val="0"/>
                <w:bCs w:val="0"/>
                <w:color w:val="auto"/>
              </w:rPr>
              <w:t>拟建项目的排污许可填报对照固定污染源排污许可分类管理名录，本项目属于“二十五、非金属矿物制品业 30”的“</w:t>
            </w:r>
            <w:r>
              <w:rPr>
                <w:rFonts w:hint="eastAsia"/>
                <w:b w:val="0"/>
                <w:bCs w:val="0"/>
                <w:color w:val="auto"/>
                <w:lang w:val="en-US" w:eastAsia="zh-CN"/>
              </w:rPr>
              <w:t>63.水泥、石灰和石膏制造301</w:t>
            </w:r>
            <w:r>
              <w:rPr>
                <w:rFonts w:hint="eastAsia"/>
                <w:b w:val="0"/>
                <w:bCs w:val="0"/>
                <w:color w:val="auto"/>
              </w:rPr>
              <w:t>”中的“</w:t>
            </w:r>
            <w:r>
              <w:rPr>
                <w:rFonts w:hint="eastAsia"/>
                <w:b w:val="0"/>
                <w:bCs w:val="0"/>
                <w:color w:val="auto"/>
                <w:lang w:val="zh-CN" w:eastAsia="zh-CN"/>
              </w:rPr>
              <w:t>水泥制品制造3021</w:t>
            </w:r>
            <w:r>
              <w:rPr>
                <w:rFonts w:hint="eastAsia"/>
                <w:b w:val="0"/>
                <w:bCs w:val="0"/>
                <w:color w:val="auto"/>
              </w:rPr>
              <w:t>”。管理类别应为“</w:t>
            </w:r>
            <w:r>
              <w:rPr>
                <w:rFonts w:hint="eastAsia"/>
                <w:b w:val="0"/>
                <w:bCs w:val="0"/>
                <w:color w:val="auto"/>
                <w:lang w:val="en-US" w:eastAsia="zh-CN"/>
              </w:rPr>
              <w:t>登记</w:t>
            </w:r>
            <w:r>
              <w:rPr>
                <w:rFonts w:hint="eastAsia"/>
                <w:b w:val="0"/>
                <w:bCs w:val="0"/>
                <w:color w:val="auto"/>
              </w:rPr>
              <w:t>管理”。因此，项目排污许可的管理类别属于“</w:t>
            </w:r>
            <w:r>
              <w:rPr>
                <w:rFonts w:hint="eastAsia"/>
                <w:b w:val="0"/>
                <w:bCs w:val="0"/>
                <w:color w:val="auto"/>
                <w:lang w:val="en-US" w:eastAsia="zh-CN"/>
              </w:rPr>
              <w:t>登记</w:t>
            </w:r>
            <w:r>
              <w:rPr>
                <w:rFonts w:hint="eastAsia"/>
                <w:b w:val="0"/>
                <w:bCs w:val="0"/>
                <w:color w:val="auto"/>
              </w:rPr>
              <w:t>管理”。</w:t>
            </w:r>
          </w:p>
          <w:p w14:paraId="5B2680D6">
            <w:pPr>
              <w:pStyle w:val="57"/>
              <w:spacing w:line="360" w:lineRule="auto"/>
              <w:ind w:firstLine="482" w:firstLineChars="200"/>
              <w:jc w:val="both"/>
              <w:rPr>
                <w:color w:val="auto"/>
              </w:rPr>
            </w:pPr>
          </w:p>
          <w:p w14:paraId="6F298128">
            <w:pPr>
              <w:pStyle w:val="57"/>
              <w:spacing w:line="360" w:lineRule="auto"/>
              <w:ind w:firstLine="482" w:firstLineChars="200"/>
              <w:jc w:val="both"/>
              <w:rPr>
                <w:color w:val="auto"/>
              </w:rPr>
            </w:pPr>
          </w:p>
          <w:p w14:paraId="264CDF8F">
            <w:pPr>
              <w:pStyle w:val="57"/>
              <w:spacing w:line="360" w:lineRule="auto"/>
              <w:ind w:firstLine="482" w:firstLineChars="200"/>
              <w:jc w:val="both"/>
              <w:rPr>
                <w:color w:val="auto"/>
              </w:rPr>
            </w:pPr>
          </w:p>
          <w:p w14:paraId="6E292685">
            <w:pPr>
              <w:pStyle w:val="57"/>
              <w:spacing w:line="360" w:lineRule="auto"/>
              <w:ind w:firstLine="482" w:firstLineChars="200"/>
              <w:jc w:val="both"/>
              <w:rPr>
                <w:color w:val="auto"/>
              </w:rPr>
            </w:pPr>
          </w:p>
          <w:p w14:paraId="0E14F518">
            <w:pPr>
              <w:pStyle w:val="57"/>
              <w:spacing w:line="360" w:lineRule="auto"/>
              <w:jc w:val="both"/>
              <w:rPr>
                <w:color w:val="auto"/>
              </w:rPr>
            </w:pPr>
          </w:p>
        </w:tc>
      </w:tr>
    </w:tbl>
    <w:p w14:paraId="1210E044">
      <w:pPr>
        <w:widowControl/>
        <w:jc w:val="center"/>
        <w:outlineLvl w:val="0"/>
        <w:rPr>
          <w:rFonts w:hint="eastAsia" w:ascii="宋体" w:hAnsi="宋体"/>
          <w:b/>
          <w:bCs/>
          <w:color w:val="002DC7"/>
          <w:kern w:val="0"/>
          <w:sz w:val="30"/>
          <w:szCs w:val="30"/>
        </w:rPr>
        <w:sectPr>
          <w:footerReference r:id="rId6" w:type="default"/>
          <w:pgSz w:w="11906" w:h="16838"/>
          <w:pgMar w:top="1440" w:right="1508"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452BBE35">
      <w:pPr>
        <w:widowControl/>
        <w:jc w:val="center"/>
        <w:outlineLvl w:val="0"/>
        <w:rPr>
          <w:rFonts w:hint="eastAsia" w:ascii="宋体" w:hAnsi="宋体"/>
          <w:b/>
          <w:bCs/>
          <w:color w:val="auto"/>
          <w:kern w:val="0"/>
          <w:sz w:val="30"/>
          <w:szCs w:val="30"/>
        </w:rPr>
      </w:pPr>
      <w:r>
        <w:rPr>
          <w:rFonts w:ascii="宋体" w:hAnsi="宋体"/>
          <w:b/>
          <w:bCs/>
          <w:color w:val="auto"/>
          <w:kern w:val="0"/>
          <w:sz w:val="30"/>
          <w:szCs w:val="30"/>
        </w:rPr>
        <w:t>二</w:t>
      </w:r>
      <w:r>
        <w:rPr>
          <w:rFonts w:hint="eastAsia" w:ascii="宋体" w:hAnsi="宋体"/>
          <w:b/>
          <w:bCs/>
          <w:color w:val="auto"/>
          <w:kern w:val="0"/>
          <w:sz w:val="30"/>
          <w:szCs w:val="30"/>
        </w:rPr>
        <w:t>、</w:t>
      </w:r>
      <w:bookmarkEnd w:id="3"/>
      <w:r>
        <w:rPr>
          <w:rFonts w:ascii="宋体" w:hAnsi="宋体"/>
          <w:b/>
          <w:bCs/>
          <w:color w:val="auto"/>
          <w:kern w:val="0"/>
          <w:sz w:val="30"/>
          <w:szCs w:val="30"/>
        </w:rPr>
        <w:t>建设项目工程分析</w:t>
      </w:r>
    </w:p>
    <w:tbl>
      <w:tblPr>
        <w:tblStyle w:val="4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2"/>
        <w:gridCol w:w="8365"/>
      </w:tblGrid>
      <w:tr w14:paraId="54AC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439" w:type="dxa"/>
            <w:vAlign w:val="center"/>
          </w:tcPr>
          <w:p w14:paraId="3A2CCCBF">
            <w:pPr>
              <w:widowControl/>
              <w:spacing w:line="360" w:lineRule="auto"/>
              <w:jc w:val="center"/>
              <w:rPr>
                <w:rFonts w:hint="eastAsia" w:hAnsi="宋体"/>
                <w:color w:val="auto"/>
                <w:kern w:val="0"/>
                <w:sz w:val="24"/>
              </w:rPr>
            </w:pPr>
            <w:r>
              <w:rPr>
                <w:rFonts w:hAnsi="宋体"/>
                <w:color w:val="auto"/>
                <w:kern w:val="0"/>
                <w:sz w:val="24"/>
              </w:rPr>
              <w:t>建设</w:t>
            </w:r>
          </w:p>
          <w:p w14:paraId="63B79EE4">
            <w:pPr>
              <w:widowControl/>
              <w:spacing w:line="360" w:lineRule="auto"/>
              <w:jc w:val="center"/>
              <w:rPr>
                <w:b/>
                <w:bCs/>
                <w:color w:val="002DC7"/>
                <w:kern w:val="0"/>
                <w:sz w:val="24"/>
                <w:szCs w:val="28"/>
              </w:rPr>
            </w:pPr>
            <w:r>
              <w:rPr>
                <w:rFonts w:hAnsi="宋体"/>
                <w:color w:val="auto"/>
                <w:kern w:val="0"/>
                <w:sz w:val="24"/>
              </w:rPr>
              <w:t>内容</w:t>
            </w:r>
          </w:p>
        </w:tc>
        <w:tc>
          <w:tcPr>
            <w:tcW w:w="8378" w:type="dxa"/>
          </w:tcPr>
          <w:p w14:paraId="16577310">
            <w:pPr>
              <w:spacing w:line="360" w:lineRule="auto"/>
              <w:rPr>
                <w:b/>
                <w:color w:val="auto"/>
                <w:sz w:val="24"/>
              </w:rPr>
            </w:pPr>
            <w:r>
              <w:rPr>
                <w:rFonts w:hint="eastAsia"/>
                <w:b/>
                <w:color w:val="auto"/>
                <w:sz w:val="24"/>
              </w:rPr>
              <w:t>1、项目背景</w:t>
            </w:r>
          </w:p>
          <w:p w14:paraId="0FCCF273">
            <w:pPr>
              <w:spacing w:line="360" w:lineRule="auto"/>
              <w:ind w:firstLine="480" w:firstLineChars="200"/>
              <w:rPr>
                <w:rFonts w:hint="eastAsia"/>
                <w:color w:val="002DC7"/>
                <w:sz w:val="24"/>
                <w:szCs w:val="24"/>
                <w:lang w:val="en-US" w:eastAsia="zh-CN"/>
              </w:rPr>
            </w:pPr>
            <w:r>
              <w:rPr>
                <w:rFonts w:hint="eastAsia"/>
                <w:color w:val="auto"/>
                <w:sz w:val="24"/>
                <w:szCs w:val="24"/>
              </w:rPr>
              <w:t>近年来，</w:t>
            </w:r>
            <w:r>
              <w:rPr>
                <w:rFonts w:hint="eastAsia"/>
                <w:color w:val="auto"/>
                <w:sz w:val="24"/>
                <w:szCs w:val="24"/>
                <w:lang w:val="en-US" w:eastAsia="zh-CN"/>
              </w:rPr>
              <w:t>随着全国铁路营业里程突破 15 万公里、其中高铁超过 4 万公里； 根据国务院于2022年1月发布的《“十四五”现代综合交通运输体系发展规划》，预计2025年</w:t>
            </w:r>
            <w:bookmarkStart w:id="31" w:name="_GoBack"/>
            <w:bookmarkEnd w:id="31"/>
            <w:r>
              <w:rPr>
                <w:rFonts w:hint="eastAsia"/>
                <w:color w:val="auto"/>
                <w:sz w:val="24"/>
                <w:szCs w:val="24"/>
                <w:lang w:val="en-US" w:eastAsia="zh-CN"/>
              </w:rPr>
              <w:t>底，全国铁路营业里程将达16.5万公里左右，其中高速铁路（含部分城际铁路）5万公里左右；根据 2020年7月发布的《新时代交通强国铁路先行规划纲要》，到 2035年，高铁建设规划目标为7万公里左右</w:t>
            </w:r>
            <w:r>
              <w:rPr>
                <w:rFonts w:hint="eastAsia"/>
                <w:color w:val="002DC7"/>
                <w:sz w:val="24"/>
                <w:szCs w:val="24"/>
                <w:lang w:val="en-US" w:eastAsia="zh-CN"/>
              </w:rPr>
              <w:t>。</w:t>
            </w:r>
            <w:r>
              <w:rPr>
                <w:rFonts w:hint="eastAsia"/>
                <w:color w:val="auto"/>
                <w:sz w:val="24"/>
                <w:szCs w:val="24"/>
                <w:lang w:val="en-US" w:eastAsia="zh-CN"/>
              </w:rPr>
              <w:t>我国大规模高铁建设保证了岔枕市场需求，同时随着既有高铁线路运营年限逐年增加，未来岔枕及配套产品的维护更换市场需求将逐步上升。</w:t>
            </w:r>
          </w:p>
          <w:p w14:paraId="159ADFE5">
            <w:pPr>
              <w:spacing w:line="360" w:lineRule="auto"/>
              <w:ind w:firstLine="480" w:firstLineChars="200"/>
              <w:rPr>
                <w:color w:val="002DC7"/>
                <w:kern w:val="0"/>
                <w:sz w:val="24"/>
                <w:szCs w:val="24"/>
                <w:highlight w:val="none"/>
              </w:rPr>
            </w:pPr>
            <w:r>
              <w:rPr>
                <w:rFonts w:hint="eastAsia"/>
                <w:color w:val="auto"/>
                <w:sz w:val="24"/>
                <w:szCs w:val="24"/>
              </w:rPr>
              <w:t>为满足市场需求，</w:t>
            </w:r>
            <w:r>
              <w:rPr>
                <w:rFonts w:hint="eastAsia"/>
                <w:color w:val="auto"/>
                <w:sz w:val="24"/>
                <w:szCs w:val="24"/>
                <w:lang w:val="en-US" w:eastAsia="zh-CN"/>
              </w:rPr>
              <w:t>安徽中全铁路器材有限公司拟投资</w:t>
            </w:r>
            <w:r>
              <w:rPr>
                <w:rFonts w:hint="eastAsia"/>
                <w:color w:val="auto"/>
                <w:kern w:val="0"/>
                <w:sz w:val="24"/>
                <w:szCs w:val="24"/>
                <w:lang w:val="en-US" w:eastAsia="zh-CN"/>
              </w:rPr>
              <w:t>10</w:t>
            </w:r>
            <w:r>
              <w:rPr>
                <w:rFonts w:hint="eastAsia"/>
                <w:color w:val="auto"/>
                <w:kern w:val="0"/>
                <w:sz w:val="24"/>
                <w:szCs w:val="24"/>
              </w:rPr>
              <w:t>000万元在</w:t>
            </w:r>
            <w:r>
              <w:rPr>
                <w:rFonts w:hint="eastAsia"/>
                <w:color w:val="auto"/>
                <w:kern w:val="0"/>
                <w:sz w:val="24"/>
                <w:szCs w:val="24"/>
                <w:lang w:val="en-US" w:eastAsia="zh-CN"/>
              </w:rPr>
              <w:t>淮南市</w:t>
            </w:r>
            <w:r>
              <w:rPr>
                <w:rFonts w:hint="eastAsia"/>
                <w:color w:val="auto"/>
                <w:kern w:val="0"/>
                <w:sz w:val="24"/>
                <w:szCs w:val="24"/>
              </w:rPr>
              <w:t>经济开发区内</w:t>
            </w:r>
            <w:r>
              <w:rPr>
                <w:rFonts w:hint="default" w:ascii="Times New Roman" w:hAnsi="Times New Roman" w:cs="Times New Roman"/>
                <w:color w:val="auto"/>
                <w:kern w:val="0"/>
                <w:sz w:val="24"/>
                <w:szCs w:val="24"/>
              </w:rPr>
              <w:t>建设</w:t>
            </w:r>
            <w:r>
              <w:rPr>
                <w:rFonts w:hint="default" w:ascii="Times New Roman" w:hAnsi="Times New Roman" w:cs="Times New Roman"/>
                <w:color w:val="auto"/>
                <w:sz w:val="24"/>
                <w:szCs w:val="24"/>
                <w:lang w:val="en-US" w:eastAsia="zh-CN"/>
              </w:rPr>
              <w:t>统型砼岔枕生产项目</w:t>
            </w:r>
            <w:r>
              <w:rPr>
                <w:rFonts w:hint="eastAsia" w:cs="Times New Roman"/>
                <w:color w:val="auto"/>
                <w:sz w:val="24"/>
                <w:szCs w:val="24"/>
                <w:lang w:val="en-US" w:eastAsia="zh-CN"/>
              </w:rPr>
              <w:t>（一期工程）</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本次仅对一期工程进行评价，</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highlight w:val="none"/>
                <w:lang w:val="en-US" w:eastAsia="zh-CN"/>
              </w:rPr>
              <w:t>占地面积约20亩，建设一栋</w:t>
            </w:r>
            <w:r>
              <w:rPr>
                <w:rFonts w:hint="eastAsia" w:cs="Times New Roman"/>
                <w:color w:val="auto"/>
                <w:sz w:val="24"/>
                <w:highlight w:val="none"/>
                <w:lang w:val="en-US" w:eastAsia="zh-CN"/>
              </w:rPr>
              <w:t>建筑面积8000m</w:t>
            </w:r>
            <w:r>
              <w:rPr>
                <w:rFonts w:hint="eastAsia"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钢结构厂房</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并在生产厂房内建设</w:t>
            </w:r>
            <w:r>
              <w:rPr>
                <w:rFonts w:hint="default" w:ascii="Times New Roman" w:hAnsi="Times New Roman" w:cs="Times New Roman"/>
                <w:color w:val="auto"/>
                <w:sz w:val="24"/>
                <w:highlight w:val="none"/>
                <w:lang w:val="en-US" w:eastAsia="zh-CN"/>
              </w:rPr>
              <w:t>一条</w:t>
            </w:r>
            <w:r>
              <w:rPr>
                <w:rFonts w:hint="default" w:ascii="Times New Roman" w:hAnsi="Times New Roman" w:cs="Times New Roman"/>
                <w:color w:val="000000"/>
                <w:sz w:val="24"/>
                <w:szCs w:val="24"/>
                <w:highlight w:val="none"/>
                <w:lang w:val="en-US" w:eastAsia="zh-CN"/>
              </w:rPr>
              <w:t>统型砼岔枕生产线</w:t>
            </w:r>
            <w:r>
              <w:rPr>
                <w:rFonts w:hint="eastAsia"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项目建成后可达年产50万根统型砼岔枕</w:t>
            </w:r>
            <w:r>
              <w:rPr>
                <w:rFonts w:hint="eastAsia" w:cs="Times New Roman"/>
                <w:color w:val="auto"/>
                <w:sz w:val="24"/>
                <w:highlight w:val="none"/>
                <w:vertAlign w:val="baseline"/>
                <w:lang w:val="en-US" w:eastAsia="zh-CN"/>
              </w:rPr>
              <w:t>。</w:t>
            </w:r>
          </w:p>
          <w:p w14:paraId="718BFFA6">
            <w:pPr>
              <w:pStyle w:val="12"/>
              <w:spacing w:line="360" w:lineRule="auto"/>
              <w:ind w:firstLine="480" w:firstLineChars="200"/>
              <w:jc w:val="both"/>
              <w:rPr>
                <w:color w:val="002DC7"/>
                <w:sz w:val="24"/>
              </w:rPr>
            </w:pPr>
            <w:r>
              <w:rPr>
                <w:rFonts w:hint="eastAsia" w:hAnsi="宋体"/>
                <w:color w:val="auto"/>
                <w:sz w:val="24"/>
              </w:rPr>
              <w:t>根据《中华人民共和国环境保护法》（主席令2014年第9号）、《中华人民共和国环境影响评价法》（2018年12月29日修订）中有关规定，同时根据</w:t>
            </w:r>
            <w:r>
              <w:rPr>
                <w:rFonts w:hint="default" w:ascii="Times New Roman" w:hAnsi="Times New Roman" w:cs="Times New Roman"/>
                <w:color w:val="auto"/>
                <w:sz w:val="24"/>
              </w:rPr>
              <w:t>《建设项目环境影响评价分类管理名录》（2021年版），本项目属于</w:t>
            </w:r>
            <w:r>
              <w:rPr>
                <w:rFonts w:hint="eastAsia" w:ascii="宋体" w:hAnsi="宋体" w:eastAsia="宋体" w:cs="宋体"/>
                <w:color w:val="auto"/>
                <w:sz w:val="24"/>
              </w:rPr>
              <w:t>“</w:t>
            </w:r>
            <w:r>
              <w:rPr>
                <w:rFonts w:hint="default" w:ascii="Times New Roman" w:hAnsi="Times New Roman" w:eastAsia="宋体" w:cs="Times New Roman"/>
                <w:color w:val="auto"/>
                <w:sz w:val="24"/>
              </w:rPr>
              <w:t>二十七、非金属矿物制品业30</w:t>
            </w:r>
            <w:r>
              <w:rPr>
                <w:rFonts w:hint="eastAsia" w:ascii="宋体" w:hAnsi="宋体" w:eastAsia="宋体" w:cs="宋体"/>
                <w:color w:val="auto"/>
                <w:sz w:val="24"/>
              </w:rPr>
              <w:t>”</w:t>
            </w:r>
            <w:r>
              <w:rPr>
                <w:rFonts w:hint="default" w:ascii="Times New Roman" w:hAnsi="Times New Roman" w:cs="Times New Roman"/>
                <w:color w:val="auto"/>
                <w:sz w:val="24"/>
              </w:rPr>
              <w:t>中的</w:t>
            </w:r>
            <w:r>
              <w:rPr>
                <w:rFonts w:hint="eastAsia" w:ascii="宋体" w:hAnsi="宋体" w:eastAsia="宋体" w:cs="宋体"/>
                <w:color w:val="auto"/>
                <w:sz w:val="24"/>
              </w:rPr>
              <w:t>“</w:t>
            </w:r>
            <w:r>
              <w:rPr>
                <w:rFonts w:hint="default" w:ascii="Times New Roman" w:hAnsi="Times New Roman" w:cs="Times New Roman"/>
                <w:color w:val="auto"/>
                <w:sz w:val="24"/>
              </w:rPr>
              <w:t>55、石膏、水泥制品及类似制品制造302</w:t>
            </w:r>
            <w:r>
              <w:rPr>
                <w:rFonts w:hint="eastAsia" w:ascii="宋体" w:hAnsi="宋体" w:eastAsia="宋体" w:cs="宋体"/>
                <w:color w:val="auto"/>
                <w:sz w:val="24"/>
              </w:rPr>
              <w:t>”</w:t>
            </w:r>
            <w:r>
              <w:rPr>
                <w:rFonts w:hint="default" w:ascii="Times New Roman" w:hAnsi="Times New Roman" w:cs="Times New Roman"/>
                <w:color w:val="auto"/>
                <w:sz w:val="24"/>
              </w:rPr>
              <w:t>中的</w:t>
            </w:r>
            <w:r>
              <w:rPr>
                <w:rFonts w:hint="eastAsia" w:ascii="宋体" w:hAnsi="宋体" w:eastAsia="宋体" w:cs="宋体"/>
                <w:color w:val="auto"/>
                <w:sz w:val="24"/>
              </w:rPr>
              <w:t>“商品混凝土</w:t>
            </w:r>
            <w:r>
              <w:rPr>
                <w:rFonts w:hint="eastAsia" w:ascii="宋体" w:hAnsi="宋体" w:cs="宋体"/>
                <w:color w:val="auto"/>
                <w:sz w:val="24"/>
                <w:lang w:eastAsia="zh-CN"/>
              </w:rPr>
              <w:t>；</w:t>
            </w:r>
            <w:r>
              <w:rPr>
                <w:rFonts w:hint="eastAsia" w:ascii="宋体" w:hAnsi="宋体" w:eastAsia="宋体" w:cs="宋体"/>
                <w:color w:val="auto"/>
                <w:sz w:val="24"/>
              </w:rPr>
              <w:t>砼结构构件制造</w:t>
            </w:r>
            <w:r>
              <w:rPr>
                <w:rFonts w:hint="eastAsia" w:ascii="宋体" w:hAnsi="宋体" w:cs="宋体"/>
                <w:color w:val="auto"/>
                <w:sz w:val="24"/>
                <w:lang w:eastAsia="zh-CN"/>
              </w:rPr>
              <w:t>；</w:t>
            </w:r>
            <w:r>
              <w:rPr>
                <w:rFonts w:hint="eastAsia" w:ascii="宋体" w:hAnsi="宋体" w:eastAsia="宋体" w:cs="宋体"/>
                <w:color w:val="auto"/>
                <w:sz w:val="24"/>
              </w:rPr>
              <w:t>水泥制品制造”</w:t>
            </w:r>
            <w:r>
              <w:rPr>
                <w:rFonts w:hint="default" w:ascii="Times New Roman" w:hAnsi="Times New Roman" w:cs="Times New Roman"/>
                <w:color w:val="auto"/>
                <w:sz w:val="24"/>
              </w:rPr>
              <w:t>，建设项目应编制环境影响报告表。项目环评影响评价类别详见下表。</w:t>
            </w:r>
          </w:p>
          <w:p w14:paraId="22DB6AA2">
            <w:pPr>
              <w:autoSpaceDE w:val="0"/>
              <w:autoSpaceDN w:val="0"/>
              <w:spacing w:line="360" w:lineRule="auto"/>
              <w:jc w:val="center"/>
              <w:rPr>
                <w:b/>
                <w:bCs/>
                <w:color w:val="auto"/>
                <w:sz w:val="24"/>
              </w:rPr>
            </w:pPr>
            <w:r>
              <w:rPr>
                <w:b/>
                <w:bCs/>
                <w:color w:val="auto"/>
                <w:sz w:val="24"/>
              </w:rPr>
              <w:t>表2-1  建设项目环境影响评价分类管理名录</w:t>
            </w:r>
          </w:p>
          <w:tbl>
            <w:tblPr>
              <w:tblStyle w:val="40"/>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289"/>
              <w:gridCol w:w="1955"/>
              <w:gridCol w:w="1955"/>
              <w:gridCol w:w="1961"/>
            </w:tblGrid>
            <w:tr w14:paraId="0223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69" w:type="pct"/>
                  <w:gridSpan w:val="2"/>
                  <w:tcBorders>
                    <w:top w:val="single" w:color="auto" w:sz="12" w:space="0"/>
                    <w:left w:val="nil"/>
                    <w:tl2br w:val="single" w:color="auto" w:sz="4" w:space="0"/>
                  </w:tcBorders>
                  <w:shd w:val="clear" w:color="auto" w:fill="auto"/>
                  <w:vAlign w:val="center"/>
                </w:tcPr>
                <w:p w14:paraId="56968EE9">
                  <w:pPr>
                    <w:autoSpaceDE w:val="0"/>
                    <w:autoSpaceDN w:val="0"/>
                    <w:jc w:val="right"/>
                    <w:rPr>
                      <w:b/>
                      <w:color w:val="auto"/>
                      <w:szCs w:val="21"/>
                    </w:rPr>
                  </w:pPr>
                  <w:r>
                    <w:rPr>
                      <w:rFonts w:hAnsi="宋体"/>
                      <w:b/>
                      <w:color w:val="auto"/>
                      <w:szCs w:val="21"/>
                    </w:rPr>
                    <w:t>环评类别</w:t>
                  </w:r>
                </w:p>
                <w:p w14:paraId="68F5541D">
                  <w:pPr>
                    <w:jc w:val="left"/>
                    <w:rPr>
                      <w:color w:val="auto"/>
                    </w:rPr>
                  </w:pPr>
                  <w:r>
                    <w:rPr>
                      <w:rFonts w:hAnsi="宋体"/>
                      <w:b/>
                      <w:color w:val="auto"/>
                      <w:szCs w:val="21"/>
                    </w:rPr>
                    <w:t>项目类别</w:t>
                  </w:r>
                </w:p>
              </w:tc>
              <w:tc>
                <w:tcPr>
                  <w:tcW w:w="1209" w:type="pct"/>
                  <w:tcBorders>
                    <w:top w:val="single" w:color="auto" w:sz="12" w:space="0"/>
                  </w:tcBorders>
                  <w:shd w:val="clear" w:color="auto" w:fill="auto"/>
                  <w:vAlign w:val="center"/>
                </w:tcPr>
                <w:p w14:paraId="26A8C3B7">
                  <w:pPr>
                    <w:autoSpaceDE w:val="0"/>
                    <w:autoSpaceDN w:val="0"/>
                    <w:jc w:val="center"/>
                    <w:rPr>
                      <w:b/>
                      <w:color w:val="auto"/>
                      <w:szCs w:val="21"/>
                    </w:rPr>
                  </w:pPr>
                  <w:r>
                    <w:rPr>
                      <w:rFonts w:hAnsi="宋体"/>
                      <w:b/>
                      <w:color w:val="auto"/>
                      <w:szCs w:val="21"/>
                    </w:rPr>
                    <w:t>报告书</w:t>
                  </w:r>
                </w:p>
              </w:tc>
              <w:tc>
                <w:tcPr>
                  <w:tcW w:w="1209" w:type="pct"/>
                  <w:tcBorders>
                    <w:top w:val="single" w:color="auto" w:sz="12" w:space="0"/>
                  </w:tcBorders>
                  <w:shd w:val="clear" w:color="auto" w:fill="auto"/>
                  <w:vAlign w:val="center"/>
                </w:tcPr>
                <w:p w14:paraId="3368FB87">
                  <w:pPr>
                    <w:autoSpaceDE w:val="0"/>
                    <w:autoSpaceDN w:val="0"/>
                    <w:jc w:val="center"/>
                    <w:rPr>
                      <w:b/>
                      <w:color w:val="auto"/>
                      <w:szCs w:val="21"/>
                    </w:rPr>
                  </w:pPr>
                  <w:r>
                    <w:rPr>
                      <w:rFonts w:hAnsi="宋体"/>
                      <w:b/>
                      <w:color w:val="auto"/>
                      <w:szCs w:val="21"/>
                    </w:rPr>
                    <w:t>报告表</w:t>
                  </w:r>
                </w:p>
              </w:tc>
              <w:tc>
                <w:tcPr>
                  <w:tcW w:w="1210" w:type="pct"/>
                  <w:tcBorders>
                    <w:top w:val="single" w:color="auto" w:sz="12" w:space="0"/>
                    <w:right w:val="nil"/>
                  </w:tcBorders>
                  <w:vAlign w:val="center"/>
                </w:tcPr>
                <w:p w14:paraId="5D863EC9">
                  <w:pPr>
                    <w:autoSpaceDE w:val="0"/>
                    <w:autoSpaceDN w:val="0"/>
                    <w:jc w:val="center"/>
                    <w:rPr>
                      <w:b/>
                      <w:color w:val="auto"/>
                      <w:szCs w:val="21"/>
                    </w:rPr>
                  </w:pPr>
                  <w:r>
                    <w:rPr>
                      <w:rFonts w:hAnsi="宋体"/>
                      <w:b/>
                      <w:color w:val="auto"/>
                      <w:szCs w:val="21"/>
                    </w:rPr>
                    <w:t>登记表</w:t>
                  </w:r>
                </w:p>
              </w:tc>
            </w:tr>
            <w:tr w14:paraId="39D5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000" w:type="pct"/>
                  <w:gridSpan w:val="5"/>
                  <w:tcBorders>
                    <w:left w:val="nil"/>
                    <w:bottom w:val="single" w:color="auto" w:sz="4" w:space="0"/>
                    <w:right w:val="nil"/>
                  </w:tcBorders>
                  <w:vAlign w:val="center"/>
                </w:tcPr>
                <w:p w14:paraId="294792C1">
                  <w:pPr>
                    <w:jc w:val="center"/>
                    <w:rPr>
                      <w:color w:val="auto"/>
                      <w:szCs w:val="21"/>
                    </w:rPr>
                  </w:pPr>
                  <w:r>
                    <w:rPr>
                      <w:rFonts w:hint="default"/>
                      <w:color w:val="auto"/>
                      <w:szCs w:val="21"/>
                    </w:rPr>
                    <w:t>二十七、非金属矿物制品业30</w:t>
                  </w:r>
                </w:p>
              </w:tc>
            </w:tr>
            <w:tr w14:paraId="0371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72" w:type="pct"/>
                  <w:tcBorders>
                    <w:left w:val="nil"/>
                    <w:bottom w:val="single" w:color="auto" w:sz="12" w:space="0"/>
                  </w:tcBorders>
                  <w:shd w:val="clear" w:color="auto" w:fill="auto"/>
                  <w:vAlign w:val="center"/>
                </w:tcPr>
                <w:p w14:paraId="5AC88A1E">
                  <w:pPr>
                    <w:jc w:val="center"/>
                    <w:rPr>
                      <w:rFonts w:hint="default" w:eastAsia="宋体"/>
                      <w:color w:val="auto"/>
                      <w:lang w:val="en-US" w:eastAsia="zh-CN"/>
                    </w:rPr>
                  </w:pPr>
                  <w:r>
                    <w:rPr>
                      <w:rFonts w:hint="eastAsia"/>
                      <w:color w:val="auto"/>
                      <w:lang w:val="en-US" w:eastAsia="zh-CN"/>
                    </w:rPr>
                    <w:t>55</w:t>
                  </w:r>
                </w:p>
              </w:tc>
              <w:tc>
                <w:tcPr>
                  <w:tcW w:w="797" w:type="pct"/>
                  <w:tcBorders>
                    <w:bottom w:val="single" w:color="auto" w:sz="12" w:space="0"/>
                  </w:tcBorders>
                  <w:shd w:val="clear" w:color="auto" w:fill="auto"/>
                  <w:vAlign w:val="center"/>
                </w:tcPr>
                <w:p w14:paraId="5A6777E4">
                  <w:pPr>
                    <w:jc w:val="center"/>
                    <w:rPr>
                      <w:color w:val="auto"/>
                    </w:rPr>
                  </w:pPr>
                  <w:r>
                    <w:rPr>
                      <w:rFonts w:hint="default"/>
                      <w:color w:val="auto"/>
                    </w:rPr>
                    <w:t>石膏、水泥制品及类似制品制造302</w:t>
                  </w:r>
                </w:p>
              </w:tc>
              <w:tc>
                <w:tcPr>
                  <w:tcW w:w="1209" w:type="pct"/>
                  <w:tcBorders>
                    <w:bottom w:val="single" w:color="auto" w:sz="12" w:space="0"/>
                  </w:tcBorders>
                  <w:shd w:val="clear" w:color="auto" w:fill="auto"/>
                  <w:vAlign w:val="center"/>
                </w:tcPr>
                <w:p w14:paraId="4E6F3B3F">
                  <w:pPr>
                    <w:jc w:val="center"/>
                    <w:rPr>
                      <w:rFonts w:hint="eastAsia" w:eastAsia="宋体"/>
                      <w:color w:val="auto"/>
                      <w:lang w:eastAsia="zh-CN"/>
                    </w:rPr>
                  </w:pPr>
                  <w:r>
                    <w:rPr>
                      <w:rFonts w:hint="eastAsia"/>
                      <w:color w:val="auto"/>
                      <w:lang w:val="en-US" w:eastAsia="zh-CN"/>
                    </w:rPr>
                    <w:t>/</w:t>
                  </w:r>
                </w:p>
              </w:tc>
              <w:tc>
                <w:tcPr>
                  <w:tcW w:w="1209" w:type="pct"/>
                  <w:tcBorders>
                    <w:bottom w:val="single" w:color="auto" w:sz="12" w:space="0"/>
                  </w:tcBorders>
                  <w:shd w:val="clear" w:color="auto" w:fill="FFFFFF" w:themeFill="background1"/>
                  <w:vAlign w:val="center"/>
                </w:tcPr>
                <w:p w14:paraId="1C40BC6D">
                  <w:pPr>
                    <w:jc w:val="center"/>
                    <w:rPr>
                      <w:rFonts w:hint="eastAsia" w:hAnsi="宋体"/>
                      <w:color w:val="auto"/>
                      <w:szCs w:val="21"/>
                    </w:rPr>
                  </w:pPr>
                  <w:r>
                    <w:rPr>
                      <w:rFonts w:hint="eastAsia" w:hAnsi="宋体"/>
                      <w:color w:val="auto"/>
                      <w:szCs w:val="21"/>
                    </w:rPr>
                    <w:t>商品混凝土</w:t>
                  </w:r>
                  <w:r>
                    <w:rPr>
                      <w:rFonts w:hint="eastAsia" w:hAnsi="宋体"/>
                      <w:color w:val="auto"/>
                      <w:szCs w:val="21"/>
                      <w:lang w:eastAsia="zh-CN"/>
                    </w:rPr>
                    <w:t>；</w:t>
                  </w:r>
                  <w:r>
                    <w:rPr>
                      <w:rFonts w:hint="eastAsia" w:hAnsi="宋体"/>
                      <w:color w:val="auto"/>
                      <w:szCs w:val="21"/>
                    </w:rPr>
                    <w:t>砼结构构件制造</w:t>
                  </w:r>
                  <w:r>
                    <w:rPr>
                      <w:rFonts w:hint="eastAsia" w:hAnsi="宋体"/>
                      <w:color w:val="auto"/>
                      <w:szCs w:val="21"/>
                      <w:lang w:eastAsia="zh-CN"/>
                    </w:rPr>
                    <w:t>；</w:t>
                  </w:r>
                  <w:r>
                    <w:rPr>
                      <w:rFonts w:hint="eastAsia" w:hAnsi="宋体"/>
                      <w:color w:val="auto"/>
                      <w:szCs w:val="21"/>
                    </w:rPr>
                    <w:t>水泥制品制造</w:t>
                  </w:r>
                </w:p>
              </w:tc>
              <w:tc>
                <w:tcPr>
                  <w:tcW w:w="1210" w:type="pct"/>
                  <w:tcBorders>
                    <w:bottom w:val="single" w:color="auto" w:sz="12" w:space="0"/>
                    <w:right w:val="nil"/>
                  </w:tcBorders>
                  <w:vAlign w:val="center"/>
                </w:tcPr>
                <w:p w14:paraId="7A896195">
                  <w:pPr>
                    <w:jc w:val="center"/>
                    <w:rPr>
                      <w:color w:val="auto"/>
                    </w:rPr>
                  </w:pPr>
                  <w:r>
                    <w:rPr>
                      <w:color w:val="auto"/>
                      <w:szCs w:val="21"/>
                    </w:rPr>
                    <w:t>/</w:t>
                  </w:r>
                </w:p>
              </w:tc>
            </w:tr>
          </w:tbl>
          <w:p w14:paraId="2EC6EEB5">
            <w:pPr>
              <w:spacing w:line="360" w:lineRule="auto"/>
              <w:rPr>
                <w:b/>
                <w:color w:val="auto"/>
                <w:sz w:val="24"/>
              </w:rPr>
            </w:pPr>
            <w:r>
              <w:rPr>
                <w:rFonts w:hint="eastAsia"/>
                <w:b/>
                <w:color w:val="auto"/>
                <w:sz w:val="24"/>
              </w:rPr>
              <w:t>2、项目基本情况</w:t>
            </w:r>
          </w:p>
          <w:p w14:paraId="20C050BA">
            <w:pPr>
              <w:spacing w:line="360" w:lineRule="auto"/>
              <w:ind w:firstLine="480" w:firstLineChars="200"/>
              <w:rPr>
                <w:rFonts w:hint="eastAsia" w:eastAsia="宋体"/>
                <w:color w:val="auto"/>
                <w:sz w:val="24"/>
                <w:szCs w:val="28"/>
                <w:lang w:eastAsia="zh-CN"/>
              </w:rPr>
            </w:pPr>
            <w:r>
              <w:rPr>
                <w:rFonts w:hint="eastAsia"/>
                <w:color w:val="auto"/>
                <w:sz w:val="24"/>
                <w:szCs w:val="28"/>
              </w:rPr>
              <w:t>（1）</w:t>
            </w:r>
            <w:r>
              <w:rPr>
                <w:color w:val="auto"/>
                <w:sz w:val="24"/>
                <w:szCs w:val="28"/>
              </w:rPr>
              <w:t>项目名称</w:t>
            </w:r>
            <w:r>
              <w:rPr>
                <w:rFonts w:hint="eastAsia"/>
                <w:color w:val="auto"/>
                <w:sz w:val="24"/>
                <w:szCs w:val="28"/>
              </w:rPr>
              <w:t>：</w:t>
            </w:r>
            <w:r>
              <w:rPr>
                <w:rFonts w:hint="default" w:ascii="Times New Roman" w:hAnsi="Times New Roman" w:cs="Times New Roman"/>
                <w:color w:val="auto"/>
                <w:sz w:val="24"/>
                <w:szCs w:val="24"/>
                <w:lang w:val="en-US" w:eastAsia="zh-CN"/>
              </w:rPr>
              <w:t>统型砼岔枕生产项目</w:t>
            </w:r>
            <w:r>
              <w:rPr>
                <w:rFonts w:hint="eastAsia" w:cs="Times New Roman"/>
                <w:color w:val="auto"/>
                <w:sz w:val="24"/>
                <w:szCs w:val="24"/>
                <w:lang w:val="en-US" w:eastAsia="zh-CN"/>
              </w:rPr>
              <w:t>（一期工程）</w:t>
            </w:r>
          </w:p>
          <w:p w14:paraId="0CE5A12D">
            <w:pPr>
              <w:spacing w:line="360" w:lineRule="auto"/>
              <w:ind w:firstLine="480" w:firstLineChars="200"/>
              <w:rPr>
                <w:color w:val="auto"/>
                <w:sz w:val="24"/>
                <w:szCs w:val="28"/>
              </w:rPr>
            </w:pPr>
            <w:r>
              <w:rPr>
                <w:rFonts w:hint="eastAsia"/>
                <w:color w:val="auto"/>
                <w:sz w:val="24"/>
                <w:szCs w:val="28"/>
              </w:rPr>
              <w:t>（2）</w:t>
            </w:r>
            <w:r>
              <w:rPr>
                <w:color w:val="auto"/>
                <w:sz w:val="24"/>
                <w:szCs w:val="28"/>
              </w:rPr>
              <w:t>建设单位</w:t>
            </w:r>
            <w:r>
              <w:rPr>
                <w:rFonts w:hint="eastAsia"/>
                <w:color w:val="auto"/>
                <w:sz w:val="24"/>
                <w:szCs w:val="28"/>
              </w:rPr>
              <w:t>：</w:t>
            </w:r>
            <w:r>
              <w:rPr>
                <w:rFonts w:hint="eastAsia"/>
                <w:color w:val="auto"/>
                <w:sz w:val="24"/>
                <w:szCs w:val="28"/>
                <w:lang w:val="en-US" w:eastAsia="zh-CN"/>
              </w:rPr>
              <w:t>安徽中全铁路器材有限公司</w:t>
            </w:r>
          </w:p>
          <w:p w14:paraId="6064F843">
            <w:pPr>
              <w:spacing w:line="360" w:lineRule="auto"/>
              <w:ind w:firstLine="480" w:firstLineChars="200"/>
              <w:rPr>
                <w:rFonts w:hint="eastAsia" w:eastAsia="宋体"/>
                <w:color w:val="auto"/>
                <w:sz w:val="24"/>
                <w:szCs w:val="28"/>
                <w:lang w:val="en-US" w:eastAsia="zh-CN"/>
              </w:rPr>
            </w:pPr>
            <w:r>
              <w:rPr>
                <w:rFonts w:hint="eastAsia"/>
                <w:color w:val="auto"/>
                <w:sz w:val="24"/>
                <w:szCs w:val="28"/>
              </w:rPr>
              <w:t>（3）</w:t>
            </w:r>
            <w:r>
              <w:rPr>
                <w:color w:val="auto"/>
                <w:sz w:val="24"/>
                <w:szCs w:val="28"/>
              </w:rPr>
              <w:t>项目性质</w:t>
            </w:r>
            <w:r>
              <w:rPr>
                <w:rFonts w:hint="eastAsia"/>
                <w:color w:val="auto"/>
                <w:sz w:val="24"/>
                <w:szCs w:val="28"/>
              </w:rPr>
              <w:t>：</w:t>
            </w:r>
            <w:r>
              <w:rPr>
                <w:rFonts w:hint="eastAsia"/>
                <w:color w:val="auto"/>
                <w:sz w:val="24"/>
                <w:szCs w:val="28"/>
                <w:lang w:val="en-US" w:eastAsia="zh-CN"/>
              </w:rPr>
              <w:t>新建</w:t>
            </w:r>
          </w:p>
          <w:p w14:paraId="1C951608">
            <w:pPr>
              <w:spacing w:line="440" w:lineRule="exact"/>
              <w:ind w:firstLine="480" w:firstLineChars="200"/>
              <w:rPr>
                <w:color w:val="auto"/>
                <w:sz w:val="24"/>
                <w:szCs w:val="28"/>
              </w:rPr>
            </w:pPr>
            <w:r>
              <w:rPr>
                <w:rFonts w:hint="eastAsia"/>
                <w:color w:val="auto"/>
                <w:sz w:val="24"/>
                <w:szCs w:val="28"/>
              </w:rPr>
              <w:t>（4）项目建设地点：安徽省淮南经济技术开发区锦绣路100号东侧，本项目地理位置</w:t>
            </w:r>
            <w:r>
              <w:rPr>
                <w:rFonts w:hint="eastAsia"/>
                <w:color w:val="auto"/>
                <w:sz w:val="24"/>
                <w:szCs w:val="28"/>
                <w:highlight w:val="none"/>
              </w:rPr>
              <w:t>见附图</w:t>
            </w:r>
            <w:r>
              <w:rPr>
                <w:rFonts w:hint="eastAsia"/>
                <w:color w:val="auto"/>
                <w:sz w:val="24"/>
                <w:szCs w:val="28"/>
                <w:highlight w:val="none"/>
                <w:lang w:val="en-US" w:eastAsia="zh-CN"/>
              </w:rPr>
              <w:t>1</w:t>
            </w:r>
            <w:r>
              <w:rPr>
                <w:rFonts w:hint="eastAsia"/>
                <w:color w:val="auto"/>
                <w:sz w:val="24"/>
                <w:szCs w:val="28"/>
                <w:highlight w:val="none"/>
              </w:rPr>
              <w:t>。周边关系图见附图</w:t>
            </w:r>
            <w:r>
              <w:rPr>
                <w:rFonts w:hint="eastAsia"/>
                <w:color w:val="auto"/>
                <w:sz w:val="24"/>
                <w:szCs w:val="28"/>
                <w:highlight w:val="none"/>
                <w:lang w:val="en-US" w:eastAsia="zh-CN"/>
              </w:rPr>
              <w:t>3</w:t>
            </w:r>
            <w:r>
              <w:rPr>
                <w:rFonts w:hint="eastAsia"/>
                <w:color w:val="auto"/>
                <w:sz w:val="24"/>
                <w:szCs w:val="28"/>
                <w:highlight w:val="none"/>
              </w:rPr>
              <w:t>。</w:t>
            </w:r>
          </w:p>
          <w:p w14:paraId="1E7AF5C5">
            <w:pPr>
              <w:pStyle w:val="12"/>
              <w:spacing w:line="440" w:lineRule="exact"/>
              <w:ind w:firstLine="480" w:firstLineChars="200"/>
              <w:jc w:val="both"/>
              <w:rPr>
                <w:color w:val="002DC7"/>
                <w:sz w:val="24"/>
                <w:szCs w:val="28"/>
              </w:rPr>
            </w:pPr>
            <w:r>
              <w:rPr>
                <w:rFonts w:hint="eastAsia"/>
                <w:color w:val="auto"/>
                <w:sz w:val="24"/>
                <w:szCs w:val="28"/>
              </w:rPr>
              <w:t>（</w:t>
            </w:r>
            <w:r>
              <w:rPr>
                <w:color w:val="auto"/>
                <w:sz w:val="24"/>
                <w:szCs w:val="28"/>
              </w:rPr>
              <w:t>5</w:t>
            </w:r>
            <w:r>
              <w:rPr>
                <w:rFonts w:hint="eastAsia"/>
                <w:color w:val="auto"/>
                <w:sz w:val="24"/>
                <w:szCs w:val="28"/>
              </w:rPr>
              <w:t>）项目总投资：项目总投资</w:t>
            </w:r>
            <w:r>
              <w:rPr>
                <w:rFonts w:hint="eastAsia"/>
                <w:color w:val="auto"/>
                <w:sz w:val="24"/>
                <w:szCs w:val="28"/>
                <w:lang w:val="en-US" w:eastAsia="zh-CN"/>
              </w:rPr>
              <w:t>10</w:t>
            </w:r>
            <w:r>
              <w:rPr>
                <w:rFonts w:hint="eastAsia"/>
                <w:color w:val="auto"/>
                <w:sz w:val="24"/>
                <w:szCs w:val="28"/>
              </w:rPr>
              <w:t>000万元，其中环保投资</w:t>
            </w:r>
            <w:r>
              <w:rPr>
                <w:rFonts w:hint="eastAsia"/>
                <w:color w:val="auto"/>
                <w:sz w:val="24"/>
                <w:szCs w:val="28"/>
                <w:lang w:val="en-US" w:eastAsia="zh-CN"/>
              </w:rPr>
              <w:t>62</w:t>
            </w:r>
            <w:r>
              <w:rPr>
                <w:rFonts w:hint="eastAsia"/>
                <w:color w:val="auto"/>
                <w:sz w:val="24"/>
                <w:szCs w:val="28"/>
              </w:rPr>
              <w:t>万元，占总投资0.</w:t>
            </w:r>
            <w:r>
              <w:rPr>
                <w:rFonts w:hint="eastAsia"/>
                <w:color w:val="auto"/>
                <w:sz w:val="24"/>
                <w:szCs w:val="28"/>
                <w:lang w:val="en-US" w:eastAsia="zh-CN"/>
              </w:rPr>
              <w:t>62</w:t>
            </w:r>
            <w:r>
              <w:rPr>
                <w:color w:val="auto"/>
                <w:sz w:val="24"/>
                <w:szCs w:val="28"/>
              </w:rPr>
              <w:t>%</w:t>
            </w:r>
            <w:r>
              <w:rPr>
                <w:rFonts w:hint="eastAsia"/>
                <w:color w:val="auto"/>
                <w:sz w:val="24"/>
                <w:szCs w:val="28"/>
              </w:rPr>
              <w:t>。</w:t>
            </w:r>
          </w:p>
          <w:p w14:paraId="6E333744">
            <w:pPr>
              <w:spacing w:line="440" w:lineRule="exact"/>
              <w:rPr>
                <w:b/>
                <w:color w:val="auto"/>
                <w:sz w:val="24"/>
              </w:rPr>
            </w:pPr>
            <w:r>
              <w:rPr>
                <w:rFonts w:hint="eastAsia"/>
                <w:b/>
                <w:color w:val="auto"/>
                <w:sz w:val="24"/>
              </w:rPr>
              <w:t>3</w:t>
            </w:r>
            <w:r>
              <w:rPr>
                <w:b/>
                <w:color w:val="auto"/>
                <w:sz w:val="24"/>
              </w:rPr>
              <w:t>、</w:t>
            </w:r>
            <w:r>
              <w:rPr>
                <w:rFonts w:hint="eastAsia"/>
                <w:b/>
                <w:color w:val="auto"/>
                <w:sz w:val="24"/>
              </w:rPr>
              <w:t>项目</w:t>
            </w:r>
            <w:r>
              <w:rPr>
                <w:b/>
                <w:color w:val="auto"/>
                <w:sz w:val="24"/>
              </w:rPr>
              <w:t>组成</w:t>
            </w:r>
          </w:p>
          <w:p w14:paraId="3DDC2E74">
            <w:pPr>
              <w:spacing w:line="440" w:lineRule="exact"/>
              <w:ind w:firstLine="480" w:firstLineChars="200"/>
              <w:rPr>
                <w:rFonts w:hint="eastAsia" w:hAnsi="宋体"/>
                <w:color w:val="002DC7"/>
                <w:kern w:val="0"/>
                <w:sz w:val="24"/>
              </w:rPr>
            </w:pPr>
            <w:r>
              <w:rPr>
                <w:rFonts w:hint="eastAsia" w:hAnsi="宋体"/>
                <w:color w:val="auto"/>
                <w:kern w:val="0"/>
                <w:sz w:val="24"/>
              </w:rPr>
              <w:t>本项目位于</w:t>
            </w:r>
            <w:r>
              <w:rPr>
                <w:rFonts w:hint="eastAsia"/>
                <w:color w:val="auto"/>
                <w:sz w:val="24"/>
                <w:szCs w:val="28"/>
              </w:rPr>
              <w:t>安徽省淮南经济技术开发区锦绣路100号东侧</w:t>
            </w:r>
            <w:r>
              <w:rPr>
                <w:rFonts w:hint="eastAsia" w:hAnsi="宋体"/>
                <w:color w:val="auto"/>
                <w:kern w:val="0"/>
                <w:sz w:val="24"/>
              </w:rPr>
              <w:t>，</w:t>
            </w:r>
            <w:r>
              <w:rPr>
                <w:rFonts w:hint="default" w:ascii="Times New Roman" w:hAnsi="Times New Roman" w:cs="Times New Roman"/>
                <w:color w:val="auto"/>
                <w:sz w:val="24"/>
                <w:highlight w:val="none"/>
                <w:lang w:val="en-US" w:eastAsia="zh-CN"/>
              </w:rPr>
              <w:t>占地面积约20亩，建设一栋</w:t>
            </w:r>
            <w:r>
              <w:rPr>
                <w:rFonts w:hint="eastAsia" w:cs="Times New Roman"/>
                <w:color w:val="auto"/>
                <w:sz w:val="24"/>
                <w:highlight w:val="none"/>
                <w:lang w:val="en-US" w:eastAsia="zh-CN"/>
              </w:rPr>
              <w:t>建筑面积8000m</w:t>
            </w:r>
            <w:r>
              <w:rPr>
                <w:rFonts w:hint="eastAsia"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钢结构厂房</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并在生产厂房内</w:t>
            </w:r>
            <w:r>
              <w:rPr>
                <w:rFonts w:hint="eastAsia" w:cs="Times New Roman"/>
                <w:color w:val="auto"/>
                <w:sz w:val="24"/>
                <w:vertAlign w:val="baseline"/>
                <w:lang w:val="en-US" w:eastAsia="zh-CN"/>
              </w:rPr>
              <w:t>建设一条年产50万根</w:t>
            </w:r>
            <w:r>
              <w:rPr>
                <w:rFonts w:hint="default" w:ascii="Times New Roman" w:hAnsi="Times New Roman" w:cs="Times New Roman"/>
                <w:color w:val="auto"/>
                <w:sz w:val="24"/>
                <w:szCs w:val="24"/>
                <w:lang w:val="en-US" w:eastAsia="zh-CN"/>
              </w:rPr>
              <w:t>统型砼岔枕</w:t>
            </w:r>
            <w:r>
              <w:rPr>
                <w:rFonts w:hint="eastAsia" w:ascii="Times New Roman" w:hAnsi="Times New Roman" w:cs="Times New Roman"/>
                <w:color w:val="auto"/>
                <w:sz w:val="24"/>
                <w:szCs w:val="24"/>
                <w:lang w:val="en-US" w:eastAsia="zh-CN"/>
              </w:rPr>
              <w:t>生产线及其公辅工程</w:t>
            </w:r>
            <w:r>
              <w:rPr>
                <w:rFonts w:hint="eastAsia" w:hAnsi="宋体"/>
                <w:color w:val="auto"/>
                <w:kern w:val="0"/>
                <w:sz w:val="24"/>
              </w:rPr>
              <w:t>。</w:t>
            </w:r>
          </w:p>
          <w:p w14:paraId="42EEF0A2">
            <w:pPr>
              <w:spacing w:line="360" w:lineRule="auto"/>
              <w:jc w:val="center"/>
              <w:rPr>
                <w:rFonts w:hint="eastAsia" w:eastAsia="宋体"/>
                <w:b/>
                <w:color w:val="auto"/>
                <w:sz w:val="24"/>
                <w:szCs w:val="28"/>
                <w:highlight w:val="yellow"/>
                <w:lang w:val="en-US" w:eastAsia="zh-CN"/>
              </w:rPr>
            </w:pPr>
            <w:r>
              <w:rPr>
                <w:b/>
                <w:color w:val="auto"/>
                <w:sz w:val="24"/>
                <w:szCs w:val="28"/>
              </w:rPr>
              <w:t>表2-2  项目建设组成一览表</w:t>
            </w:r>
          </w:p>
          <w:tbl>
            <w:tblPr>
              <w:tblStyle w:val="4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960"/>
              <w:gridCol w:w="1063"/>
              <w:gridCol w:w="4255"/>
              <w:gridCol w:w="1087"/>
            </w:tblGrid>
            <w:tr w14:paraId="4A42E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Align w:val="center"/>
                </w:tcPr>
                <w:p w14:paraId="63923E2E">
                  <w:pPr>
                    <w:adjustRightInd w:val="0"/>
                    <w:snapToGrid w:val="0"/>
                    <w:spacing w:line="240" w:lineRule="auto"/>
                    <w:jc w:val="center"/>
                    <w:rPr>
                      <w:b/>
                      <w:bCs/>
                      <w:color w:val="auto"/>
                      <w:szCs w:val="21"/>
                    </w:rPr>
                  </w:pPr>
                  <w:r>
                    <w:rPr>
                      <w:b/>
                      <w:bCs/>
                      <w:color w:val="auto"/>
                      <w:szCs w:val="21"/>
                    </w:rPr>
                    <w:t>工程</w:t>
                  </w:r>
                </w:p>
                <w:p w14:paraId="7C6867EA">
                  <w:pPr>
                    <w:adjustRightInd w:val="0"/>
                    <w:snapToGrid w:val="0"/>
                    <w:spacing w:line="240" w:lineRule="auto"/>
                    <w:jc w:val="center"/>
                    <w:rPr>
                      <w:b/>
                      <w:bCs/>
                      <w:color w:val="auto"/>
                      <w:szCs w:val="21"/>
                    </w:rPr>
                  </w:pPr>
                  <w:r>
                    <w:rPr>
                      <w:b/>
                      <w:bCs/>
                      <w:color w:val="auto"/>
                      <w:szCs w:val="21"/>
                    </w:rPr>
                    <w:t>类别</w:t>
                  </w:r>
                </w:p>
              </w:tc>
              <w:tc>
                <w:tcPr>
                  <w:tcW w:w="589" w:type="pct"/>
                  <w:vAlign w:val="center"/>
                </w:tcPr>
                <w:p w14:paraId="4C6769DA">
                  <w:pPr>
                    <w:adjustRightInd w:val="0"/>
                    <w:snapToGrid w:val="0"/>
                    <w:spacing w:line="240" w:lineRule="auto"/>
                    <w:jc w:val="center"/>
                    <w:rPr>
                      <w:b/>
                      <w:bCs/>
                      <w:color w:val="auto"/>
                      <w:szCs w:val="21"/>
                    </w:rPr>
                  </w:pPr>
                  <w:r>
                    <w:rPr>
                      <w:b/>
                      <w:bCs/>
                      <w:color w:val="auto"/>
                      <w:szCs w:val="21"/>
                    </w:rPr>
                    <w:t>单项工程名</w:t>
                  </w:r>
                  <w:r>
                    <w:rPr>
                      <w:rFonts w:hint="eastAsia"/>
                      <w:b/>
                      <w:bCs/>
                      <w:color w:val="auto"/>
                      <w:szCs w:val="21"/>
                    </w:rPr>
                    <w:t>称</w:t>
                  </w:r>
                </w:p>
              </w:tc>
              <w:tc>
                <w:tcPr>
                  <w:tcW w:w="3262" w:type="pct"/>
                  <w:gridSpan w:val="2"/>
                  <w:vAlign w:val="center"/>
                </w:tcPr>
                <w:p w14:paraId="3654B520">
                  <w:pPr>
                    <w:adjustRightInd w:val="0"/>
                    <w:snapToGrid w:val="0"/>
                    <w:spacing w:line="240" w:lineRule="auto"/>
                    <w:jc w:val="center"/>
                    <w:rPr>
                      <w:b/>
                      <w:bCs/>
                      <w:color w:val="auto"/>
                      <w:szCs w:val="21"/>
                    </w:rPr>
                  </w:pPr>
                  <w:r>
                    <w:rPr>
                      <w:b/>
                      <w:bCs/>
                      <w:color w:val="auto"/>
                      <w:szCs w:val="21"/>
                    </w:rPr>
                    <w:t>工程</w:t>
                  </w:r>
                  <w:r>
                    <w:rPr>
                      <w:rFonts w:hint="eastAsia"/>
                      <w:b/>
                      <w:bCs/>
                      <w:color w:val="auto"/>
                      <w:szCs w:val="21"/>
                    </w:rPr>
                    <w:t>建设</w:t>
                  </w:r>
                  <w:r>
                    <w:rPr>
                      <w:b/>
                      <w:bCs/>
                      <w:color w:val="auto"/>
                      <w:szCs w:val="21"/>
                    </w:rPr>
                    <w:t>内容</w:t>
                  </w:r>
                  <w:r>
                    <w:rPr>
                      <w:rFonts w:hint="eastAsia"/>
                      <w:b/>
                      <w:bCs/>
                      <w:color w:val="auto"/>
                      <w:szCs w:val="21"/>
                    </w:rPr>
                    <w:t>及规模</w:t>
                  </w:r>
                </w:p>
              </w:tc>
              <w:tc>
                <w:tcPr>
                  <w:tcW w:w="666" w:type="pct"/>
                  <w:vAlign w:val="center"/>
                </w:tcPr>
                <w:p w14:paraId="6AB559CD">
                  <w:pPr>
                    <w:adjustRightInd w:val="0"/>
                    <w:snapToGrid w:val="0"/>
                    <w:spacing w:line="240" w:lineRule="auto"/>
                    <w:jc w:val="center"/>
                    <w:rPr>
                      <w:b/>
                      <w:bCs/>
                      <w:color w:val="auto"/>
                      <w:szCs w:val="21"/>
                    </w:rPr>
                  </w:pPr>
                  <w:r>
                    <w:rPr>
                      <w:rFonts w:hint="eastAsia"/>
                      <w:b/>
                      <w:bCs/>
                      <w:color w:val="auto"/>
                      <w:szCs w:val="21"/>
                    </w:rPr>
                    <w:t>建设情况</w:t>
                  </w:r>
                </w:p>
              </w:tc>
            </w:tr>
            <w:tr w14:paraId="2F23F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1" w:type="pct"/>
                  <w:vAlign w:val="center"/>
                </w:tcPr>
                <w:p w14:paraId="0434F3CA">
                  <w:pPr>
                    <w:adjustRightInd w:val="0"/>
                    <w:snapToGrid w:val="0"/>
                    <w:spacing w:line="240" w:lineRule="auto"/>
                    <w:jc w:val="center"/>
                    <w:rPr>
                      <w:color w:val="auto"/>
                      <w:szCs w:val="21"/>
                    </w:rPr>
                  </w:pPr>
                  <w:r>
                    <w:rPr>
                      <w:color w:val="auto"/>
                      <w:szCs w:val="21"/>
                    </w:rPr>
                    <w:t>主体</w:t>
                  </w:r>
                </w:p>
                <w:p w14:paraId="7E7941A7">
                  <w:pPr>
                    <w:adjustRightInd w:val="0"/>
                    <w:snapToGrid w:val="0"/>
                    <w:spacing w:line="240" w:lineRule="auto"/>
                    <w:jc w:val="center"/>
                    <w:rPr>
                      <w:color w:val="auto"/>
                      <w:szCs w:val="21"/>
                    </w:rPr>
                  </w:pPr>
                  <w:r>
                    <w:rPr>
                      <w:color w:val="auto"/>
                      <w:szCs w:val="21"/>
                    </w:rPr>
                    <w:t>工程</w:t>
                  </w:r>
                </w:p>
              </w:tc>
              <w:tc>
                <w:tcPr>
                  <w:tcW w:w="589" w:type="pct"/>
                  <w:vAlign w:val="center"/>
                </w:tcPr>
                <w:p w14:paraId="0CD8A97E">
                  <w:pPr>
                    <w:adjustRightInd w:val="0"/>
                    <w:snapToGrid w:val="0"/>
                    <w:spacing w:line="240" w:lineRule="auto"/>
                    <w:jc w:val="center"/>
                    <w:rPr>
                      <w:color w:val="auto"/>
                      <w:szCs w:val="21"/>
                    </w:rPr>
                  </w:pPr>
                  <w:r>
                    <w:rPr>
                      <w:rFonts w:hint="eastAsia"/>
                      <w:color w:val="auto"/>
                      <w:szCs w:val="21"/>
                    </w:rPr>
                    <w:t>生产车间</w:t>
                  </w:r>
                </w:p>
              </w:tc>
              <w:tc>
                <w:tcPr>
                  <w:tcW w:w="3262" w:type="pct"/>
                  <w:gridSpan w:val="2"/>
                  <w:vAlign w:val="center"/>
                </w:tcPr>
                <w:p w14:paraId="6EEB0A22">
                  <w:pPr>
                    <w:adjustRightInd w:val="0"/>
                    <w:snapToGrid w:val="0"/>
                    <w:spacing w:line="240" w:lineRule="auto"/>
                    <w:jc w:val="left"/>
                    <w:rPr>
                      <w:rFonts w:hint="default" w:eastAsia="宋体"/>
                      <w:color w:val="auto"/>
                      <w:szCs w:val="21"/>
                      <w:lang w:val="en-US" w:eastAsia="zh-CN"/>
                    </w:rPr>
                  </w:pPr>
                  <w:r>
                    <w:rPr>
                      <w:rFonts w:hint="eastAsia"/>
                      <w:color w:val="auto"/>
                      <w:szCs w:val="21"/>
                    </w:rPr>
                    <w:t>生产</w:t>
                  </w:r>
                  <w:r>
                    <w:rPr>
                      <w:rFonts w:hint="eastAsia"/>
                      <w:color w:val="auto"/>
                      <w:szCs w:val="21"/>
                      <w:lang w:val="en-US" w:eastAsia="zh-CN"/>
                    </w:rPr>
                    <w:t>厂房</w:t>
                  </w:r>
                  <w:r>
                    <w:rPr>
                      <w:rFonts w:hint="eastAsia"/>
                      <w:color w:val="auto"/>
                      <w:szCs w:val="21"/>
                    </w:rPr>
                    <w:t>占地面积</w:t>
                  </w:r>
                  <w:r>
                    <w:rPr>
                      <w:rFonts w:hint="eastAsia"/>
                      <w:color w:val="auto"/>
                      <w:szCs w:val="21"/>
                      <w:lang w:val="en-US" w:eastAsia="zh-CN"/>
                    </w:rPr>
                    <w:t>8000</w:t>
                  </w:r>
                  <w:r>
                    <w:rPr>
                      <w:rFonts w:hint="eastAsia"/>
                      <w:color w:val="auto"/>
                      <w:szCs w:val="21"/>
                    </w:rPr>
                    <w:t>m</w:t>
                  </w:r>
                  <w:r>
                    <w:rPr>
                      <w:rFonts w:hint="eastAsia"/>
                      <w:color w:val="auto"/>
                      <w:szCs w:val="21"/>
                      <w:vertAlign w:val="superscript"/>
                    </w:rPr>
                    <w:t>2</w:t>
                  </w:r>
                  <w:r>
                    <w:rPr>
                      <w:rFonts w:hint="eastAsia"/>
                      <w:color w:val="auto"/>
                      <w:szCs w:val="21"/>
                    </w:rPr>
                    <w:t>，高</w:t>
                  </w:r>
                  <w:r>
                    <w:rPr>
                      <w:rFonts w:hint="eastAsia"/>
                      <w:color w:val="auto"/>
                      <w:szCs w:val="21"/>
                      <w:lang w:val="en-US" w:eastAsia="zh-CN"/>
                    </w:rPr>
                    <w:t>10.3</w:t>
                  </w:r>
                  <w:r>
                    <w:rPr>
                      <w:rFonts w:hint="eastAsia"/>
                      <w:color w:val="auto"/>
                      <w:szCs w:val="21"/>
                    </w:rPr>
                    <w:t>m，共一层，位于厂房中部区域</w:t>
                  </w:r>
                  <w:r>
                    <w:rPr>
                      <w:rFonts w:hint="eastAsia"/>
                      <w:color w:val="auto"/>
                      <w:szCs w:val="21"/>
                      <w:lang w:val="en-US" w:eastAsia="zh-CN"/>
                    </w:rPr>
                    <w:t>布设混凝土搅拌站</w:t>
                  </w:r>
                  <w:r>
                    <w:rPr>
                      <w:rFonts w:hint="eastAsia"/>
                      <w:color w:val="auto"/>
                      <w:szCs w:val="21"/>
                    </w:rPr>
                    <w:t>、</w:t>
                  </w:r>
                  <w:r>
                    <w:rPr>
                      <w:rFonts w:hint="default"/>
                      <w:color w:val="auto"/>
                      <w:szCs w:val="21"/>
                      <w:lang w:val="en-US" w:eastAsia="zh-CN"/>
                    </w:rPr>
                    <w:t>钢丝定尺裁断机</w:t>
                  </w:r>
                  <w:r>
                    <w:rPr>
                      <w:rFonts w:hint="eastAsia"/>
                      <w:color w:val="auto"/>
                      <w:szCs w:val="21"/>
                    </w:rPr>
                    <w:t>、</w:t>
                  </w:r>
                  <w:r>
                    <w:rPr>
                      <w:rFonts w:hint="default"/>
                      <w:color w:val="auto"/>
                      <w:szCs w:val="21"/>
                      <w:lang w:val="en-US" w:eastAsia="zh-CN"/>
                    </w:rPr>
                    <w:t>弯箍机</w:t>
                  </w:r>
                  <w:r>
                    <w:rPr>
                      <w:rFonts w:hint="eastAsia"/>
                      <w:color w:val="auto"/>
                      <w:szCs w:val="21"/>
                      <w:lang w:val="en-US" w:eastAsia="zh-CN"/>
                    </w:rPr>
                    <w:t>、</w:t>
                  </w:r>
                  <w:r>
                    <w:rPr>
                      <w:rFonts w:hint="eastAsia" w:ascii="宋体" w:hAnsi="宋体" w:cs="宋体"/>
                      <w:color w:val="auto"/>
                      <w:sz w:val="21"/>
                      <w:szCs w:val="21"/>
                      <w:lang w:val="en-US" w:eastAsia="zh-CN"/>
                    </w:rPr>
                    <w:t>脱模机</w:t>
                  </w:r>
                  <w:r>
                    <w:rPr>
                      <w:rFonts w:hint="eastAsia"/>
                      <w:color w:val="auto"/>
                      <w:szCs w:val="21"/>
                      <w:lang w:eastAsia="zh-CN"/>
                    </w:rPr>
                    <w:t>、</w:t>
                  </w:r>
                  <w:r>
                    <w:rPr>
                      <w:rFonts w:hint="eastAsia"/>
                      <w:color w:val="auto"/>
                      <w:szCs w:val="21"/>
                      <w:lang w:val="en-US" w:eastAsia="zh-CN"/>
                    </w:rPr>
                    <w:t>混凝土养护监控系统等</w:t>
                  </w:r>
                  <w:r>
                    <w:rPr>
                      <w:rFonts w:hint="eastAsia"/>
                      <w:color w:val="auto"/>
                      <w:szCs w:val="21"/>
                    </w:rPr>
                    <w:t>设备</w:t>
                  </w:r>
                  <w:r>
                    <w:rPr>
                      <w:rFonts w:hint="eastAsia"/>
                      <w:color w:val="auto"/>
                      <w:szCs w:val="21"/>
                      <w:lang w:eastAsia="zh-CN"/>
                    </w:rPr>
                    <w:t>，</w:t>
                  </w:r>
                  <w:r>
                    <w:rPr>
                      <w:rFonts w:hint="eastAsia"/>
                      <w:color w:val="auto"/>
                      <w:szCs w:val="21"/>
                      <w:lang w:val="en-US" w:eastAsia="zh-CN"/>
                    </w:rPr>
                    <w:t>生产规模为年产50万根统型砼岔枕</w:t>
                  </w:r>
                </w:p>
              </w:tc>
              <w:tc>
                <w:tcPr>
                  <w:tcW w:w="666" w:type="pct"/>
                  <w:vAlign w:val="center"/>
                </w:tcPr>
                <w:p w14:paraId="49F09F81">
                  <w:pPr>
                    <w:adjustRightInd w:val="0"/>
                    <w:snapToGrid w:val="0"/>
                    <w:spacing w:line="240" w:lineRule="auto"/>
                    <w:jc w:val="center"/>
                    <w:rPr>
                      <w:color w:val="auto"/>
                      <w:szCs w:val="21"/>
                    </w:rPr>
                  </w:pPr>
                  <w:r>
                    <w:rPr>
                      <w:rFonts w:hint="eastAsia"/>
                      <w:color w:val="auto"/>
                      <w:szCs w:val="21"/>
                      <w:lang w:val="en-US" w:eastAsia="zh-CN"/>
                    </w:rPr>
                    <w:t>新建</w:t>
                  </w:r>
                  <w:r>
                    <w:rPr>
                      <w:color w:val="auto"/>
                      <w:szCs w:val="21"/>
                    </w:rPr>
                    <w:t xml:space="preserve"> </w:t>
                  </w:r>
                </w:p>
              </w:tc>
            </w:tr>
            <w:tr w14:paraId="6E8C7D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481" w:type="pct"/>
                  <w:vMerge w:val="restart"/>
                  <w:vAlign w:val="center"/>
                </w:tcPr>
                <w:p w14:paraId="5652D3FE">
                  <w:pPr>
                    <w:adjustRightInd w:val="0"/>
                    <w:snapToGrid w:val="0"/>
                    <w:spacing w:line="240" w:lineRule="auto"/>
                    <w:jc w:val="center"/>
                    <w:rPr>
                      <w:color w:val="auto"/>
                      <w:szCs w:val="21"/>
                    </w:rPr>
                  </w:pPr>
                  <w:r>
                    <w:rPr>
                      <w:color w:val="auto"/>
                      <w:szCs w:val="21"/>
                    </w:rPr>
                    <w:t>储运工程</w:t>
                  </w:r>
                </w:p>
              </w:tc>
              <w:tc>
                <w:tcPr>
                  <w:tcW w:w="589" w:type="pct"/>
                  <w:vAlign w:val="center"/>
                </w:tcPr>
                <w:p w14:paraId="429B9E73">
                  <w:pPr>
                    <w:jc w:val="center"/>
                    <w:rPr>
                      <w:color w:val="auto"/>
                      <w:szCs w:val="21"/>
                    </w:rPr>
                  </w:pPr>
                  <w:r>
                    <w:rPr>
                      <w:rFonts w:hint="eastAsia"/>
                      <w:color w:val="auto"/>
                      <w:szCs w:val="21"/>
                      <w:lang w:val="en-US" w:eastAsia="zh-CN"/>
                    </w:rPr>
                    <w:t>砂子</w:t>
                  </w:r>
                  <w:r>
                    <w:rPr>
                      <w:rFonts w:hint="eastAsia"/>
                      <w:color w:val="auto"/>
                      <w:szCs w:val="21"/>
                    </w:rPr>
                    <w:t>堆放区</w:t>
                  </w:r>
                </w:p>
              </w:tc>
              <w:tc>
                <w:tcPr>
                  <w:tcW w:w="3262" w:type="pct"/>
                  <w:gridSpan w:val="2"/>
                  <w:vAlign w:val="center"/>
                </w:tcPr>
                <w:p w14:paraId="671A802F">
                  <w:pPr>
                    <w:jc w:val="left"/>
                    <w:rPr>
                      <w:rFonts w:hint="default"/>
                      <w:color w:val="auto"/>
                      <w:szCs w:val="21"/>
                      <w:lang w:val="en-US"/>
                    </w:rPr>
                  </w:pPr>
                  <w:r>
                    <w:rPr>
                      <w:rFonts w:hint="eastAsia"/>
                      <w:color w:val="auto"/>
                      <w:szCs w:val="21"/>
                    </w:rPr>
                    <w:t>位于</w:t>
                  </w:r>
                  <w:r>
                    <w:rPr>
                      <w:rFonts w:hint="eastAsia"/>
                      <w:color w:val="auto"/>
                      <w:szCs w:val="21"/>
                      <w:lang w:val="en-US" w:eastAsia="zh-CN"/>
                    </w:rPr>
                    <w:t>生产厂房内西北侧，用于砂子的堆存，占地面积约247m</w:t>
                  </w:r>
                  <w:r>
                    <w:rPr>
                      <w:rFonts w:hint="eastAsia"/>
                      <w:color w:val="auto"/>
                      <w:szCs w:val="21"/>
                      <w:vertAlign w:val="superscript"/>
                      <w:lang w:val="en-US" w:eastAsia="zh-CN"/>
                    </w:rPr>
                    <w:t>2</w:t>
                  </w:r>
                </w:p>
              </w:tc>
              <w:tc>
                <w:tcPr>
                  <w:tcW w:w="666" w:type="pct"/>
                  <w:vAlign w:val="center"/>
                </w:tcPr>
                <w:p w14:paraId="7EB4862E">
                  <w:pPr>
                    <w:adjustRightInd w:val="0"/>
                    <w:snapToGrid w:val="0"/>
                    <w:spacing w:line="240" w:lineRule="auto"/>
                    <w:jc w:val="center"/>
                    <w:rPr>
                      <w:rFonts w:hint="eastAsia" w:eastAsia="宋体"/>
                      <w:color w:val="auto"/>
                      <w:szCs w:val="21"/>
                      <w:lang w:eastAsia="zh-CN"/>
                    </w:rPr>
                  </w:pPr>
                  <w:r>
                    <w:rPr>
                      <w:rFonts w:hint="eastAsia"/>
                      <w:color w:val="auto"/>
                      <w:szCs w:val="21"/>
                      <w:lang w:val="en-US" w:eastAsia="zh-CN"/>
                    </w:rPr>
                    <w:t>新建</w:t>
                  </w:r>
                </w:p>
              </w:tc>
            </w:tr>
            <w:tr w14:paraId="48F769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481" w:type="pct"/>
                  <w:vMerge w:val="continue"/>
                  <w:vAlign w:val="center"/>
                </w:tcPr>
                <w:p w14:paraId="5C44062D">
                  <w:pPr>
                    <w:adjustRightInd w:val="0"/>
                    <w:snapToGrid w:val="0"/>
                    <w:spacing w:line="240" w:lineRule="auto"/>
                    <w:jc w:val="center"/>
                    <w:rPr>
                      <w:color w:val="auto"/>
                      <w:szCs w:val="21"/>
                    </w:rPr>
                  </w:pPr>
                </w:p>
              </w:tc>
              <w:tc>
                <w:tcPr>
                  <w:tcW w:w="589" w:type="pct"/>
                  <w:vAlign w:val="center"/>
                </w:tcPr>
                <w:p w14:paraId="3F0D5535">
                  <w:pPr>
                    <w:jc w:val="center"/>
                    <w:rPr>
                      <w:rFonts w:hint="default"/>
                      <w:color w:val="auto"/>
                      <w:szCs w:val="21"/>
                      <w:lang w:val="en-US" w:eastAsia="zh-CN"/>
                    </w:rPr>
                  </w:pPr>
                  <w:r>
                    <w:rPr>
                      <w:rFonts w:hint="eastAsia"/>
                      <w:color w:val="auto"/>
                      <w:szCs w:val="21"/>
                      <w:lang w:val="en-US" w:eastAsia="zh-CN"/>
                    </w:rPr>
                    <w:t>碎石堆放区</w:t>
                  </w:r>
                </w:p>
              </w:tc>
              <w:tc>
                <w:tcPr>
                  <w:tcW w:w="3262" w:type="pct"/>
                  <w:gridSpan w:val="2"/>
                  <w:vAlign w:val="center"/>
                </w:tcPr>
                <w:p w14:paraId="3289A741">
                  <w:pPr>
                    <w:jc w:val="left"/>
                    <w:rPr>
                      <w:rFonts w:hint="eastAsia"/>
                      <w:color w:val="auto"/>
                      <w:szCs w:val="21"/>
                    </w:rPr>
                  </w:pPr>
                  <w:r>
                    <w:rPr>
                      <w:rFonts w:hint="eastAsia"/>
                      <w:color w:val="auto"/>
                      <w:szCs w:val="21"/>
                    </w:rPr>
                    <w:t>位于</w:t>
                  </w:r>
                  <w:r>
                    <w:rPr>
                      <w:rFonts w:hint="eastAsia"/>
                      <w:color w:val="auto"/>
                      <w:szCs w:val="21"/>
                      <w:lang w:val="en-US" w:eastAsia="zh-CN"/>
                    </w:rPr>
                    <w:t>生产厂房内西北侧，紧邻砂子堆放区，用于碎石的堆存，占地面积约247m</w:t>
                  </w:r>
                  <w:r>
                    <w:rPr>
                      <w:rFonts w:hint="eastAsia"/>
                      <w:color w:val="auto"/>
                      <w:szCs w:val="21"/>
                      <w:vertAlign w:val="superscript"/>
                      <w:lang w:val="en-US" w:eastAsia="zh-CN"/>
                    </w:rPr>
                    <w:t>2</w:t>
                  </w:r>
                </w:p>
              </w:tc>
              <w:tc>
                <w:tcPr>
                  <w:tcW w:w="666" w:type="pct"/>
                  <w:vAlign w:val="center"/>
                </w:tcPr>
                <w:p w14:paraId="20DCB20E">
                  <w:pPr>
                    <w:adjustRightInd w:val="0"/>
                    <w:snapToGrid w:val="0"/>
                    <w:spacing w:line="240" w:lineRule="auto"/>
                    <w:jc w:val="center"/>
                    <w:rPr>
                      <w:rFonts w:hint="eastAsia"/>
                      <w:color w:val="auto"/>
                      <w:szCs w:val="21"/>
                      <w:lang w:val="en-US" w:eastAsia="zh-CN"/>
                    </w:rPr>
                  </w:pPr>
                </w:p>
              </w:tc>
            </w:tr>
            <w:tr w14:paraId="5DCD05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481" w:type="pct"/>
                  <w:vMerge w:val="continue"/>
                  <w:vAlign w:val="center"/>
                </w:tcPr>
                <w:p w14:paraId="56DEB66F">
                  <w:pPr>
                    <w:adjustRightInd w:val="0"/>
                    <w:snapToGrid w:val="0"/>
                    <w:spacing w:line="240" w:lineRule="auto"/>
                    <w:jc w:val="center"/>
                    <w:rPr>
                      <w:color w:val="auto"/>
                      <w:szCs w:val="21"/>
                    </w:rPr>
                  </w:pPr>
                </w:p>
              </w:tc>
              <w:tc>
                <w:tcPr>
                  <w:tcW w:w="589" w:type="pct"/>
                  <w:shd w:val="clear" w:color="auto" w:fill="auto"/>
                  <w:vAlign w:val="center"/>
                </w:tcPr>
                <w:p w14:paraId="340EB62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脱模剂存放区</w:t>
                  </w:r>
                </w:p>
              </w:tc>
              <w:tc>
                <w:tcPr>
                  <w:tcW w:w="3262" w:type="pct"/>
                  <w:gridSpan w:val="2"/>
                  <w:shd w:val="clear" w:color="auto" w:fill="auto"/>
                  <w:vAlign w:val="center"/>
                </w:tcPr>
                <w:p w14:paraId="299EC2CE">
                  <w:pPr>
                    <w:jc w:val="left"/>
                    <w:rPr>
                      <w:rFonts w:hint="eastAsia" w:ascii="Times New Roman" w:hAnsi="Times New Roman" w:eastAsia="宋体" w:cs="Times New Roman"/>
                      <w:color w:val="auto"/>
                      <w:kern w:val="2"/>
                      <w:sz w:val="21"/>
                      <w:szCs w:val="21"/>
                      <w:lang w:val="en-US" w:eastAsia="zh-CN" w:bidi="ar-SA"/>
                    </w:rPr>
                  </w:pPr>
                  <w:r>
                    <w:rPr>
                      <w:rFonts w:hint="eastAsia"/>
                      <w:color w:val="auto"/>
                      <w:szCs w:val="21"/>
                    </w:rPr>
                    <w:t>位于</w:t>
                  </w:r>
                  <w:r>
                    <w:rPr>
                      <w:rFonts w:hint="eastAsia"/>
                      <w:color w:val="auto"/>
                      <w:szCs w:val="21"/>
                      <w:lang w:val="en-US" w:eastAsia="zh-CN"/>
                    </w:rPr>
                    <w:t>生产厂房内西北侧，紧邻碎石堆放区，用于储存桶装脱模剂，占地面积约20m</w:t>
                  </w:r>
                  <w:r>
                    <w:rPr>
                      <w:rFonts w:hint="eastAsia"/>
                      <w:color w:val="auto"/>
                      <w:szCs w:val="21"/>
                      <w:vertAlign w:val="superscript"/>
                      <w:lang w:val="en-US" w:eastAsia="zh-CN"/>
                    </w:rPr>
                    <w:t>2</w:t>
                  </w:r>
                </w:p>
              </w:tc>
              <w:tc>
                <w:tcPr>
                  <w:tcW w:w="666" w:type="pct"/>
                  <w:shd w:val="clear" w:color="auto" w:fill="auto"/>
                  <w:vAlign w:val="center"/>
                </w:tcPr>
                <w:p w14:paraId="7695869A">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新建</w:t>
                  </w:r>
                </w:p>
              </w:tc>
            </w:tr>
            <w:tr w14:paraId="0B8C46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27FB81E2">
                  <w:pPr>
                    <w:adjustRightInd w:val="0"/>
                    <w:snapToGrid w:val="0"/>
                    <w:spacing w:line="240" w:lineRule="auto"/>
                    <w:jc w:val="center"/>
                    <w:rPr>
                      <w:color w:val="auto"/>
                      <w:szCs w:val="21"/>
                    </w:rPr>
                  </w:pPr>
                </w:p>
              </w:tc>
              <w:tc>
                <w:tcPr>
                  <w:tcW w:w="589" w:type="pct"/>
                  <w:vAlign w:val="center"/>
                </w:tcPr>
                <w:p w14:paraId="1BC8DE04">
                  <w:pPr>
                    <w:jc w:val="center"/>
                    <w:rPr>
                      <w:color w:val="auto"/>
                      <w:szCs w:val="21"/>
                      <w:highlight w:val="none"/>
                    </w:rPr>
                  </w:pPr>
                  <w:r>
                    <w:rPr>
                      <w:rFonts w:hint="eastAsia"/>
                      <w:color w:val="auto"/>
                      <w:szCs w:val="21"/>
                      <w:highlight w:val="none"/>
                      <w:lang w:val="en-US" w:eastAsia="zh-CN"/>
                    </w:rPr>
                    <w:t>水泥筒仓</w:t>
                  </w:r>
                </w:p>
              </w:tc>
              <w:tc>
                <w:tcPr>
                  <w:tcW w:w="3262" w:type="pct"/>
                  <w:gridSpan w:val="2"/>
                  <w:vAlign w:val="center"/>
                </w:tcPr>
                <w:p w14:paraId="03FA133A">
                  <w:pPr>
                    <w:jc w:val="left"/>
                    <w:rPr>
                      <w:rFonts w:hint="default"/>
                      <w:color w:val="auto"/>
                      <w:szCs w:val="21"/>
                      <w:highlight w:val="none"/>
                      <w:lang w:val="en-US"/>
                    </w:rPr>
                  </w:pPr>
                  <w:r>
                    <w:rPr>
                      <w:rFonts w:hint="eastAsia"/>
                      <w:color w:val="auto"/>
                      <w:szCs w:val="21"/>
                      <w:highlight w:val="none"/>
                      <w:lang w:val="en-US" w:eastAsia="zh-CN"/>
                    </w:rPr>
                    <w:t>位于生产厂房内中部，共设置3个100m</w:t>
                  </w:r>
                  <w:r>
                    <w:rPr>
                      <w:rFonts w:hint="eastAsia"/>
                      <w:color w:val="auto"/>
                      <w:szCs w:val="21"/>
                      <w:highlight w:val="none"/>
                      <w:vertAlign w:val="superscript"/>
                      <w:lang w:val="en-US" w:eastAsia="zh-CN"/>
                    </w:rPr>
                    <w:t>3</w:t>
                  </w:r>
                  <w:r>
                    <w:rPr>
                      <w:rFonts w:hint="eastAsia"/>
                      <w:color w:val="auto"/>
                      <w:szCs w:val="21"/>
                      <w:highlight w:val="none"/>
                      <w:lang w:val="en-US" w:eastAsia="zh-CN"/>
                    </w:rPr>
                    <w:t>的水泥筒仓，用于储存水泥</w:t>
                  </w:r>
                </w:p>
              </w:tc>
              <w:tc>
                <w:tcPr>
                  <w:tcW w:w="666" w:type="pct"/>
                  <w:vAlign w:val="center"/>
                </w:tcPr>
                <w:p w14:paraId="2BC04E65">
                  <w:pPr>
                    <w:adjustRightInd w:val="0"/>
                    <w:snapToGrid w:val="0"/>
                    <w:spacing w:line="240" w:lineRule="auto"/>
                    <w:jc w:val="center"/>
                    <w:rPr>
                      <w:color w:val="auto"/>
                      <w:szCs w:val="21"/>
                    </w:rPr>
                  </w:pPr>
                  <w:r>
                    <w:rPr>
                      <w:rFonts w:hint="eastAsia"/>
                      <w:color w:val="auto"/>
                      <w:szCs w:val="21"/>
                      <w:lang w:val="en-US" w:eastAsia="zh-CN"/>
                    </w:rPr>
                    <w:t>新建</w:t>
                  </w:r>
                </w:p>
              </w:tc>
            </w:tr>
            <w:tr w14:paraId="23F992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770C861C">
                  <w:pPr>
                    <w:adjustRightInd w:val="0"/>
                    <w:snapToGrid w:val="0"/>
                    <w:spacing w:line="240" w:lineRule="auto"/>
                    <w:jc w:val="center"/>
                    <w:rPr>
                      <w:color w:val="2029E0"/>
                      <w:szCs w:val="21"/>
                    </w:rPr>
                  </w:pPr>
                </w:p>
              </w:tc>
              <w:tc>
                <w:tcPr>
                  <w:tcW w:w="589" w:type="pct"/>
                  <w:vAlign w:val="center"/>
                </w:tcPr>
                <w:p w14:paraId="3E2F7A2C">
                  <w:pPr>
                    <w:jc w:val="center"/>
                    <w:rPr>
                      <w:rFonts w:hint="default"/>
                      <w:color w:val="auto"/>
                      <w:szCs w:val="21"/>
                      <w:highlight w:val="none"/>
                      <w:lang w:val="en-US" w:eastAsia="zh-CN"/>
                    </w:rPr>
                  </w:pPr>
                  <w:r>
                    <w:rPr>
                      <w:rFonts w:hint="eastAsia"/>
                      <w:color w:val="auto"/>
                      <w:szCs w:val="21"/>
                      <w:highlight w:val="none"/>
                      <w:lang w:val="en-US" w:eastAsia="zh-CN"/>
                    </w:rPr>
                    <w:t>粉煤灰筒仓</w:t>
                  </w:r>
                </w:p>
              </w:tc>
              <w:tc>
                <w:tcPr>
                  <w:tcW w:w="3262" w:type="pct"/>
                  <w:gridSpan w:val="2"/>
                  <w:vAlign w:val="center"/>
                </w:tcPr>
                <w:p w14:paraId="36B403C3">
                  <w:pPr>
                    <w:jc w:val="left"/>
                    <w:rPr>
                      <w:rFonts w:hint="eastAsia"/>
                      <w:color w:val="auto"/>
                      <w:szCs w:val="21"/>
                      <w:highlight w:val="none"/>
                      <w:lang w:val="en-US" w:eastAsia="zh-CN"/>
                    </w:rPr>
                  </w:pPr>
                  <w:r>
                    <w:rPr>
                      <w:rFonts w:hint="eastAsia"/>
                      <w:color w:val="auto"/>
                      <w:szCs w:val="21"/>
                      <w:highlight w:val="none"/>
                      <w:lang w:val="en-US" w:eastAsia="zh-CN"/>
                    </w:rPr>
                    <w:t>位于生产厂房内中部，共设置1个100m</w:t>
                  </w:r>
                  <w:r>
                    <w:rPr>
                      <w:rFonts w:hint="eastAsia"/>
                      <w:color w:val="auto"/>
                      <w:szCs w:val="21"/>
                      <w:highlight w:val="none"/>
                      <w:vertAlign w:val="superscript"/>
                      <w:lang w:val="en-US" w:eastAsia="zh-CN"/>
                    </w:rPr>
                    <w:t>3</w:t>
                  </w:r>
                  <w:r>
                    <w:rPr>
                      <w:rFonts w:hint="eastAsia"/>
                      <w:color w:val="auto"/>
                      <w:szCs w:val="21"/>
                      <w:highlight w:val="none"/>
                      <w:lang w:val="en-US" w:eastAsia="zh-CN"/>
                    </w:rPr>
                    <w:t>的粉煤灰筒仓，用于储存粉煤灰</w:t>
                  </w:r>
                </w:p>
              </w:tc>
              <w:tc>
                <w:tcPr>
                  <w:tcW w:w="666" w:type="pct"/>
                  <w:vAlign w:val="center"/>
                </w:tcPr>
                <w:p w14:paraId="360FE4C3">
                  <w:pPr>
                    <w:adjustRightInd w:val="0"/>
                    <w:snapToGrid w:val="0"/>
                    <w:spacing w:line="240" w:lineRule="auto"/>
                    <w:jc w:val="center"/>
                    <w:rPr>
                      <w:rFonts w:hint="default"/>
                      <w:color w:val="auto"/>
                      <w:szCs w:val="21"/>
                      <w:lang w:val="en-US" w:eastAsia="zh-CN"/>
                    </w:rPr>
                  </w:pPr>
                  <w:r>
                    <w:rPr>
                      <w:rFonts w:hint="eastAsia"/>
                      <w:color w:val="auto"/>
                      <w:szCs w:val="21"/>
                      <w:lang w:val="en-US" w:eastAsia="zh-CN"/>
                    </w:rPr>
                    <w:t>新建</w:t>
                  </w:r>
                </w:p>
              </w:tc>
            </w:tr>
            <w:tr w14:paraId="56DF9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2DB6EDA2">
                  <w:pPr>
                    <w:adjustRightInd w:val="0"/>
                    <w:snapToGrid w:val="0"/>
                    <w:spacing w:line="240" w:lineRule="auto"/>
                    <w:jc w:val="center"/>
                    <w:rPr>
                      <w:color w:val="2029E0"/>
                      <w:szCs w:val="21"/>
                    </w:rPr>
                  </w:pPr>
                </w:p>
              </w:tc>
              <w:tc>
                <w:tcPr>
                  <w:tcW w:w="589" w:type="pct"/>
                  <w:vAlign w:val="center"/>
                </w:tcPr>
                <w:p w14:paraId="16583D3A">
                  <w:pPr>
                    <w:jc w:val="center"/>
                    <w:rPr>
                      <w:rFonts w:hint="default"/>
                      <w:color w:val="auto"/>
                      <w:szCs w:val="21"/>
                      <w:highlight w:val="none"/>
                      <w:lang w:val="en-US" w:eastAsia="zh-CN"/>
                    </w:rPr>
                  </w:pPr>
                  <w:r>
                    <w:rPr>
                      <w:rFonts w:hint="eastAsia"/>
                      <w:color w:val="auto"/>
                      <w:szCs w:val="21"/>
                      <w:highlight w:val="none"/>
                      <w:lang w:val="en-US" w:eastAsia="zh-CN"/>
                    </w:rPr>
                    <w:t>减水剂储存桶</w:t>
                  </w:r>
                </w:p>
              </w:tc>
              <w:tc>
                <w:tcPr>
                  <w:tcW w:w="3262" w:type="pct"/>
                  <w:gridSpan w:val="2"/>
                  <w:vAlign w:val="center"/>
                </w:tcPr>
                <w:p w14:paraId="0391DF35">
                  <w:pPr>
                    <w:jc w:val="left"/>
                    <w:rPr>
                      <w:rFonts w:hint="eastAsia"/>
                      <w:color w:val="auto"/>
                      <w:szCs w:val="21"/>
                      <w:highlight w:val="none"/>
                      <w:lang w:val="en-US" w:eastAsia="zh-CN"/>
                    </w:rPr>
                  </w:pPr>
                  <w:r>
                    <w:rPr>
                      <w:rFonts w:hint="eastAsia"/>
                      <w:color w:val="auto"/>
                      <w:szCs w:val="21"/>
                      <w:highlight w:val="none"/>
                      <w:lang w:val="en-US" w:eastAsia="zh-CN"/>
                    </w:rPr>
                    <w:t>位于生产厂房内中部，共设置1个0.5t的减水剂储存桶，用于储存减水剂</w:t>
                  </w:r>
                </w:p>
              </w:tc>
              <w:tc>
                <w:tcPr>
                  <w:tcW w:w="666" w:type="pct"/>
                  <w:vAlign w:val="center"/>
                </w:tcPr>
                <w:p w14:paraId="71562D12">
                  <w:pPr>
                    <w:adjustRightInd w:val="0"/>
                    <w:snapToGrid w:val="0"/>
                    <w:spacing w:line="240" w:lineRule="auto"/>
                    <w:jc w:val="center"/>
                    <w:rPr>
                      <w:rFonts w:hint="eastAsia"/>
                      <w:color w:val="auto"/>
                      <w:szCs w:val="21"/>
                      <w:lang w:val="en-US" w:eastAsia="zh-CN"/>
                    </w:rPr>
                  </w:pPr>
                  <w:r>
                    <w:rPr>
                      <w:rFonts w:hint="eastAsia"/>
                      <w:color w:val="auto"/>
                      <w:szCs w:val="21"/>
                      <w:lang w:val="en-US" w:eastAsia="zh-CN"/>
                    </w:rPr>
                    <w:t>新建</w:t>
                  </w:r>
                </w:p>
              </w:tc>
            </w:tr>
            <w:tr w14:paraId="7905D0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6D93E8E3">
                  <w:pPr>
                    <w:adjustRightInd w:val="0"/>
                    <w:snapToGrid w:val="0"/>
                    <w:spacing w:line="240" w:lineRule="auto"/>
                    <w:jc w:val="center"/>
                    <w:rPr>
                      <w:color w:val="2029E0"/>
                      <w:szCs w:val="21"/>
                    </w:rPr>
                  </w:pPr>
                </w:p>
              </w:tc>
              <w:tc>
                <w:tcPr>
                  <w:tcW w:w="589" w:type="pct"/>
                  <w:vAlign w:val="center"/>
                </w:tcPr>
                <w:p w14:paraId="616FDB1C">
                  <w:pPr>
                    <w:jc w:val="center"/>
                    <w:rPr>
                      <w:rFonts w:hint="eastAsia"/>
                      <w:color w:val="auto"/>
                      <w:szCs w:val="21"/>
                      <w:highlight w:val="none"/>
                    </w:rPr>
                  </w:pPr>
                  <w:r>
                    <w:rPr>
                      <w:rFonts w:hint="eastAsia"/>
                      <w:color w:val="auto"/>
                      <w:szCs w:val="21"/>
                      <w:highlight w:val="none"/>
                      <w:lang w:val="en-US" w:eastAsia="zh-CN"/>
                    </w:rPr>
                    <w:t>保湿养护及</w:t>
                  </w:r>
                  <w:r>
                    <w:rPr>
                      <w:rFonts w:hint="eastAsia"/>
                      <w:color w:val="auto"/>
                      <w:szCs w:val="21"/>
                      <w:highlight w:val="none"/>
                    </w:rPr>
                    <w:t>成品堆放区</w:t>
                  </w:r>
                </w:p>
              </w:tc>
              <w:tc>
                <w:tcPr>
                  <w:tcW w:w="3262" w:type="pct"/>
                  <w:gridSpan w:val="2"/>
                  <w:vAlign w:val="center"/>
                </w:tcPr>
                <w:p w14:paraId="7275CB84">
                  <w:pPr>
                    <w:jc w:val="left"/>
                    <w:rPr>
                      <w:rFonts w:hint="default"/>
                      <w:color w:val="auto"/>
                      <w:szCs w:val="21"/>
                      <w:highlight w:val="none"/>
                      <w:lang w:val="en-US"/>
                    </w:rPr>
                  </w:pPr>
                  <w:r>
                    <w:rPr>
                      <w:rFonts w:hint="eastAsia"/>
                      <w:color w:val="auto"/>
                      <w:szCs w:val="21"/>
                      <w:highlight w:val="none"/>
                      <w:lang w:val="en-US" w:eastAsia="zh-CN"/>
                    </w:rPr>
                    <w:t>位于生产厂房内东侧，用于成品岔枕保湿养护及堆放，</w:t>
                  </w:r>
                  <w:r>
                    <w:rPr>
                      <w:rFonts w:hint="eastAsia"/>
                      <w:color w:val="auto"/>
                      <w:highlight w:val="none"/>
                      <w:u w:val="none"/>
                      <w:lang w:val="en-US" w:eastAsia="zh-CN"/>
                    </w:rPr>
                    <w:t>按长短，成组堆放，</w:t>
                  </w:r>
                  <w:r>
                    <w:rPr>
                      <w:rFonts w:hint="eastAsia"/>
                      <w:color w:val="auto"/>
                      <w:szCs w:val="21"/>
                      <w:highlight w:val="none"/>
                      <w:lang w:val="en-US" w:eastAsia="zh-CN"/>
                    </w:rPr>
                    <w:t>最大储存量为1万根，占地面积约1800</w:t>
                  </w:r>
                  <w:r>
                    <w:rPr>
                      <w:rFonts w:hint="eastAsia"/>
                      <w:color w:val="auto"/>
                      <w:szCs w:val="21"/>
                      <w:lang w:val="en-US" w:eastAsia="zh-CN"/>
                    </w:rPr>
                    <w:t>m</w:t>
                  </w:r>
                  <w:r>
                    <w:rPr>
                      <w:rFonts w:hint="eastAsia"/>
                      <w:color w:val="auto"/>
                      <w:szCs w:val="21"/>
                      <w:vertAlign w:val="superscript"/>
                      <w:lang w:val="en-US" w:eastAsia="zh-CN"/>
                    </w:rPr>
                    <w:t>2</w:t>
                  </w:r>
                </w:p>
              </w:tc>
              <w:tc>
                <w:tcPr>
                  <w:tcW w:w="666" w:type="pct"/>
                  <w:vAlign w:val="center"/>
                </w:tcPr>
                <w:p w14:paraId="0FB7B6AF">
                  <w:pPr>
                    <w:adjustRightInd w:val="0"/>
                    <w:snapToGrid w:val="0"/>
                    <w:spacing w:line="240" w:lineRule="auto"/>
                    <w:jc w:val="center"/>
                    <w:rPr>
                      <w:rFonts w:hint="eastAsia" w:eastAsia="宋体"/>
                      <w:color w:val="auto"/>
                      <w:szCs w:val="21"/>
                      <w:highlight w:val="none"/>
                      <w:lang w:val="en-US" w:eastAsia="zh-CN"/>
                    </w:rPr>
                  </w:pPr>
                  <w:r>
                    <w:rPr>
                      <w:rFonts w:hint="eastAsia"/>
                      <w:color w:val="auto"/>
                      <w:szCs w:val="21"/>
                      <w:highlight w:val="none"/>
                      <w:lang w:val="en-US" w:eastAsia="zh-CN"/>
                    </w:rPr>
                    <w:t>新建</w:t>
                  </w:r>
                </w:p>
              </w:tc>
            </w:tr>
            <w:tr w14:paraId="43CCAE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Align w:val="center"/>
                </w:tcPr>
                <w:p w14:paraId="1F7DF1A5">
                  <w:pPr>
                    <w:adjustRightInd w:val="0"/>
                    <w:snapToGrid w:val="0"/>
                    <w:spacing w:line="240" w:lineRule="auto"/>
                    <w:jc w:val="center"/>
                    <w:rPr>
                      <w:color w:val="auto"/>
                      <w:szCs w:val="21"/>
                    </w:rPr>
                  </w:pPr>
                  <w:r>
                    <w:rPr>
                      <w:color w:val="auto"/>
                      <w:szCs w:val="21"/>
                    </w:rPr>
                    <w:t>辅助工程</w:t>
                  </w:r>
                </w:p>
              </w:tc>
              <w:tc>
                <w:tcPr>
                  <w:tcW w:w="589" w:type="pct"/>
                  <w:vAlign w:val="center"/>
                </w:tcPr>
                <w:p w14:paraId="3DABFD0A">
                  <w:pPr>
                    <w:adjustRightInd w:val="0"/>
                    <w:snapToGrid w:val="0"/>
                    <w:spacing w:line="240" w:lineRule="auto"/>
                    <w:jc w:val="center"/>
                    <w:rPr>
                      <w:color w:val="auto"/>
                      <w:szCs w:val="21"/>
                    </w:rPr>
                  </w:pPr>
                  <w:r>
                    <w:rPr>
                      <w:rFonts w:hint="eastAsia"/>
                      <w:color w:val="auto"/>
                      <w:szCs w:val="21"/>
                    </w:rPr>
                    <w:t>办公</w:t>
                  </w:r>
                  <w:r>
                    <w:rPr>
                      <w:rFonts w:hint="eastAsia"/>
                      <w:color w:val="auto"/>
                      <w:szCs w:val="21"/>
                      <w:lang w:val="en-US" w:eastAsia="zh-CN"/>
                    </w:rPr>
                    <w:t>生活</w:t>
                  </w:r>
                  <w:r>
                    <w:rPr>
                      <w:rFonts w:hint="eastAsia"/>
                      <w:color w:val="auto"/>
                      <w:szCs w:val="21"/>
                    </w:rPr>
                    <w:t>区</w:t>
                  </w:r>
                </w:p>
              </w:tc>
              <w:tc>
                <w:tcPr>
                  <w:tcW w:w="3262" w:type="pct"/>
                  <w:gridSpan w:val="2"/>
                  <w:vAlign w:val="center"/>
                </w:tcPr>
                <w:p w14:paraId="0A174805">
                  <w:pPr>
                    <w:adjustRightInd w:val="0"/>
                    <w:snapToGrid w:val="0"/>
                    <w:spacing w:line="240" w:lineRule="auto"/>
                    <w:jc w:val="center"/>
                    <w:rPr>
                      <w:rFonts w:hint="default"/>
                      <w:color w:val="auto"/>
                      <w:szCs w:val="21"/>
                      <w:lang w:val="en-US"/>
                    </w:rPr>
                  </w:pPr>
                  <w:r>
                    <w:rPr>
                      <w:rFonts w:hint="eastAsia"/>
                      <w:color w:val="auto"/>
                      <w:szCs w:val="21"/>
                      <w:lang w:val="en-US" w:eastAsia="zh-CN"/>
                    </w:rPr>
                    <w:t>办公区位于生产厂房西北侧</w:t>
                  </w:r>
                </w:p>
              </w:tc>
              <w:tc>
                <w:tcPr>
                  <w:tcW w:w="666" w:type="pct"/>
                  <w:vAlign w:val="center"/>
                </w:tcPr>
                <w:p w14:paraId="3A32A40F">
                  <w:pPr>
                    <w:adjustRightInd w:val="0"/>
                    <w:snapToGrid w:val="0"/>
                    <w:spacing w:line="240" w:lineRule="auto"/>
                    <w:jc w:val="center"/>
                    <w:rPr>
                      <w:rFonts w:hint="default" w:eastAsia="宋体"/>
                      <w:color w:val="auto"/>
                      <w:szCs w:val="21"/>
                      <w:lang w:val="en-US" w:eastAsia="zh-CN"/>
                    </w:rPr>
                  </w:pPr>
                  <w:r>
                    <w:rPr>
                      <w:rFonts w:hint="eastAsia"/>
                      <w:color w:val="auto"/>
                      <w:szCs w:val="21"/>
                      <w:lang w:val="en-US" w:eastAsia="zh-CN"/>
                    </w:rPr>
                    <w:t>新建</w:t>
                  </w:r>
                </w:p>
              </w:tc>
            </w:tr>
            <w:tr w14:paraId="5C81F9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restart"/>
                  <w:vAlign w:val="center"/>
                </w:tcPr>
                <w:p w14:paraId="6352F5F9">
                  <w:pPr>
                    <w:adjustRightInd w:val="0"/>
                    <w:snapToGrid w:val="0"/>
                    <w:spacing w:line="240" w:lineRule="auto"/>
                    <w:jc w:val="center"/>
                    <w:rPr>
                      <w:color w:val="auto"/>
                      <w:szCs w:val="21"/>
                    </w:rPr>
                  </w:pPr>
                  <w:r>
                    <w:rPr>
                      <w:color w:val="auto"/>
                      <w:szCs w:val="21"/>
                    </w:rPr>
                    <w:t>公用</w:t>
                  </w:r>
                </w:p>
                <w:p w14:paraId="00B3368A">
                  <w:pPr>
                    <w:adjustRightInd w:val="0"/>
                    <w:snapToGrid w:val="0"/>
                    <w:spacing w:line="240" w:lineRule="auto"/>
                    <w:jc w:val="center"/>
                    <w:rPr>
                      <w:color w:val="2029E0"/>
                      <w:szCs w:val="21"/>
                    </w:rPr>
                  </w:pPr>
                  <w:r>
                    <w:rPr>
                      <w:color w:val="auto"/>
                      <w:szCs w:val="21"/>
                    </w:rPr>
                    <w:t>工程</w:t>
                  </w:r>
                </w:p>
              </w:tc>
              <w:tc>
                <w:tcPr>
                  <w:tcW w:w="589" w:type="pct"/>
                  <w:vAlign w:val="center"/>
                </w:tcPr>
                <w:p w14:paraId="764000E1">
                  <w:pPr>
                    <w:adjustRightInd w:val="0"/>
                    <w:snapToGrid w:val="0"/>
                    <w:spacing w:line="240" w:lineRule="auto"/>
                    <w:jc w:val="center"/>
                    <w:rPr>
                      <w:color w:val="auto"/>
                      <w:szCs w:val="21"/>
                    </w:rPr>
                  </w:pPr>
                  <w:r>
                    <w:rPr>
                      <w:color w:val="auto"/>
                      <w:szCs w:val="21"/>
                    </w:rPr>
                    <w:t>给水</w:t>
                  </w:r>
                </w:p>
              </w:tc>
              <w:tc>
                <w:tcPr>
                  <w:tcW w:w="3262" w:type="pct"/>
                  <w:gridSpan w:val="2"/>
                  <w:vAlign w:val="center"/>
                </w:tcPr>
                <w:p w14:paraId="106EB326">
                  <w:pPr>
                    <w:adjustRightInd w:val="0"/>
                    <w:snapToGrid w:val="0"/>
                    <w:spacing w:line="240" w:lineRule="auto"/>
                    <w:jc w:val="center"/>
                    <w:rPr>
                      <w:color w:val="auto"/>
                      <w:szCs w:val="21"/>
                    </w:rPr>
                  </w:pPr>
                  <w:r>
                    <w:rPr>
                      <w:rFonts w:hint="eastAsia"/>
                      <w:color w:val="auto"/>
                      <w:szCs w:val="21"/>
                    </w:rPr>
                    <w:t>由市政供水管网供给，用水量</w:t>
                  </w:r>
                  <w:r>
                    <w:rPr>
                      <w:rFonts w:hint="eastAsia"/>
                      <w:color w:val="auto"/>
                      <w:szCs w:val="21"/>
                      <w:lang w:val="en-US" w:eastAsia="zh-CN"/>
                    </w:rPr>
                    <w:t>16294</w:t>
                  </w:r>
                  <w:r>
                    <w:rPr>
                      <w:rFonts w:hint="eastAsia"/>
                      <w:color w:val="auto"/>
                      <w:szCs w:val="21"/>
                    </w:rPr>
                    <w:t>m</w:t>
                  </w:r>
                  <w:r>
                    <w:rPr>
                      <w:rFonts w:hint="eastAsia"/>
                      <w:color w:val="auto"/>
                      <w:szCs w:val="21"/>
                      <w:vertAlign w:val="superscript"/>
                    </w:rPr>
                    <w:t>3</w:t>
                  </w:r>
                  <w:r>
                    <w:rPr>
                      <w:rFonts w:hint="eastAsia"/>
                      <w:color w:val="auto"/>
                      <w:szCs w:val="21"/>
                    </w:rPr>
                    <w:t>/</w:t>
                  </w:r>
                  <w:r>
                    <w:rPr>
                      <w:rFonts w:hint="eastAsia"/>
                      <w:color w:val="auto"/>
                      <w:szCs w:val="21"/>
                      <w:lang w:val="en-US" w:eastAsia="zh-CN"/>
                    </w:rPr>
                    <w:t>a</w:t>
                  </w:r>
                  <w:r>
                    <w:rPr>
                      <w:rFonts w:hint="eastAsia"/>
                      <w:color w:val="auto"/>
                      <w:szCs w:val="21"/>
                    </w:rPr>
                    <w:t>。</w:t>
                  </w:r>
                </w:p>
              </w:tc>
              <w:tc>
                <w:tcPr>
                  <w:tcW w:w="666" w:type="pct"/>
                  <w:vAlign w:val="center"/>
                </w:tcPr>
                <w:p w14:paraId="01DB7E1E">
                  <w:pPr>
                    <w:adjustRightInd w:val="0"/>
                    <w:snapToGrid w:val="0"/>
                    <w:spacing w:line="240" w:lineRule="auto"/>
                    <w:jc w:val="center"/>
                    <w:rPr>
                      <w:color w:val="auto"/>
                      <w:szCs w:val="21"/>
                    </w:rPr>
                  </w:pPr>
                  <w:r>
                    <w:rPr>
                      <w:rFonts w:hint="eastAsia"/>
                      <w:color w:val="auto"/>
                      <w:szCs w:val="21"/>
                    </w:rPr>
                    <w:t>依托市政供水管网</w:t>
                  </w:r>
                </w:p>
              </w:tc>
            </w:tr>
            <w:tr w14:paraId="272C9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013C2B64">
                  <w:pPr>
                    <w:adjustRightInd w:val="0"/>
                    <w:snapToGrid w:val="0"/>
                    <w:spacing w:line="240" w:lineRule="auto"/>
                    <w:jc w:val="center"/>
                    <w:rPr>
                      <w:color w:val="2029E0"/>
                      <w:szCs w:val="21"/>
                    </w:rPr>
                  </w:pPr>
                </w:p>
              </w:tc>
              <w:tc>
                <w:tcPr>
                  <w:tcW w:w="589" w:type="pct"/>
                  <w:vAlign w:val="center"/>
                </w:tcPr>
                <w:p w14:paraId="7C594044">
                  <w:pPr>
                    <w:adjustRightInd w:val="0"/>
                    <w:snapToGrid w:val="0"/>
                    <w:spacing w:line="240" w:lineRule="auto"/>
                    <w:jc w:val="center"/>
                    <w:rPr>
                      <w:color w:val="auto"/>
                      <w:szCs w:val="21"/>
                    </w:rPr>
                  </w:pPr>
                  <w:r>
                    <w:rPr>
                      <w:color w:val="auto"/>
                      <w:szCs w:val="21"/>
                    </w:rPr>
                    <w:t>排水</w:t>
                  </w:r>
                </w:p>
              </w:tc>
              <w:tc>
                <w:tcPr>
                  <w:tcW w:w="3262" w:type="pct"/>
                  <w:gridSpan w:val="2"/>
                  <w:vAlign w:val="center"/>
                </w:tcPr>
                <w:p w14:paraId="07035F9A">
                  <w:pPr>
                    <w:adjustRightInd w:val="0"/>
                    <w:snapToGrid w:val="0"/>
                    <w:spacing w:line="240" w:lineRule="auto"/>
                    <w:jc w:val="left"/>
                    <w:rPr>
                      <w:color w:val="auto"/>
                      <w:szCs w:val="21"/>
                    </w:rPr>
                  </w:pPr>
                  <w:r>
                    <w:rPr>
                      <w:rFonts w:hint="eastAsia"/>
                      <w:color w:val="auto"/>
                      <w:szCs w:val="21"/>
                    </w:rPr>
                    <w:t>雨污分流，雨水排入市政雨水管网。</w:t>
                  </w:r>
                  <w:r>
                    <w:rPr>
                      <w:rFonts w:ascii="Times New Roman" w:hAnsi="Times New Roman" w:eastAsia="宋体" w:cs="Times New Roman"/>
                      <w:color w:val="auto"/>
                      <w:szCs w:val="21"/>
                    </w:rPr>
                    <w:t>项目</w:t>
                  </w:r>
                  <w:r>
                    <w:rPr>
                      <w:rFonts w:hint="eastAsia" w:ascii="Times New Roman" w:hAnsi="Times New Roman" w:eastAsia="宋体" w:cs="Times New Roman"/>
                      <w:color w:val="auto"/>
                      <w:szCs w:val="21"/>
                      <w:lang w:val="en-US" w:eastAsia="zh-CN"/>
                    </w:rPr>
                    <w:t>搅拌机</w:t>
                  </w:r>
                  <w:r>
                    <w:rPr>
                      <w:rFonts w:hint="eastAsia" w:ascii="Times New Roman" w:hAnsi="Times New Roman" w:eastAsia="宋体" w:cs="Times New Roman"/>
                      <w:color w:val="auto"/>
                      <w:szCs w:val="21"/>
                    </w:rPr>
                    <w:t>清洗废水、车辆清洗废水</w:t>
                  </w:r>
                  <w:r>
                    <w:rPr>
                      <w:rFonts w:ascii="Times New Roman" w:hAnsi="Times New Roman" w:eastAsia="宋体" w:cs="Times New Roman"/>
                      <w:color w:val="auto"/>
                      <w:szCs w:val="21"/>
                    </w:rPr>
                    <w:t>经沉淀池处理后回用</w:t>
                  </w:r>
                  <w:r>
                    <w:rPr>
                      <w:rFonts w:hint="eastAsia" w:ascii="Times New Roman" w:hAnsi="Times New Roman" w:eastAsia="宋体" w:cs="Times New Roman"/>
                      <w:color w:val="auto"/>
                      <w:szCs w:val="21"/>
                      <w:lang w:eastAsia="zh-CN"/>
                    </w:rPr>
                    <w:t>，</w:t>
                  </w:r>
                  <w:r>
                    <w:rPr>
                      <w:rFonts w:hint="eastAsia"/>
                      <w:color w:val="auto"/>
                      <w:szCs w:val="21"/>
                    </w:rPr>
                    <w:t>生活污水</w:t>
                  </w:r>
                  <w:r>
                    <w:rPr>
                      <w:rFonts w:hint="eastAsia"/>
                      <w:color w:val="auto"/>
                      <w:szCs w:val="21"/>
                      <w:lang w:val="en-US" w:eastAsia="zh-CN"/>
                    </w:rPr>
                    <w:t>经化粪池处理，处理后</w:t>
                  </w:r>
                  <w:r>
                    <w:rPr>
                      <w:rFonts w:hint="eastAsia"/>
                      <w:color w:val="auto"/>
                      <w:szCs w:val="21"/>
                    </w:rPr>
                    <w:t>接管至</w:t>
                  </w:r>
                  <w:r>
                    <w:rPr>
                      <w:rFonts w:hint="eastAsia"/>
                      <w:color w:val="auto"/>
                      <w:szCs w:val="21"/>
                      <w:lang w:val="en-US" w:eastAsia="zh-CN"/>
                    </w:rPr>
                    <w:t>淮南经济开发区</w:t>
                  </w:r>
                  <w:r>
                    <w:rPr>
                      <w:rFonts w:hint="eastAsia"/>
                      <w:color w:val="auto"/>
                      <w:szCs w:val="21"/>
                    </w:rPr>
                    <w:t>污水处理厂，排水量</w:t>
                  </w:r>
                  <w:r>
                    <w:rPr>
                      <w:rFonts w:hint="eastAsia"/>
                      <w:color w:val="auto"/>
                      <w:szCs w:val="21"/>
                      <w:lang w:val="en-US" w:eastAsia="zh-CN"/>
                    </w:rPr>
                    <w:t>2.4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val="en-US" w:eastAsia="zh-CN"/>
                    </w:rPr>
                    <w:t>72</w:t>
                  </w:r>
                  <w:r>
                    <w:rPr>
                      <w:rFonts w:hint="eastAsia"/>
                      <w:color w:val="auto"/>
                      <w:szCs w:val="21"/>
                    </w:rPr>
                    <w:t>0m</w:t>
                  </w:r>
                  <w:r>
                    <w:rPr>
                      <w:rFonts w:hint="eastAsia"/>
                      <w:color w:val="auto"/>
                      <w:szCs w:val="21"/>
                      <w:vertAlign w:val="superscript"/>
                    </w:rPr>
                    <w:t>3</w:t>
                  </w:r>
                  <w:r>
                    <w:rPr>
                      <w:rFonts w:hint="eastAsia"/>
                      <w:color w:val="auto"/>
                      <w:szCs w:val="21"/>
                    </w:rPr>
                    <w:t>/a）。</w:t>
                  </w:r>
                </w:p>
              </w:tc>
              <w:tc>
                <w:tcPr>
                  <w:tcW w:w="666" w:type="pct"/>
                  <w:vAlign w:val="center"/>
                </w:tcPr>
                <w:p w14:paraId="27774F5E">
                  <w:pPr>
                    <w:adjustRightInd w:val="0"/>
                    <w:snapToGrid w:val="0"/>
                    <w:spacing w:line="240" w:lineRule="auto"/>
                    <w:jc w:val="center"/>
                    <w:rPr>
                      <w:rFonts w:hint="default"/>
                      <w:color w:val="2029E0"/>
                      <w:szCs w:val="21"/>
                      <w:lang w:val="en-US"/>
                    </w:rPr>
                  </w:pPr>
                  <w:r>
                    <w:rPr>
                      <w:rFonts w:hint="eastAsia"/>
                      <w:color w:val="auto"/>
                      <w:szCs w:val="21"/>
                      <w:lang w:val="en-US" w:eastAsia="zh-CN"/>
                    </w:rPr>
                    <w:t>新建</w:t>
                  </w:r>
                </w:p>
              </w:tc>
            </w:tr>
            <w:tr w14:paraId="44F36A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752B0474">
                  <w:pPr>
                    <w:adjustRightInd w:val="0"/>
                    <w:snapToGrid w:val="0"/>
                    <w:spacing w:line="240" w:lineRule="auto"/>
                    <w:jc w:val="center"/>
                    <w:rPr>
                      <w:color w:val="2029E0"/>
                      <w:szCs w:val="21"/>
                    </w:rPr>
                  </w:pPr>
                </w:p>
              </w:tc>
              <w:tc>
                <w:tcPr>
                  <w:tcW w:w="589" w:type="pct"/>
                  <w:vAlign w:val="center"/>
                </w:tcPr>
                <w:p w14:paraId="0E56BD18">
                  <w:pPr>
                    <w:adjustRightInd w:val="0"/>
                    <w:snapToGrid w:val="0"/>
                    <w:spacing w:line="240" w:lineRule="auto"/>
                    <w:jc w:val="center"/>
                    <w:rPr>
                      <w:color w:val="auto"/>
                      <w:szCs w:val="21"/>
                    </w:rPr>
                  </w:pPr>
                  <w:r>
                    <w:rPr>
                      <w:color w:val="auto"/>
                      <w:szCs w:val="21"/>
                    </w:rPr>
                    <w:t>供电</w:t>
                  </w:r>
                </w:p>
              </w:tc>
              <w:tc>
                <w:tcPr>
                  <w:tcW w:w="3262" w:type="pct"/>
                  <w:gridSpan w:val="2"/>
                  <w:vAlign w:val="center"/>
                </w:tcPr>
                <w:p w14:paraId="30A10B60">
                  <w:pPr>
                    <w:adjustRightInd w:val="0"/>
                    <w:snapToGrid w:val="0"/>
                    <w:spacing w:line="240" w:lineRule="auto"/>
                    <w:jc w:val="center"/>
                    <w:rPr>
                      <w:color w:val="auto"/>
                      <w:szCs w:val="21"/>
                    </w:rPr>
                  </w:pPr>
                  <w:r>
                    <w:rPr>
                      <w:color w:val="auto"/>
                      <w:szCs w:val="21"/>
                    </w:rPr>
                    <w:t>由</w:t>
                  </w:r>
                  <w:r>
                    <w:rPr>
                      <w:rFonts w:hint="eastAsia"/>
                      <w:color w:val="auto"/>
                      <w:szCs w:val="21"/>
                    </w:rPr>
                    <w:t>市政电网供电，</w:t>
                  </w:r>
                  <w:r>
                    <w:rPr>
                      <w:color w:val="auto"/>
                      <w:szCs w:val="21"/>
                    </w:rPr>
                    <w:t>年用电量</w:t>
                  </w:r>
                  <w:r>
                    <w:rPr>
                      <w:rFonts w:hint="eastAsia"/>
                      <w:color w:val="auto"/>
                      <w:szCs w:val="21"/>
                      <w:lang w:val="en-US" w:eastAsia="zh-CN"/>
                    </w:rPr>
                    <w:t>40</w:t>
                  </w:r>
                  <w:r>
                    <w:rPr>
                      <w:rFonts w:hint="eastAsia"/>
                      <w:color w:val="auto"/>
                      <w:szCs w:val="21"/>
                    </w:rPr>
                    <w:t>万</w:t>
                  </w:r>
                  <w:r>
                    <w:rPr>
                      <w:color w:val="auto"/>
                      <w:szCs w:val="21"/>
                    </w:rPr>
                    <w:t>k</w:t>
                  </w:r>
                  <w:r>
                    <w:rPr>
                      <w:rFonts w:hint="eastAsia"/>
                      <w:color w:val="auto"/>
                      <w:szCs w:val="21"/>
                    </w:rPr>
                    <w:t>W·</w:t>
                  </w:r>
                  <w:r>
                    <w:rPr>
                      <w:color w:val="auto"/>
                      <w:szCs w:val="21"/>
                    </w:rPr>
                    <w:t>h</w:t>
                  </w:r>
                  <w:r>
                    <w:rPr>
                      <w:rFonts w:hint="eastAsia"/>
                      <w:color w:val="auto"/>
                      <w:szCs w:val="21"/>
                    </w:rPr>
                    <w:t>。</w:t>
                  </w:r>
                </w:p>
              </w:tc>
              <w:tc>
                <w:tcPr>
                  <w:tcW w:w="666" w:type="pct"/>
                  <w:vAlign w:val="center"/>
                </w:tcPr>
                <w:p w14:paraId="2D3E2A8F">
                  <w:pPr>
                    <w:adjustRightInd w:val="0"/>
                    <w:snapToGrid w:val="0"/>
                    <w:spacing w:line="240" w:lineRule="auto"/>
                    <w:jc w:val="center"/>
                    <w:rPr>
                      <w:color w:val="auto"/>
                      <w:szCs w:val="21"/>
                    </w:rPr>
                  </w:pPr>
                  <w:r>
                    <w:rPr>
                      <w:rFonts w:hint="eastAsia"/>
                      <w:color w:val="auto"/>
                      <w:szCs w:val="21"/>
                    </w:rPr>
                    <w:t>依托市政电网</w:t>
                  </w:r>
                </w:p>
              </w:tc>
            </w:tr>
            <w:tr w14:paraId="49F2D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restart"/>
                  <w:vAlign w:val="center"/>
                </w:tcPr>
                <w:p w14:paraId="4953D198">
                  <w:pPr>
                    <w:adjustRightInd w:val="0"/>
                    <w:snapToGrid w:val="0"/>
                    <w:spacing w:line="240" w:lineRule="auto"/>
                    <w:jc w:val="center"/>
                    <w:rPr>
                      <w:color w:val="auto"/>
                      <w:szCs w:val="21"/>
                    </w:rPr>
                  </w:pPr>
                  <w:r>
                    <w:rPr>
                      <w:color w:val="auto"/>
                      <w:szCs w:val="21"/>
                    </w:rPr>
                    <w:t>环保</w:t>
                  </w:r>
                </w:p>
                <w:p w14:paraId="2F9C9FBE">
                  <w:pPr>
                    <w:adjustRightInd w:val="0"/>
                    <w:snapToGrid w:val="0"/>
                    <w:spacing w:line="240" w:lineRule="auto"/>
                    <w:jc w:val="center"/>
                    <w:rPr>
                      <w:color w:val="auto"/>
                      <w:szCs w:val="21"/>
                    </w:rPr>
                  </w:pPr>
                  <w:r>
                    <w:rPr>
                      <w:color w:val="auto"/>
                      <w:szCs w:val="21"/>
                    </w:rPr>
                    <w:t>工程</w:t>
                  </w:r>
                </w:p>
              </w:tc>
              <w:tc>
                <w:tcPr>
                  <w:tcW w:w="589" w:type="pct"/>
                  <w:vMerge w:val="restart"/>
                  <w:vAlign w:val="center"/>
                </w:tcPr>
                <w:p w14:paraId="26A9089A">
                  <w:pPr>
                    <w:adjustRightInd w:val="0"/>
                    <w:snapToGrid w:val="0"/>
                    <w:spacing w:line="240" w:lineRule="auto"/>
                    <w:jc w:val="center"/>
                    <w:rPr>
                      <w:color w:val="auto"/>
                      <w:szCs w:val="21"/>
                    </w:rPr>
                  </w:pPr>
                  <w:r>
                    <w:rPr>
                      <w:color w:val="auto"/>
                      <w:szCs w:val="21"/>
                    </w:rPr>
                    <w:t>废气治理</w:t>
                  </w:r>
                </w:p>
              </w:tc>
              <w:tc>
                <w:tcPr>
                  <w:tcW w:w="652" w:type="pct"/>
                  <w:tcBorders>
                    <w:right w:val="single" w:color="auto" w:sz="4" w:space="0"/>
                  </w:tcBorders>
                  <w:vAlign w:val="center"/>
                </w:tcPr>
                <w:p w14:paraId="3DBBC7D9">
                  <w:pPr>
                    <w:pStyle w:val="57"/>
                    <w:snapToGrid w:val="0"/>
                    <w:spacing w:line="240" w:lineRule="auto"/>
                    <w:ind w:left="0" w:leftChars="0" w:firstLine="0" w:firstLineChars="0"/>
                    <w:jc w:val="center"/>
                    <w:rPr>
                      <w:rFonts w:hint="eastAsia" w:hAnsi="宋体" w:eastAsia="宋体"/>
                      <w:b w:val="0"/>
                      <w:bCs w:val="0"/>
                      <w:color w:val="auto"/>
                      <w:kern w:val="2"/>
                      <w:sz w:val="21"/>
                      <w:szCs w:val="21"/>
                      <w:lang w:val="en-US" w:eastAsia="zh-CN"/>
                    </w:rPr>
                  </w:pPr>
                  <w:r>
                    <w:rPr>
                      <w:rFonts w:hint="eastAsia" w:hAnsi="宋体"/>
                      <w:b w:val="0"/>
                      <w:bCs w:val="0"/>
                      <w:color w:val="auto"/>
                      <w:kern w:val="2"/>
                      <w:sz w:val="21"/>
                      <w:szCs w:val="21"/>
                    </w:rPr>
                    <w:t>卸料</w:t>
                  </w:r>
                  <w:r>
                    <w:rPr>
                      <w:rFonts w:hint="eastAsia" w:hAnsi="宋体"/>
                      <w:b w:val="0"/>
                      <w:bCs w:val="0"/>
                      <w:color w:val="auto"/>
                      <w:kern w:val="2"/>
                      <w:sz w:val="21"/>
                      <w:szCs w:val="21"/>
                      <w:lang w:val="en-US" w:eastAsia="zh-CN"/>
                    </w:rPr>
                    <w:t>粉尘</w:t>
                  </w:r>
                </w:p>
              </w:tc>
              <w:tc>
                <w:tcPr>
                  <w:tcW w:w="2610" w:type="pct"/>
                  <w:tcBorders>
                    <w:left w:val="single" w:color="auto" w:sz="4" w:space="0"/>
                  </w:tcBorders>
                  <w:vAlign w:val="center"/>
                </w:tcPr>
                <w:p w14:paraId="1B448790">
                  <w:pPr>
                    <w:pStyle w:val="57"/>
                    <w:snapToGrid w:val="0"/>
                    <w:spacing w:line="240" w:lineRule="auto"/>
                    <w:ind w:left="0" w:leftChars="0" w:firstLine="0" w:firstLineChars="0"/>
                    <w:jc w:val="both"/>
                    <w:rPr>
                      <w:rFonts w:hint="eastAsia" w:hAnsi="宋体"/>
                      <w:b w:val="0"/>
                      <w:bCs w:val="0"/>
                      <w:color w:val="auto"/>
                      <w:kern w:val="2"/>
                      <w:sz w:val="21"/>
                      <w:szCs w:val="21"/>
                    </w:rPr>
                  </w:pPr>
                  <w:r>
                    <w:rPr>
                      <w:rFonts w:hint="eastAsia" w:hAnsi="宋体"/>
                      <w:b w:val="0"/>
                      <w:bCs w:val="0"/>
                      <w:color w:val="auto"/>
                      <w:kern w:val="2"/>
                      <w:sz w:val="21"/>
                      <w:szCs w:val="21"/>
                      <w:lang w:val="en-US" w:eastAsia="zh-CN"/>
                    </w:rPr>
                    <w:t>采</w:t>
                  </w:r>
                  <w:r>
                    <w:rPr>
                      <w:rFonts w:hint="eastAsia" w:hAnsi="宋体"/>
                      <w:b w:val="0"/>
                      <w:bCs w:val="0"/>
                      <w:color w:val="auto"/>
                      <w:kern w:val="2"/>
                      <w:sz w:val="21"/>
                      <w:szCs w:val="21"/>
                    </w:rPr>
                    <w:t>取密闭厂房+喷淋洒水降尘等措施后，通过无组织形式排放</w:t>
                  </w:r>
                </w:p>
              </w:tc>
              <w:tc>
                <w:tcPr>
                  <w:tcW w:w="666" w:type="pct"/>
                  <w:vAlign w:val="center"/>
                </w:tcPr>
                <w:p w14:paraId="67EEA9BE">
                  <w:pPr>
                    <w:pStyle w:val="57"/>
                    <w:snapToGrid w:val="0"/>
                    <w:spacing w:line="240" w:lineRule="auto"/>
                    <w:ind w:left="0" w:leftChars="0" w:firstLine="0" w:firstLineChars="0"/>
                    <w:jc w:val="center"/>
                    <w:rPr>
                      <w:rFonts w:hint="eastAsia" w:hAnsi="宋体"/>
                      <w:b w:val="0"/>
                      <w:bCs w:val="0"/>
                      <w:color w:val="auto"/>
                      <w:kern w:val="2"/>
                      <w:sz w:val="21"/>
                      <w:szCs w:val="21"/>
                    </w:rPr>
                  </w:pPr>
                  <w:r>
                    <w:rPr>
                      <w:rFonts w:hint="eastAsia" w:hAnsi="宋体"/>
                      <w:b w:val="0"/>
                      <w:bCs w:val="0"/>
                      <w:color w:val="auto"/>
                      <w:kern w:val="2"/>
                      <w:sz w:val="21"/>
                      <w:szCs w:val="21"/>
                    </w:rPr>
                    <w:t>新建</w:t>
                  </w:r>
                </w:p>
              </w:tc>
            </w:tr>
            <w:tr w14:paraId="5A11A0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0CD56DA9">
                  <w:pPr>
                    <w:adjustRightInd w:val="0"/>
                    <w:snapToGrid w:val="0"/>
                    <w:spacing w:line="240" w:lineRule="auto"/>
                    <w:jc w:val="center"/>
                    <w:rPr>
                      <w:color w:val="auto"/>
                      <w:szCs w:val="21"/>
                    </w:rPr>
                  </w:pPr>
                </w:p>
              </w:tc>
              <w:tc>
                <w:tcPr>
                  <w:tcW w:w="589" w:type="pct"/>
                  <w:vMerge w:val="continue"/>
                  <w:vAlign w:val="center"/>
                </w:tcPr>
                <w:p w14:paraId="38553E3E">
                  <w:pPr>
                    <w:adjustRightInd w:val="0"/>
                    <w:snapToGrid w:val="0"/>
                    <w:spacing w:line="240" w:lineRule="auto"/>
                    <w:jc w:val="center"/>
                    <w:rPr>
                      <w:color w:val="auto"/>
                      <w:szCs w:val="21"/>
                    </w:rPr>
                  </w:pPr>
                </w:p>
              </w:tc>
              <w:tc>
                <w:tcPr>
                  <w:tcW w:w="652" w:type="pct"/>
                  <w:tcBorders>
                    <w:right w:val="single" w:color="auto" w:sz="4" w:space="0"/>
                  </w:tcBorders>
                  <w:vAlign w:val="center"/>
                </w:tcPr>
                <w:p w14:paraId="5575D06E">
                  <w:pPr>
                    <w:pStyle w:val="57"/>
                    <w:snapToGrid w:val="0"/>
                    <w:spacing w:line="240" w:lineRule="auto"/>
                    <w:ind w:left="0" w:leftChars="0" w:firstLine="0" w:firstLineChars="0"/>
                    <w:jc w:val="center"/>
                    <w:rPr>
                      <w:rFonts w:hint="default" w:hAnsi="宋体" w:eastAsia="宋体"/>
                      <w:b w:val="0"/>
                      <w:bCs w:val="0"/>
                      <w:color w:val="auto"/>
                      <w:kern w:val="2"/>
                      <w:sz w:val="21"/>
                      <w:szCs w:val="21"/>
                      <w:lang w:val="en-US" w:eastAsia="zh-CN"/>
                    </w:rPr>
                  </w:pPr>
                  <w:r>
                    <w:rPr>
                      <w:rFonts w:hint="eastAsia" w:hAnsi="宋体"/>
                      <w:b w:val="0"/>
                      <w:bCs w:val="0"/>
                      <w:color w:val="auto"/>
                      <w:kern w:val="2"/>
                      <w:sz w:val="21"/>
                      <w:szCs w:val="21"/>
                      <w:lang w:val="en-US" w:eastAsia="zh-CN"/>
                    </w:rPr>
                    <w:t>筒仓呼吸粉尘</w:t>
                  </w:r>
                </w:p>
              </w:tc>
              <w:tc>
                <w:tcPr>
                  <w:tcW w:w="2610" w:type="pct"/>
                  <w:tcBorders>
                    <w:left w:val="single" w:color="auto" w:sz="4" w:space="0"/>
                  </w:tcBorders>
                  <w:vAlign w:val="center"/>
                </w:tcPr>
                <w:p w14:paraId="778A5B0D">
                  <w:pPr>
                    <w:pStyle w:val="57"/>
                    <w:snapToGrid w:val="0"/>
                    <w:spacing w:line="240" w:lineRule="auto"/>
                    <w:ind w:left="0" w:leftChars="0" w:firstLine="0" w:firstLineChars="0"/>
                    <w:jc w:val="both"/>
                    <w:rPr>
                      <w:rFonts w:hint="default" w:hAnsi="宋体" w:eastAsia="宋体"/>
                      <w:b w:val="0"/>
                      <w:bCs w:val="0"/>
                      <w:color w:val="auto"/>
                      <w:kern w:val="2"/>
                      <w:sz w:val="21"/>
                      <w:szCs w:val="21"/>
                      <w:lang w:val="en-US" w:eastAsia="zh-CN"/>
                    </w:rPr>
                  </w:pPr>
                  <w:r>
                    <w:rPr>
                      <w:rFonts w:hint="eastAsia" w:hAnsi="宋体"/>
                      <w:b w:val="0"/>
                      <w:bCs w:val="0"/>
                      <w:color w:val="auto"/>
                      <w:kern w:val="2"/>
                      <w:sz w:val="21"/>
                      <w:szCs w:val="21"/>
                    </w:rPr>
                    <w:t>水泥、</w:t>
                  </w:r>
                  <w:r>
                    <w:rPr>
                      <w:rFonts w:hint="eastAsia" w:hAnsi="宋体"/>
                      <w:b w:val="0"/>
                      <w:bCs w:val="0"/>
                      <w:color w:val="auto"/>
                      <w:kern w:val="2"/>
                      <w:sz w:val="21"/>
                      <w:szCs w:val="21"/>
                      <w:lang w:val="en-US" w:eastAsia="zh-CN"/>
                    </w:rPr>
                    <w:t>粉煤灰</w:t>
                  </w:r>
                  <w:r>
                    <w:rPr>
                      <w:rFonts w:hint="eastAsia" w:hAnsi="宋体"/>
                      <w:b w:val="0"/>
                      <w:bCs w:val="0"/>
                      <w:color w:val="auto"/>
                      <w:kern w:val="2"/>
                      <w:sz w:val="21"/>
                      <w:szCs w:val="21"/>
                    </w:rPr>
                    <w:t>仓产生的呼吸粉尘经仓顶</w:t>
                  </w:r>
                  <w:r>
                    <w:rPr>
                      <w:rFonts w:hint="eastAsia" w:hAnsi="宋体"/>
                      <w:b w:val="0"/>
                      <w:bCs w:val="0"/>
                      <w:color w:val="auto"/>
                      <w:kern w:val="2"/>
                      <w:sz w:val="21"/>
                      <w:szCs w:val="21"/>
                      <w:lang w:val="en-US" w:eastAsia="zh-CN"/>
                    </w:rPr>
                    <w:t>布袋</w:t>
                  </w:r>
                  <w:r>
                    <w:rPr>
                      <w:rFonts w:hint="eastAsia" w:hAnsi="宋体"/>
                      <w:b w:val="0"/>
                      <w:bCs w:val="0"/>
                      <w:color w:val="auto"/>
                      <w:kern w:val="2"/>
                      <w:sz w:val="21"/>
                      <w:szCs w:val="21"/>
                    </w:rPr>
                    <w:t>除尘器</w:t>
                  </w:r>
                  <w:r>
                    <w:rPr>
                      <w:rFonts w:hint="eastAsia" w:hAnsi="宋体"/>
                      <w:b w:val="0"/>
                      <w:bCs w:val="0"/>
                      <w:color w:val="auto"/>
                      <w:kern w:val="2"/>
                      <w:sz w:val="21"/>
                      <w:szCs w:val="21"/>
                      <w:lang w:eastAsia="zh-CN"/>
                    </w:rPr>
                    <w:t>（</w:t>
                  </w:r>
                  <w:r>
                    <w:rPr>
                      <w:rFonts w:hint="eastAsia" w:hAnsi="宋体"/>
                      <w:b w:val="0"/>
                      <w:bCs w:val="0"/>
                      <w:color w:val="auto"/>
                      <w:kern w:val="2"/>
                      <w:sz w:val="21"/>
                      <w:szCs w:val="21"/>
                      <w:lang w:val="en-US" w:eastAsia="zh-CN"/>
                    </w:rPr>
                    <w:t>处理效率99%</w:t>
                  </w:r>
                  <w:r>
                    <w:rPr>
                      <w:rFonts w:hint="eastAsia" w:hAnsi="宋体"/>
                      <w:b w:val="0"/>
                      <w:bCs w:val="0"/>
                      <w:color w:val="auto"/>
                      <w:kern w:val="2"/>
                      <w:sz w:val="21"/>
                      <w:szCs w:val="21"/>
                      <w:lang w:eastAsia="zh-CN"/>
                    </w:rPr>
                    <w:t>）</w:t>
                  </w:r>
                  <w:r>
                    <w:rPr>
                      <w:rFonts w:hint="eastAsia" w:hAnsi="宋体"/>
                      <w:b w:val="0"/>
                      <w:bCs w:val="0"/>
                      <w:color w:val="auto"/>
                      <w:kern w:val="2"/>
                      <w:sz w:val="21"/>
                      <w:szCs w:val="21"/>
                    </w:rPr>
                    <w:t>处理后</w:t>
                  </w:r>
                  <w:r>
                    <w:rPr>
                      <w:rFonts w:hint="eastAsia" w:hAnsi="宋体"/>
                      <w:b w:val="0"/>
                      <w:bCs w:val="0"/>
                      <w:color w:val="auto"/>
                      <w:kern w:val="2"/>
                      <w:sz w:val="21"/>
                      <w:szCs w:val="21"/>
                      <w:lang w:eastAsia="zh-CN"/>
                    </w:rPr>
                    <w:t>，</w:t>
                  </w:r>
                  <w:r>
                    <w:rPr>
                      <w:rFonts w:hint="eastAsia" w:hAnsi="宋体"/>
                      <w:b w:val="0"/>
                      <w:bCs w:val="0"/>
                      <w:color w:val="auto"/>
                      <w:kern w:val="2"/>
                      <w:sz w:val="21"/>
                      <w:szCs w:val="21"/>
                      <w:lang w:val="en-US" w:eastAsia="zh-CN"/>
                    </w:rPr>
                    <w:t>无组织排放</w:t>
                  </w:r>
                </w:p>
              </w:tc>
              <w:tc>
                <w:tcPr>
                  <w:tcW w:w="666" w:type="pct"/>
                  <w:vAlign w:val="center"/>
                </w:tcPr>
                <w:p w14:paraId="6120D78E">
                  <w:pPr>
                    <w:pStyle w:val="57"/>
                    <w:snapToGrid w:val="0"/>
                    <w:spacing w:line="240" w:lineRule="auto"/>
                    <w:ind w:left="0" w:leftChars="0" w:firstLine="0" w:firstLineChars="0"/>
                    <w:jc w:val="center"/>
                    <w:rPr>
                      <w:rFonts w:hint="eastAsia" w:hAnsi="宋体" w:eastAsia="宋体"/>
                      <w:b w:val="0"/>
                      <w:bCs w:val="0"/>
                      <w:color w:val="auto"/>
                      <w:kern w:val="2"/>
                      <w:sz w:val="21"/>
                      <w:szCs w:val="21"/>
                      <w:lang w:val="en-US" w:eastAsia="zh-CN"/>
                    </w:rPr>
                  </w:pPr>
                  <w:r>
                    <w:rPr>
                      <w:rFonts w:hint="eastAsia" w:hAnsi="宋体"/>
                      <w:b w:val="0"/>
                      <w:bCs w:val="0"/>
                      <w:color w:val="auto"/>
                      <w:kern w:val="2"/>
                      <w:sz w:val="21"/>
                      <w:szCs w:val="21"/>
                      <w:lang w:val="en-US" w:eastAsia="zh-CN"/>
                    </w:rPr>
                    <w:t>新建</w:t>
                  </w:r>
                </w:p>
              </w:tc>
            </w:tr>
            <w:tr w14:paraId="2CB27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28DBED86">
                  <w:pPr>
                    <w:adjustRightInd w:val="0"/>
                    <w:snapToGrid w:val="0"/>
                    <w:spacing w:line="240" w:lineRule="auto"/>
                    <w:jc w:val="center"/>
                    <w:rPr>
                      <w:color w:val="auto"/>
                      <w:szCs w:val="21"/>
                    </w:rPr>
                  </w:pPr>
                </w:p>
              </w:tc>
              <w:tc>
                <w:tcPr>
                  <w:tcW w:w="589" w:type="pct"/>
                  <w:vMerge w:val="continue"/>
                  <w:vAlign w:val="center"/>
                </w:tcPr>
                <w:p w14:paraId="478F2A54">
                  <w:pPr>
                    <w:adjustRightInd w:val="0"/>
                    <w:snapToGrid w:val="0"/>
                    <w:spacing w:line="240" w:lineRule="auto"/>
                    <w:jc w:val="center"/>
                    <w:rPr>
                      <w:color w:val="auto"/>
                      <w:szCs w:val="21"/>
                    </w:rPr>
                  </w:pPr>
                </w:p>
              </w:tc>
              <w:tc>
                <w:tcPr>
                  <w:tcW w:w="652" w:type="pct"/>
                  <w:tcBorders>
                    <w:right w:val="single" w:color="auto" w:sz="4" w:space="0"/>
                  </w:tcBorders>
                  <w:vAlign w:val="center"/>
                </w:tcPr>
                <w:p w14:paraId="2737398D">
                  <w:pPr>
                    <w:pStyle w:val="57"/>
                    <w:snapToGrid w:val="0"/>
                    <w:spacing w:line="240" w:lineRule="auto"/>
                    <w:ind w:left="0" w:leftChars="0" w:firstLine="0" w:firstLineChars="0"/>
                    <w:jc w:val="center"/>
                    <w:rPr>
                      <w:rFonts w:hint="default" w:hAnsi="宋体"/>
                      <w:b w:val="0"/>
                      <w:bCs w:val="0"/>
                      <w:color w:val="auto"/>
                      <w:kern w:val="2"/>
                      <w:sz w:val="21"/>
                      <w:szCs w:val="21"/>
                      <w:lang w:val="en-US" w:eastAsia="zh-CN"/>
                    </w:rPr>
                  </w:pPr>
                  <w:r>
                    <w:rPr>
                      <w:rFonts w:hint="eastAsia" w:hAnsi="宋体"/>
                      <w:b w:val="0"/>
                      <w:bCs w:val="0"/>
                      <w:color w:val="auto"/>
                      <w:kern w:val="2"/>
                      <w:sz w:val="21"/>
                      <w:szCs w:val="21"/>
                      <w:lang w:val="en-US" w:eastAsia="zh-CN"/>
                    </w:rPr>
                    <w:t>配料粉尘</w:t>
                  </w:r>
                </w:p>
              </w:tc>
              <w:tc>
                <w:tcPr>
                  <w:tcW w:w="2610" w:type="pct"/>
                  <w:tcBorders>
                    <w:left w:val="single" w:color="auto" w:sz="4" w:space="0"/>
                  </w:tcBorders>
                  <w:vAlign w:val="center"/>
                </w:tcPr>
                <w:p w14:paraId="4DE5CE59">
                  <w:pPr>
                    <w:pStyle w:val="57"/>
                    <w:snapToGrid w:val="0"/>
                    <w:spacing w:line="240" w:lineRule="auto"/>
                    <w:ind w:left="0" w:leftChars="0" w:firstLine="0" w:firstLineChars="0"/>
                    <w:jc w:val="both"/>
                    <w:rPr>
                      <w:rFonts w:hint="eastAsia" w:hAnsi="宋体"/>
                      <w:b w:val="0"/>
                      <w:bCs w:val="0"/>
                      <w:color w:val="auto"/>
                      <w:kern w:val="2"/>
                      <w:sz w:val="21"/>
                      <w:szCs w:val="21"/>
                    </w:rPr>
                  </w:pPr>
                  <w:r>
                    <w:rPr>
                      <w:rFonts w:hint="eastAsia" w:hAnsi="宋体"/>
                      <w:b w:val="0"/>
                      <w:bCs w:val="0"/>
                      <w:color w:val="auto"/>
                      <w:kern w:val="2"/>
                      <w:sz w:val="21"/>
                      <w:szCs w:val="21"/>
                    </w:rPr>
                    <w:t>通过集气罩收集，</w:t>
                  </w:r>
                  <w:r>
                    <w:rPr>
                      <w:rFonts w:hint="eastAsia" w:hAnsi="宋体"/>
                      <w:b w:val="0"/>
                      <w:bCs w:val="0"/>
                      <w:color w:val="auto"/>
                      <w:kern w:val="2"/>
                      <w:sz w:val="21"/>
                      <w:szCs w:val="21"/>
                      <w:lang w:val="en-US" w:eastAsia="zh-CN"/>
                    </w:rPr>
                    <w:t>经布袋</w:t>
                  </w:r>
                  <w:r>
                    <w:rPr>
                      <w:rFonts w:hint="eastAsia" w:hAnsi="宋体"/>
                      <w:b w:val="0"/>
                      <w:bCs w:val="0"/>
                      <w:color w:val="auto"/>
                      <w:kern w:val="2"/>
                      <w:sz w:val="21"/>
                      <w:szCs w:val="21"/>
                    </w:rPr>
                    <w:t>除尘器</w:t>
                  </w:r>
                  <w:r>
                    <w:rPr>
                      <w:rFonts w:hint="eastAsia" w:hAnsi="宋体"/>
                      <w:b w:val="0"/>
                      <w:bCs w:val="0"/>
                      <w:color w:val="auto"/>
                      <w:kern w:val="2"/>
                      <w:sz w:val="21"/>
                      <w:szCs w:val="21"/>
                      <w:lang w:eastAsia="zh-CN"/>
                    </w:rPr>
                    <w:t>（</w:t>
                  </w:r>
                  <w:r>
                    <w:rPr>
                      <w:rFonts w:hint="eastAsia" w:hAnsi="宋体"/>
                      <w:b w:val="0"/>
                      <w:bCs w:val="0"/>
                      <w:color w:val="auto"/>
                      <w:kern w:val="2"/>
                      <w:sz w:val="21"/>
                      <w:szCs w:val="21"/>
                      <w:lang w:val="en-US" w:eastAsia="zh-CN"/>
                    </w:rPr>
                    <w:t>处理效率99%</w:t>
                  </w:r>
                  <w:r>
                    <w:rPr>
                      <w:rFonts w:hint="eastAsia" w:hAnsi="宋体"/>
                      <w:b w:val="0"/>
                      <w:bCs w:val="0"/>
                      <w:color w:val="auto"/>
                      <w:kern w:val="2"/>
                      <w:sz w:val="21"/>
                      <w:szCs w:val="21"/>
                      <w:lang w:eastAsia="zh-CN"/>
                    </w:rPr>
                    <w:t>）</w:t>
                  </w:r>
                  <w:r>
                    <w:rPr>
                      <w:rFonts w:hint="eastAsia" w:hAnsi="宋体"/>
                      <w:b w:val="0"/>
                      <w:bCs w:val="0"/>
                      <w:color w:val="auto"/>
                      <w:kern w:val="2"/>
                      <w:sz w:val="21"/>
                      <w:szCs w:val="21"/>
                    </w:rPr>
                    <w:t>处理后，通过15m高（DA00</w:t>
                  </w:r>
                  <w:r>
                    <w:rPr>
                      <w:rFonts w:hint="eastAsia" w:hAnsi="宋体"/>
                      <w:b w:val="0"/>
                      <w:bCs w:val="0"/>
                      <w:color w:val="auto"/>
                      <w:kern w:val="2"/>
                      <w:sz w:val="21"/>
                      <w:szCs w:val="21"/>
                      <w:lang w:val="en-US" w:eastAsia="zh-CN"/>
                    </w:rPr>
                    <w:t>1</w:t>
                  </w:r>
                  <w:r>
                    <w:rPr>
                      <w:rFonts w:hint="eastAsia" w:hAnsi="宋体"/>
                      <w:b w:val="0"/>
                      <w:bCs w:val="0"/>
                      <w:color w:val="auto"/>
                      <w:kern w:val="2"/>
                      <w:sz w:val="21"/>
                      <w:szCs w:val="21"/>
                    </w:rPr>
                    <w:t>）排气筒排放</w:t>
                  </w:r>
                </w:p>
              </w:tc>
              <w:tc>
                <w:tcPr>
                  <w:tcW w:w="666" w:type="pct"/>
                  <w:vAlign w:val="center"/>
                </w:tcPr>
                <w:p w14:paraId="24066F2A">
                  <w:pPr>
                    <w:pStyle w:val="57"/>
                    <w:snapToGrid w:val="0"/>
                    <w:spacing w:line="240" w:lineRule="auto"/>
                    <w:ind w:left="0" w:leftChars="0" w:firstLine="0" w:firstLineChars="0"/>
                    <w:jc w:val="center"/>
                    <w:rPr>
                      <w:rFonts w:hint="eastAsia" w:hAnsi="宋体"/>
                      <w:b w:val="0"/>
                      <w:bCs w:val="0"/>
                      <w:color w:val="auto"/>
                      <w:kern w:val="2"/>
                      <w:sz w:val="21"/>
                      <w:szCs w:val="21"/>
                      <w:lang w:val="en-US" w:eastAsia="zh-CN"/>
                    </w:rPr>
                  </w:pPr>
                  <w:r>
                    <w:rPr>
                      <w:rFonts w:hint="eastAsia" w:hAnsi="宋体"/>
                      <w:b w:val="0"/>
                      <w:bCs w:val="0"/>
                      <w:color w:val="auto"/>
                      <w:kern w:val="2"/>
                      <w:sz w:val="21"/>
                      <w:szCs w:val="21"/>
                      <w:lang w:val="en-US" w:eastAsia="zh-CN"/>
                    </w:rPr>
                    <w:t>新建</w:t>
                  </w:r>
                </w:p>
              </w:tc>
            </w:tr>
            <w:tr w14:paraId="6DBC17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26D93188">
                  <w:pPr>
                    <w:adjustRightInd w:val="0"/>
                    <w:snapToGrid w:val="0"/>
                    <w:spacing w:line="240" w:lineRule="auto"/>
                    <w:jc w:val="center"/>
                    <w:rPr>
                      <w:color w:val="auto"/>
                      <w:szCs w:val="21"/>
                    </w:rPr>
                  </w:pPr>
                </w:p>
              </w:tc>
              <w:tc>
                <w:tcPr>
                  <w:tcW w:w="589" w:type="pct"/>
                  <w:vMerge w:val="continue"/>
                  <w:vAlign w:val="center"/>
                </w:tcPr>
                <w:p w14:paraId="391C4A79">
                  <w:pPr>
                    <w:adjustRightInd w:val="0"/>
                    <w:snapToGrid w:val="0"/>
                    <w:spacing w:line="240" w:lineRule="auto"/>
                    <w:jc w:val="center"/>
                    <w:rPr>
                      <w:color w:val="auto"/>
                      <w:szCs w:val="21"/>
                    </w:rPr>
                  </w:pPr>
                </w:p>
              </w:tc>
              <w:tc>
                <w:tcPr>
                  <w:tcW w:w="652" w:type="pct"/>
                  <w:tcBorders>
                    <w:right w:val="single" w:color="auto" w:sz="4" w:space="0"/>
                  </w:tcBorders>
                  <w:vAlign w:val="center"/>
                </w:tcPr>
                <w:p w14:paraId="151FF83D">
                  <w:pPr>
                    <w:pStyle w:val="57"/>
                    <w:snapToGrid w:val="0"/>
                    <w:spacing w:line="240" w:lineRule="auto"/>
                    <w:ind w:left="0" w:leftChars="0" w:firstLine="0" w:firstLineChars="0"/>
                    <w:jc w:val="center"/>
                    <w:rPr>
                      <w:rFonts w:hint="eastAsia" w:hAnsi="宋体"/>
                      <w:b w:val="0"/>
                      <w:bCs w:val="0"/>
                      <w:color w:val="auto"/>
                      <w:kern w:val="2"/>
                      <w:sz w:val="21"/>
                      <w:szCs w:val="21"/>
                      <w:lang w:val="en-US" w:eastAsia="zh-CN"/>
                    </w:rPr>
                  </w:pPr>
                  <w:r>
                    <w:rPr>
                      <w:rFonts w:hint="eastAsia" w:hAnsi="宋体"/>
                      <w:b w:val="0"/>
                      <w:bCs w:val="0"/>
                      <w:color w:val="auto"/>
                      <w:kern w:val="2"/>
                      <w:sz w:val="21"/>
                      <w:szCs w:val="21"/>
                      <w:lang w:val="en-US" w:eastAsia="zh-CN"/>
                    </w:rPr>
                    <w:t>搅拌废气</w:t>
                  </w:r>
                </w:p>
              </w:tc>
              <w:tc>
                <w:tcPr>
                  <w:tcW w:w="2610" w:type="pct"/>
                  <w:tcBorders>
                    <w:left w:val="single" w:color="auto" w:sz="4" w:space="0"/>
                  </w:tcBorders>
                  <w:vAlign w:val="center"/>
                </w:tcPr>
                <w:p w14:paraId="029541BD">
                  <w:pPr>
                    <w:pStyle w:val="57"/>
                    <w:snapToGrid w:val="0"/>
                    <w:spacing w:line="240" w:lineRule="auto"/>
                    <w:ind w:left="0" w:leftChars="0" w:firstLine="0" w:firstLineChars="0"/>
                    <w:jc w:val="both"/>
                    <w:rPr>
                      <w:rFonts w:hint="eastAsia" w:hAnsi="宋体"/>
                      <w:b w:val="0"/>
                      <w:bCs w:val="0"/>
                      <w:color w:val="auto"/>
                      <w:kern w:val="2"/>
                      <w:sz w:val="21"/>
                      <w:szCs w:val="21"/>
                    </w:rPr>
                  </w:pPr>
                  <w:r>
                    <w:rPr>
                      <w:rFonts w:hint="eastAsia" w:hAnsi="宋体"/>
                      <w:b w:val="0"/>
                      <w:bCs w:val="0"/>
                      <w:color w:val="auto"/>
                      <w:kern w:val="2"/>
                      <w:sz w:val="21"/>
                      <w:szCs w:val="21"/>
                    </w:rPr>
                    <w:t>通过</w:t>
                  </w:r>
                  <w:r>
                    <w:rPr>
                      <w:rFonts w:hint="eastAsia" w:hAnsi="宋体"/>
                      <w:b w:val="0"/>
                      <w:bCs w:val="0"/>
                      <w:color w:val="auto"/>
                      <w:kern w:val="2"/>
                      <w:sz w:val="21"/>
                      <w:szCs w:val="21"/>
                      <w:lang w:val="en-US" w:eastAsia="zh-CN"/>
                    </w:rPr>
                    <w:t>密闭</w:t>
                  </w:r>
                  <w:r>
                    <w:rPr>
                      <w:rFonts w:hint="eastAsia" w:hAnsi="宋体"/>
                      <w:b w:val="0"/>
                      <w:bCs w:val="0"/>
                      <w:color w:val="auto"/>
                      <w:kern w:val="2"/>
                      <w:sz w:val="21"/>
                      <w:szCs w:val="21"/>
                    </w:rPr>
                    <w:t>收集，</w:t>
                  </w:r>
                  <w:r>
                    <w:rPr>
                      <w:rFonts w:hint="eastAsia" w:hAnsi="宋体"/>
                      <w:b w:val="0"/>
                      <w:bCs w:val="0"/>
                      <w:color w:val="auto"/>
                      <w:kern w:val="2"/>
                      <w:sz w:val="21"/>
                      <w:szCs w:val="21"/>
                      <w:lang w:val="en-US" w:eastAsia="zh-CN"/>
                    </w:rPr>
                    <w:t>经布袋</w:t>
                  </w:r>
                  <w:r>
                    <w:rPr>
                      <w:rFonts w:hint="eastAsia" w:hAnsi="宋体"/>
                      <w:b w:val="0"/>
                      <w:bCs w:val="0"/>
                      <w:color w:val="auto"/>
                      <w:kern w:val="2"/>
                      <w:sz w:val="21"/>
                      <w:szCs w:val="21"/>
                    </w:rPr>
                    <w:t>除尘器</w:t>
                  </w:r>
                  <w:r>
                    <w:rPr>
                      <w:rFonts w:hint="eastAsia" w:hAnsi="宋体"/>
                      <w:b w:val="0"/>
                      <w:bCs w:val="0"/>
                      <w:color w:val="auto"/>
                      <w:kern w:val="2"/>
                      <w:sz w:val="21"/>
                      <w:szCs w:val="21"/>
                      <w:lang w:eastAsia="zh-CN"/>
                    </w:rPr>
                    <w:t>（</w:t>
                  </w:r>
                  <w:r>
                    <w:rPr>
                      <w:rFonts w:hint="eastAsia" w:hAnsi="宋体"/>
                      <w:b w:val="0"/>
                      <w:bCs w:val="0"/>
                      <w:color w:val="auto"/>
                      <w:kern w:val="2"/>
                      <w:sz w:val="21"/>
                      <w:szCs w:val="21"/>
                      <w:lang w:val="en-US" w:eastAsia="zh-CN"/>
                    </w:rPr>
                    <w:t>处理效率99%</w:t>
                  </w:r>
                  <w:r>
                    <w:rPr>
                      <w:rFonts w:hint="eastAsia" w:hAnsi="宋体"/>
                      <w:b w:val="0"/>
                      <w:bCs w:val="0"/>
                      <w:color w:val="auto"/>
                      <w:kern w:val="2"/>
                      <w:sz w:val="21"/>
                      <w:szCs w:val="21"/>
                      <w:lang w:eastAsia="zh-CN"/>
                    </w:rPr>
                    <w:t>）</w:t>
                  </w:r>
                  <w:r>
                    <w:rPr>
                      <w:rFonts w:hint="eastAsia" w:hAnsi="宋体"/>
                      <w:b w:val="0"/>
                      <w:bCs w:val="0"/>
                      <w:color w:val="auto"/>
                      <w:kern w:val="2"/>
                      <w:sz w:val="21"/>
                      <w:szCs w:val="21"/>
                    </w:rPr>
                    <w:t>处理后，通过15m高（DA00</w:t>
                  </w:r>
                  <w:r>
                    <w:rPr>
                      <w:rFonts w:hint="eastAsia" w:hAnsi="宋体"/>
                      <w:b w:val="0"/>
                      <w:bCs w:val="0"/>
                      <w:color w:val="auto"/>
                      <w:kern w:val="2"/>
                      <w:sz w:val="21"/>
                      <w:szCs w:val="21"/>
                      <w:lang w:val="en-US" w:eastAsia="zh-CN"/>
                    </w:rPr>
                    <w:t>1</w:t>
                  </w:r>
                  <w:r>
                    <w:rPr>
                      <w:rFonts w:hint="eastAsia" w:hAnsi="宋体"/>
                      <w:b w:val="0"/>
                      <w:bCs w:val="0"/>
                      <w:color w:val="auto"/>
                      <w:kern w:val="2"/>
                      <w:sz w:val="21"/>
                      <w:szCs w:val="21"/>
                    </w:rPr>
                    <w:t>）排气筒排放</w:t>
                  </w:r>
                </w:p>
              </w:tc>
              <w:tc>
                <w:tcPr>
                  <w:tcW w:w="666" w:type="pct"/>
                  <w:vAlign w:val="center"/>
                </w:tcPr>
                <w:p w14:paraId="7980342D">
                  <w:pPr>
                    <w:pStyle w:val="57"/>
                    <w:snapToGrid w:val="0"/>
                    <w:spacing w:line="240" w:lineRule="auto"/>
                    <w:ind w:left="0" w:leftChars="0" w:firstLine="0" w:firstLineChars="0"/>
                    <w:jc w:val="center"/>
                    <w:rPr>
                      <w:rFonts w:hint="eastAsia" w:hAnsi="宋体"/>
                      <w:b w:val="0"/>
                      <w:bCs w:val="0"/>
                      <w:color w:val="auto"/>
                      <w:kern w:val="2"/>
                      <w:sz w:val="21"/>
                      <w:szCs w:val="21"/>
                      <w:lang w:val="en-US" w:eastAsia="zh-CN"/>
                    </w:rPr>
                  </w:pPr>
                  <w:r>
                    <w:rPr>
                      <w:rFonts w:hint="eastAsia" w:hAnsi="宋体"/>
                      <w:b w:val="0"/>
                      <w:bCs w:val="0"/>
                      <w:color w:val="auto"/>
                      <w:kern w:val="2"/>
                      <w:sz w:val="21"/>
                      <w:szCs w:val="21"/>
                      <w:lang w:val="en-US" w:eastAsia="zh-CN"/>
                    </w:rPr>
                    <w:t>新建</w:t>
                  </w:r>
                </w:p>
              </w:tc>
            </w:tr>
            <w:tr w14:paraId="6D6E1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7F4054D0">
                  <w:pPr>
                    <w:adjustRightInd w:val="0"/>
                    <w:snapToGrid w:val="0"/>
                    <w:spacing w:line="240" w:lineRule="auto"/>
                    <w:jc w:val="center"/>
                    <w:rPr>
                      <w:color w:val="auto"/>
                      <w:szCs w:val="21"/>
                    </w:rPr>
                  </w:pPr>
                </w:p>
              </w:tc>
              <w:tc>
                <w:tcPr>
                  <w:tcW w:w="589" w:type="pct"/>
                  <w:vAlign w:val="center"/>
                </w:tcPr>
                <w:p w14:paraId="3E753C2A">
                  <w:pPr>
                    <w:adjustRightInd w:val="0"/>
                    <w:snapToGrid w:val="0"/>
                    <w:spacing w:line="240" w:lineRule="auto"/>
                    <w:jc w:val="center"/>
                    <w:rPr>
                      <w:color w:val="auto"/>
                      <w:szCs w:val="21"/>
                    </w:rPr>
                  </w:pPr>
                  <w:r>
                    <w:rPr>
                      <w:color w:val="auto"/>
                      <w:szCs w:val="21"/>
                    </w:rPr>
                    <w:t>废水治理</w:t>
                  </w:r>
                </w:p>
              </w:tc>
              <w:tc>
                <w:tcPr>
                  <w:tcW w:w="3262" w:type="pct"/>
                  <w:gridSpan w:val="2"/>
                  <w:vAlign w:val="center"/>
                </w:tcPr>
                <w:p w14:paraId="3291DF7D">
                  <w:pPr>
                    <w:adjustRightInd w:val="0"/>
                    <w:snapToGrid w:val="0"/>
                    <w:spacing w:line="240" w:lineRule="auto"/>
                    <w:jc w:val="center"/>
                    <w:rPr>
                      <w:color w:val="auto"/>
                      <w:szCs w:val="21"/>
                    </w:rPr>
                  </w:pPr>
                  <w:r>
                    <w:rPr>
                      <w:color w:val="auto"/>
                      <w:szCs w:val="21"/>
                    </w:rPr>
                    <w:t>项目</w:t>
                  </w:r>
                  <w:r>
                    <w:rPr>
                      <w:rFonts w:hint="eastAsia"/>
                      <w:color w:val="auto"/>
                      <w:szCs w:val="21"/>
                      <w:lang w:val="en-US" w:eastAsia="zh-CN"/>
                    </w:rPr>
                    <w:t>搅拌机清洗废水、车辆冲洗废水经“沉淀池（容积为10m</w:t>
                  </w:r>
                  <w:r>
                    <w:rPr>
                      <w:rFonts w:hint="eastAsia"/>
                      <w:color w:val="auto"/>
                      <w:szCs w:val="21"/>
                      <w:vertAlign w:val="superscript"/>
                      <w:lang w:val="en-US" w:eastAsia="zh-CN"/>
                    </w:rPr>
                    <w:t>3</w:t>
                  </w:r>
                  <w:r>
                    <w:rPr>
                      <w:rFonts w:hint="eastAsia"/>
                      <w:color w:val="auto"/>
                      <w:szCs w:val="21"/>
                      <w:lang w:val="en-US" w:eastAsia="zh-CN"/>
                    </w:rPr>
                    <w:t>）”处理，处理后回用于生产</w:t>
                  </w:r>
                  <w:r>
                    <w:rPr>
                      <w:rFonts w:hint="eastAsia"/>
                      <w:color w:val="auto"/>
                      <w:szCs w:val="21"/>
                    </w:rPr>
                    <w:t>，生活污水</w:t>
                  </w:r>
                  <w:r>
                    <w:rPr>
                      <w:rFonts w:hint="eastAsia"/>
                      <w:color w:val="auto"/>
                      <w:szCs w:val="21"/>
                      <w:lang w:val="en-US" w:eastAsia="zh-CN"/>
                    </w:rPr>
                    <w:t>经化粪池处理，处理后</w:t>
                  </w:r>
                  <w:r>
                    <w:rPr>
                      <w:rFonts w:hint="eastAsia"/>
                      <w:color w:val="auto"/>
                      <w:szCs w:val="21"/>
                    </w:rPr>
                    <w:t>接管至</w:t>
                  </w:r>
                  <w:r>
                    <w:rPr>
                      <w:rFonts w:hint="eastAsia"/>
                      <w:color w:val="auto"/>
                      <w:szCs w:val="21"/>
                      <w:lang w:val="en-US" w:eastAsia="zh-CN"/>
                    </w:rPr>
                    <w:t>淮南经济开发区</w:t>
                  </w:r>
                  <w:r>
                    <w:rPr>
                      <w:rFonts w:hint="eastAsia"/>
                      <w:color w:val="auto"/>
                      <w:szCs w:val="21"/>
                    </w:rPr>
                    <w:t>污水处理厂</w:t>
                  </w:r>
                </w:p>
              </w:tc>
              <w:tc>
                <w:tcPr>
                  <w:tcW w:w="666" w:type="pct"/>
                  <w:vAlign w:val="center"/>
                </w:tcPr>
                <w:p w14:paraId="21379C26">
                  <w:pPr>
                    <w:adjustRightInd w:val="0"/>
                    <w:snapToGrid w:val="0"/>
                    <w:spacing w:line="240" w:lineRule="auto"/>
                    <w:jc w:val="center"/>
                    <w:rPr>
                      <w:rFonts w:hint="default" w:eastAsia="宋体"/>
                      <w:color w:val="auto"/>
                      <w:szCs w:val="21"/>
                      <w:lang w:val="en-US" w:eastAsia="zh-CN"/>
                    </w:rPr>
                  </w:pPr>
                  <w:r>
                    <w:rPr>
                      <w:rFonts w:hint="eastAsia"/>
                      <w:color w:val="auto"/>
                      <w:szCs w:val="21"/>
                      <w:lang w:val="en-US" w:eastAsia="zh-CN"/>
                    </w:rPr>
                    <w:t>新建</w:t>
                  </w:r>
                </w:p>
              </w:tc>
            </w:tr>
            <w:tr w14:paraId="32B83E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33EFD970">
                  <w:pPr>
                    <w:adjustRightInd w:val="0"/>
                    <w:snapToGrid w:val="0"/>
                    <w:spacing w:line="240" w:lineRule="auto"/>
                    <w:jc w:val="center"/>
                    <w:rPr>
                      <w:color w:val="auto"/>
                      <w:szCs w:val="21"/>
                    </w:rPr>
                  </w:pPr>
                </w:p>
              </w:tc>
              <w:tc>
                <w:tcPr>
                  <w:tcW w:w="589" w:type="pct"/>
                  <w:vAlign w:val="center"/>
                </w:tcPr>
                <w:p w14:paraId="13757F79">
                  <w:pPr>
                    <w:adjustRightInd w:val="0"/>
                    <w:snapToGrid w:val="0"/>
                    <w:spacing w:line="240" w:lineRule="auto"/>
                    <w:jc w:val="center"/>
                    <w:rPr>
                      <w:color w:val="auto"/>
                      <w:szCs w:val="21"/>
                    </w:rPr>
                  </w:pPr>
                  <w:r>
                    <w:rPr>
                      <w:color w:val="auto"/>
                      <w:szCs w:val="21"/>
                    </w:rPr>
                    <w:t>噪声治理</w:t>
                  </w:r>
                </w:p>
              </w:tc>
              <w:tc>
                <w:tcPr>
                  <w:tcW w:w="3262" w:type="pct"/>
                  <w:gridSpan w:val="2"/>
                  <w:vAlign w:val="center"/>
                </w:tcPr>
                <w:p w14:paraId="1DA7FA02">
                  <w:pPr>
                    <w:adjustRightInd w:val="0"/>
                    <w:snapToGrid w:val="0"/>
                    <w:spacing w:line="240" w:lineRule="auto"/>
                    <w:jc w:val="center"/>
                    <w:rPr>
                      <w:color w:val="auto"/>
                      <w:szCs w:val="21"/>
                    </w:rPr>
                  </w:pPr>
                  <w:r>
                    <w:rPr>
                      <w:rFonts w:hint="eastAsia"/>
                      <w:color w:val="auto"/>
                      <w:szCs w:val="21"/>
                    </w:rPr>
                    <w:t>选用低噪声设备，采取隔声、减振、消声等措施。</w:t>
                  </w:r>
                </w:p>
              </w:tc>
              <w:tc>
                <w:tcPr>
                  <w:tcW w:w="666" w:type="pct"/>
                  <w:vAlign w:val="center"/>
                </w:tcPr>
                <w:p w14:paraId="502EE948">
                  <w:pPr>
                    <w:adjustRightInd w:val="0"/>
                    <w:snapToGrid w:val="0"/>
                    <w:spacing w:line="240" w:lineRule="auto"/>
                    <w:jc w:val="center"/>
                    <w:rPr>
                      <w:color w:val="auto"/>
                      <w:szCs w:val="21"/>
                    </w:rPr>
                  </w:pPr>
                  <w:r>
                    <w:rPr>
                      <w:rFonts w:hint="eastAsia"/>
                      <w:color w:val="auto"/>
                      <w:szCs w:val="21"/>
                    </w:rPr>
                    <w:t>新建</w:t>
                  </w:r>
                </w:p>
              </w:tc>
            </w:tr>
            <w:tr w14:paraId="0CB15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pct"/>
                  <w:vMerge w:val="continue"/>
                  <w:vAlign w:val="center"/>
                </w:tcPr>
                <w:p w14:paraId="614B6206">
                  <w:pPr>
                    <w:adjustRightInd w:val="0"/>
                    <w:snapToGrid w:val="0"/>
                    <w:spacing w:line="240" w:lineRule="auto"/>
                    <w:jc w:val="center"/>
                    <w:rPr>
                      <w:color w:val="auto"/>
                      <w:szCs w:val="21"/>
                    </w:rPr>
                  </w:pPr>
                </w:p>
              </w:tc>
              <w:tc>
                <w:tcPr>
                  <w:tcW w:w="589" w:type="pct"/>
                  <w:vAlign w:val="center"/>
                </w:tcPr>
                <w:p w14:paraId="23FC7512">
                  <w:pPr>
                    <w:adjustRightInd w:val="0"/>
                    <w:snapToGrid w:val="0"/>
                    <w:spacing w:line="240" w:lineRule="auto"/>
                    <w:jc w:val="center"/>
                    <w:rPr>
                      <w:color w:val="auto"/>
                      <w:szCs w:val="21"/>
                    </w:rPr>
                  </w:pPr>
                  <w:r>
                    <w:rPr>
                      <w:color w:val="auto"/>
                      <w:szCs w:val="21"/>
                    </w:rPr>
                    <w:t>固废治理</w:t>
                  </w:r>
                </w:p>
              </w:tc>
              <w:tc>
                <w:tcPr>
                  <w:tcW w:w="3262" w:type="pct"/>
                  <w:gridSpan w:val="2"/>
                  <w:vAlign w:val="center"/>
                </w:tcPr>
                <w:p w14:paraId="7D842BF5">
                  <w:pPr>
                    <w:pStyle w:val="57"/>
                    <w:snapToGrid w:val="0"/>
                    <w:spacing w:line="240" w:lineRule="auto"/>
                    <w:ind w:left="0" w:leftChars="0" w:firstLine="0" w:firstLineChars="0"/>
                    <w:jc w:val="both"/>
                    <w:rPr>
                      <w:rFonts w:hint="eastAsia"/>
                      <w:b w:val="0"/>
                      <w:bCs w:val="0"/>
                      <w:color w:val="auto"/>
                      <w:kern w:val="2"/>
                      <w:sz w:val="21"/>
                      <w:szCs w:val="21"/>
                      <w:vertAlign w:val="baseline"/>
                      <w:lang w:eastAsia="zh-CN"/>
                    </w:rPr>
                  </w:pPr>
                  <w:r>
                    <w:rPr>
                      <w:b w:val="0"/>
                      <w:bCs w:val="0"/>
                      <w:color w:val="auto"/>
                      <w:kern w:val="2"/>
                      <w:sz w:val="21"/>
                      <w:szCs w:val="21"/>
                    </w:rPr>
                    <w:t>一般</w:t>
                  </w:r>
                  <w:r>
                    <w:rPr>
                      <w:rFonts w:hint="eastAsia"/>
                      <w:b w:val="0"/>
                      <w:bCs w:val="0"/>
                      <w:color w:val="auto"/>
                      <w:kern w:val="2"/>
                      <w:sz w:val="21"/>
                      <w:szCs w:val="21"/>
                    </w:rPr>
                    <w:t>固废</w:t>
                  </w:r>
                  <w:r>
                    <w:rPr>
                      <w:rFonts w:hint="eastAsia"/>
                      <w:b w:val="0"/>
                      <w:bCs w:val="0"/>
                      <w:color w:val="auto"/>
                      <w:kern w:val="2"/>
                      <w:sz w:val="21"/>
                      <w:szCs w:val="21"/>
                      <w:lang w:val="en-US" w:eastAsia="zh-CN"/>
                    </w:rPr>
                    <w:t>库</w:t>
                  </w:r>
                  <w:r>
                    <w:rPr>
                      <w:rFonts w:hint="eastAsia"/>
                      <w:b w:val="0"/>
                      <w:bCs w:val="0"/>
                      <w:color w:val="auto"/>
                      <w:kern w:val="2"/>
                      <w:sz w:val="21"/>
                      <w:szCs w:val="21"/>
                    </w:rPr>
                    <w:t>：</w:t>
                  </w:r>
                  <w:r>
                    <w:rPr>
                      <w:b w:val="0"/>
                      <w:bCs w:val="0"/>
                      <w:color w:val="auto"/>
                      <w:kern w:val="2"/>
                      <w:sz w:val="21"/>
                      <w:szCs w:val="21"/>
                    </w:rPr>
                    <w:t>项目一般固</w:t>
                  </w:r>
                  <w:r>
                    <w:rPr>
                      <w:rFonts w:hint="eastAsia"/>
                      <w:b w:val="0"/>
                      <w:bCs w:val="0"/>
                      <w:color w:val="auto"/>
                      <w:kern w:val="2"/>
                      <w:sz w:val="21"/>
                      <w:szCs w:val="21"/>
                    </w:rPr>
                    <w:t>废库</w:t>
                  </w:r>
                  <w:r>
                    <w:rPr>
                      <w:b w:val="0"/>
                      <w:bCs w:val="0"/>
                      <w:color w:val="auto"/>
                      <w:kern w:val="2"/>
                      <w:sz w:val="21"/>
                      <w:szCs w:val="21"/>
                    </w:rPr>
                    <w:t>位于</w:t>
                  </w:r>
                  <w:r>
                    <w:rPr>
                      <w:rFonts w:hint="eastAsia"/>
                      <w:b w:val="0"/>
                      <w:bCs w:val="0"/>
                      <w:color w:val="auto"/>
                      <w:kern w:val="2"/>
                      <w:sz w:val="21"/>
                      <w:szCs w:val="21"/>
                      <w:lang w:val="en-US" w:eastAsia="zh-CN"/>
                    </w:rPr>
                    <w:t>脱模剂存放区南</w:t>
                  </w:r>
                  <w:r>
                    <w:rPr>
                      <w:b w:val="0"/>
                      <w:bCs w:val="0"/>
                      <w:color w:val="auto"/>
                      <w:kern w:val="2"/>
                      <w:sz w:val="21"/>
                      <w:szCs w:val="21"/>
                    </w:rPr>
                    <w:t>侧</w:t>
                  </w:r>
                  <w:r>
                    <w:rPr>
                      <w:rFonts w:hint="eastAsia"/>
                      <w:b w:val="0"/>
                      <w:bCs w:val="0"/>
                      <w:color w:val="auto"/>
                      <w:kern w:val="2"/>
                      <w:sz w:val="21"/>
                      <w:szCs w:val="21"/>
                    </w:rPr>
                    <w:t>，</w:t>
                  </w:r>
                  <w:r>
                    <w:rPr>
                      <w:b w:val="0"/>
                      <w:bCs w:val="0"/>
                      <w:color w:val="auto"/>
                      <w:kern w:val="2"/>
                      <w:sz w:val="21"/>
                      <w:szCs w:val="21"/>
                    </w:rPr>
                    <w:t>占地面积</w:t>
                  </w:r>
                  <w:r>
                    <w:rPr>
                      <w:rFonts w:hint="eastAsia"/>
                      <w:b w:val="0"/>
                      <w:bCs w:val="0"/>
                      <w:color w:val="auto"/>
                      <w:kern w:val="2"/>
                      <w:sz w:val="21"/>
                      <w:szCs w:val="21"/>
                      <w:lang w:val="en-US" w:eastAsia="zh-CN"/>
                    </w:rPr>
                    <w:t>30</w:t>
                  </w:r>
                  <w:r>
                    <w:rPr>
                      <w:rFonts w:hint="eastAsia"/>
                      <w:b w:val="0"/>
                      <w:bCs w:val="0"/>
                      <w:color w:val="auto"/>
                      <w:kern w:val="2"/>
                      <w:sz w:val="21"/>
                      <w:szCs w:val="21"/>
                    </w:rPr>
                    <w:t>m</w:t>
                  </w:r>
                  <w:r>
                    <w:rPr>
                      <w:rFonts w:hint="eastAsia"/>
                      <w:b w:val="0"/>
                      <w:bCs w:val="0"/>
                      <w:color w:val="auto"/>
                      <w:kern w:val="2"/>
                      <w:sz w:val="21"/>
                      <w:szCs w:val="21"/>
                      <w:vertAlign w:val="superscript"/>
                    </w:rPr>
                    <w:t>2</w:t>
                  </w:r>
                  <w:r>
                    <w:rPr>
                      <w:rFonts w:hint="eastAsia"/>
                      <w:b w:val="0"/>
                      <w:bCs w:val="0"/>
                      <w:color w:val="auto"/>
                      <w:kern w:val="2"/>
                      <w:sz w:val="21"/>
                      <w:szCs w:val="21"/>
                      <w:vertAlign w:val="baseline"/>
                      <w:lang w:eastAsia="zh-CN"/>
                    </w:rPr>
                    <w:t>。</w:t>
                  </w:r>
                </w:p>
                <w:p w14:paraId="0161D803">
                  <w:pPr>
                    <w:pStyle w:val="57"/>
                    <w:snapToGrid w:val="0"/>
                    <w:spacing w:line="240" w:lineRule="auto"/>
                    <w:ind w:left="0" w:leftChars="0" w:firstLine="0" w:firstLineChars="0"/>
                    <w:jc w:val="both"/>
                    <w:rPr>
                      <w:rFonts w:hint="eastAsia" w:hAnsi="宋体"/>
                      <w:b w:val="0"/>
                      <w:bCs w:val="0"/>
                      <w:color w:val="auto"/>
                      <w:kern w:val="2"/>
                      <w:sz w:val="21"/>
                      <w:szCs w:val="20"/>
                      <w:lang w:val="en-US" w:eastAsia="zh-CN"/>
                    </w:rPr>
                  </w:pPr>
                  <w:r>
                    <w:rPr>
                      <w:rFonts w:hint="eastAsia" w:hAnsi="宋体"/>
                      <w:b w:val="0"/>
                      <w:bCs w:val="0"/>
                      <w:color w:val="auto"/>
                      <w:kern w:val="2"/>
                      <w:sz w:val="22"/>
                      <w:szCs w:val="21"/>
                    </w:rPr>
                    <w:t>①</w:t>
                  </w:r>
                  <w:r>
                    <w:rPr>
                      <w:rFonts w:hint="eastAsia" w:hAnsi="宋体"/>
                      <w:b w:val="0"/>
                      <w:bCs w:val="0"/>
                      <w:color w:val="auto"/>
                      <w:kern w:val="2"/>
                      <w:sz w:val="21"/>
                      <w:szCs w:val="20"/>
                      <w:lang w:val="en-US" w:eastAsia="zh-CN"/>
                    </w:rPr>
                    <w:t>废切割边角料、废脱模剂包装桶、废布袋暂存于厂区一般固废库，定期外售；</w:t>
                  </w:r>
                </w:p>
                <w:p w14:paraId="2723F4CE">
                  <w:pPr>
                    <w:pStyle w:val="57"/>
                    <w:snapToGrid w:val="0"/>
                    <w:spacing w:line="240" w:lineRule="auto"/>
                    <w:ind w:left="0" w:leftChars="0" w:firstLine="0" w:firstLineChars="0"/>
                    <w:jc w:val="both"/>
                    <w:rPr>
                      <w:rFonts w:hint="eastAsia" w:eastAsia="宋体"/>
                      <w:b w:val="0"/>
                      <w:bCs w:val="0"/>
                      <w:color w:val="auto"/>
                      <w:kern w:val="2"/>
                      <w:sz w:val="21"/>
                      <w:szCs w:val="21"/>
                      <w:lang w:eastAsia="zh-CN"/>
                    </w:rPr>
                  </w:pPr>
                  <w:r>
                    <w:rPr>
                      <w:rFonts w:hint="eastAsia" w:hAnsi="宋体"/>
                      <w:b w:val="0"/>
                      <w:bCs w:val="0"/>
                      <w:color w:val="auto"/>
                      <w:kern w:val="2"/>
                      <w:szCs w:val="22"/>
                    </w:rPr>
                    <w:t>②</w:t>
                  </w:r>
                  <w:r>
                    <w:rPr>
                      <w:rFonts w:hint="eastAsia" w:hAnsi="宋体"/>
                      <w:b w:val="0"/>
                      <w:bCs w:val="0"/>
                      <w:color w:val="auto"/>
                      <w:kern w:val="2"/>
                      <w:sz w:val="21"/>
                      <w:szCs w:val="20"/>
                      <w:lang w:val="en-US" w:eastAsia="zh-CN"/>
                    </w:rPr>
                    <w:t>除尘灰、沉淀池沉渣收集后作为原料回用于生产；</w:t>
                  </w:r>
                </w:p>
                <w:p w14:paraId="79A936C0">
                  <w:pPr>
                    <w:pStyle w:val="57"/>
                    <w:snapToGrid w:val="0"/>
                    <w:spacing w:line="240" w:lineRule="auto"/>
                    <w:ind w:left="0" w:leftChars="0" w:firstLine="0" w:firstLineChars="0"/>
                    <w:jc w:val="both"/>
                    <w:rPr>
                      <w:rFonts w:hint="eastAsia"/>
                      <w:b w:val="0"/>
                      <w:bCs w:val="0"/>
                      <w:color w:val="auto"/>
                      <w:kern w:val="2"/>
                      <w:sz w:val="21"/>
                      <w:szCs w:val="21"/>
                      <w:lang w:eastAsia="zh-CN"/>
                    </w:rPr>
                  </w:pPr>
                  <w:r>
                    <w:rPr>
                      <w:rFonts w:hint="eastAsia"/>
                      <w:b w:val="0"/>
                      <w:bCs w:val="0"/>
                      <w:color w:val="auto"/>
                      <w:kern w:val="2"/>
                      <w:sz w:val="21"/>
                      <w:szCs w:val="21"/>
                    </w:rPr>
                    <w:t>危废</w:t>
                  </w:r>
                  <w:r>
                    <w:rPr>
                      <w:rFonts w:hint="eastAsia"/>
                      <w:b w:val="0"/>
                      <w:bCs w:val="0"/>
                      <w:color w:val="auto"/>
                      <w:kern w:val="2"/>
                      <w:sz w:val="21"/>
                      <w:szCs w:val="21"/>
                      <w:lang w:val="en-US" w:eastAsia="zh-CN"/>
                    </w:rPr>
                    <w:t>暂存库</w:t>
                  </w:r>
                  <w:r>
                    <w:rPr>
                      <w:rFonts w:hint="eastAsia"/>
                      <w:b w:val="0"/>
                      <w:bCs w:val="0"/>
                      <w:color w:val="auto"/>
                      <w:kern w:val="2"/>
                      <w:sz w:val="21"/>
                      <w:szCs w:val="21"/>
                    </w:rPr>
                    <w:t>：位于一般固废</w:t>
                  </w:r>
                  <w:r>
                    <w:rPr>
                      <w:rFonts w:hint="eastAsia"/>
                      <w:b w:val="0"/>
                      <w:bCs w:val="0"/>
                      <w:color w:val="auto"/>
                      <w:kern w:val="2"/>
                      <w:sz w:val="21"/>
                      <w:szCs w:val="21"/>
                      <w:lang w:val="en-US" w:eastAsia="zh-CN"/>
                    </w:rPr>
                    <w:t>库东</w:t>
                  </w:r>
                  <w:r>
                    <w:rPr>
                      <w:rFonts w:hint="eastAsia"/>
                      <w:b w:val="0"/>
                      <w:bCs w:val="0"/>
                      <w:color w:val="auto"/>
                      <w:kern w:val="2"/>
                      <w:sz w:val="21"/>
                      <w:szCs w:val="21"/>
                    </w:rPr>
                    <w:t>侧，占地面积</w:t>
                  </w:r>
                  <w:r>
                    <w:rPr>
                      <w:rFonts w:hint="eastAsia"/>
                      <w:b w:val="0"/>
                      <w:bCs w:val="0"/>
                      <w:color w:val="auto"/>
                      <w:kern w:val="2"/>
                      <w:sz w:val="21"/>
                      <w:szCs w:val="21"/>
                      <w:lang w:val="en-US" w:eastAsia="zh-CN"/>
                    </w:rPr>
                    <w:t>10</w:t>
                  </w:r>
                  <w:r>
                    <w:rPr>
                      <w:rFonts w:hint="eastAsia"/>
                      <w:b w:val="0"/>
                      <w:bCs w:val="0"/>
                      <w:color w:val="auto"/>
                      <w:kern w:val="2"/>
                      <w:sz w:val="21"/>
                      <w:szCs w:val="21"/>
                    </w:rPr>
                    <w:t>m</w:t>
                  </w:r>
                  <w:r>
                    <w:rPr>
                      <w:rFonts w:hint="eastAsia"/>
                      <w:b w:val="0"/>
                      <w:bCs w:val="0"/>
                      <w:color w:val="auto"/>
                      <w:kern w:val="2"/>
                      <w:sz w:val="21"/>
                      <w:szCs w:val="21"/>
                      <w:vertAlign w:val="superscript"/>
                    </w:rPr>
                    <w:t>2</w:t>
                  </w:r>
                  <w:r>
                    <w:rPr>
                      <w:rFonts w:hint="eastAsia"/>
                      <w:b w:val="0"/>
                      <w:bCs w:val="0"/>
                      <w:color w:val="auto"/>
                      <w:kern w:val="2"/>
                      <w:sz w:val="21"/>
                      <w:szCs w:val="21"/>
                      <w:lang w:eastAsia="zh-CN"/>
                    </w:rPr>
                    <w:t>。</w:t>
                  </w:r>
                </w:p>
                <w:p w14:paraId="452AFEE5">
                  <w:pPr>
                    <w:pStyle w:val="57"/>
                    <w:snapToGrid w:val="0"/>
                    <w:spacing w:line="240" w:lineRule="auto"/>
                    <w:ind w:left="0" w:leftChars="0" w:firstLine="0" w:firstLineChars="0"/>
                    <w:jc w:val="both"/>
                    <w:rPr>
                      <w:b w:val="0"/>
                      <w:bCs w:val="0"/>
                      <w:color w:val="auto"/>
                      <w:kern w:val="2"/>
                      <w:sz w:val="21"/>
                      <w:szCs w:val="21"/>
                    </w:rPr>
                  </w:pPr>
                  <w:r>
                    <w:rPr>
                      <w:rFonts w:hint="eastAsia"/>
                      <w:b w:val="0"/>
                      <w:bCs w:val="0"/>
                      <w:color w:val="auto"/>
                      <w:kern w:val="2"/>
                      <w:sz w:val="21"/>
                      <w:szCs w:val="21"/>
                      <w:lang w:val="en-US" w:eastAsia="zh-CN"/>
                    </w:rPr>
                    <w:t>废机油、废机油桶</w:t>
                  </w:r>
                  <w:r>
                    <w:rPr>
                      <w:rFonts w:hint="eastAsia"/>
                      <w:b w:val="0"/>
                      <w:bCs w:val="0"/>
                      <w:color w:val="auto"/>
                      <w:kern w:val="2"/>
                      <w:sz w:val="21"/>
                      <w:szCs w:val="21"/>
                    </w:rPr>
                    <w:t>暂存于厂区危废库后，委托有资质的单位处置。</w:t>
                  </w:r>
                </w:p>
              </w:tc>
              <w:tc>
                <w:tcPr>
                  <w:tcW w:w="666" w:type="pct"/>
                  <w:vAlign w:val="center"/>
                </w:tcPr>
                <w:p w14:paraId="1D8183FD">
                  <w:pPr>
                    <w:pStyle w:val="57"/>
                    <w:snapToGrid w:val="0"/>
                    <w:spacing w:line="240" w:lineRule="auto"/>
                    <w:ind w:left="0" w:leftChars="0" w:firstLine="0" w:firstLineChars="0"/>
                    <w:jc w:val="center"/>
                    <w:rPr>
                      <w:rFonts w:hint="eastAsia" w:eastAsia="宋体"/>
                      <w:b w:val="0"/>
                      <w:bCs w:val="0"/>
                      <w:color w:val="auto"/>
                      <w:sz w:val="21"/>
                      <w:szCs w:val="21"/>
                      <w:lang w:eastAsia="zh-CN"/>
                    </w:rPr>
                  </w:pPr>
                  <w:r>
                    <w:rPr>
                      <w:rFonts w:hint="eastAsia"/>
                      <w:b w:val="0"/>
                      <w:bCs w:val="0"/>
                      <w:color w:val="auto"/>
                      <w:kern w:val="2"/>
                      <w:sz w:val="21"/>
                      <w:szCs w:val="21"/>
                      <w:lang w:val="en-US" w:eastAsia="zh-CN"/>
                    </w:rPr>
                    <w:t>新建</w:t>
                  </w:r>
                </w:p>
              </w:tc>
            </w:tr>
          </w:tbl>
          <w:p w14:paraId="0977DA7F">
            <w:pPr>
              <w:spacing w:line="360" w:lineRule="auto"/>
              <w:rPr>
                <w:rFonts w:hint="eastAsia" w:eastAsia="宋体"/>
                <w:b/>
                <w:color w:val="auto"/>
                <w:sz w:val="24"/>
                <w:highlight w:val="yellow"/>
                <w:lang w:eastAsia="zh-CN"/>
              </w:rPr>
            </w:pPr>
            <w:r>
              <w:rPr>
                <w:rFonts w:hint="eastAsia"/>
                <w:b/>
                <w:color w:val="auto"/>
                <w:sz w:val="24"/>
              </w:rPr>
              <w:t>4</w:t>
            </w:r>
            <w:r>
              <w:rPr>
                <w:b/>
                <w:color w:val="auto"/>
                <w:sz w:val="24"/>
              </w:rPr>
              <w:t>、</w:t>
            </w:r>
            <w:r>
              <w:rPr>
                <w:rFonts w:hint="eastAsia"/>
                <w:b/>
                <w:color w:val="auto"/>
                <w:sz w:val="24"/>
              </w:rPr>
              <w:t>产品方案</w:t>
            </w:r>
          </w:p>
          <w:p w14:paraId="5605F40E">
            <w:pPr>
              <w:spacing w:line="360" w:lineRule="auto"/>
              <w:jc w:val="center"/>
              <w:rPr>
                <w:b/>
                <w:color w:val="auto"/>
                <w:sz w:val="24"/>
                <w:szCs w:val="28"/>
              </w:rPr>
            </w:pPr>
            <w:r>
              <w:rPr>
                <w:b/>
                <w:color w:val="auto"/>
                <w:sz w:val="24"/>
                <w:szCs w:val="28"/>
              </w:rPr>
              <w:t>表2-3 项目产品方案一览表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435"/>
              <w:gridCol w:w="2953"/>
              <w:gridCol w:w="1757"/>
            </w:tblGrid>
            <w:tr w14:paraId="4B033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vAlign w:val="center"/>
                </w:tcPr>
                <w:p w14:paraId="3D70A696">
                  <w:pPr>
                    <w:jc w:val="center"/>
                    <w:rPr>
                      <w:b/>
                      <w:bCs/>
                      <w:color w:val="auto"/>
                    </w:rPr>
                  </w:pPr>
                  <w:r>
                    <w:rPr>
                      <w:b/>
                      <w:bCs/>
                      <w:color w:val="auto"/>
                    </w:rPr>
                    <w:t>序号</w:t>
                  </w:r>
                </w:p>
              </w:tc>
              <w:tc>
                <w:tcPr>
                  <w:tcW w:w="1494" w:type="pct"/>
                  <w:vAlign w:val="center"/>
                </w:tcPr>
                <w:p w14:paraId="25B398BE">
                  <w:pPr>
                    <w:jc w:val="center"/>
                    <w:rPr>
                      <w:b/>
                      <w:bCs/>
                      <w:color w:val="auto"/>
                    </w:rPr>
                  </w:pPr>
                  <w:r>
                    <w:rPr>
                      <w:b/>
                      <w:bCs/>
                      <w:color w:val="auto"/>
                    </w:rPr>
                    <w:t>产品名称</w:t>
                  </w:r>
                </w:p>
              </w:tc>
              <w:tc>
                <w:tcPr>
                  <w:tcW w:w="1812" w:type="pct"/>
                  <w:vAlign w:val="center"/>
                </w:tcPr>
                <w:p w14:paraId="31EDD09C">
                  <w:pPr>
                    <w:jc w:val="center"/>
                    <w:rPr>
                      <w:b/>
                      <w:bCs/>
                      <w:color w:val="auto"/>
                    </w:rPr>
                  </w:pPr>
                  <w:r>
                    <w:rPr>
                      <w:rFonts w:hint="eastAsia"/>
                      <w:b/>
                      <w:bCs/>
                      <w:color w:val="auto"/>
                    </w:rPr>
                    <w:t>年产量</w:t>
                  </w:r>
                </w:p>
              </w:tc>
              <w:tc>
                <w:tcPr>
                  <w:tcW w:w="1078" w:type="pct"/>
                  <w:vAlign w:val="center"/>
                </w:tcPr>
                <w:p w14:paraId="0B68B562">
                  <w:pPr>
                    <w:jc w:val="center"/>
                    <w:rPr>
                      <w:b/>
                      <w:bCs/>
                      <w:color w:val="auto"/>
                    </w:rPr>
                  </w:pPr>
                  <w:r>
                    <w:rPr>
                      <w:rFonts w:hint="eastAsia"/>
                      <w:b/>
                      <w:bCs/>
                      <w:color w:val="auto"/>
                    </w:rPr>
                    <w:t>备注</w:t>
                  </w:r>
                </w:p>
              </w:tc>
            </w:tr>
            <w:tr w14:paraId="2D42B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vAlign w:val="center"/>
                </w:tcPr>
                <w:p w14:paraId="55CA9F90">
                  <w:pPr>
                    <w:jc w:val="center"/>
                    <w:rPr>
                      <w:color w:val="auto"/>
                    </w:rPr>
                  </w:pPr>
                  <w:r>
                    <w:rPr>
                      <w:color w:val="auto"/>
                    </w:rPr>
                    <w:t>1</w:t>
                  </w:r>
                </w:p>
              </w:tc>
              <w:tc>
                <w:tcPr>
                  <w:tcW w:w="1494" w:type="pct"/>
                  <w:vAlign w:val="center"/>
                </w:tcPr>
                <w:p w14:paraId="59582EFA">
                  <w:pPr>
                    <w:bidi w:val="0"/>
                    <w:jc w:val="center"/>
                    <w:rPr>
                      <w:rFonts w:hint="default" w:eastAsia="宋体"/>
                      <w:color w:val="auto"/>
                      <w:lang w:val="en-US" w:eastAsia="zh-CN"/>
                    </w:rPr>
                  </w:pPr>
                  <w:r>
                    <w:rPr>
                      <w:rFonts w:hint="default" w:eastAsia="宋体"/>
                      <w:color w:val="auto"/>
                      <w:lang w:val="en-US" w:eastAsia="zh-CN"/>
                    </w:rPr>
                    <w:t>统型砼岔枕</w:t>
                  </w:r>
                </w:p>
              </w:tc>
              <w:tc>
                <w:tcPr>
                  <w:tcW w:w="1812" w:type="pct"/>
                  <w:vAlign w:val="center"/>
                </w:tcPr>
                <w:p w14:paraId="097BF0AB">
                  <w:pPr>
                    <w:jc w:val="center"/>
                    <w:rPr>
                      <w:rFonts w:hint="eastAsia" w:eastAsia="宋体"/>
                      <w:color w:val="auto"/>
                      <w:lang w:eastAsia="zh-CN"/>
                    </w:rPr>
                  </w:pPr>
                  <w:r>
                    <w:rPr>
                      <w:rFonts w:hint="eastAsia"/>
                      <w:color w:val="auto"/>
                      <w:lang w:val="en-US" w:eastAsia="zh-CN"/>
                    </w:rPr>
                    <w:t>50</w:t>
                  </w:r>
                  <w:r>
                    <w:rPr>
                      <w:rFonts w:hint="eastAsia"/>
                      <w:color w:val="auto"/>
                    </w:rPr>
                    <w:t>万</w:t>
                  </w:r>
                  <w:r>
                    <w:rPr>
                      <w:rFonts w:hint="eastAsia"/>
                      <w:color w:val="auto"/>
                      <w:lang w:val="en-US" w:eastAsia="zh-CN"/>
                    </w:rPr>
                    <w:t>根</w:t>
                  </w:r>
                </w:p>
              </w:tc>
              <w:tc>
                <w:tcPr>
                  <w:tcW w:w="1078" w:type="pct"/>
                  <w:vAlign w:val="center"/>
                </w:tcPr>
                <w:p w14:paraId="72CC937B">
                  <w:pPr>
                    <w:jc w:val="center"/>
                    <w:rPr>
                      <w:rFonts w:hint="eastAsia" w:eastAsia="宋体"/>
                      <w:color w:val="auto"/>
                      <w:lang w:eastAsia="zh-CN"/>
                    </w:rPr>
                  </w:pPr>
                  <w:r>
                    <w:rPr>
                      <w:rFonts w:hint="eastAsia"/>
                      <w:color w:val="auto"/>
                      <w:lang w:val="en-US" w:eastAsia="zh-CN"/>
                    </w:rPr>
                    <w:t>/</w:t>
                  </w:r>
                </w:p>
              </w:tc>
            </w:tr>
          </w:tbl>
          <w:p w14:paraId="0A7C082E">
            <w:pPr>
              <w:spacing w:line="360" w:lineRule="auto"/>
              <w:rPr>
                <w:b/>
                <w:color w:val="auto"/>
                <w:sz w:val="24"/>
              </w:rPr>
            </w:pPr>
            <w:r>
              <w:rPr>
                <w:rFonts w:hint="eastAsia"/>
                <w:b/>
                <w:color w:val="auto"/>
                <w:sz w:val="24"/>
              </w:rPr>
              <w:t>5</w:t>
            </w:r>
            <w:r>
              <w:rPr>
                <w:b/>
                <w:color w:val="auto"/>
                <w:sz w:val="24"/>
              </w:rPr>
              <w:t>、</w:t>
            </w:r>
            <w:r>
              <w:rPr>
                <w:rFonts w:hint="eastAsia"/>
                <w:b/>
                <w:color w:val="auto"/>
                <w:sz w:val="24"/>
              </w:rPr>
              <w:t>项目主要原辅料及能源消耗</w:t>
            </w:r>
          </w:p>
          <w:p w14:paraId="53529085">
            <w:pPr>
              <w:spacing w:line="360" w:lineRule="auto"/>
              <w:jc w:val="center"/>
              <w:rPr>
                <w:b/>
                <w:color w:val="002DC7"/>
                <w:sz w:val="24"/>
                <w:szCs w:val="28"/>
              </w:rPr>
            </w:pPr>
            <w:r>
              <w:rPr>
                <w:b/>
                <w:color w:val="auto"/>
                <w:sz w:val="24"/>
                <w:szCs w:val="28"/>
              </w:rPr>
              <w:t>表2-4 主要原辅材料一览表</w:t>
            </w:r>
          </w:p>
          <w:tbl>
            <w:tblPr>
              <w:tblStyle w:val="40"/>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325"/>
              <w:gridCol w:w="1171"/>
              <w:gridCol w:w="1203"/>
              <w:gridCol w:w="1392"/>
              <w:gridCol w:w="1644"/>
              <w:gridCol w:w="979"/>
            </w:tblGrid>
            <w:tr w14:paraId="38C54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262" w:type="pct"/>
                  <w:vAlign w:val="center"/>
                </w:tcPr>
                <w:p w14:paraId="217F26EB">
                  <w:pPr>
                    <w:pStyle w:val="124"/>
                    <w:spacing w:line="240" w:lineRule="auto"/>
                    <w:rPr>
                      <w:b/>
                      <w:bCs/>
                      <w:color w:val="auto"/>
                      <w:szCs w:val="21"/>
                    </w:rPr>
                  </w:pPr>
                  <w:r>
                    <w:rPr>
                      <w:rFonts w:hint="eastAsia" w:hAnsi="宋体"/>
                      <w:b/>
                      <w:bCs/>
                      <w:color w:val="auto"/>
                      <w:szCs w:val="21"/>
                    </w:rPr>
                    <w:t>序号</w:t>
                  </w:r>
                </w:p>
              </w:tc>
              <w:tc>
                <w:tcPr>
                  <w:tcW w:w="813" w:type="pct"/>
                  <w:vAlign w:val="center"/>
                </w:tcPr>
                <w:p w14:paraId="217B88BE">
                  <w:pPr>
                    <w:pStyle w:val="124"/>
                    <w:spacing w:line="240" w:lineRule="auto"/>
                    <w:rPr>
                      <w:b/>
                      <w:bCs/>
                      <w:color w:val="auto"/>
                      <w:szCs w:val="21"/>
                    </w:rPr>
                  </w:pPr>
                  <w:r>
                    <w:rPr>
                      <w:rFonts w:hint="eastAsia" w:hAnsi="宋体"/>
                      <w:b/>
                      <w:bCs/>
                      <w:color w:val="auto"/>
                      <w:szCs w:val="21"/>
                    </w:rPr>
                    <w:t>名称</w:t>
                  </w:r>
                </w:p>
              </w:tc>
              <w:tc>
                <w:tcPr>
                  <w:tcW w:w="719" w:type="pct"/>
                  <w:vAlign w:val="center"/>
                </w:tcPr>
                <w:p w14:paraId="1B39AC54">
                  <w:pPr>
                    <w:pStyle w:val="124"/>
                    <w:spacing w:line="240" w:lineRule="auto"/>
                    <w:rPr>
                      <w:b/>
                      <w:bCs/>
                      <w:color w:val="auto"/>
                      <w:szCs w:val="21"/>
                    </w:rPr>
                  </w:pPr>
                  <w:r>
                    <w:rPr>
                      <w:rFonts w:hint="eastAsia"/>
                      <w:b/>
                      <w:bCs/>
                      <w:color w:val="auto"/>
                      <w:szCs w:val="21"/>
                    </w:rPr>
                    <w:t>年消耗量</w:t>
                  </w:r>
                </w:p>
              </w:tc>
              <w:tc>
                <w:tcPr>
                  <w:tcW w:w="738" w:type="pct"/>
                  <w:vAlign w:val="center"/>
                </w:tcPr>
                <w:p w14:paraId="0E94DB0D">
                  <w:pPr>
                    <w:pStyle w:val="124"/>
                    <w:spacing w:line="240" w:lineRule="auto"/>
                    <w:rPr>
                      <w:rFonts w:hint="eastAsia" w:hAnsi="宋体"/>
                      <w:b/>
                      <w:bCs/>
                      <w:color w:val="auto"/>
                      <w:szCs w:val="21"/>
                    </w:rPr>
                  </w:pPr>
                  <w:r>
                    <w:rPr>
                      <w:rFonts w:hint="eastAsia" w:hAnsi="宋体"/>
                      <w:b/>
                      <w:bCs/>
                      <w:color w:val="auto"/>
                      <w:szCs w:val="21"/>
                    </w:rPr>
                    <w:t>最大储存量</w:t>
                  </w:r>
                </w:p>
              </w:tc>
              <w:tc>
                <w:tcPr>
                  <w:tcW w:w="854" w:type="pct"/>
                  <w:vAlign w:val="center"/>
                </w:tcPr>
                <w:p w14:paraId="7FA42E9A">
                  <w:pPr>
                    <w:pStyle w:val="124"/>
                    <w:spacing w:line="240" w:lineRule="auto"/>
                    <w:rPr>
                      <w:rFonts w:hint="eastAsia" w:hAnsi="宋体"/>
                      <w:b/>
                      <w:bCs/>
                      <w:color w:val="auto"/>
                      <w:szCs w:val="21"/>
                    </w:rPr>
                  </w:pPr>
                  <w:r>
                    <w:rPr>
                      <w:rFonts w:hint="eastAsia" w:hAnsi="宋体"/>
                      <w:b/>
                      <w:bCs/>
                      <w:color w:val="auto"/>
                      <w:szCs w:val="21"/>
                    </w:rPr>
                    <w:t>包装规格、状态</w:t>
                  </w:r>
                </w:p>
              </w:tc>
              <w:tc>
                <w:tcPr>
                  <w:tcW w:w="1009" w:type="pct"/>
                  <w:vAlign w:val="center"/>
                </w:tcPr>
                <w:p w14:paraId="589CC294">
                  <w:pPr>
                    <w:pStyle w:val="124"/>
                    <w:spacing w:line="240" w:lineRule="auto"/>
                    <w:rPr>
                      <w:rFonts w:hint="eastAsia" w:hAnsi="宋体"/>
                      <w:b/>
                      <w:bCs/>
                      <w:color w:val="auto"/>
                      <w:szCs w:val="21"/>
                    </w:rPr>
                  </w:pPr>
                  <w:r>
                    <w:rPr>
                      <w:rFonts w:hint="eastAsia" w:hAnsi="宋体"/>
                      <w:b/>
                      <w:bCs/>
                      <w:color w:val="auto"/>
                      <w:szCs w:val="21"/>
                    </w:rPr>
                    <w:t>主要成分</w:t>
                  </w:r>
                </w:p>
              </w:tc>
              <w:tc>
                <w:tcPr>
                  <w:tcW w:w="601" w:type="pct"/>
                  <w:vAlign w:val="center"/>
                </w:tcPr>
                <w:p w14:paraId="10E192B1">
                  <w:pPr>
                    <w:pStyle w:val="124"/>
                    <w:spacing w:line="240" w:lineRule="auto"/>
                    <w:rPr>
                      <w:b/>
                      <w:bCs/>
                      <w:color w:val="auto"/>
                      <w:szCs w:val="21"/>
                    </w:rPr>
                  </w:pPr>
                  <w:r>
                    <w:rPr>
                      <w:rFonts w:hint="eastAsia" w:hAnsi="宋体"/>
                      <w:b/>
                      <w:bCs/>
                      <w:color w:val="auto"/>
                      <w:szCs w:val="21"/>
                    </w:rPr>
                    <w:t>储存地点</w:t>
                  </w:r>
                </w:p>
              </w:tc>
            </w:tr>
            <w:tr w14:paraId="055D52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262" w:type="pct"/>
                  <w:vAlign w:val="center"/>
                </w:tcPr>
                <w:p w14:paraId="03EE0DA6">
                  <w:pPr>
                    <w:pStyle w:val="124"/>
                    <w:spacing w:line="240" w:lineRule="auto"/>
                    <w:rPr>
                      <w:color w:val="auto"/>
                      <w:szCs w:val="21"/>
                    </w:rPr>
                  </w:pPr>
                  <w:r>
                    <w:rPr>
                      <w:color w:val="auto"/>
                      <w:szCs w:val="21"/>
                    </w:rPr>
                    <w:t>1</w:t>
                  </w:r>
                </w:p>
              </w:tc>
              <w:tc>
                <w:tcPr>
                  <w:tcW w:w="813" w:type="pct"/>
                  <w:vAlign w:val="center"/>
                </w:tcPr>
                <w:p w14:paraId="13B44B60">
                  <w:pPr>
                    <w:jc w:val="center"/>
                    <w:rPr>
                      <w:rFonts w:hint="default" w:eastAsia="宋体"/>
                      <w:color w:val="auto"/>
                      <w:szCs w:val="21"/>
                      <w:lang w:val="en-US" w:eastAsia="zh-CN"/>
                    </w:rPr>
                  </w:pPr>
                  <w:r>
                    <w:rPr>
                      <w:rFonts w:hint="eastAsia"/>
                      <w:color w:val="auto"/>
                      <w:szCs w:val="21"/>
                      <w:lang w:val="en-US" w:eastAsia="zh-CN"/>
                    </w:rPr>
                    <w:t>水泥</w:t>
                  </w:r>
                </w:p>
              </w:tc>
              <w:tc>
                <w:tcPr>
                  <w:tcW w:w="719" w:type="pct"/>
                  <w:vAlign w:val="center"/>
                </w:tcPr>
                <w:p w14:paraId="06BC5C2C">
                  <w:pPr>
                    <w:pStyle w:val="124"/>
                    <w:spacing w:line="240" w:lineRule="auto"/>
                    <w:rPr>
                      <w:color w:val="auto"/>
                      <w:szCs w:val="21"/>
                      <w:highlight w:val="none"/>
                    </w:rPr>
                  </w:pPr>
                  <w:r>
                    <w:rPr>
                      <w:rFonts w:hint="eastAsia"/>
                      <w:color w:val="auto"/>
                      <w:szCs w:val="21"/>
                      <w:highlight w:val="none"/>
                      <w:lang w:val="en-US" w:eastAsia="zh-CN"/>
                    </w:rPr>
                    <w:t>17000</w:t>
                  </w:r>
                  <w:r>
                    <w:rPr>
                      <w:rFonts w:hint="eastAsia"/>
                      <w:color w:val="auto"/>
                      <w:szCs w:val="21"/>
                      <w:highlight w:val="none"/>
                    </w:rPr>
                    <w:t>t</w:t>
                  </w:r>
                </w:p>
              </w:tc>
              <w:tc>
                <w:tcPr>
                  <w:tcW w:w="738" w:type="pct"/>
                  <w:vAlign w:val="center"/>
                </w:tcPr>
                <w:p w14:paraId="0328C39A">
                  <w:pPr>
                    <w:pStyle w:val="124"/>
                    <w:spacing w:line="240" w:lineRule="auto"/>
                    <w:rPr>
                      <w:color w:val="auto"/>
                      <w:szCs w:val="21"/>
                      <w:highlight w:val="none"/>
                    </w:rPr>
                  </w:pPr>
                  <w:r>
                    <w:rPr>
                      <w:rFonts w:hint="eastAsia"/>
                      <w:color w:val="auto"/>
                      <w:szCs w:val="21"/>
                      <w:highlight w:val="none"/>
                      <w:lang w:val="en-US" w:eastAsia="zh-CN"/>
                    </w:rPr>
                    <w:t>300</w:t>
                  </w:r>
                  <w:r>
                    <w:rPr>
                      <w:rFonts w:hint="eastAsia"/>
                      <w:color w:val="auto"/>
                      <w:szCs w:val="21"/>
                      <w:highlight w:val="none"/>
                    </w:rPr>
                    <w:t>t</w:t>
                  </w:r>
                </w:p>
              </w:tc>
              <w:tc>
                <w:tcPr>
                  <w:tcW w:w="854" w:type="pct"/>
                  <w:vAlign w:val="center"/>
                </w:tcPr>
                <w:p w14:paraId="4DE4A696">
                  <w:pPr>
                    <w:pStyle w:val="124"/>
                    <w:spacing w:line="240" w:lineRule="auto"/>
                    <w:rPr>
                      <w:rFonts w:hint="default" w:hAnsi="宋体" w:eastAsia="宋体"/>
                      <w:color w:val="auto"/>
                      <w:szCs w:val="21"/>
                      <w:lang w:val="en-US" w:eastAsia="zh-CN"/>
                    </w:rPr>
                  </w:pPr>
                  <w:r>
                    <w:rPr>
                      <w:rFonts w:hint="eastAsia" w:hAnsi="宋体"/>
                      <w:color w:val="auto"/>
                      <w:szCs w:val="21"/>
                      <w:lang w:val="en-US" w:eastAsia="zh-CN"/>
                    </w:rPr>
                    <w:t>42.5~52.5（强度等级），粉末</w:t>
                  </w:r>
                </w:p>
              </w:tc>
              <w:tc>
                <w:tcPr>
                  <w:tcW w:w="1009" w:type="pct"/>
                  <w:vAlign w:val="center"/>
                </w:tcPr>
                <w:p w14:paraId="57D7B8D0">
                  <w:pPr>
                    <w:pStyle w:val="124"/>
                    <w:spacing w:line="240" w:lineRule="auto"/>
                    <w:rPr>
                      <w:rFonts w:hint="eastAsia" w:hAnsi="宋体" w:eastAsia="宋体"/>
                      <w:color w:val="auto"/>
                      <w:szCs w:val="21"/>
                      <w:lang w:eastAsia="zh-CN"/>
                    </w:rPr>
                  </w:pPr>
                  <w:r>
                    <w:rPr>
                      <w:rFonts w:hint="eastAsia" w:hAnsi="宋体"/>
                      <w:color w:val="auto"/>
                      <w:szCs w:val="21"/>
                      <w:lang w:val="en-US" w:eastAsia="zh-CN"/>
                    </w:rPr>
                    <w:t>/</w:t>
                  </w:r>
                </w:p>
              </w:tc>
              <w:tc>
                <w:tcPr>
                  <w:tcW w:w="601" w:type="pct"/>
                  <w:vAlign w:val="center"/>
                </w:tcPr>
                <w:p w14:paraId="09D9D8C2">
                  <w:pPr>
                    <w:pStyle w:val="124"/>
                    <w:spacing w:line="240" w:lineRule="auto"/>
                    <w:rPr>
                      <w:rFonts w:hint="default" w:eastAsia="宋体"/>
                      <w:color w:val="auto"/>
                      <w:szCs w:val="21"/>
                      <w:lang w:val="en-US" w:eastAsia="zh-CN"/>
                    </w:rPr>
                  </w:pPr>
                  <w:r>
                    <w:rPr>
                      <w:rFonts w:hint="eastAsia" w:hAnsi="宋体"/>
                      <w:color w:val="auto"/>
                      <w:szCs w:val="21"/>
                      <w:lang w:val="en-US" w:eastAsia="zh-CN"/>
                    </w:rPr>
                    <w:t>水泥筒仓</w:t>
                  </w:r>
                </w:p>
              </w:tc>
            </w:tr>
            <w:tr w14:paraId="55F0E4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262" w:type="pct"/>
                  <w:vAlign w:val="center"/>
                </w:tcPr>
                <w:p w14:paraId="5F4B16D7">
                  <w:pPr>
                    <w:pStyle w:val="124"/>
                    <w:spacing w:line="240" w:lineRule="auto"/>
                    <w:rPr>
                      <w:rFonts w:hint="eastAsia" w:eastAsia="宋体"/>
                      <w:color w:val="auto"/>
                      <w:szCs w:val="21"/>
                      <w:lang w:val="en-US" w:eastAsia="zh-CN"/>
                    </w:rPr>
                  </w:pPr>
                  <w:r>
                    <w:rPr>
                      <w:rFonts w:hint="eastAsia"/>
                      <w:color w:val="auto"/>
                      <w:szCs w:val="21"/>
                      <w:lang w:val="en-US" w:eastAsia="zh-CN"/>
                    </w:rPr>
                    <w:t>2</w:t>
                  </w:r>
                </w:p>
              </w:tc>
              <w:tc>
                <w:tcPr>
                  <w:tcW w:w="813" w:type="pct"/>
                  <w:vAlign w:val="center"/>
                </w:tcPr>
                <w:p w14:paraId="77846EA7">
                  <w:pPr>
                    <w:jc w:val="center"/>
                    <w:rPr>
                      <w:rFonts w:hint="default"/>
                      <w:color w:val="auto"/>
                      <w:szCs w:val="21"/>
                      <w:lang w:val="en-US" w:eastAsia="zh-CN"/>
                    </w:rPr>
                  </w:pPr>
                  <w:r>
                    <w:rPr>
                      <w:rFonts w:hint="eastAsia"/>
                      <w:color w:val="auto"/>
                      <w:szCs w:val="21"/>
                      <w:lang w:val="en-US" w:eastAsia="zh-CN"/>
                    </w:rPr>
                    <w:t>粉煤灰</w:t>
                  </w:r>
                </w:p>
              </w:tc>
              <w:tc>
                <w:tcPr>
                  <w:tcW w:w="719" w:type="pct"/>
                  <w:vAlign w:val="center"/>
                </w:tcPr>
                <w:p w14:paraId="4D6E298E">
                  <w:pPr>
                    <w:pStyle w:val="124"/>
                    <w:spacing w:line="240" w:lineRule="auto"/>
                    <w:rPr>
                      <w:rFonts w:hint="default"/>
                      <w:color w:val="auto"/>
                      <w:szCs w:val="21"/>
                      <w:highlight w:val="none"/>
                      <w:lang w:val="en-US" w:eastAsia="zh-CN"/>
                    </w:rPr>
                  </w:pPr>
                  <w:r>
                    <w:rPr>
                      <w:rFonts w:hint="eastAsia"/>
                      <w:color w:val="auto"/>
                      <w:szCs w:val="21"/>
                      <w:highlight w:val="none"/>
                      <w:lang w:val="en-US" w:eastAsia="zh-CN"/>
                    </w:rPr>
                    <w:t>3000t</w:t>
                  </w:r>
                </w:p>
              </w:tc>
              <w:tc>
                <w:tcPr>
                  <w:tcW w:w="738" w:type="pct"/>
                  <w:vAlign w:val="center"/>
                </w:tcPr>
                <w:p w14:paraId="58D829A8">
                  <w:pPr>
                    <w:pStyle w:val="124"/>
                    <w:spacing w:line="240" w:lineRule="auto"/>
                    <w:rPr>
                      <w:rFonts w:hint="default" w:eastAsia="宋体"/>
                      <w:color w:val="auto"/>
                      <w:szCs w:val="21"/>
                      <w:highlight w:val="none"/>
                      <w:lang w:val="en-US" w:eastAsia="zh-CN"/>
                    </w:rPr>
                  </w:pPr>
                  <w:r>
                    <w:rPr>
                      <w:rFonts w:hint="eastAsia"/>
                      <w:color w:val="auto"/>
                      <w:szCs w:val="21"/>
                      <w:highlight w:val="none"/>
                      <w:lang w:val="en-US" w:eastAsia="zh-CN"/>
                    </w:rPr>
                    <w:t>110t</w:t>
                  </w:r>
                </w:p>
              </w:tc>
              <w:tc>
                <w:tcPr>
                  <w:tcW w:w="854" w:type="pct"/>
                  <w:vAlign w:val="center"/>
                </w:tcPr>
                <w:p w14:paraId="72875867">
                  <w:pPr>
                    <w:pStyle w:val="124"/>
                    <w:spacing w:line="240" w:lineRule="auto"/>
                    <w:rPr>
                      <w:rFonts w:hint="eastAsia" w:hAnsi="宋体"/>
                      <w:color w:val="auto"/>
                      <w:szCs w:val="21"/>
                      <w:lang w:val="en-US" w:eastAsia="zh-CN"/>
                    </w:rPr>
                  </w:pPr>
                  <w:r>
                    <w:rPr>
                      <w:rFonts w:hint="eastAsia" w:hAnsi="宋体"/>
                      <w:color w:val="auto"/>
                      <w:szCs w:val="21"/>
                      <w:lang w:val="en-US" w:eastAsia="zh-CN"/>
                    </w:rPr>
                    <w:t>粉末</w:t>
                  </w:r>
                </w:p>
              </w:tc>
              <w:tc>
                <w:tcPr>
                  <w:tcW w:w="1009" w:type="pct"/>
                  <w:vAlign w:val="center"/>
                </w:tcPr>
                <w:p w14:paraId="6FC0F880">
                  <w:pPr>
                    <w:pStyle w:val="124"/>
                    <w:spacing w:line="240" w:lineRule="auto"/>
                    <w:rPr>
                      <w:rFonts w:hint="default" w:hAnsi="宋体"/>
                      <w:color w:val="auto"/>
                      <w:szCs w:val="21"/>
                      <w:lang w:val="en-US" w:eastAsia="zh-CN"/>
                    </w:rPr>
                  </w:pPr>
                  <w:r>
                    <w:rPr>
                      <w:rFonts w:hint="eastAsia" w:hAnsi="宋体"/>
                      <w:color w:val="auto"/>
                      <w:szCs w:val="21"/>
                      <w:lang w:val="en-US" w:eastAsia="zh-CN"/>
                    </w:rPr>
                    <w:t>/</w:t>
                  </w:r>
                </w:p>
              </w:tc>
              <w:tc>
                <w:tcPr>
                  <w:tcW w:w="601" w:type="pct"/>
                  <w:vAlign w:val="center"/>
                </w:tcPr>
                <w:p w14:paraId="684D70FA">
                  <w:pPr>
                    <w:pStyle w:val="124"/>
                    <w:spacing w:line="240" w:lineRule="auto"/>
                    <w:rPr>
                      <w:rFonts w:hint="default" w:hAnsi="宋体"/>
                      <w:color w:val="auto"/>
                      <w:szCs w:val="21"/>
                      <w:lang w:val="en-US" w:eastAsia="zh-CN"/>
                    </w:rPr>
                  </w:pPr>
                  <w:r>
                    <w:rPr>
                      <w:rFonts w:hint="eastAsia" w:hAnsi="宋体"/>
                      <w:color w:val="auto"/>
                      <w:szCs w:val="21"/>
                      <w:lang w:val="en-US" w:eastAsia="zh-CN"/>
                    </w:rPr>
                    <w:t>粉煤灰料仓</w:t>
                  </w:r>
                </w:p>
              </w:tc>
            </w:tr>
            <w:tr w14:paraId="286D24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6823C886">
                  <w:pPr>
                    <w:pStyle w:val="124"/>
                    <w:spacing w:line="240" w:lineRule="auto"/>
                    <w:rPr>
                      <w:rFonts w:hint="eastAsia" w:eastAsia="宋体"/>
                      <w:color w:val="auto"/>
                      <w:szCs w:val="21"/>
                      <w:lang w:eastAsia="zh-CN"/>
                    </w:rPr>
                  </w:pPr>
                  <w:r>
                    <w:rPr>
                      <w:rFonts w:hint="eastAsia"/>
                      <w:color w:val="auto"/>
                      <w:szCs w:val="21"/>
                      <w:lang w:val="en-US" w:eastAsia="zh-CN"/>
                    </w:rPr>
                    <w:t>3</w:t>
                  </w:r>
                </w:p>
              </w:tc>
              <w:tc>
                <w:tcPr>
                  <w:tcW w:w="813" w:type="pct"/>
                  <w:vAlign w:val="center"/>
                </w:tcPr>
                <w:p w14:paraId="40B257E9">
                  <w:pPr>
                    <w:jc w:val="center"/>
                    <w:rPr>
                      <w:rFonts w:hint="default" w:eastAsia="宋体"/>
                      <w:color w:val="auto"/>
                      <w:szCs w:val="21"/>
                      <w:lang w:val="en-US" w:eastAsia="zh-CN"/>
                    </w:rPr>
                  </w:pPr>
                  <w:r>
                    <w:rPr>
                      <w:rFonts w:hint="eastAsia"/>
                      <w:color w:val="auto"/>
                      <w:szCs w:val="21"/>
                      <w:lang w:val="en-US" w:eastAsia="zh-CN"/>
                    </w:rPr>
                    <w:t>砂子</w:t>
                  </w:r>
                </w:p>
              </w:tc>
              <w:tc>
                <w:tcPr>
                  <w:tcW w:w="719" w:type="pct"/>
                  <w:vAlign w:val="center"/>
                </w:tcPr>
                <w:p w14:paraId="14E35D2A">
                  <w:pPr>
                    <w:pStyle w:val="124"/>
                    <w:spacing w:line="240" w:lineRule="auto"/>
                    <w:rPr>
                      <w:rFonts w:hint="default"/>
                      <w:color w:val="auto"/>
                      <w:szCs w:val="21"/>
                      <w:highlight w:val="none"/>
                      <w:lang w:val="en-US"/>
                    </w:rPr>
                  </w:pPr>
                  <w:r>
                    <w:rPr>
                      <w:rFonts w:hint="eastAsia"/>
                      <w:color w:val="auto"/>
                      <w:szCs w:val="21"/>
                      <w:highlight w:val="none"/>
                      <w:lang w:val="en-US" w:eastAsia="zh-CN"/>
                    </w:rPr>
                    <w:t>18200t</w:t>
                  </w:r>
                </w:p>
              </w:tc>
              <w:tc>
                <w:tcPr>
                  <w:tcW w:w="738" w:type="pct"/>
                  <w:vAlign w:val="center"/>
                </w:tcPr>
                <w:p w14:paraId="7179CDBA">
                  <w:pPr>
                    <w:pStyle w:val="124"/>
                    <w:spacing w:line="240" w:lineRule="auto"/>
                    <w:rPr>
                      <w:rFonts w:hint="default" w:eastAsia="宋体"/>
                      <w:color w:val="auto"/>
                      <w:szCs w:val="21"/>
                      <w:highlight w:val="none"/>
                      <w:lang w:val="en-US" w:eastAsia="zh-CN"/>
                    </w:rPr>
                  </w:pPr>
                  <w:r>
                    <w:rPr>
                      <w:rFonts w:hint="eastAsia"/>
                      <w:color w:val="auto"/>
                      <w:szCs w:val="21"/>
                      <w:highlight w:val="none"/>
                      <w:lang w:val="en-US" w:eastAsia="zh-CN"/>
                    </w:rPr>
                    <w:t>606t</w:t>
                  </w:r>
                </w:p>
              </w:tc>
              <w:tc>
                <w:tcPr>
                  <w:tcW w:w="854" w:type="pct"/>
                  <w:vAlign w:val="center"/>
                </w:tcPr>
                <w:p w14:paraId="68D63E9F">
                  <w:pPr>
                    <w:pStyle w:val="124"/>
                    <w:spacing w:line="240" w:lineRule="auto"/>
                    <w:rPr>
                      <w:rFonts w:hint="eastAsia" w:hAnsi="宋体" w:eastAsia="宋体"/>
                      <w:color w:val="auto"/>
                      <w:szCs w:val="21"/>
                      <w:lang w:eastAsia="zh-CN"/>
                    </w:rPr>
                  </w:pPr>
                  <w:r>
                    <w:rPr>
                      <w:rFonts w:hint="eastAsia" w:hAnsi="宋体"/>
                      <w:color w:val="auto"/>
                      <w:szCs w:val="21"/>
                      <w:lang w:val="en-US" w:eastAsia="zh-CN"/>
                    </w:rPr>
                    <w:t>颗粒</w:t>
                  </w:r>
                </w:p>
              </w:tc>
              <w:tc>
                <w:tcPr>
                  <w:tcW w:w="1009" w:type="pct"/>
                  <w:vAlign w:val="center"/>
                </w:tcPr>
                <w:p w14:paraId="7E2D42E2">
                  <w:pPr>
                    <w:spacing w:line="240" w:lineRule="auto"/>
                    <w:jc w:val="center"/>
                    <w:rPr>
                      <w:rFonts w:hint="eastAsia" w:hAnsi="宋体" w:eastAsia="宋体"/>
                      <w:color w:val="auto"/>
                      <w:szCs w:val="21"/>
                      <w:lang w:eastAsia="zh-CN"/>
                    </w:rPr>
                  </w:pPr>
                  <w:r>
                    <w:rPr>
                      <w:rFonts w:hint="eastAsia" w:hAnsi="宋体"/>
                      <w:color w:val="auto"/>
                      <w:szCs w:val="21"/>
                      <w:lang w:val="en-US" w:eastAsia="zh-CN"/>
                    </w:rPr>
                    <w:t>/</w:t>
                  </w:r>
                </w:p>
              </w:tc>
              <w:tc>
                <w:tcPr>
                  <w:tcW w:w="601" w:type="pct"/>
                  <w:vAlign w:val="center"/>
                </w:tcPr>
                <w:p w14:paraId="296BD23D">
                  <w:pPr>
                    <w:pStyle w:val="124"/>
                    <w:spacing w:line="240" w:lineRule="auto"/>
                    <w:rPr>
                      <w:rFonts w:hint="eastAsia" w:eastAsia="宋体"/>
                      <w:color w:val="auto"/>
                      <w:szCs w:val="21"/>
                      <w:lang w:val="en-US" w:eastAsia="zh-CN"/>
                    </w:rPr>
                  </w:pPr>
                  <w:r>
                    <w:rPr>
                      <w:rFonts w:hint="eastAsia" w:hAnsi="宋体"/>
                      <w:color w:val="auto"/>
                      <w:szCs w:val="21"/>
                    </w:rPr>
                    <w:t>原料</w:t>
                  </w:r>
                  <w:r>
                    <w:rPr>
                      <w:rFonts w:hint="eastAsia" w:hAnsi="宋体"/>
                      <w:color w:val="auto"/>
                      <w:szCs w:val="21"/>
                      <w:lang w:val="en-US" w:eastAsia="zh-CN"/>
                    </w:rPr>
                    <w:t>堆放区</w:t>
                  </w:r>
                </w:p>
              </w:tc>
            </w:tr>
            <w:tr w14:paraId="209B10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7E2336B6">
                  <w:pPr>
                    <w:pStyle w:val="124"/>
                    <w:spacing w:line="240" w:lineRule="auto"/>
                    <w:rPr>
                      <w:rFonts w:hint="eastAsia" w:eastAsia="宋体"/>
                      <w:color w:val="auto"/>
                      <w:szCs w:val="21"/>
                      <w:lang w:eastAsia="zh-CN"/>
                    </w:rPr>
                  </w:pPr>
                  <w:r>
                    <w:rPr>
                      <w:rFonts w:hint="eastAsia"/>
                      <w:color w:val="auto"/>
                      <w:szCs w:val="21"/>
                      <w:lang w:val="en-US" w:eastAsia="zh-CN"/>
                    </w:rPr>
                    <w:t>4</w:t>
                  </w:r>
                </w:p>
              </w:tc>
              <w:tc>
                <w:tcPr>
                  <w:tcW w:w="813" w:type="pct"/>
                  <w:vAlign w:val="center"/>
                </w:tcPr>
                <w:p w14:paraId="43DBC3F8">
                  <w:pPr>
                    <w:jc w:val="center"/>
                    <w:rPr>
                      <w:rFonts w:hint="eastAsia" w:eastAsia="宋体"/>
                      <w:color w:val="auto"/>
                      <w:szCs w:val="21"/>
                      <w:lang w:val="en-US" w:eastAsia="zh-CN"/>
                    </w:rPr>
                  </w:pPr>
                  <w:r>
                    <w:rPr>
                      <w:rFonts w:hint="eastAsia"/>
                      <w:color w:val="auto"/>
                      <w:szCs w:val="21"/>
                      <w:lang w:val="en-US" w:eastAsia="zh-CN"/>
                    </w:rPr>
                    <w:t>碎石</w:t>
                  </w:r>
                </w:p>
              </w:tc>
              <w:tc>
                <w:tcPr>
                  <w:tcW w:w="719" w:type="pct"/>
                  <w:vAlign w:val="center"/>
                </w:tcPr>
                <w:p w14:paraId="60F9E067">
                  <w:pPr>
                    <w:jc w:val="center"/>
                    <w:rPr>
                      <w:rFonts w:hint="default"/>
                      <w:color w:val="auto"/>
                      <w:szCs w:val="21"/>
                      <w:lang w:val="en-US"/>
                    </w:rPr>
                  </w:pPr>
                  <w:r>
                    <w:rPr>
                      <w:rFonts w:hint="eastAsia"/>
                      <w:color w:val="auto"/>
                      <w:szCs w:val="21"/>
                      <w:lang w:val="en-US" w:eastAsia="zh-CN"/>
                    </w:rPr>
                    <w:t>37400</w:t>
                  </w:r>
                </w:p>
              </w:tc>
              <w:tc>
                <w:tcPr>
                  <w:tcW w:w="738" w:type="pct"/>
                  <w:vAlign w:val="center"/>
                </w:tcPr>
                <w:p w14:paraId="6D22AB0E">
                  <w:pPr>
                    <w:pStyle w:val="124"/>
                    <w:spacing w:line="240" w:lineRule="auto"/>
                    <w:rPr>
                      <w:rFonts w:hint="default" w:hAnsi="宋体"/>
                      <w:b/>
                      <w:bCs/>
                      <w:color w:val="auto"/>
                      <w:szCs w:val="21"/>
                      <w:lang w:val="en-US"/>
                    </w:rPr>
                  </w:pPr>
                  <w:r>
                    <w:rPr>
                      <w:rFonts w:hint="eastAsia"/>
                      <w:color w:val="auto"/>
                      <w:szCs w:val="21"/>
                      <w:highlight w:val="none"/>
                      <w:lang w:val="en-US" w:eastAsia="zh-CN"/>
                    </w:rPr>
                    <w:t>1246t</w:t>
                  </w:r>
                </w:p>
              </w:tc>
              <w:tc>
                <w:tcPr>
                  <w:tcW w:w="854" w:type="pct"/>
                  <w:vAlign w:val="center"/>
                </w:tcPr>
                <w:p w14:paraId="6609178B">
                  <w:pPr>
                    <w:pStyle w:val="124"/>
                    <w:spacing w:line="240" w:lineRule="auto"/>
                    <w:rPr>
                      <w:rFonts w:hint="eastAsia" w:hAnsi="宋体"/>
                      <w:color w:val="auto"/>
                      <w:szCs w:val="21"/>
                    </w:rPr>
                  </w:pPr>
                  <w:r>
                    <w:rPr>
                      <w:rFonts w:hint="eastAsia" w:hAnsi="宋体"/>
                      <w:color w:val="auto"/>
                      <w:szCs w:val="21"/>
                      <w:lang w:val="en-US" w:eastAsia="zh-CN"/>
                    </w:rPr>
                    <w:t>颗粒</w:t>
                  </w:r>
                  <w:r>
                    <w:rPr>
                      <w:rFonts w:hint="eastAsia"/>
                      <w:color w:val="auto"/>
                      <w:szCs w:val="21"/>
                      <w:lang w:val="en-US" w:eastAsia="zh-CN"/>
                    </w:rPr>
                    <w:t>（5~25mm）</w:t>
                  </w:r>
                </w:p>
              </w:tc>
              <w:tc>
                <w:tcPr>
                  <w:tcW w:w="1009" w:type="pct"/>
                  <w:vAlign w:val="center"/>
                </w:tcPr>
                <w:p w14:paraId="05D91939">
                  <w:pPr>
                    <w:spacing w:line="240" w:lineRule="auto"/>
                    <w:jc w:val="center"/>
                    <w:rPr>
                      <w:rFonts w:hint="eastAsia" w:hAnsi="宋体"/>
                      <w:color w:val="auto"/>
                      <w:szCs w:val="21"/>
                    </w:rPr>
                  </w:pPr>
                  <w:r>
                    <w:rPr>
                      <w:rFonts w:hint="eastAsia" w:hAnsi="宋体"/>
                      <w:color w:val="auto"/>
                      <w:szCs w:val="21"/>
                      <w:lang w:val="en-US" w:eastAsia="zh-CN"/>
                    </w:rPr>
                    <w:t>/</w:t>
                  </w:r>
                </w:p>
              </w:tc>
              <w:tc>
                <w:tcPr>
                  <w:tcW w:w="601" w:type="pct"/>
                  <w:vAlign w:val="center"/>
                </w:tcPr>
                <w:p w14:paraId="74A95E7E">
                  <w:pPr>
                    <w:pStyle w:val="124"/>
                    <w:spacing w:line="240" w:lineRule="auto"/>
                    <w:rPr>
                      <w:rFonts w:hint="eastAsia" w:hAnsi="宋体"/>
                      <w:color w:val="auto"/>
                      <w:szCs w:val="21"/>
                    </w:rPr>
                  </w:pPr>
                  <w:r>
                    <w:rPr>
                      <w:rFonts w:hint="eastAsia" w:hAnsi="宋体"/>
                      <w:color w:val="auto"/>
                      <w:szCs w:val="21"/>
                    </w:rPr>
                    <w:t>原料</w:t>
                  </w:r>
                  <w:r>
                    <w:rPr>
                      <w:rFonts w:hint="eastAsia" w:hAnsi="宋体"/>
                      <w:color w:val="auto"/>
                      <w:szCs w:val="21"/>
                      <w:lang w:val="en-US" w:eastAsia="zh-CN"/>
                    </w:rPr>
                    <w:t>堆放区</w:t>
                  </w:r>
                </w:p>
              </w:tc>
            </w:tr>
            <w:tr w14:paraId="20B157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042ACE3A">
                  <w:pPr>
                    <w:pStyle w:val="124"/>
                    <w:spacing w:line="240" w:lineRule="auto"/>
                    <w:rPr>
                      <w:rFonts w:hint="eastAsia" w:eastAsia="宋体"/>
                      <w:color w:val="auto"/>
                      <w:szCs w:val="21"/>
                      <w:lang w:val="en-US" w:eastAsia="zh-CN"/>
                    </w:rPr>
                  </w:pPr>
                  <w:r>
                    <w:rPr>
                      <w:rFonts w:hint="eastAsia"/>
                      <w:color w:val="auto"/>
                      <w:szCs w:val="21"/>
                      <w:lang w:val="en-US" w:eastAsia="zh-CN"/>
                    </w:rPr>
                    <w:t>5</w:t>
                  </w:r>
                </w:p>
              </w:tc>
              <w:tc>
                <w:tcPr>
                  <w:tcW w:w="813" w:type="pct"/>
                  <w:vAlign w:val="center"/>
                </w:tcPr>
                <w:p w14:paraId="2398F098">
                  <w:pPr>
                    <w:jc w:val="center"/>
                    <w:rPr>
                      <w:rFonts w:hint="default"/>
                      <w:color w:val="auto"/>
                      <w:szCs w:val="21"/>
                      <w:lang w:val="en-US" w:eastAsia="zh-CN"/>
                    </w:rPr>
                  </w:pPr>
                  <w:r>
                    <w:rPr>
                      <w:rFonts w:hint="eastAsia"/>
                      <w:color w:val="auto"/>
                      <w:szCs w:val="21"/>
                      <w:lang w:val="en-US" w:eastAsia="zh-CN"/>
                    </w:rPr>
                    <w:t>冷拔丝（1570mp）</w:t>
                  </w:r>
                </w:p>
              </w:tc>
              <w:tc>
                <w:tcPr>
                  <w:tcW w:w="719" w:type="pct"/>
                  <w:vAlign w:val="center"/>
                </w:tcPr>
                <w:p w14:paraId="7FFEF376">
                  <w:pPr>
                    <w:jc w:val="center"/>
                    <w:rPr>
                      <w:rFonts w:hint="default"/>
                      <w:color w:val="auto"/>
                      <w:szCs w:val="21"/>
                      <w:lang w:val="en-US" w:eastAsia="zh-CN"/>
                    </w:rPr>
                  </w:pPr>
                  <w:r>
                    <w:rPr>
                      <w:rFonts w:hint="eastAsia"/>
                      <w:color w:val="auto"/>
                      <w:szCs w:val="21"/>
                      <w:lang w:val="en-US" w:eastAsia="zh-CN"/>
                    </w:rPr>
                    <w:t>472.76t</w:t>
                  </w:r>
                </w:p>
              </w:tc>
              <w:tc>
                <w:tcPr>
                  <w:tcW w:w="738" w:type="pct"/>
                  <w:vAlign w:val="center"/>
                </w:tcPr>
                <w:p w14:paraId="0E7AAB24">
                  <w:pPr>
                    <w:pStyle w:val="124"/>
                    <w:spacing w:line="240" w:lineRule="auto"/>
                    <w:rPr>
                      <w:rFonts w:hint="default" w:eastAsia="宋体"/>
                      <w:color w:val="auto"/>
                      <w:szCs w:val="21"/>
                      <w:lang w:val="en-US" w:eastAsia="zh-CN"/>
                    </w:rPr>
                  </w:pPr>
                  <w:r>
                    <w:rPr>
                      <w:rFonts w:hint="eastAsia"/>
                      <w:color w:val="auto"/>
                      <w:szCs w:val="21"/>
                      <w:lang w:val="en-US" w:eastAsia="zh-CN"/>
                    </w:rPr>
                    <w:t>59.22t</w:t>
                  </w:r>
                </w:p>
              </w:tc>
              <w:tc>
                <w:tcPr>
                  <w:tcW w:w="854" w:type="pct"/>
                  <w:vAlign w:val="center"/>
                </w:tcPr>
                <w:p w14:paraId="73BE8885">
                  <w:pPr>
                    <w:pStyle w:val="124"/>
                    <w:spacing w:line="240" w:lineRule="auto"/>
                    <w:rPr>
                      <w:rFonts w:hint="default" w:hAnsi="宋体"/>
                      <w:color w:val="auto"/>
                      <w:szCs w:val="21"/>
                      <w:lang w:val="en-US" w:eastAsia="zh-CN"/>
                    </w:rPr>
                  </w:pPr>
                  <w:r>
                    <w:rPr>
                      <w:rFonts w:hint="default" w:hAnsi="宋体"/>
                      <w:color w:val="auto"/>
                      <w:szCs w:val="21"/>
                      <w:lang w:val="en-US" w:eastAsia="zh-CN"/>
                    </w:rPr>
                    <w:t>6.0mm 或 3.0mm</w:t>
                  </w:r>
                </w:p>
              </w:tc>
              <w:tc>
                <w:tcPr>
                  <w:tcW w:w="1009" w:type="pct"/>
                  <w:vAlign w:val="center"/>
                </w:tcPr>
                <w:p w14:paraId="53DD2E9D">
                  <w:pPr>
                    <w:spacing w:line="240" w:lineRule="auto"/>
                    <w:jc w:val="center"/>
                    <w:rPr>
                      <w:rFonts w:hint="eastAsia" w:hAnsi="宋体"/>
                      <w:color w:val="auto"/>
                      <w:szCs w:val="21"/>
                      <w:lang w:val="en-US" w:eastAsia="zh-CN"/>
                    </w:rPr>
                  </w:pPr>
                  <w:r>
                    <w:rPr>
                      <w:rFonts w:hint="eastAsia" w:hAnsi="宋体"/>
                      <w:color w:val="auto"/>
                      <w:szCs w:val="21"/>
                      <w:lang w:val="en-US" w:eastAsia="zh-CN"/>
                    </w:rPr>
                    <w:t>/</w:t>
                  </w:r>
                </w:p>
              </w:tc>
              <w:tc>
                <w:tcPr>
                  <w:tcW w:w="601" w:type="pct"/>
                  <w:vMerge w:val="restart"/>
                  <w:vAlign w:val="center"/>
                </w:tcPr>
                <w:p w14:paraId="75C6BEBA">
                  <w:pPr>
                    <w:pStyle w:val="124"/>
                    <w:spacing w:line="240" w:lineRule="auto"/>
                    <w:rPr>
                      <w:rFonts w:hint="default" w:hAnsi="宋体" w:eastAsia="宋体"/>
                      <w:color w:val="002DC7"/>
                      <w:szCs w:val="21"/>
                      <w:lang w:val="en-US" w:eastAsia="zh-CN"/>
                    </w:rPr>
                  </w:pPr>
                  <w:r>
                    <w:rPr>
                      <w:rFonts w:hint="eastAsia" w:hAnsi="宋体"/>
                      <w:color w:val="auto"/>
                      <w:szCs w:val="21"/>
                      <w:lang w:val="en-US" w:eastAsia="zh-CN"/>
                    </w:rPr>
                    <w:t>钢筋加工区</w:t>
                  </w:r>
                </w:p>
              </w:tc>
            </w:tr>
            <w:tr w14:paraId="147E63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4DFC4AEC">
                  <w:pPr>
                    <w:pStyle w:val="124"/>
                    <w:spacing w:line="240" w:lineRule="auto"/>
                    <w:rPr>
                      <w:rFonts w:hint="default"/>
                      <w:color w:val="auto"/>
                      <w:szCs w:val="21"/>
                      <w:lang w:val="en-US" w:eastAsia="zh-CN"/>
                    </w:rPr>
                  </w:pPr>
                  <w:r>
                    <w:rPr>
                      <w:rFonts w:hint="eastAsia"/>
                      <w:color w:val="auto"/>
                      <w:szCs w:val="21"/>
                      <w:lang w:val="en-US" w:eastAsia="zh-CN"/>
                    </w:rPr>
                    <w:t>6</w:t>
                  </w:r>
                </w:p>
              </w:tc>
              <w:tc>
                <w:tcPr>
                  <w:tcW w:w="813" w:type="pct"/>
                  <w:vAlign w:val="center"/>
                </w:tcPr>
                <w:p w14:paraId="69DD7BF0">
                  <w:pPr>
                    <w:jc w:val="center"/>
                    <w:rPr>
                      <w:rFonts w:hint="default"/>
                      <w:color w:val="auto"/>
                      <w:szCs w:val="21"/>
                      <w:lang w:val="en-US" w:eastAsia="zh-CN"/>
                    </w:rPr>
                  </w:pPr>
                  <w:r>
                    <w:rPr>
                      <w:rFonts w:hint="eastAsia"/>
                      <w:color w:val="auto"/>
                      <w:szCs w:val="21"/>
                      <w:lang w:val="en-US" w:eastAsia="zh-CN"/>
                    </w:rPr>
                    <w:t>预应力钢筋</w:t>
                  </w:r>
                </w:p>
              </w:tc>
              <w:tc>
                <w:tcPr>
                  <w:tcW w:w="719" w:type="pct"/>
                  <w:vAlign w:val="center"/>
                </w:tcPr>
                <w:p w14:paraId="48154F5D">
                  <w:pPr>
                    <w:jc w:val="center"/>
                    <w:rPr>
                      <w:rFonts w:hint="eastAsia"/>
                      <w:color w:val="auto"/>
                      <w:szCs w:val="21"/>
                      <w:lang w:val="en-US" w:eastAsia="zh-CN"/>
                    </w:rPr>
                  </w:pPr>
                  <w:r>
                    <w:rPr>
                      <w:rFonts w:hint="eastAsia"/>
                      <w:color w:val="auto"/>
                      <w:szCs w:val="21"/>
                      <w:lang w:val="en-US" w:eastAsia="zh-CN"/>
                    </w:rPr>
                    <w:t>1866.41t</w:t>
                  </w:r>
                </w:p>
              </w:tc>
              <w:tc>
                <w:tcPr>
                  <w:tcW w:w="738" w:type="pct"/>
                  <w:vAlign w:val="center"/>
                </w:tcPr>
                <w:p w14:paraId="48B04899">
                  <w:pPr>
                    <w:pStyle w:val="124"/>
                    <w:spacing w:line="240" w:lineRule="auto"/>
                    <w:rPr>
                      <w:rFonts w:hint="default" w:eastAsia="宋体"/>
                      <w:color w:val="auto"/>
                      <w:szCs w:val="21"/>
                      <w:lang w:val="en-US" w:eastAsia="zh-CN"/>
                    </w:rPr>
                  </w:pPr>
                  <w:r>
                    <w:rPr>
                      <w:rFonts w:hint="eastAsia"/>
                      <w:color w:val="auto"/>
                      <w:szCs w:val="21"/>
                      <w:lang w:val="en-US" w:eastAsia="zh-CN"/>
                    </w:rPr>
                    <w:t>174.69t</w:t>
                  </w:r>
                </w:p>
              </w:tc>
              <w:tc>
                <w:tcPr>
                  <w:tcW w:w="854" w:type="pct"/>
                  <w:vAlign w:val="center"/>
                </w:tcPr>
                <w:p w14:paraId="0CE9D2EB">
                  <w:pPr>
                    <w:pStyle w:val="124"/>
                    <w:spacing w:line="240" w:lineRule="auto"/>
                    <w:rPr>
                      <w:rFonts w:hint="default" w:hAnsi="宋体"/>
                      <w:color w:val="auto"/>
                      <w:szCs w:val="21"/>
                      <w:lang w:val="en-US" w:eastAsia="zh-CN"/>
                    </w:rPr>
                  </w:pPr>
                  <w:r>
                    <w:rPr>
                      <w:rFonts w:hint="eastAsia" w:hAnsi="宋体"/>
                      <w:color w:val="auto"/>
                      <w:szCs w:val="21"/>
                      <w:lang w:val="en-US" w:eastAsia="zh-CN"/>
                    </w:rPr>
                    <w:t>7mm</w:t>
                  </w:r>
                </w:p>
              </w:tc>
              <w:tc>
                <w:tcPr>
                  <w:tcW w:w="1009" w:type="pct"/>
                  <w:vAlign w:val="center"/>
                </w:tcPr>
                <w:p w14:paraId="73C42B67">
                  <w:pPr>
                    <w:spacing w:line="240" w:lineRule="auto"/>
                    <w:jc w:val="center"/>
                    <w:rPr>
                      <w:rFonts w:hint="eastAsia" w:hAnsi="宋体"/>
                      <w:color w:val="auto"/>
                      <w:szCs w:val="21"/>
                      <w:lang w:val="en-US" w:eastAsia="zh-CN"/>
                    </w:rPr>
                  </w:pPr>
                  <w:r>
                    <w:rPr>
                      <w:rFonts w:hint="eastAsia" w:hAnsi="宋体"/>
                      <w:color w:val="auto"/>
                      <w:szCs w:val="21"/>
                      <w:lang w:val="en-US" w:eastAsia="zh-CN"/>
                    </w:rPr>
                    <w:t>/</w:t>
                  </w:r>
                </w:p>
              </w:tc>
              <w:tc>
                <w:tcPr>
                  <w:tcW w:w="601" w:type="pct"/>
                  <w:vMerge w:val="continue"/>
                  <w:vAlign w:val="center"/>
                </w:tcPr>
                <w:p w14:paraId="063C71EC">
                  <w:pPr>
                    <w:pStyle w:val="124"/>
                    <w:spacing w:line="240" w:lineRule="auto"/>
                    <w:rPr>
                      <w:rFonts w:hint="eastAsia" w:hAnsi="宋体"/>
                      <w:color w:val="002DC7"/>
                      <w:szCs w:val="21"/>
                    </w:rPr>
                  </w:pPr>
                </w:p>
              </w:tc>
            </w:tr>
            <w:tr w14:paraId="10F62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64A1B0EE">
                  <w:pPr>
                    <w:pStyle w:val="124"/>
                    <w:spacing w:line="240" w:lineRule="auto"/>
                    <w:rPr>
                      <w:rFonts w:hint="default"/>
                      <w:color w:val="auto"/>
                      <w:szCs w:val="21"/>
                      <w:lang w:val="en-US" w:eastAsia="zh-CN"/>
                    </w:rPr>
                  </w:pPr>
                  <w:r>
                    <w:rPr>
                      <w:rFonts w:hint="eastAsia"/>
                      <w:color w:val="auto"/>
                      <w:szCs w:val="21"/>
                      <w:lang w:val="en-US" w:eastAsia="zh-CN"/>
                    </w:rPr>
                    <w:t>7</w:t>
                  </w:r>
                </w:p>
              </w:tc>
              <w:tc>
                <w:tcPr>
                  <w:tcW w:w="813" w:type="pct"/>
                  <w:vAlign w:val="center"/>
                </w:tcPr>
                <w:p w14:paraId="7142C5FF">
                  <w:pPr>
                    <w:jc w:val="center"/>
                    <w:rPr>
                      <w:rFonts w:hint="default"/>
                      <w:color w:val="auto"/>
                      <w:szCs w:val="21"/>
                      <w:lang w:val="en-US" w:eastAsia="zh-CN"/>
                    </w:rPr>
                  </w:pPr>
                  <w:r>
                    <w:rPr>
                      <w:rFonts w:hint="eastAsia"/>
                      <w:color w:val="auto"/>
                      <w:szCs w:val="21"/>
                      <w:lang w:val="en-US" w:eastAsia="zh-CN"/>
                    </w:rPr>
                    <w:t>脱模剂</w:t>
                  </w:r>
                </w:p>
              </w:tc>
              <w:tc>
                <w:tcPr>
                  <w:tcW w:w="719" w:type="pct"/>
                  <w:vAlign w:val="center"/>
                </w:tcPr>
                <w:p w14:paraId="27E96AF2">
                  <w:pPr>
                    <w:jc w:val="center"/>
                    <w:rPr>
                      <w:rFonts w:hint="default"/>
                      <w:color w:val="auto"/>
                      <w:szCs w:val="21"/>
                      <w:lang w:val="en-US" w:eastAsia="zh-CN"/>
                    </w:rPr>
                  </w:pPr>
                  <w:r>
                    <w:rPr>
                      <w:rFonts w:hint="eastAsia"/>
                      <w:color w:val="auto"/>
                      <w:szCs w:val="21"/>
                      <w:lang w:val="en-US" w:eastAsia="zh-CN"/>
                    </w:rPr>
                    <w:t>10t</w:t>
                  </w:r>
                </w:p>
              </w:tc>
              <w:tc>
                <w:tcPr>
                  <w:tcW w:w="738" w:type="pct"/>
                  <w:vAlign w:val="center"/>
                </w:tcPr>
                <w:p w14:paraId="6B856FAF">
                  <w:pPr>
                    <w:pStyle w:val="124"/>
                    <w:spacing w:line="240" w:lineRule="auto"/>
                    <w:rPr>
                      <w:rFonts w:hint="default" w:eastAsia="宋体"/>
                      <w:color w:val="auto"/>
                      <w:szCs w:val="21"/>
                      <w:lang w:val="en-US" w:eastAsia="zh-CN"/>
                    </w:rPr>
                  </w:pPr>
                  <w:r>
                    <w:rPr>
                      <w:rFonts w:hint="eastAsia"/>
                      <w:color w:val="auto"/>
                      <w:szCs w:val="21"/>
                      <w:lang w:val="en-US" w:eastAsia="zh-CN"/>
                    </w:rPr>
                    <w:t>2.5t</w:t>
                  </w:r>
                </w:p>
              </w:tc>
              <w:tc>
                <w:tcPr>
                  <w:tcW w:w="854" w:type="pct"/>
                  <w:vAlign w:val="center"/>
                </w:tcPr>
                <w:p w14:paraId="7E65A95F">
                  <w:pPr>
                    <w:pStyle w:val="124"/>
                    <w:spacing w:line="240" w:lineRule="auto"/>
                    <w:rPr>
                      <w:rFonts w:hint="default" w:hAnsi="宋体"/>
                      <w:color w:val="auto"/>
                      <w:szCs w:val="21"/>
                      <w:lang w:val="en-US" w:eastAsia="zh-CN"/>
                    </w:rPr>
                  </w:pPr>
                  <w:r>
                    <w:rPr>
                      <w:rFonts w:hint="eastAsia" w:hAnsi="宋体"/>
                      <w:color w:val="auto"/>
                      <w:szCs w:val="21"/>
                      <w:lang w:val="en-US" w:eastAsia="zh-CN"/>
                    </w:rPr>
                    <w:t>50kg/桶，液态</w:t>
                  </w:r>
                </w:p>
              </w:tc>
              <w:tc>
                <w:tcPr>
                  <w:tcW w:w="1009" w:type="pct"/>
                  <w:vAlign w:val="center"/>
                </w:tcPr>
                <w:p w14:paraId="5D29466D">
                  <w:pPr>
                    <w:spacing w:line="240" w:lineRule="auto"/>
                    <w:jc w:val="center"/>
                    <w:rPr>
                      <w:rFonts w:hint="default" w:hAnsi="宋体"/>
                      <w:color w:val="auto"/>
                      <w:szCs w:val="21"/>
                      <w:lang w:val="en-US" w:eastAsia="zh-CN"/>
                    </w:rPr>
                  </w:pPr>
                  <w:r>
                    <w:rPr>
                      <w:rFonts w:hint="eastAsia" w:hAnsi="宋体"/>
                      <w:color w:val="auto"/>
                      <w:szCs w:val="21"/>
                      <w:lang w:val="en-US" w:eastAsia="zh-CN"/>
                    </w:rPr>
                    <w:t>30%~50%植物油，10%~15%硅油，失水山梨醇脂肪酸酯3%~8%，蓖麻油聚氧乙烯醚5%~10%，水20%~30%</w:t>
                  </w:r>
                </w:p>
              </w:tc>
              <w:tc>
                <w:tcPr>
                  <w:tcW w:w="601" w:type="pct"/>
                  <w:vAlign w:val="center"/>
                </w:tcPr>
                <w:p w14:paraId="2B31A9BE">
                  <w:pPr>
                    <w:pStyle w:val="124"/>
                    <w:spacing w:line="240" w:lineRule="auto"/>
                    <w:rPr>
                      <w:rFonts w:hint="eastAsia" w:hAnsi="宋体"/>
                      <w:color w:val="auto"/>
                      <w:szCs w:val="21"/>
                    </w:rPr>
                  </w:pPr>
                  <w:r>
                    <w:rPr>
                      <w:rFonts w:hint="eastAsia" w:hAnsi="宋体"/>
                      <w:color w:val="auto"/>
                      <w:szCs w:val="21"/>
                      <w:lang w:val="en-US" w:eastAsia="zh-CN"/>
                    </w:rPr>
                    <w:t>减水剂和脱模剂存放区</w:t>
                  </w:r>
                </w:p>
              </w:tc>
            </w:tr>
            <w:tr w14:paraId="1A9CFA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4C752DF9">
                  <w:pPr>
                    <w:pStyle w:val="124"/>
                    <w:spacing w:line="240" w:lineRule="auto"/>
                    <w:rPr>
                      <w:rFonts w:hint="default"/>
                      <w:color w:val="auto"/>
                      <w:szCs w:val="21"/>
                      <w:lang w:val="en-US" w:eastAsia="zh-CN"/>
                    </w:rPr>
                  </w:pPr>
                  <w:r>
                    <w:rPr>
                      <w:rFonts w:hint="eastAsia"/>
                      <w:color w:val="auto"/>
                      <w:szCs w:val="21"/>
                      <w:lang w:val="en-US" w:eastAsia="zh-CN"/>
                    </w:rPr>
                    <w:t>8</w:t>
                  </w:r>
                </w:p>
              </w:tc>
              <w:tc>
                <w:tcPr>
                  <w:tcW w:w="813" w:type="pct"/>
                  <w:vAlign w:val="center"/>
                </w:tcPr>
                <w:p w14:paraId="22F363DC">
                  <w:pPr>
                    <w:jc w:val="center"/>
                    <w:rPr>
                      <w:rFonts w:hint="default"/>
                      <w:color w:val="auto"/>
                      <w:szCs w:val="21"/>
                      <w:lang w:val="en-US" w:eastAsia="zh-CN"/>
                    </w:rPr>
                  </w:pPr>
                  <w:r>
                    <w:rPr>
                      <w:rFonts w:hint="eastAsia"/>
                      <w:color w:val="auto"/>
                      <w:szCs w:val="21"/>
                      <w:lang w:val="en-US" w:eastAsia="zh-CN"/>
                    </w:rPr>
                    <w:t>减水剂</w:t>
                  </w:r>
                </w:p>
              </w:tc>
              <w:tc>
                <w:tcPr>
                  <w:tcW w:w="719" w:type="pct"/>
                  <w:vAlign w:val="center"/>
                </w:tcPr>
                <w:p w14:paraId="2619F675">
                  <w:pPr>
                    <w:jc w:val="center"/>
                    <w:rPr>
                      <w:rFonts w:hint="eastAsia"/>
                      <w:color w:val="auto"/>
                      <w:szCs w:val="21"/>
                      <w:lang w:val="en-US" w:eastAsia="zh-CN"/>
                    </w:rPr>
                  </w:pPr>
                  <w:r>
                    <w:rPr>
                      <w:rFonts w:hint="eastAsia"/>
                      <w:color w:val="auto"/>
                      <w:szCs w:val="21"/>
                      <w:lang w:val="en-US" w:eastAsia="zh-CN"/>
                    </w:rPr>
                    <w:t>138.94t</w:t>
                  </w:r>
                </w:p>
              </w:tc>
              <w:tc>
                <w:tcPr>
                  <w:tcW w:w="738" w:type="pct"/>
                  <w:vAlign w:val="center"/>
                </w:tcPr>
                <w:p w14:paraId="12BD77AB">
                  <w:pPr>
                    <w:pStyle w:val="124"/>
                    <w:spacing w:line="240" w:lineRule="auto"/>
                    <w:rPr>
                      <w:rFonts w:hint="default"/>
                      <w:color w:val="auto"/>
                      <w:szCs w:val="21"/>
                      <w:lang w:val="en-US" w:eastAsia="zh-CN"/>
                    </w:rPr>
                  </w:pPr>
                  <w:r>
                    <w:rPr>
                      <w:rFonts w:hint="eastAsia"/>
                      <w:color w:val="auto"/>
                      <w:szCs w:val="21"/>
                      <w:lang w:val="en-US" w:eastAsia="zh-CN"/>
                    </w:rPr>
                    <w:t>0.5</w:t>
                  </w:r>
                </w:p>
                <w:p w14:paraId="1AA82125">
                  <w:pPr>
                    <w:pStyle w:val="124"/>
                    <w:spacing w:line="240" w:lineRule="auto"/>
                    <w:rPr>
                      <w:rFonts w:hint="default" w:eastAsia="宋体"/>
                      <w:color w:val="auto"/>
                      <w:szCs w:val="21"/>
                      <w:lang w:val="en-US" w:eastAsia="zh-CN"/>
                    </w:rPr>
                  </w:pPr>
                  <w:r>
                    <w:rPr>
                      <w:rFonts w:hint="eastAsia"/>
                      <w:color w:val="auto"/>
                      <w:szCs w:val="21"/>
                      <w:lang w:val="en-US" w:eastAsia="zh-CN"/>
                    </w:rPr>
                    <w:t>（每天进料）</w:t>
                  </w:r>
                </w:p>
              </w:tc>
              <w:tc>
                <w:tcPr>
                  <w:tcW w:w="854" w:type="pct"/>
                  <w:vAlign w:val="center"/>
                </w:tcPr>
                <w:p w14:paraId="03638760">
                  <w:pPr>
                    <w:pStyle w:val="124"/>
                    <w:spacing w:line="240" w:lineRule="auto"/>
                    <w:rPr>
                      <w:rFonts w:hint="default" w:hAnsi="宋体"/>
                      <w:color w:val="auto"/>
                      <w:szCs w:val="21"/>
                      <w:lang w:val="en-US" w:eastAsia="zh-CN"/>
                    </w:rPr>
                  </w:pPr>
                  <w:r>
                    <w:rPr>
                      <w:rFonts w:hint="eastAsia" w:hAnsi="宋体"/>
                      <w:color w:val="auto"/>
                      <w:szCs w:val="21"/>
                      <w:lang w:val="en-US" w:eastAsia="zh-CN"/>
                    </w:rPr>
                    <w:t>500kg/桶，液态</w:t>
                  </w:r>
                </w:p>
              </w:tc>
              <w:tc>
                <w:tcPr>
                  <w:tcW w:w="1009" w:type="pct"/>
                  <w:vAlign w:val="center"/>
                </w:tcPr>
                <w:p w14:paraId="69055512">
                  <w:pPr>
                    <w:spacing w:line="240" w:lineRule="auto"/>
                    <w:jc w:val="center"/>
                    <w:rPr>
                      <w:rFonts w:hint="eastAsia" w:hAnsi="宋体"/>
                      <w:color w:val="auto"/>
                      <w:szCs w:val="21"/>
                      <w:lang w:val="en-US" w:eastAsia="zh-CN"/>
                    </w:rPr>
                  </w:pPr>
                  <w:r>
                    <w:rPr>
                      <w:rFonts w:hint="eastAsia" w:hAnsi="宋体"/>
                      <w:color w:val="auto"/>
                      <w:szCs w:val="21"/>
                      <w:lang w:val="en-US" w:eastAsia="zh-CN"/>
                    </w:rPr>
                    <w:t>为聚羧酸系列减水剂，主要成分为聚羧酸和三聚氰胺，不含挥发性有机成分</w:t>
                  </w:r>
                </w:p>
              </w:tc>
              <w:tc>
                <w:tcPr>
                  <w:tcW w:w="601" w:type="pct"/>
                  <w:vAlign w:val="center"/>
                </w:tcPr>
                <w:p w14:paraId="42585702">
                  <w:pPr>
                    <w:pStyle w:val="124"/>
                    <w:spacing w:line="240" w:lineRule="auto"/>
                    <w:rPr>
                      <w:rFonts w:hint="eastAsia" w:hAnsi="宋体"/>
                      <w:color w:val="auto"/>
                      <w:szCs w:val="21"/>
                    </w:rPr>
                  </w:pPr>
                  <w:r>
                    <w:rPr>
                      <w:rFonts w:hint="eastAsia" w:hAnsi="宋体"/>
                      <w:color w:val="auto"/>
                      <w:szCs w:val="21"/>
                      <w:lang w:val="en-US" w:eastAsia="zh-CN"/>
                    </w:rPr>
                    <w:t>减水剂和脱模剂存放区</w:t>
                  </w:r>
                </w:p>
              </w:tc>
            </w:tr>
            <w:tr w14:paraId="7F9D53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262" w:type="pct"/>
                  <w:vAlign w:val="center"/>
                </w:tcPr>
                <w:p w14:paraId="047B81A8">
                  <w:pPr>
                    <w:pStyle w:val="124"/>
                    <w:spacing w:line="240" w:lineRule="auto"/>
                    <w:rPr>
                      <w:rFonts w:hint="default"/>
                      <w:color w:val="auto"/>
                      <w:szCs w:val="21"/>
                      <w:lang w:val="en-US" w:eastAsia="zh-CN"/>
                    </w:rPr>
                  </w:pPr>
                  <w:r>
                    <w:rPr>
                      <w:rFonts w:hint="eastAsia"/>
                      <w:color w:val="auto"/>
                      <w:szCs w:val="21"/>
                      <w:lang w:val="en-US" w:eastAsia="zh-CN"/>
                    </w:rPr>
                    <w:t>9</w:t>
                  </w:r>
                </w:p>
              </w:tc>
              <w:tc>
                <w:tcPr>
                  <w:tcW w:w="813" w:type="pct"/>
                  <w:vAlign w:val="center"/>
                </w:tcPr>
                <w:p w14:paraId="1998927C">
                  <w:pPr>
                    <w:jc w:val="center"/>
                    <w:rPr>
                      <w:rFonts w:hint="default"/>
                      <w:color w:val="auto"/>
                      <w:szCs w:val="21"/>
                      <w:lang w:val="en-US" w:eastAsia="zh-CN"/>
                    </w:rPr>
                  </w:pPr>
                  <w:r>
                    <w:rPr>
                      <w:rFonts w:hint="eastAsia"/>
                      <w:color w:val="auto"/>
                      <w:szCs w:val="21"/>
                      <w:lang w:val="en-US" w:eastAsia="zh-CN"/>
                    </w:rPr>
                    <w:t>蒸汽</w:t>
                  </w:r>
                </w:p>
              </w:tc>
              <w:tc>
                <w:tcPr>
                  <w:tcW w:w="719" w:type="pct"/>
                  <w:vAlign w:val="center"/>
                </w:tcPr>
                <w:p w14:paraId="067C5AA9">
                  <w:pPr>
                    <w:jc w:val="center"/>
                    <w:rPr>
                      <w:rFonts w:hint="default"/>
                      <w:color w:val="auto"/>
                      <w:szCs w:val="21"/>
                      <w:lang w:val="en-US" w:eastAsia="zh-CN"/>
                    </w:rPr>
                  </w:pPr>
                  <w:r>
                    <w:rPr>
                      <w:rFonts w:hint="eastAsia"/>
                      <w:color w:val="auto"/>
                      <w:szCs w:val="21"/>
                      <w:lang w:val="en-US" w:eastAsia="zh-CN"/>
                    </w:rPr>
                    <w:t>1920m</w:t>
                  </w:r>
                  <w:r>
                    <w:rPr>
                      <w:rFonts w:hint="eastAsia"/>
                      <w:color w:val="auto"/>
                      <w:szCs w:val="21"/>
                      <w:vertAlign w:val="superscript"/>
                      <w:lang w:val="en-US" w:eastAsia="zh-CN"/>
                    </w:rPr>
                    <w:t>3</w:t>
                  </w:r>
                  <w:r>
                    <w:rPr>
                      <w:rFonts w:hint="eastAsia"/>
                      <w:color w:val="auto"/>
                      <w:szCs w:val="21"/>
                      <w:lang w:val="en-US" w:eastAsia="zh-CN"/>
                    </w:rPr>
                    <w:t>/a</w:t>
                  </w:r>
                </w:p>
              </w:tc>
              <w:tc>
                <w:tcPr>
                  <w:tcW w:w="738" w:type="pct"/>
                  <w:vAlign w:val="center"/>
                </w:tcPr>
                <w:p w14:paraId="3342B689">
                  <w:pPr>
                    <w:pStyle w:val="124"/>
                    <w:spacing w:line="240" w:lineRule="auto"/>
                    <w:rPr>
                      <w:rFonts w:hint="eastAsia"/>
                      <w:color w:val="auto"/>
                      <w:szCs w:val="21"/>
                      <w:lang w:val="en-US" w:eastAsia="zh-CN"/>
                    </w:rPr>
                  </w:pPr>
                  <w:r>
                    <w:rPr>
                      <w:rFonts w:hint="eastAsia" w:hAnsi="宋体"/>
                      <w:color w:val="auto"/>
                      <w:szCs w:val="21"/>
                    </w:rPr>
                    <w:t>/</w:t>
                  </w:r>
                </w:p>
              </w:tc>
              <w:tc>
                <w:tcPr>
                  <w:tcW w:w="854" w:type="pct"/>
                  <w:vAlign w:val="center"/>
                </w:tcPr>
                <w:p w14:paraId="2173C1DF">
                  <w:pPr>
                    <w:pStyle w:val="124"/>
                    <w:spacing w:line="240" w:lineRule="auto"/>
                    <w:rPr>
                      <w:rFonts w:hint="eastAsia" w:hAnsi="宋体"/>
                      <w:color w:val="auto"/>
                      <w:szCs w:val="21"/>
                      <w:lang w:val="en-US" w:eastAsia="zh-CN"/>
                    </w:rPr>
                  </w:pPr>
                  <w:r>
                    <w:rPr>
                      <w:rFonts w:hint="eastAsia" w:hAnsi="宋体"/>
                      <w:color w:val="auto"/>
                      <w:szCs w:val="21"/>
                    </w:rPr>
                    <w:t>/</w:t>
                  </w:r>
                </w:p>
              </w:tc>
              <w:tc>
                <w:tcPr>
                  <w:tcW w:w="1009" w:type="pct"/>
                  <w:vAlign w:val="center"/>
                </w:tcPr>
                <w:p w14:paraId="33E7CA7B">
                  <w:pPr>
                    <w:pStyle w:val="124"/>
                    <w:spacing w:line="240" w:lineRule="auto"/>
                    <w:rPr>
                      <w:rFonts w:hint="eastAsia" w:hAnsi="宋体"/>
                      <w:color w:val="auto"/>
                      <w:szCs w:val="21"/>
                      <w:lang w:val="en-US" w:eastAsia="zh-CN"/>
                    </w:rPr>
                  </w:pPr>
                  <w:r>
                    <w:rPr>
                      <w:rFonts w:hint="eastAsia" w:hAnsi="宋体"/>
                      <w:color w:val="auto"/>
                      <w:szCs w:val="21"/>
                    </w:rPr>
                    <w:t>/</w:t>
                  </w:r>
                </w:p>
              </w:tc>
              <w:tc>
                <w:tcPr>
                  <w:tcW w:w="601" w:type="pct"/>
                  <w:vAlign w:val="center"/>
                </w:tcPr>
                <w:p w14:paraId="2B70724D">
                  <w:pPr>
                    <w:pStyle w:val="124"/>
                    <w:spacing w:line="240" w:lineRule="auto"/>
                    <w:rPr>
                      <w:rFonts w:hint="default" w:hAnsi="宋体"/>
                      <w:color w:val="auto"/>
                      <w:szCs w:val="21"/>
                      <w:lang w:val="en-US" w:eastAsia="zh-CN"/>
                    </w:rPr>
                  </w:pPr>
                  <w:r>
                    <w:rPr>
                      <w:rFonts w:hint="eastAsia" w:hAnsi="宋体"/>
                      <w:color w:val="auto"/>
                      <w:szCs w:val="21"/>
                      <w:lang w:val="en-US" w:eastAsia="zh-CN"/>
                    </w:rPr>
                    <w:t>电加热蒸汽发生器</w:t>
                  </w:r>
                </w:p>
              </w:tc>
            </w:tr>
            <w:tr w14:paraId="63471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5" w:hRule="atLeast"/>
                <w:jc w:val="center"/>
              </w:trPr>
              <w:tc>
                <w:tcPr>
                  <w:tcW w:w="262" w:type="pct"/>
                  <w:vAlign w:val="center"/>
                </w:tcPr>
                <w:p w14:paraId="6870EB3C">
                  <w:pPr>
                    <w:pStyle w:val="124"/>
                    <w:spacing w:line="240" w:lineRule="auto"/>
                    <w:rPr>
                      <w:rFonts w:hint="default" w:eastAsia="宋体"/>
                      <w:color w:val="auto"/>
                      <w:szCs w:val="21"/>
                      <w:lang w:val="en-US" w:eastAsia="zh-CN"/>
                    </w:rPr>
                  </w:pPr>
                  <w:r>
                    <w:rPr>
                      <w:rFonts w:hint="eastAsia"/>
                      <w:color w:val="auto"/>
                      <w:szCs w:val="21"/>
                      <w:lang w:val="en-US" w:eastAsia="zh-CN"/>
                    </w:rPr>
                    <w:t>10</w:t>
                  </w:r>
                </w:p>
              </w:tc>
              <w:tc>
                <w:tcPr>
                  <w:tcW w:w="813" w:type="pct"/>
                  <w:vAlign w:val="center"/>
                </w:tcPr>
                <w:p w14:paraId="67F42588">
                  <w:pPr>
                    <w:pStyle w:val="124"/>
                    <w:spacing w:line="240" w:lineRule="auto"/>
                    <w:rPr>
                      <w:color w:val="auto"/>
                      <w:szCs w:val="21"/>
                    </w:rPr>
                  </w:pPr>
                  <w:r>
                    <w:rPr>
                      <w:rFonts w:hint="eastAsia" w:hAnsi="宋体"/>
                      <w:color w:val="auto"/>
                      <w:szCs w:val="21"/>
                    </w:rPr>
                    <w:t>电</w:t>
                  </w:r>
                </w:p>
              </w:tc>
              <w:tc>
                <w:tcPr>
                  <w:tcW w:w="719" w:type="pct"/>
                  <w:vAlign w:val="center"/>
                </w:tcPr>
                <w:p w14:paraId="1C50D310">
                  <w:pPr>
                    <w:pStyle w:val="124"/>
                    <w:spacing w:line="240" w:lineRule="auto"/>
                    <w:rPr>
                      <w:color w:val="auto"/>
                      <w:szCs w:val="21"/>
                    </w:rPr>
                  </w:pPr>
                  <w:r>
                    <w:rPr>
                      <w:rFonts w:hint="eastAsia"/>
                      <w:color w:val="auto"/>
                      <w:lang w:val="en-US" w:eastAsia="zh-CN"/>
                    </w:rPr>
                    <w:t>40</w:t>
                  </w:r>
                  <w:r>
                    <w:rPr>
                      <w:rFonts w:hint="eastAsia"/>
                      <w:color w:val="auto"/>
                    </w:rPr>
                    <w:t>万</w:t>
                  </w:r>
                  <w:r>
                    <w:rPr>
                      <w:color w:val="auto"/>
                    </w:rPr>
                    <w:t>k</w:t>
                  </w:r>
                  <w:r>
                    <w:rPr>
                      <w:rFonts w:hint="eastAsia"/>
                      <w:color w:val="auto"/>
                    </w:rPr>
                    <w:t>W·</w:t>
                  </w:r>
                  <w:r>
                    <w:rPr>
                      <w:color w:val="auto"/>
                    </w:rPr>
                    <w:t>h</w:t>
                  </w:r>
                  <w:r>
                    <w:rPr>
                      <w:rFonts w:hint="eastAsia"/>
                      <w:color w:val="auto"/>
                    </w:rPr>
                    <w:t>/a</w:t>
                  </w:r>
                </w:p>
              </w:tc>
              <w:tc>
                <w:tcPr>
                  <w:tcW w:w="738" w:type="pct"/>
                  <w:vAlign w:val="center"/>
                </w:tcPr>
                <w:p w14:paraId="63BDBB91">
                  <w:pPr>
                    <w:pStyle w:val="124"/>
                    <w:spacing w:line="240" w:lineRule="auto"/>
                    <w:rPr>
                      <w:rFonts w:hint="eastAsia" w:hAnsi="宋体"/>
                      <w:color w:val="auto"/>
                      <w:szCs w:val="21"/>
                    </w:rPr>
                  </w:pPr>
                  <w:r>
                    <w:rPr>
                      <w:rFonts w:hint="eastAsia" w:hAnsi="宋体"/>
                      <w:color w:val="auto"/>
                      <w:szCs w:val="21"/>
                    </w:rPr>
                    <w:t>/</w:t>
                  </w:r>
                </w:p>
              </w:tc>
              <w:tc>
                <w:tcPr>
                  <w:tcW w:w="854" w:type="pct"/>
                  <w:vAlign w:val="center"/>
                </w:tcPr>
                <w:p w14:paraId="00D190B5">
                  <w:pPr>
                    <w:pStyle w:val="124"/>
                    <w:spacing w:line="240" w:lineRule="auto"/>
                    <w:rPr>
                      <w:rFonts w:hint="eastAsia" w:hAnsi="宋体"/>
                      <w:color w:val="auto"/>
                      <w:szCs w:val="21"/>
                    </w:rPr>
                  </w:pPr>
                  <w:r>
                    <w:rPr>
                      <w:rFonts w:hint="eastAsia" w:hAnsi="宋体"/>
                      <w:color w:val="auto"/>
                      <w:szCs w:val="21"/>
                    </w:rPr>
                    <w:t>/</w:t>
                  </w:r>
                </w:p>
              </w:tc>
              <w:tc>
                <w:tcPr>
                  <w:tcW w:w="1009" w:type="pct"/>
                  <w:vAlign w:val="center"/>
                </w:tcPr>
                <w:p w14:paraId="02A919DE">
                  <w:pPr>
                    <w:pStyle w:val="124"/>
                    <w:spacing w:line="240" w:lineRule="auto"/>
                    <w:rPr>
                      <w:rFonts w:hint="eastAsia" w:hAnsi="宋体"/>
                      <w:color w:val="auto"/>
                      <w:szCs w:val="21"/>
                    </w:rPr>
                  </w:pPr>
                  <w:r>
                    <w:rPr>
                      <w:rFonts w:hint="eastAsia" w:hAnsi="宋体"/>
                      <w:color w:val="auto"/>
                      <w:szCs w:val="21"/>
                    </w:rPr>
                    <w:t>/</w:t>
                  </w:r>
                </w:p>
              </w:tc>
              <w:tc>
                <w:tcPr>
                  <w:tcW w:w="601" w:type="pct"/>
                  <w:vAlign w:val="center"/>
                </w:tcPr>
                <w:p w14:paraId="2C521046">
                  <w:pPr>
                    <w:pStyle w:val="124"/>
                    <w:spacing w:line="240" w:lineRule="auto"/>
                    <w:rPr>
                      <w:color w:val="auto"/>
                      <w:szCs w:val="21"/>
                    </w:rPr>
                  </w:pPr>
                  <w:r>
                    <w:rPr>
                      <w:rFonts w:hint="eastAsia" w:hAnsi="宋体"/>
                      <w:color w:val="auto"/>
                      <w:szCs w:val="21"/>
                    </w:rPr>
                    <w:t>市政电网</w:t>
                  </w:r>
                </w:p>
              </w:tc>
            </w:tr>
            <w:tr w14:paraId="298857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 w:hRule="atLeast"/>
                <w:jc w:val="center"/>
              </w:trPr>
              <w:tc>
                <w:tcPr>
                  <w:tcW w:w="262" w:type="pct"/>
                  <w:vAlign w:val="center"/>
                </w:tcPr>
                <w:p w14:paraId="3A17FF8E">
                  <w:pPr>
                    <w:pStyle w:val="124"/>
                    <w:spacing w:line="240" w:lineRule="auto"/>
                    <w:jc w:val="center"/>
                    <w:rPr>
                      <w:rFonts w:hint="default" w:eastAsia="宋体"/>
                      <w:color w:val="auto"/>
                      <w:szCs w:val="21"/>
                      <w:lang w:val="en-US" w:eastAsia="zh-CN"/>
                    </w:rPr>
                  </w:pPr>
                  <w:r>
                    <w:rPr>
                      <w:rFonts w:hint="eastAsia"/>
                      <w:color w:val="auto"/>
                      <w:szCs w:val="21"/>
                      <w:lang w:val="en-US" w:eastAsia="zh-CN"/>
                    </w:rPr>
                    <w:t>11</w:t>
                  </w:r>
                </w:p>
              </w:tc>
              <w:tc>
                <w:tcPr>
                  <w:tcW w:w="813" w:type="pct"/>
                  <w:vAlign w:val="center"/>
                </w:tcPr>
                <w:p w14:paraId="18CBE614">
                  <w:pPr>
                    <w:pStyle w:val="124"/>
                    <w:spacing w:line="240" w:lineRule="auto"/>
                    <w:rPr>
                      <w:rFonts w:hint="eastAsia" w:hAnsi="宋体"/>
                      <w:color w:val="auto"/>
                      <w:szCs w:val="21"/>
                    </w:rPr>
                  </w:pPr>
                  <w:r>
                    <w:rPr>
                      <w:rFonts w:hint="eastAsia" w:hAnsi="宋体"/>
                      <w:color w:val="auto"/>
                      <w:szCs w:val="21"/>
                    </w:rPr>
                    <w:t>水</w:t>
                  </w:r>
                </w:p>
              </w:tc>
              <w:tc>
                <w:tcPr>
                  <w:tcW w:w="719" w:type="pct"/>
                  <w:vAlign w:val="center"/>
                </w:tcPr>
                <w:p w14:paraId="614655A5">
                  <w:pPr>
                    <w:pStyle w:val="124"/>
                    <w:spacing w:line="240" w:lineRule="auto"/>
                    <w:rPr>
                      <w:color w:val="auto"/>
                      <w:szCs w:val="21"/>
                    </w:rPr>
                  </w:pPr>
                  <w:r>
                    <w:rPr>
                      <w:rFonts w:hint="eastAsia"/>
                      <w:color w:val="auto"/>
                      <w:lang w:val="en-US" w:eastAsia="zh-CN"/>
                    </w:rPr>
                    <w:t>16294</w:t>
                  </w:r>
                  <w:r>
                    <w:rPr>
                      <w:rFonts w:hint="eastAsia"/>
                      <w:color w:val="auto"/>
                    </w:rPr>
                    <w:t>m</w:t>
                  </w:r>
                  <w:r>
                    <w:rPr>
                      <w:rFonts w:hint="eastAsia"/>
                      <w:color w:val="auto"/>
                      <w:vertAlign w:val="superscript"/>
                    </w:rPr>
                    <w:t>3</w:t>
                  </w:r>
                  <w:r>
                    <w:rPr>
                      <w:rFonts w:hint="eastAsia"/>
                      <w:color w:val="auto"/>
                    </w:rPr>
                    <w:t>/a</w:t>
                  </w:r>
                </w:p>
              </w:tc>
              <w:tc>
                <w:tcPr>
                  <w:tcW w:w="738" w:type="pct"/>
                  <w:vAlign w:val="center"/>
                </w:tcPr>
                <w:p w14:paraId="6250869D">
                  <w:pPr>
                    <w:pStyle w:val="124"/>
                    <w:spacing w:line="240" w:lineRule="auto"/>
                    <w:rPr>
                      <w:rFonts w:hint="eastAsia" w:hAnsi="宋体"/>
                      <w:color w:val="auto"/>
                      <w:szCs w:val="21"/>
                    </w:rPr>
                  </w:pPr>
                  <w:r>
                    <w:rPr>
                      <w:rFonts w:hint="eastAsia" w:hAnsi="宋体"/>
                      <w:color w:val="auto"/>
                      <w:szCs w:val="21"/>
                    </w:rPr>
                    <w:t>/</w:t>
                  </w:r>
                </w:p>
              </w:tc>
              <w:tc>
                <w:tcPr>
                  <w:tcW w:w="854" w:type="pct"/>
                  <w:vAlign w:val="center"/>
                </w:tcPr>
                <w:p w14:paraId="46490F8C">
                  <w:pPr>
                    <w:pStyle w:val="124"/>
                    <w:spacing w:line="240" w:lineRule="auto"/>
                    <w:rPr>
                      <w:rFonts w:hint="eastAsia" w:hAnsi="宋体"/>
                      <w:color w:val="auto"/>
                      <w:szCs w:val="21"/>
                    </w:rPr>
                  </w:pPr>
                  <w:r>
                    <w:rPr>
                      <w:rFonts w:hint="eastAsia" w:hAnsi="宋体"/>
                      <w:color w:val="auto"/>
                      <w:szCs w:val="21"/>
                    </w:rPr>
                    <w:t>/</w:t>
                  </w:r>
                </w:p>
              </w:tc>
              <w:tc>
                <w:tcPr>
                  <w:tcW w:w="1009" w:type="pct"/>
                  <w:vAlign w:val="center"/>
                </w:tcPr>
                <w:p w14:paraId="7BE657E1">
                  <w:pPr>
                    <w:pStyle w:val="124"/>
                    <w:spacing w:line="240" w:lineRule="auto"/>
                    <w:rPr>
                      <w:rFonts w:hint="eastAsia" w:hAnsi="宋体"/>
                      <w:color w:val="auto"/>
                      <w:szCs w:val="21"/>
                    </w:rPr>
                  </w:pPr>
                  <w:r>
                    <w:rPr>
                      <w:rFonts w:hint="eastAsia" w:hAnsi="宋体"/>
                      <w:color w:val="auto"/>
                      <w:szCs w:val="21"/>
                    </w:rPr>
                    <w:t>/</w:t>
                  </w:r>
                </w:p>
              </w:tc>
              <w:tc>
                <w:tcPr>
                  <w:tcW w:w="601" w:type="pct"/>
                  <w:vAlign w:val="center"/>
                </w:tcPr>
                <w:p w14:paraId="4EC653C4">
                  <w:pPr>
                    <w:pStyle w:val="124"/>
                    <w:spacing w:line="240" w:lineRule="auto"/>
                    <w:rPr>
                      <w:rFonts w:hint="eastAsia" w:hAnsi="宋体"/>
                      <w:color w:val="auto"/>
                      <w:szCs w:val="21"/>
                    </w:rPr>
                  </w:pPr>
                  <w:r>
                    <w:rPr>
                      <w:rFonts w:hint="eastAsia" w:hAnsi="宋体"/>
                      <w:color w:val="auto"/>
                      <w:szCs w:val="21"/>
                    </w:rPr>
                    <w:t>市政供水管网</w:t>
                  </w:r>
                </w:p>
              </w:tc>
            </w:tr>
          </w:tbl>
          <w:p w14:paraId="15946BBB">
            <w:pPr>
              <w:spacing w:line="360" w:lineRule="auto"/>
              <w:rPr>
                <w:rFonts w:hint="eastAsia" w:eastAsia="宋体"/>
                <w:b/>
                <w:color w:val="auto"/>
                <w:sz w:val="24"/>
                <w:highlight w:val="yellow"/>
                <w:lang w:eastAsia="zh-CN"/>
              </w:rPr>
            </w:pPr>
            <w:r>
              <w:rPr>
                <w:rFonts w:hint="eastAsia"/>
                <w:b/>
                <w:color w:val="auto"/>
                <w:sz w:val="24"/>
              </w:rPr>
              <w:t>6</w:t>
            </w:r>
            <w:r>
              <w:rPr>
                <w:b/>
                <w:color w:val="auto"/>
                <w:sz w:val="24"/>
              </w:rPr>
              <w:t>、</w:t>
            </w:r>
            <w:r>
              <w:rPr>
                <w:rFonts w:hint="eastAsia"/>
                <w:b/>
                <w:color w:val="auto"/>
                <w:sz w:val="24"/>
              </w:rPr>
              <w:t>项目主要生产设备</w:t>
            </w:r>
          </w:p>
          <w:p w14:paraId="7A85AD26">
            <w:pPr>
              <w:spacing w:line="360" w:lineRule="auto"/>
              <w:jc w:val="center"/>
              <w:rPr>
                <w:b/>
                <w:color w:val="auto"/>
                <w:sz w:val="24"/>
                <w:szCs w:val="28"/>
              </w:rPr>
            </w:pPr>
            <w:r>
              <w:rPr>
                <w:b/>
                <w:color w:val="auto"/>
                <w:sz w:val="24"/>
                <w:szCs w:val="28"/>
              </w:rPr>
              <w:t>表</w:t>
            </w:r>
            <w:r>
              <w:rPr>
                <w:rFonts w:hint="eastAsia"/>
                <w:b/>
                <w:color w:val="auto"/>
                <w:sz w:val="24"/>
                <w:szCs w:val="28"/>
              </w:rPr>
              <w:t>2-9</w:t>
            </w:r>
            <w:r>
              <w:rPr>
                <w:rFonts w:hint="eastAsia"/>
                <w:b/>
                <w:color w:val="auto"/>
                <w:sz w:val="24"/>
                <w:szCs w:val="28"/>
                <w:lang w:val="en-US" w:eastAsia="zh-CN"/>
              </w:rPr>
              <w:t xml:space="preserve"> </w:t>
            </w:r>
            <w:r>
              <w:rPr>
                <w:b/>
                <w:color w:val="auto"/>
                <w:sz w:val="24"/>
                <w:szCs w:val="28"/>
              </w:rPr>
              <w:t>主要生产设备一览表</w:t>
            </w:r>
          </w:p>
          <w:tbl>
            <w:tblPr>
              <w:tblStyle w:val="40"/>
              <w:tblpPr w:leftFromText="180" w:rightFromText="180" w:vertAnchor="text" w:tblpY="1"/>
              <w:tblOverlap w:val="never"/>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284"/>
              <w:gridCol w:w="2458"/>
              <w:gridCol w:w="1028"/>
              <w:gridCol w:w="1312"/>
            </w:tblGrid>
            <w:tr w14:paraId="254E5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69B23ADF">
                  <w:pPr>
                    <w:jc w:val="center"/>
                    <w:rPr>
                      <w:b/>
                      <w:bCs/>
                      <w:color w:val="auto"/>
                      <w:szCs w:val="21"/>
                    </w:rPr>
                  </w:pPr>
                  <w:r>
                    <w:rPr>
                      <w:b/>
                      <w:bCs/>
                      <w:color w:val="auto"/>
                      <w:szCs w:val="21"/>
                    </w:rPr>
                    <w:t>序号</w:t>
                  </w:r>
                </w:p>
              </w:tc>
              <w:tc>
                <w:tcPr>
                  <w:tcW w:w="1402" w:type="pct"/>
                  <w:tcBorders>
                    <w:tl2br w:val="nil"/>
                    <w:tr2bl w:val="nil"/>
                  </w:tcBorders>
                  <w:noWrap w:val="0"/>
                  <w:vAlign w:val="top"/>
                </w:tcPr>
                <w:p w14:paraId="5D943FEE">
                  <w:pPr>
                    <w:jc w:val="center"/>
                    <w:rPr>
                      <w:b/>
                      <w:bCs/>
                      <w:color w:val="auto"/>
                      <w:szCs w:val="21"/>
                    </w:rPr>
                  </w:pPr>
                  <w:r>
                    <w:rPr>
                      <w:b/>
                      <w:bCs/>
                      <w:color w:val="auto"/>
                      <w:szCs w:val="21"/>
                    </w:rPr>
                    <w:t>设备名称</w:t>
                  </w:r>
                </w:p>
              </w:tc>
              <w:tc>
                <w:tcPr>
                  <w:tcW w:w="1509" w:type="pct"/>
                  <w:tcBorders>
                    <w:tl2br w:val="nil"/>
                    <w:tr2bl w:val="nil"/>
                  </w:tcBorders>
                  <w:noWrap w:val="0"/>
                  <w:vAlign w:val="top"/>
                </w:tcPr>
                <w:p w14:paraId="73FC52EE">
                  <w:pPr>
                    <w:jc w:val="center"/>
                    <w:rPr>
                      <w:b/>
                      <w:bCs/>
                      <w:color w:val="auto"/>
                      <w:szCs w:val="21"/>
                    </w:rPr>
                  </w:pPr>
                  <w:r>
                    <w:rPr>
                      <w:b/>
                      <w:bCs/>
                      <w:color w:val="auto"/>
                      <w:szCs w:val="21"/>
                    </w:rPr>
                    <w:t>型号</w:t>
                  </w:r>
                </w:p>
              </w:tc>
              <w:tc>
                <w:tcPr>
                  <w:tcW w:w="631" w:type="pct"/>
                  <w:tcBorders>
                    <w:tl2br w:val="nil"/>
                    <w:tr2bl w:val="nil"/>
                  </w:tcBorders>
                  <w:noWrap w:val="0"/>
                  <w:vAlign w:val="top"/>
                </w:tcPr>
                <w:p w14:paraId="6FE3387D">
                  <w:pPr>
                    <w:jc w:val="center"/>
                    <w:rPr>
                      <w:b/>
                      <w:bCs/>
                      <w:color w:val="auto"/>
                      <w:szCs w:val="21"/>
                    </w:rPr>
                  </w:pPr>
                  <w:r>
                    <w:rPr>
                      <w:b/>
                      <w:bCs/>
                      <w:color w:val="auto"/>
                      <w:szCs w:val="21"/>
                    </w:rPr>
                    <w:t>数量</w:t>
                  </w:r>
                </w:p>
              </w:tc>
              <w:tc>
                <w:tcPr>
                  <w:tcW w:w="805" w:type="pct"/>
                  <w:tcBorders>
                    <w:tl2br w:val="nil"/>
                    <w:tr2bl w:val="nil"/>
                  </w:tcBorders>
                  <w:noWrap w:val="0"/>
                  <w:vAlign w:val="top"/>
                </w:tcPr>
                <w:p w14:paraId="6FEA558A">
                  <w:pPr>
                    <w:jc w:val="center"/>
                    <w:rPr>
                      <w:b/>
                      <w:bCs/>
                      <w:color w:val="auto"/>
                      <w:szCs w:val="21"/>
                    </w:rPr>
                  </w:pPr>
                  <w:r>
                    <w:rPr>
                      <w:b/>
                      <w:bCs/>
                      <w:color w:val="auto"/>
                      <w:szCs w:val="21"/>
                    </w:rPr>
                    <w:t>单位</w:t>
                  </w:r>
                </w:p>
              </w:tc>
            </w:tr>
            <w:tr w14:paraId="0A14F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0" w:type="pct"/>
                  <w:tcBorders>
                    <w:tl2br w:val="nil"/>
                    <w:tr2bl w:val="nil"/>
                  </w:tcBorders>
                  <w:noWrap w:val="0"/>
                  <w:vAlign w:val="top"/>
                </w:tcPr>
                <w:p w14:paraId="7E5FC534">
                  <w:pPr>
                    <w:jc w:val="center"/>
                    <w:rPr>
                      <w:color w:val="auto"/>
                      <w:szCs w:val="21"/>
                    </w:rPr>
                  </w:pPr>
                  <w:r>
                    <w:rPr>
                      <w:rFonts w:hint="eastAsia"/>
                      <w:color w:val="auto"/>
                      <w:szCs w:val="21"/>
                    </w:rPr>
                    <w:t>1</w:t>
                  </w:r>
                </w:p>
              </w:tc>
              <w:tc>
                <w:tcPr>
                  <w:tcW w:w="1402" w:type="pct"/>
                  <w:tcBorders>
                    <w:tl2br w:val="nil"/>
                    <w:tr2bl w:val="nil"/>
                  </w:tcBorders>
                  <w:noWrap w:val="0"/>
                  <w:vAlign w:val="center"/>
                </w:tcPr>
                <w:p w14:paraId="7346993A">
                  <w:pPr>
                    <w:spacing w:line="240" w:lineRule="exact"/>
                    <w:jc w:val="center"/>
                    <w:rPr>
                      <w:rFonts w:hint="default" w:eastAsia="宋体"/>
                      <w:color w:val="auto"/>
                      <w:szCs w:val="21"/>
                      <w:lang w:val="en-US" w:eastAsia="zh-CN"/>
                    </w:rPr>
                  </w:pPr>
                  <w:r>
                    <w:rPr>
                      <w:rFonts w:hint="eastAsia" w:ascii="宋体" w:hAnsi="宋体" w:eastAsia="宋体" w:cs="宋体"/>
                      <w:color w:val="000000"/>
                      <w:sz w:val="21"/>
                      <w:szCs w:val="21"/>
                      <w:lang w:val="en-US" w:eastAsia="zh-CN"/>
                    </w:rPr>
                    <w:t>混凝土搅拌</w:t>
                  </w:r>
                  <w:r>
                    <w:rPr>
                      <w:rFonts w:hint="eastAsia" w:ascii="宋体" w:hAnsi="宋体" w:cs="宋体"/>
                      <w:color w:val="000000"/>
                      <w:sz w:val="21"/>
                      <w:szCs w:val="21"/>
                      <w:lang w:val="en-US" w:eastAsia="zh-CN"/>
                    </w:rPr>
                    <w:t>站</w:t>
                  </w:r>
                </w:p>
              </w:tc>
              <w:tc>
                <w:tcPr>
                  <w:tcW w:w="1509" w:type="pct"/>
                  <w:tcBorders>
                    <w:tl2br w:val="nil"/>
                    <w:tr2bl w:val="nil"/>
                  </w:tcBorders>
                  <w:noWrap w:val="0"/>
                  <w:vAlign w:val="center"/>
                </w:tcPr>
                <w:p w14:paraId="1455D1E0">
                  <w:pPr>
                    <w:spacing w:line="240" w:lineRule="exact"/>
                    <w:jc w:val="center"/>
                    <w:rPr>
                      <w:rFonts w:hint="default" w:eastAsia="宋体"/>
                      <w:color w:val="auto"/>
                      <w:szCs w:val="21"/>
                      <w:lang w:val="en-US" w:eastAsia="zh-CN"/>
                    </w:rPr>
                  </w:pPr>
                  <w:r>
                    <w:rPr>
                      <w:rFonts w:hint="default" w:eastAsia="宋体"/>
                      <w:color w:val="auto"/>
                      <w:szCs w:val="21"/>
                      <w:lang w:val="en-US" w:eastAsia="zh-CN"/>
                    </w:rPr>
                    <w:t>HZD</w:t>
                  </w:r>
                  <w:r>
                    <w:rPr>
                      <w:rFonts w:hint="eastAsia"/>
                      <w:color w:val="auto"/>
                      <w:szCs w:val="21"/>
                      <w:lang w:val="en-US" w:eastAsia="zh-CN"/>
                    </w:rPr>
                    <w:t>100</w:t>
                  </w:r>
                </w:p>
              </w:tc>
              <w:tc>
                <w:tcPr>
                  <w:tcW w:w="631" w:type="pct"/>
                  <w:tcBorders>
                    <w:tl2br w:val="nil"/>
                    <w:tr2bl w:val="nil"/>
                  </w:tcBorders>
                  <w:noWrap w:val="0"/>
                  <w:vAlign w:val="center"/>
                </w:tcPr>
                <w:p w14:paraId="792A94A3">
                  <w:pPr>
                    <w:spacing w:line="240" w:lineRule="exact"/>
                    <w:jc w:val="center"/>
                    <w:rPr>
                      <w:color w:val="auto"/>
                      <w:szCs w:val="21"/>
                    </w:rPr>
                  </w:pPr>
                  <w:r>
                    <w:rPr>
                      <w:rFonts w:hint="eastAsia"/>
                      <w:color w:val="auto"/>
                      <w:szCs w:val="21"/>
                    </w:rPr>
                    <w:t>1</w:t>
                  </w:r>
                </w:p>
              </w:tc>
              <w:tc>
                <w:tcPr>
                  <w:tcW w:w="805" w:type="pct"/>
                  <w:tcBorders>
                    <w:tl2br w:val="nil"/>
                    <w:tr2bl w:val="nil"/>
                  </w:tcBorders>
                  <w:noWrap w:val="0"/>
                  <w:vAlign w:val="center"/>
                </w:tcPr>
                <w:p w14:paraId="655A2C3F">
                  <w:pPr>
                    <w:spacing w:line="240" w:lineRule="exact"/>
                    <w:jc w:val="center"/>
                    <w:rPr>
                      <w:rFonts w:hint="eastAsia" w:eastAsia="宋体"/>
                      <w:color w:val="auto"/>
                      <w:szCs w:val="21"/>
                      <w:lang w:eastAsia="zh-CN"/>
                    </w:rPr>
                  </w:pPr>
                  <w:r>
                    <w:rPr>
                      <w:rFonts w:hint="eastAsia"/>
                      <w:color w:val="auto"/>
                      <w:szCs w:val="21"/>
                      <w:lang w:val="en-US" w:eastAsia="zh-CN"/>
                    </w:rPr>
                    <w:t>套</w:t>
                  </w:r>
                </w:p>
              </w:tc>
            </w:tr>
            <w:tr w14:paraId="1EF4B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1B6BC8C4">
                  <w:pPr>
                    <w:jc w:val="center"/>
                    <w:rPr>
                      <w:rFonts w:hint="eastAsia" w:eastAsia="宋体"/>
                      <w:color w:val="auto"/>
                      <w:szCs w:val="21"/>
                      <w:lang w:val="en-US" w:eastAsia="zh-CN"/>
                    </w:rPr>
                  </w:pPr>
                  <w:r>
                    <w:rPr>
                      <w:rFonts w:hint="eastAsia"/>
                      <w:color w:val="auto"/>
                      <w:szCs w:val="21"/>
                      <w:lang w:val="en-US" w:eastAsia="zh-CN"/>
                    </w:rPr>
                    <w:t>2</w:t>
                  </w:r>
                </w:p>
              </w:tc>
              <w:tc>
                <w:tcPr>
                  <w:tcW w:w="1402" w:type="pct"/>
                  <w:tcBorders>
                    <w:tl2br w:val="nil"/>
                    <w:tr2bl w:val="nil"/>
                  </w:tcBorders>
                  <w:noWrap w:val="0"/>
                  <w:vAlign w:val="center"/>
                </w:tcPr>
                <w:p w14:paraId="13E9FF2C">
                  <w:pPr>
                    <w:spacing w:line="24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水泥筒仓</w:t>
                  </w:r>
                </w:p>
              </w:tc>
              <w:tc>
                <w:tcPr>
                  <w:tcW w:w="1509" w:type="pct"/>
                  <w:tcBorders>
                    <w:tl2br w:val="nil"/>
                    <w:tr2bl w:val="nil"/>
                  </w:tcBorders>
                  <w:noWrap w:val="0"/>
                  <w:vAlign w:val="center"/>
                </w:tcPr>
                <w:p w14:paraId="55A7CB9A">
                  <w:pPr>
                    <w:spacing w:line="240" w:lineRule="exact"/>
                    <w:jc w:val="center"/>
                    <w:rPr>
                      <w:rFonts w:hint="default" w:eastAsia="宋体"/>
                      <w:color w:val="auto"/>
                      <w:szCs w:val="21"/>
                      <w:lang w:val="en-US" w:eastAsia="zh-CN"/>
                    </w:rPr>
                  </w:pPr>
                  <w:r>
                    <w:rPr>
                      <w:rFonts w:hint="eastAsia"/>
                      <w:color w:val="auto"/>
                      <w:szCs w:val="21"/>
                      <w:lang w:val="en-US" w:eastAsia="zh-CN"/>
                    </w:rPr>
                    <w:t>100m</w:t>
                  </w:r>
                  <w:r>
                    <w:rPr>
                      <w:rFonts w:hint="eastAsia"/>
                      <w:color w:val="auto"/>
                      <w:szCs w:val="21"/>
                      <w:vertAlign w:val="superscript"/>
                      <w:lang w:val="en-US" w:eastAsia="zh-CN"/>
                    </w:rPr>
                    <w:t>3</w:t>
                  </w:r>
                </w:p>
              </w:tc>
              <w:tc>
                <w:tcPr>
                  <w:tcW w:w="631" w:type="pct"/>
                  <w:tcBorders>
                    <w:tl2br w:val="nil"/>
                    <w:tr2bl w:val="nil"/>
                  </w:tcBorders>
                  <w:noWrap w:val="0"/>
                  <w:vAlign w:val="center"/>
                </w:tcPr>
                <w:p w14:paraId="63EC01F1">
                  <w:pPr>
                    <w:spacing w:line="240" w:lineRule="exact"/>
                    <w:jc w:val="center"/>
                    <w:rPr>
                      <w:rFonts w:hint="eastAsia" w:eastAsia="宋体"/>
                      <w:color w:val="auto"/>
                      <w:szCs w:val="21"/>
                      <w:lang w:val="en-US" w:eastAsia="zh-CN"/>
                    </w:rPr>
                  </w:pPr>
                  <w:r>
                    <w:rPr>
                      <w:rFonts w:hint="eastAsia"/>
                      <w:color w:val="auto"/>
                      <w:szCs w:val="21"/>
                      <w:lang w:val="en-US" w:eastAsia="zh-CN"/>
                    </w:rPr>
                    <w:t>3</w:t>
                  </w:r>
                </w:p>
              </w:tc>
              <w:tc>
                <w:tcPr>
                  <w:tcW w:w="805" w:type="pct"/>
                  <w:tcBorders>
                    <w:tl2br w:val="nil"/>
                    <w:tr2bl w:val="nil"/>
                  </w:tcBorders>
                  <w:noWrap w:val="0"/>
                  <w:vAlign w:val="center"/>
                </w:tcPr>
                <w:p w14:paraId="5ECEA2AA">
                  <w:pPr>
                    <w:spacing w:line="240" w:lineRule="exact"/>
                    <w:jc w:val="center"/>
                    <w:rPr>
                      <w:rFonts w:hint="eastAsia"/>
                      <w:color w:val="auto"/>
                      <w:szCs w:val="21"/>
                      <w:lang w:val="en-US" w:eastAsia="zh-CN"/>
                    </w:rPr>
                  </w:pPr>
                  <w:r>
                    <w:rPr>
                      <w:rFonts w:hint="eastAsia"/>
                      <w:color w:val="auto"/>
                      <w:szCs w:val="21"/>
                      <w:lang w:val="en-US" w:eastAsia="zh-CN"/>
                    </w:rPr>
                    <w:t>台</w:t>
                  </w:r>
                </w:p>
              </w:tc>
            </w:tr>
            <w:tr w14:paraId="768A5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08E7AEAC">
                  <w:pPr>
                    <w:jc w:val="center"/>
                    <w:rPr>
                      <w:rFonts w:hint="eastAsia" w:eastAsia="宋体"/>
                      <w:color w:val="auto"/>
                      <w:szCs w:val="21"/>
                      <w:lang w:val="en-US" w:eastAsia="zh-CN"/>
                    </w:rPr>
                  </w:pPr>
                  <w:r>
                    <w:rPr>
                      <w:rFonts w:hint="eastAsia"/>
                      <w:color w:val="auto"/>
                      <w:szCs w:val="21"/>
                      <w:lang w:val="en-US" w:eastAsia="zh-CN"/>
                    </w:rPr>
                    <w:t>3</w:t>
                  </w:r>
                </w:p>
              </w:tc>
              <w:tc>
                <w:tcPr>
                  <w:tcW w:w="1402" w:type="pct"/>
                  <w:tcBorders>
                    <w:tl2br w:val="nil"/>
                    <w:tr2bl w:val="nil"/>
                  </w:tcBorders>
                  <w:noWrap w:val="0"/>
                  <w:vAlign w:val="center"/>
                </w:tcPr>
                <w:p w14:paraId="457E80AB">
                  <w:pPr>
                    <w:spacing w:line="24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粉煤灰筒仓</w:t>
                  </w:r>
                </w:p>
              </w:tc>
              <w:tc>
                <w:tcPr>
                  <w:tcW w:w="1509" w:type="pct"/>
                  <w:tcBorders>
                    <w:tl2br w:val="nil"/>
                    <w:tr2bl w:val="nil"/>
                  </w:tcBorders>
                  <w:noWrap w:val="0"/>
                  <w:vAlign w:val="center"/>
                </w:tcPr>
                <w:p w14:paraId="7FCCB196">
                  <w:pPr>
                    <w:spacing w:line="240" w:lineRule="exact"/>
                    <w:jc w:val="center"/>
                    <w:rPr>
                      <w:rFonts w:hint="default" w:eastAsia="宋体"/>
                      <w:color w:val="auto"/>
                      <w:szCs w:val="21"/>
                      <w:lang w:val="en-US" w:eastAsia="zh-CN"/>
                    </w:rPr>
                  </w:pPr>
                  <w:r>
                    <w:rPr>
                      <w:rFonts w:hint="eastAsia"/>
                      <w:color w:val="auto"/>
                      <w:szCs w:val="21"/>
                      <w:lang w:val="en-US" w:eastAsia="zh-CN"/>
                    </w:rPr>
                    <w:t>100m</w:t>
                  </w:r>
                  <w:r>
                    <w:rPr>
                      <w:rFonts w:hint="eastAsia"/>
                      <w:color w:val="auto"/>
                      <w:szCs w:val="21"/>
                      <w:vertAlign w:val="superscript"/>
                      <w:lang w:val="en-US" w:eastAsia="zh-CN"/>
                    </w:rPr>
                    <w:t>3</w:t>
                  </w:r>
                </w:p>
              </w:tc>
              <w:tc>
                <w:tcPr>
                  <w:tcW w:w="631" w:type="pct"/>
                  <w:tcBorders>
                    <w:tl2br w:val="nil"/>
                    <w:tr2bl w:val="nil"/>
                  </w:tcBorders>
                  <w:noWrap w:val="0"/>
                  <w:vAlign w:val="center"/>
                </w:tcPr>
                <w:p w14:paraId="30A544B4">
                  <w:pPr>
                    <w:spacing w:line="240" w:lineRule="exact"/>
                    <w:jc w:val="center"/>
                    <w:rPr>
                      <w:rFonts w:hint="eastAsia" w:eastAsia="宋体"/>
                      <w:color w:val="auto"/>
                      <w:szCs w:val="21"/>
                      <w:lang w:val="en-US" w:eastAsia="zh-CN"/>
                    </w:rPr>
                  </w:pPr>
                  <w:r>
                    <w:rPr>
                      <w:rFonts w:hint="eastAsia"/>
                      <w:color w:val="auto"/>
                      <w:szCs w:val="21"/>
                      <w:lang w:val="en-US" w:eastAsia="zh-CN"/>
                    </w:rPr>
                    <w:t>1</w:t>
                  </w:r>
                </w:p>
              </w:tc>
              <w:tc>
                <w:tcPr>
                  <w:tcW w:w="805" w:type="pct"/>
                  <w:tcBorders>
                    <w:tl2br w:val="nil"/>
                    <w:tr2bl w:val="nil"/>
                  </w:tcBorders>
                  <w:noWrap w:val="0"/>
                  <w:vAlign w:val="center"/>
                </w:tcPr>
                <w:p w14:paraId="30D76365">
                  <w:pPr>
                    <w:spacing w:line="240" w:lineRule="exact"/>
                    <w:jc w:val="center"/>
                    <w:rPr>
                      <w:rFonts w:hint="eastAsia"/>
                      <w:color w:val="auto"/>
                      <w:szCs w:val="21"/>
                      <w:lang w:val="en-US" w:eastAsia="zh-CN"/>
                    </w:rPr>
                  </w:pPr>
                  <w:r>
                    <w:rPr>
                      <w:rFonts w:hint="eastAsia"/>
                      <w:color w:val="auto"/>
                      <w:szCs w:val="21"/>
                      <w:lang w:val="en-US" w:eastAsia="zh-CN"/>
                    </w:rPr>
                    <w:t>台</w:t>
                  </w:r>
                </w:p>
              </w:tc>
            </w:tr>
            <w:tr w14:paraId="7A620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1B4488C7">
                  <w:pPr>
                    <w:jc w:val="center"/>
                    <w:rPr>
                      <w:rFonts w:hint="default"/>
                      <w:color w:val="auto"/>
                      <w:szCs w:val="21"/>
                      <w:lang w:val="en-US" w:eastAsia="zh-CN"/>
                    </w:rPr>
                  </w:pPr>
                  <w:r>
                    <w:rPr>
                      <w:rFonts w:hint="eastAsia"/>
                      <w:color w:val="auto"/>
                      <w:szCs w:val="21"/>
                      <w:lang w:val="en-US" w:eastAsia="zh-CN"/>
                    </w:rPr>
                    <w:t>4</w:t>
                  </w:r>
                </w:p>
              </w:tc>
              <w:tc>
                <w:tcPr>
                  <w:tcW w:w="1402" w:type="pct"/>
                  <w:tcBorders>
                    <w:tl2br w:val="nil"/>
                    <w:tr2bl w:val="nil"/>
                  </w:tcBorders>
                  <w:noWrap w:val="0"/>
                  <w:vAlign w:val="center"/>
                </w:tcPr>
                <w:p w14:paraId="0F07B575">
                  <w:pPr>
                    <w:spacing w:line="24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上料装载机</w:t>
                  </w:r>
                </w:p>
              </w:tc>
              <w:tc>
                <w:tcPr>
                  <w:tcW w:w="1509" w:type="pct"/>
                  <w:tcBorders>
                    <w:tl2br w:val="nil"/>
                    <w:tr2bl w:val="nil"/>
                  </w:tcBorders>
                  <w:noWrap w:val="0"/>
                  <w:vAlign w:val="center"/>
                </w:tcPr>
                <w:p w14:paraId="344D7C80">
                  <w:pPr>
                    <w:spacing w:line="240" w:lineRule="exact"/>
                    <w:jc w:val="center"/>
                    <w:rPr>
                      <w:rFonts w:hint="default"/>
                      <w:color w:val="auto"/>
                      <w:szCs w:val="21"/>
                      <w:lang w:val="en-US" w:eastAsia="zh-CN"/>
                    </w:rPr>
                  </w:pPr>
                  <w:r>
                    <w:rPr>
                      <w:rFonts w:hint="eastAsia"/>
                      <w:color w:val="auto"/>
                      <w:szCs w:val="21"/>
                      <w:lang w:val="en-US" w:eastAsia="zh-CN"/>
                    </w:rPr>
                    <w:t>/</w:t>
                  </w:r>
                </w:p>
              </w:tc>
              <w:tc>
                <w:tcPr>
                  <w:tcW w:w="631" w:type="pct"/>
                  <w:tcBorders>
                    <w:tl2br w:val="nil"/>
                    <w:tr2bl w:val="nil"/>
                  </w:tcBorders>
                  <w:noWrap w:val="0"/>
                  <w:vAlign w:val="center"/>
                </w:tcPr>
                <w:p w14:paraId="62E05EBF">
                  <w:pPr>
                    <w:spacing w:line="240" w:lineRule="exact"/>
                    <w:jc w:val="center"/>
                    <w:rPr>
                      <w:rFonts w:hint="default"/>
                      <w:color w:val="auto"/>
                      <w:szCs w:val="21"/>
                      <w:lang w:val="en-US" w:eastAsia="zh-CN"/>
                    </w:rPr>
                  </w:pPr>
                  <w:r>
                    <w:rPr>
                      <w:rFonts w:hint="eastAsia"/>
                      <w:color w:val="auto"/>
                      <w:szCs w:val="21"/>
                      <w:lang w:val="en-US" w:eastAsia="zh-CN"/>
                    </w:rPr>
                    <w:t>1</w:t>
                  </w:r>
                </w:p>
              </w:tc>
              <w:tc>
                <w:tcPr>
                  <w:tcW w:w="805" w:type="pct"/>
                  <w:tcBorders>
                    <w:tl2br w:val="nil"/>
                    <w:tr2bl w:val="nil"/>
                  </w:tcBorders>
                  <w:noWrap w:val="0"/>
                  <w:vAlign w:val="center"/>
                </w:tcPr>
                <w:p w14:paraId="58610374">
                  <w:pPr>
                    <w:spacing w:line="240" w:lineRule="exact"/>
                    <w:jc w:val="center"/>
                    <w:rPr>
                      <w:rFonts w:hint="eastAsia"/>
                      <w:color w:val="auto"/>
                      <w:szCs w:val="21"/>
                      <w:lang w:val="en-US" w:eastAsia="zh-CN"/>
                    </w:rPr>
                  </w:pPr>
                  <w:r>
                    <w:rPr>
                      <w:rFonts w:hint="eastAsia"/>
                      <w:color w:val="auto"/>
                      <w:szCs w:val="21"/>
                      <w:lang w:val="en-US" w:eastAsia="zh-CN"/>
                    </w:rPr>
                    <w:t>台</w:t>
                  </w:r>
                </w:p>
              </w:tc>
            </w:tr>
            <w:tr w14:paraId="591D7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0EE5689A">
                  <w:pPr>
                    <w:jc w:val="center"/>
                    <w:rPr>
                      <w:rFonts w:hint="default"/>
                      <w:color w:val="auto"/>
                      <w:szCs w:val="21"/>
                      <w:lang w:val="en-US" w:eastAsia="zh-CN"/>
                    </w:rPr>
                  </w:pPr>
                  <w:r>
                    <w:rPr>
                      <w:rFonts w:hint="eastAsia"/>
                      <w:color w:val="auto"/>
                      <w:szCs w:val="21"/>
                      <w:lang w:val="en-US" w:eastAsia="zh-CN"/>
                    </w:rPr>
                    <w:t>5</w:t>
                  </w:r>
                </w:p>
              </w:tc>
              <w:tc>
                <w:tcPr>
                  <w:tcW w:w="1402" w:type="pct"/>
                  <w:tcBorders>
                    <w:tl2br w:val="nil"/>
                    <w:tr2bl w:val="nil"/>
                  </w:tcBorders>
                  <w:shd w:val="clear" w:color="auto" w:fill="auto"/>
                  <w:noWrap w:val="0"/>
                  <w:vAlign w:val="center"/>
                </w:tcPr>
                <w:p w14:paraId="5D27CA84">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电动双梁式16吨起重机</w:t>
                  </w:r>
                </w:p>
              </w:tc>
              <w:tc>
                <w:tcPr>
                  <w:tcW w:w="1509" w:type="pct"/>
                  <w:tcBorders>
                    <w:tl2br w:val="nil"/>
                    <w:tr2bl w:val="nil"/>
                  </w:tcBorders>
                  <w:shd w:val="clear" w:color="auto" w:fill="auto"/>
                  <w:noWrap w:val="0"/>
                  <w:vAlign w:val="center"/>
                </w:tcPr>
                <w:p w14:paraId="55A505AE">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QD16t</w:t>
                  </w:r>
                </w:p>
              </w:tc>
              <w:tc>
                <w:tcPr>
                  <w:tcW w:w="631" w:type="pct"/>
                  <w:tcBorders>
                    <w:tl2br w:val="nil"/>
                    <w:tr2bl w:val="nil"/>
                  </w:tcBorders>
                  <w:shd w:val="clear" w:color="auto" w:fill="auto"/>
                  <w:noWrap w:val="0"/>
                  <w:vAlign w:val="center"/>
                </w:tcPr>
                <w:p w14:paraId="6211BB43">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41745F98">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台</w:t>
                  </w:r>
                </w:p>
              </w:tc>
            </w:tr>
            <w:tr w14:paraId="31E6F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shd w:val="clear" w:color="auto" w:fill="auto"/>
                  <w:noWrap w:val="0"/>
                  <w:vAlign w:val="center"/>
                </w:tcPr>
                <w:p w14:paraId="5A65952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p>
              </w:tc>
              <w:tc>
                <w:tcPr>
                  <w:tcW w:w="1402" w:type="pct"/>
                  <w:tcBorders>
                    <w:tl2br w:val="nil"/>
                    <w:tr2bl w:val="nil"/>
                  </w:tcBorders>
                  <w:shd w:val="clear" w:color="auto" w:fill="auto"/>
                  <w:noWrap w:val="0"/>
                  <w:vAlign w:val="center"/>
                </w:tcPr>
                <w:p w14:paraId="6D005642">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L型单主梁门式10吨起重机</w:t>
                  </w:r>
                </w:p>
              </w:tc>
              <w:tc>
                <w:tcPr>
                  <w:tcW w:w="1509" w:type="pct"/>
                  <w:tcBorders>
                    <w:tl2br w:val="nil"/>
                    <w:tr2bl w:val="nil"/>
                  </w:tcBorders>
                  <w:shd w:val="clear" w:color="auto" w:fill="auto"/>
                  <w:noWrap w:val="0"/>
                  <w:vAlign w:val="center"/>
                </w:tcPr>
                <w:p w14:paraId="24D23DA3">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344237D2">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805" w:type="pct"/>
                  <w:tcBorders>
                    <w:tl2br w:val="nil"/>
                    <w:tr2bl w:val="nil"/>
                  </w:tcBorders>
                  <w:shd w:val="clear" w:color="auto" w:fill="auto"/>
                  <w:noWrap w:val="0"/>
                  <w:vAlign w:val="center"/>
                </w:tcPr>
                <w:p w14:paraId="72B68D96">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台</w:t>
                  </w:r>
                </w:p>
              </w:tc>
            </w:tr>
            <w:tr w14:paraId="5B538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6BECFCC3">
                  <w:pPr>
                    <w:jc w:val="center"/>
                    <w:rPr>
                      <w:rFonts w:hint="default"/>
                      <w:color w:val="auto"/>
                      <w:szCs w:val="21"/>
                      <w:lang w:val="en-US" w:eastAsia="zh-CN"/>
                    </w:rPr>
                  </w:pPr>
                  <w:r>
                    <w:rPr>
                      <w:rFonts w:hint="eastAsia"/>
                      <w:color w:val="auto"/>
                      <w:szCs w:val="21"/>
                      <w:lang w:val="en-US" w:eastAsia="zh-CN"/>
                    </w:rPr>
                    <w:t>7</w:t>
                  </w:r>
                </w:p>
              </w:tc>
              <w:tc>
                <w:tcPr>
                  <w:tcW w:w="1402" w:type="pct"/>
                  <w:tcBorders>
                    <w:tl2br w:val="nil"/>
                    <w:tr2bl w:val="nil"/>
                  </w:tcBorders>
                  <w:shd w:val="clear" w:color="auto" w:fill="auto"/>
                  <w:noWrap w:val="0"/>
                  <w:vAlign w:val="center"/>
                </w:tcPr>
                <w:p w14:paraId="56FF997C">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lang w:val="en-US" w:eastAsia="zh-CN"/>
                    </w:rPr>
                    <w:t>电动葫芦门式10吨起重机</w:t>
                  </w:r>
                </w:p>
              </w:tc>
              <w:tc>
                <w:tcPr>
                  <w:tcW w:w="1509" w:type="pct"/>
                  <w:tcBorders>
                    <w:tl2br w:val="nil"/>
                    <w:tr2bl w:val="nil"/>
                  </w:tcBorders>
                  <w:shd w:val="clear" w:color="auto" w:fill="auto"/>
                  <w:noWrap w:val="0"/>
                  <w:vAlign w:val="center"/>
                </w:tcPr>
                <w:p w14:paraId="043B468B">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397E8D3C">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703E2C53">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台</w:t>
                  </w:r>
                </w:p>
              </w:tc>
            </w:tr>
            <w:tr w14:paraId="76501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3E1116C0">
                  <w:pPr>
                    <w:jc w:val="center"/>
                    <w:rPr>
                      <w:rFonts w:hint="default"/>
                      <w:color w:val="auto"/>
                      <w:szCs w:val="21"/>
                      <w:lang w:val="en-US" w:eastAsia="zh-CN"/>
                    </w:rPr>
                  </w:pPr>
                  <w:r>
                    <w:rPr>
                      <w:rFonts w:hint="eastAsia"/>
                      <w:color w:val="auto"/>
                      <w:szCs w:val="21"/>
                      <w:lang w:val="en-US" w:eastAsia="zh-CN"/>
                    </w:rPr>
                    <w:t>8</w:t>
                  </w:r>
                </w:p>
              </w:tc>
              <w:tc>
                <w:tcPr>
                  <w:tcW w:w="1402" w:type="pct"/>
                  <w:tcBorders>
                    <w:tl2br w:val="nil"/>
                    <w:tr2bl w:val="nil"/>
                  </w:tcBorders>
                  <w:shd w:val="clear" w:color="auto" w:fill="auto"/>
                  <w:noWrap w:val="0"/>
                  <w:vAlign w:val="center"/>
                </w:tcPr>
                <w:p w14:paraId="29B6142F">
                  <w:pPr>
                    <w:spacing w:line="240" w:lineRule="exact"/>
                    <w:jc w:val="center"/>
                    <w:rPr>
                      <w:rFonts w:hint="default"/>
                      <w:color w:val="auto"/>
                      <w:szCs w:val="21"/>
                      <w:lang w:val="en-US" w:eastAsia="zh-CN"/>
                    </w:rPr>
                  </w:pPr>
                  <w:r>
                    <w:rPr>
                      <w:rFonts w:hint="eastAsia" w:ascii="宋体" w:hAnsi="宋体" w:eastAsia="宋体" w:cs="宋体"/>
                      <w:color w:val="000000"/>
                      <w:sz w:val="21"/>
                      <w:szCs w:val="21"/>
                      <w:lang w:val="en-US" w:eastAsia="zh-CN"/>
                    </w:rPr>
                    <w:t>变频式螺杆空压机</w:t>
                  </w:r>
                </w:p>
              </w:tc>
              <w:tc>
                <w:tcPr>
                  <w:tcW w:w="1509" w:type="pct"/>
                  <w:tcBorders>
                    <w:tl2br w:val="nil"/>
                    <w:tr2bl w:val="nil"/>
                  </w:tcBorders>
                  <w:shd w:val="clear" w:color="auto" w:fill="auto"/>
                  <w:noWrap w:val="0"/>
                  <w:vAlign w:val="center"/>
                </w:tcPr>
                <w:p w14:paraId="613B1A83">
                  <w:pPr>
                    <w:spacing w:line="240" w:lineRule="exact"/>
                    <w:jc w:val="center"/>
                    <w:rPr>
                      <w:rFonts w:hint="eastAsia"/>
                      <w:color w:val="auto"/>
                      <w:szCs w:val="21"/>
                      <w:lang w:val="en-US" w:eastAsia="zh-CN"/>
                    </w:rPr>
                  </w:pPr>
                  <w:r>
                    <w:rPr>
                      <w:rFonts w:hint="eastAsia"/>
                      <w:color w:val="auto"/>
                      <w:szCs w:val="21"/>
                      <w:lang w:val="en-US" w:eastAsia="zh-CN"/>
                    </w:rPr>
                    <w:t>JF-30A</w:t>
                  </w:r>
                </w:p>
              </w:tc>
              <w:tc>
                <w:tcPr>
                  <w:tcW w:w="631" w:type="pct"/>
                  <w:tcBorders>
                    <w:tl2br w:val="nil"/>
                    <w:tr2bl w:val="nil"/>
                  </w:tcBorders>
                  <w:shd w:val="clear" w:color="auto" w:fill="auto"/>
                  <w:noWrap w:val="0"/>
                  <w:vAlign w:val="center"/>
                </w:tcPr>
                <w:p w14:paraId="3F201B04">
                  <w:pPr>
                    <w:spacing w:line="240" w:lineRule="exact"/>
                    <w:jc w:val="center"/>
                    <w:rPr>
                      <w:rFonts w:hint="eastAsia"/>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3FD71DAC">
                  <w:pPr>
                    <w:spacing w:line="240" w:lineRule="exact"/>
                    <w:jc w:val="center"/>
                    <w:rPr>
                      <w:rFonts w:hint="eastAsia"/>
                      <w:color w:val="auto"/>
                      <w:szCs w:val="21"/>
                      <w:lang w:val="en-US" w:eastAsia="zh-CN"/>
                    </w:rPr>
                  </w:pPr>
                  <w:r>
                    <w:rPr>
                      <w:rFonts w:hint="eastAsia"/>
                      <w:color w:val="auto"/>
                      <w:szCs w:val="21"/>
                      <w:lang w:val="en-US" w:eastAsia="zh-CN"/>
                    </w:rPr>
                    <w:t>台</w:t>
                  </w:r>
                </w:p>
              </w:tc>
            </w:tr>
            <w:tr w14:paraId="7A1C4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317C2433">
                  <w:pPr>
                    <w:jc w:val="center"/>
                    <w:rPr>
                      <w:rFonts w:hint="default"/>
                      <w:color w:val="auto"/>
                      <w:szCs w:val="21"/>
                      <w:lang w:val="en-US" w:eastAsia="zh-CN"/>
                    </w:rPr>
                  </w:pPr>
                  <w:r>
                    <w:rPr>
                      <w:rFonts w:hint="eastAsia"/>
                      <w:color w:val="auto"/>
                      <w:szCs w:val="21"/>
                      <w:lang w:val="en-US" w:eastAsia="zh-CN"/>
                    </w:rPr>
                    <w:t>9</w:t>
                  </w:r>
                </w:p>
              </w:tc>
              <w:tc>
                <w:tcPr>
                  <w:tcW w:w="1402" w:type="pct"/>
                  <w:tcBorders>
                    <w:tl2br w:val="nil"/>
                    <w:tr2bl w:val="nil"/>
                  </w:tcBorders>
                  <w:shd w:val="clear" w:color="auto" w:fill="auto"/>
                  <w:noWrap w:val="0"/>
                  <w:vAlign w:val="center"/>
                </w:tcPr>
                <w:p w14:paraId="59EEFF0B">
                  <w:pPr>
                    <w:spacing w:line="240" w:lineRule="exact"/>
                    <w:jc w:val="center"/>
                    <w:rPr>
                      <w:rFonts w:hint="default"/>
                      <w:color w:val="auto"/>
                      <w:szCs w:val="21"/>
                      <w:lang w:val="en-US" w:eastAsia="zh-CN"/>
                    </w:rPr>
                  </w:pPr>
                  <w:r>
                    <w:rPr>
                      <w:rFonts w:hint="default"/>
                      <w:color w:val="auto"/>
                      <w:szCs w:val="21"/>
                      <w:lang w:val="en-US" w:eastAsia="zh-CN"/>
                    </w:rPr>
                    <w:t>钢丝定尺裁断机</w:t>
                  </w:r>
                </w:p>
              </w:tc>
              <w:tc>
                <w:tcPr>
                  <w:tcW w:w="1509" w:type="pct"/>
                  <w:tcBorders>
                    <w:tl2br w:val="nil"/>
                    <w:tr2bl w:val="nil"/>
                  </w:tcBorders>
                  <w:shd w:val="clear" w:color="auto" w:fill="auto"/>
                  <w:noWrap w:val="0"/>
                  <w:vAlign w:val="center"/>
                </w:tcPr>
                <w:p w14:paraId="6B21AC3D">
                  <w:pPr>
                    <w:spacing w:line="240" w:lineRule="exact"/>
                    <w:jc w:val="center"/>
                    <w:rPr>
                      <w:rFonts w:hint="eastAsia"/>
                      <w:color w:val="auto"/>
                      <w:szCs w:val="21"/>
                      <w:lang w:val="en-US" w:eastAsia="zh-CN"/>
                    </w:rPr>
                  </w:pPr>
                  <w:r>
                    <w:rPr>
                      <w:rFonts w:hint="eastAsia"/>
                      <w:color w:val="auto"/>
                      <w:szCs w:val="21"/>
                      <w:lang w:val="en-US" w:eastAsia="zh-CN"/>
                    </w:rPr>
                    <w:t>ZRS-2</w:t>
                  </w:r>
                </w:p>
              </w:tc>
              <w:tc>
                <w:tcPr>
                  <w:tcW w:w="631" w:type="pct"/>
                  <w:tcBorders>
                    <w:tl2br w:val="nil"/>
                    <w:tr2bl w:val="nil"/>
                  </w:tcBorders>
                  <w:shd w:val="clear" w:color="auto" w:fill="auto"/>
                  <w:noWrap w:val="0"/>
                  <w:vAlign w:val="center"/>
                </w:tcPr>
                <w:p w14:paraId="30C5BEE1">
                  <w:pPr>
                    <w:spacing w:line="240" w:lineRule="exact"/>
                    <w:jc w:val="center"/>
                    <w:rPr>
                      <w:rFonts w:hint="eastAsia"/>
                      <w:color w:val="auto"/>
                      <w:szCs w:val="21"/>
                      <w:lang w:val="en-US" w:eastAsia="zh-CN"/>
                    </w:rPr>
                  </w:pPr>
                  <w:r>
                    <w:rPr>
                      <w:rFonts w:hint="eastAsia"/>
                      <w:color w:val="auto"/>
                      <w:szCs w:val="21"/>
                      <w:lang w:val="en-US" w:eastAsia="zh-CN"/>
                    </w:rPr>
                    <w:t>2</w:t>
                  </w:r>
                </w:p>
              </w:tc>
              <w:tc>
                <w:tcPr>
                  <w:tcW w:w="805" w:type="pct"/>
                  <w:tcBorders>
                    <w:tl2br w:val="nil"/>
                    <w:tr2bl w:val="nil"/>
                  </w:tcBorders>
                  <w:shd w:val="clear" w:color="auto" w:fill="auto"/>
                  <w:noWrap w:val="0"/>
                  <w:vAlign w:val="center"/>
                </w:tcPr>
                <w:p w14:paraId="48A756EF">
                  <w:pPr>
                    <w:spacing w:line="240" w:lineRule="exact"/>
                    <w:jc w:val="center"/>
                    <w:rPr>
                      <w:rFonts w:hint="eastAsia"/>
                      <w:color w:val="auto"/>
                      <w:szCs w:val="21"/>
                      <w:lang w:val="en-US" w:eastAsia="zh-CN"/>
                    </w:rPr>
                  </w:pPr>
                  <w:r>
                    <w:rPr>
                      <w:rFonts w:hint="eastAsia"/>
                      <w:color w:val="auto"/>
                      <w:szCs w:val="21"/>
                      <w:lang w:val="en-US" w:eastAsia="zh-CN"/>
                    </w:rPr>
                    <w:t>台</w:t>
                  </w:r>
                </w:p>
              </w:tc>
            </w:tr>
            <w:tr w14:paraId="2B728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0D1E004D">
                  <w:pPr>
                    <w:jc w:val="center"/>
                    <w:rPr>
                      <w:rFonts w:hint="default"/>
                      <w:color w:val="auto"/>
                      <w:szCs w:val="21"/>
                      <w:lang w:val="en-US" w:eastAsia="zh-CN"/>
                    </w:rPr>
                  </w:pPr>
                  <w:r>
                    <w:rPr>
                      <w:rFonts w:hint="eastAsia"/>
                      <w:color w:val="auto"/>
                      <w:szCs w:val="21"/>
                      <w:lang w:val="en-US" w:eastAsia="zh-CN"/>
                    </w:rPr>
                    <w:t>10</w:t>
                  </w:r>
                </w:p>
              </w:tc>
              <w:tc>
                <w:tcPr>
                  <w:tcW w:w="1402" w:type="pct"/>
                  <w:tcBorders>
                    <w:tl2br w:val="nil"/>
                    <w:tr2bl w:val="nil"/>
                  </w:tcBorders>
                  <w:shd w:val="clear" w:color="auto" w:fill="auto"/>
                  <w:noWrap w:val="0"/>
                  <w:vAlign w:val="center"/>
                </w:tcPr>
                <w:p w14:paraId="36F5237E">
                  <w:pPr>
                    <w:spacing w:line="240" w:lineRule="exact"/>
                    <w:jc w:val="center"/>
                    <w:rPr>
                      <w:rFonts w:hint="default"/>
                      <w:color w:val="auto"/>
                      <w:szCs w:val="21"/>
                      <w:lang w:val="en-US" w:eastAsia="zh-CN"/>
                    </w:rPr>
                  </w:pPr>
                  <w:r>
                    <w:rPr>
                      <w:rFonts w:hint="default"/>
                      <w:color w:val="auto"/>
                      <w:szCs w:val="21"/>
                      <w:lang w:val="en-US" w:eastAsia="zh-CN"/>
                    </w:rPr>
                    <w:t>弯箍机</w:t>
                  </w:r>
                </w:p>
              </w:tc>
              <w:tc>
                <w:tcPr>
                  <w:tcW w:w="1509" w:type="pct"/>
                  <w:tcBorders>
                    <w:tl2br w:val="nil"/>
                    <w:tr2bl w:val="nil"/>
                  </w:tcBorders>
                  <w:shd w:val="clear" w:color="auto" w:fill="auto"/>
                  <w:noWrap w:val="0"/>
                  <w:vAlign w:val="center"/>
                </w:tcPr>
                <w:p w14:paraId="4E7F24AF">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7A2ACE3B">
                  <w:pPr>
                    <w:spacing w:line="240" w:lineRule="exact"/>
                    <w:jc w:val="center"/>
                    <w:rPr>
                      <w:rFonts w:hint="eastAsia"/>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1C448652">
                  <w:pPr>
                    <w:spacing w:line="240" w:lineRule="exact"/>
                    <w:jc w:val="center"/>
                    <w:rPr>
                      <w:rFonts w:hint="eastAsia"/>
                      <w:color w:val="auto"/>
                      <w:szCs w:val="21"/>
                      <w:lang w:val="en-US" w:eastAsia="zh-CN"/>
                    </w:rPr>
                  </w:pPr>
                  <w:r>
                    <w:rPr>
                      <w:rFonts w:hint="eastAsia"/>
                      <w:color w:val="auto"/>
                      <w:szCs w:val="21"/>
                      <w:lang w:val="en-US" w:eastAsia="zh-CN"/>
                    </w:rPr>
                    <w:t>台</w:t>
                  </w:r>
                </w:p>
              </w:tc>
            </w:tr>
            <w:tr w14:paraId="07CA8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4F702095">
                  <w:pPr>
                    <w:jc w:val="center"/>
                    <w:rPr>
                      <w:rFonts w:hint="default"/>
                      <w:color w:val="auto"/>
                      <w:szCs w:val="21"/>
                      <w:lang w:val="en-US" w:eastAsia="zh-CN"/>
                    </w:rPr>
                  </w:pPr>
                  <w:r>
                    <w:rPr>
                      <w:rFonts w:hint="eastAsia"/>
                      <w:color w:val="auto"/>
                      <w:szCs w:val="21"/>
                      <w:lang w:val="en-US" w:eastAsia="zh-CN"/>
                    </w:rPr>
                    <w:t>11</w:t>
                  </w:r>
                </w:p>
              </w:tc>
              <w:tc>
                <w:tcPr>
                  <w:tcW w:w="1402" w:type="pct"/>
                  <w:tcBorders>
                    <w:tl2br w:val="nil"/>
                    <w:tr2bl w:val="nil"/>
                  </w:tcBorders>
                  <w:shd w:val="clear" w:color="auto" w:fill="auto"/>
                  <w:noWrap w:val="0"/>
                  <w:vAlign w:val="center"/>
                </w:tcPr>
                <w:p w14:paraId="492B4F45">
                  <w:pPr>
                    <w:jc w:val="center"/>
                    <w:rPr>
                      <w:rFonts w:hint="default"/>
                      <w:color w:val="auto"/>
                      <w:szCs w:val="21"/>
                      <w:lang w:val="en-US" w:eastAsia="zh-CN"/>
                    </w:rPr>
                  </w:pPr>
                  <w:r>
                    <w:rPr>
                      <w:rFonts w:hint="eastAsia"/>
                      <w:color w:val="auto"/>
                      <w:szCs w:val="21"/>
                      <w:lang w:val="en-US" w:eastAsia="zh-CN"/>
                    </w:rPr>
                    <w:t>自动张拉/放张机</w:t>
                  </w:r>
                </w:p>
              </w:tc>
              <w:tc>
                <w:tcPr>
                  <w:tcW w:w="1509" w:type="pct"/>
                  <w:tcBorders>
                    <w:tl2br w:val="nil"/>
                    <w:tr2bl w:val="nil"/>
                  </w:tcBorders>
                  <w:shd w:val="clear" w:color="auto" w:fill="auto"/>
                  <w:noWrap w:val="0"/>
                  <w:vAlign w:val="center"/>
                </w:tcPr>
                <w:p w14:paraId="75088E5D">
                  <w:pPr>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41C81514">
                  <w:pPr>
                    <w:spacing w:line="240" w:lineRule="exact"/>
                    <w:jc w:val="center"/>
                    <w:rPr>
                      <w:rFonts w:hint="eastAsia"/>
                      <w:color w:val="auto"/>
                      <w:szCs w:val="21"/>
                      <w:lang w:val="en-US" w:eastAsia="zh-CN"/>
                    </w:rPr>
                  </w:pPr>
                  <w:r>
                    <w:rPr>
                      <w:rFonts w:hint="eastAsia"/>
                      <w:color w:val="auto"/>
                      <w:szCs w:val="21"/>
                      <w:lang w:val="en-US" w:eastAsia="zh-CN"/>
                    </w:rPr>
                    <w:t>2</w:t>
                  </w:r>
                </w:p>
              </w:tc>
              <w:tc>
                <w:tcPr>
                  <w:tcW w:w="805" w:type="pct"/>
                  <w:tcBorders>
                    <w:tl2br w:val="nil"/>
                    <w:tr2bl w:val="nil"/>
                  </w:tcBorders>
                  <w:shd w:val="clear" w:color="auto" w:fill="auto"/>
                  <w:noWrap w:val="0"/>
                  <w:vAlign w:val="center"/>
                </w:tcPr>
                <w:p w14:paraId="0012BD13">
                  <w:pPr>
                    <w:spacing w:line="240" w:lineRule="exact"/>
                    <w:jc w:val="center"/>
                    <w:rPr>
                      <w:rFonts w:hint="eastAsia"/>
                      <w:color w:val="auto"/>
                      <w:szCs w:val="21"/>
                      <w:lang w:val="en-US" w:eastAsia="zh-CN"/>
                    </w:rPr>
                  </w:pPr>
                  <w:r>
                    <w:rPr>
                      <w:rFonts w:hint="eastAsia"/>
                      <w:color w:val="auto"/>
                      <w:szCs w:val="21"/>
                      <w:lang w:val="en-US" w:eastAsia="zh-CN"/>
                    </w:rPr>
                    <w:t>台</w:t>
                  </w:r>
                </w:p>
              </w:tc>
            </w:tr>
            <w:tr w14:paraId="60E9F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71D9EC7C">
                  <w:pPr>
                    <w:jc w:val="center"/>
                    <w:rPr>
                      <w:rFonts w:hint="default"/>
                      <w:color w:val="auto"/>
                      <w:szCs w:val="21"/>
                      <w:lang w:val="en-US" w:eastAsia="zh-CN"/>
                    </w:rPr>
                  </w:pPr>
                  <w:r>
                    <w:rPr>
                      <w:rFonts w:hint="eastAsia"/>
                      <w:color w:val="auto"/>
                      <w:szCs w:val="21"/>
                      <w:lang w:val="en-US" w:eastAsia="zh-CN"/>
                    </w:rPr>
                    <w:t>12</w:t>
                  </w:r>
                </w:p>
              </w:tc>
              <w:tc>
                <w:tcPr>
                  <w:tcW w:w="1402" w:type="pct"/>
                  <w:tcBorders>
                    <w:tl2br w:val="nil"/>
                    <w:tr2bl w:val="nil"/>
                  </w:tcBorders>
                  <w:shd w:val="clear" w:color="auto" w:fill="auto"/>
                  <w:noWrap w:val="0"/>
                  <w:vAlign w:val="center"/>
                </w:tcPr>
                <w:p w14:paraId="368B6E38">
                  <w:pPr>
                    <w:spacing w:line="240" w:lineRule="exact"/>
                    <w:jc w:val="center"/>
                    <w:rPr>
                      <w:rFonts w:hint="eastAsia"/>
                      <w:color w:val="auto"/>
                      <w:szCs w:val="21"/>
                      <w:lang w:val="en-US" w:eastAsia="zh-CN"/>
                    </w:rPr>
                  </w:pPr>
                  <w:r>
                    <w:rPr>
                      <w:rFonts w:hint="default"/>
                      <w:color w:val="auto"/>
                      <w:szCs w:val="21"/>
                      <w:lang w:val="en-US" w:eastAsia="zh-CN"/>
                    </w:rPr>
                    <w:t>钢模具</w:t>
                  </w:r>
                </w:p>
              </w:tc>
              <w:tc>
                <w:tcPr>
                  <w:tcW w:w="1509" w:type="pct"/>
                  <w:tcBorders>
                    <w:tl2br w:val="nil"/>
                    <w:tr2bl w:val="nil"/>
                  </w:tcBorders>
                  <w:shd w:val="clear" w:color="auto" w:fill="auto"/>
                  <w:noWrap w:val="0"/>
                  <w:vAlign w:val="center"/>
                </w:tcPr>
                <w:p w14:paraId="4517DE53">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7F2B73FE">
                  <w:pPr>
                    <w:spacing w:line="240" w:lineRule="exact"/>
                    <w:jc w:val="center"/>
                    <w:rPr>
                      <w:rFonts w:hint="eastAsia"/>
                      <w:color w:val="auto"/>
                      <w:szCs w:val="21"/>
                      <w:lang w:val="en-US" w:eastAsia="zh-CN"/>
                    </w:rPr>
                  </w:pPr>
                  <w:r>
                    <w:rPr>
                      <w:rFonts w:hint="eastAsia"/>
                      <w:color w:val="auto"/>
                      <w:szCs w:val="21"/>
                      <w:lang w:val="en-US" w:eastAsia="zh-CN"/>
                    </w:rPr>
                    <w:t>60</w:t>
                  </w:r>
                </w:p>
              </w:tc>
              <w:tc>
                <w:tcPr>
                  <w:tcW w:w="805" w:type="pct"/>
                  <w:tcBorders>
                    <w:tl2br w:val="nil"/>
                    <w:tr2bl w:val="nil"/>
                  </w:tcBorders>
                  <w:shd w:val="clear" w:color="auto" w:fill="auto"/>
                  <w:noWrap w:val="0"/>
                  <w:vAlign w:val="center"/>
                </w:tcPr>
                <w:p w14:paraId="5A1BD30C">
                  <w:pPr>
                    <w:spacing w:line="240" w:lineRule="exact"/>
                    <w:jc w:val="center"/>
                    <w:rPr>
                      <w:rFonts w:hint="eastAsia"/>
                      <w:color w:val="auto"/>
                      <w:szCs w:val="21"/>
                      <w:lang w:val="en-US" w:eastAsia="zh-CN"/>
                    </w:rPr>
                  </w:pPr>
                  <w:r>
                    <w:rPr>
                      <w:rFonts w:hint="eastAsia"/>
                      <w:color w:val="auto"/>
                      <w:szCs w:val="21"/>
                      <w:lang w:val="en-US" w:eastAsia="zh-CN"/>
                    </w:rPr>
                    <w:t>套</w:t>
                  </w:r>
                </w:p>
              </w:tc>
            </w:tr>
            <w:tr w14:paraId="18C45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19DEA8E9">
                  <w:pPr>
                    <w:jc w:val="center"/>
                    <w:rPr>
                      <w:rFonts w:hint="default"/>
                      <w:color w:val="auto"/>
                      <w:szCs w:val="21"/>
                      <w:lang w:val="en-US" w:eastAsia="zh-CN"/>
                    </w:rPr>
                  </w:pPr>
                  <w:r>
                    <w:rPr>
                      <w:rFonts w:hint="eastAsia"/>
                      <w:color w:val="auto"/>
                      <w:szCs w:val="21"/>
                      <w:lang w:val="en-US" w:eastAsia="zh-CN"/>
                    </w:rPr>
                    <w:t>13</w:t>
                  </w:r>
                </w:p>
              </w:tc>
              <w:tc>
                <w:tcPr>
                  <w:tcW w:w="1402" w:type="pct"/>
                  <w:tcBorders>
                    <w:tl2br w:val="nil"/>
                    <w:tr2bl w:val="nil"/>
                  </w:tcBorders>
                  <w:shd w:val="clear" w:color="auto" w:fill="auto"/>
                  <w:noWrap w:val="0"/>
                  <w:vAlign w:val="center"/>
                </w:tcPr>
                <w:p w14:paraId="32B62C54">
                  <w:pPr>
                    <w:spacing w:line="240" w:lineRule="exact"/>
                    <w:jc w:val="center"/>
                    <w:rPr>
                      <w:rFonts w:hint="default"/>
                      <w:color w:val="auto"/>
                      <w:szCs w:val="21"/>
                      <w:lang w:val="en-US" w:eastAsia="zh-CN"/>
                    </w:rPr>
                  </w:pPr>
                  <w:r>
                    <w:rPr>
                      <w:rFonts w:hint="eastAsia" w:ascii="宋体" w:hAnsi="宋体" w:eastAsia="宋体" w:cs="宋体"/>
                      <w:color w:val="000000"/>
                      <w:sz w:val="21"/>
                      <w:szCs w:val="21"/>
                      <w:lang w:val="en-US" w:eastAsia="zh-CN"/>
                    </w:rPr>
                    <w:t>钢模自动吊架</w:t>
                  </w:r>
                </w:p>
              </w:tc>
              <w:tc>
                <w:tcPr>
                  <w:tcW w:w="1509" w:type="pct"/>
                  <w:tcBorders>
                    <w:tl2br w:val="nil"/>
                    <w:tr2bl w:val="nil"/>
                  </w:tcBorders>
                  <w:shd w:val="clear" w:color="auto" w:fill="auto"/>
                  <w:noWrap w:val="0"/>
                  <w:vAlign w:val="center"/>
                </w:tcPr>
                <w:p w14:paraId="18D3D59F">
                  <w:pPr>
                    <w:spacing w:line="240" w:lineRule="exact"/>
                    <w:jc w:val="center"/>
                    <w:rPr>
                      <w:rFonts w:hint="eastAsia"/>
                      <w:color w:val="auto"/>
                      <w:szCs w:val="21"/>
                      <w:lang w:val="en-US" w:eastAsia="zh-CN"/>
                    </w:rPr>
                  </w:pPr>
                  <w:r>
                    <w:rPr>
                      <w:rFonts w:hint="eastAsia"/>
                      <w:color w:val="auto"/>
                      <w:szCs w:val="21"/>
                      <w:lang w:val="en-US" w:eastAsia="zh-CN"/>
                    </w:rPr>
                    <w:t>12吨</w:t>
                  </w:r>
                </w:p>
              </w:tc>
              <w:tc>
                <w:tcPr>
                  <w:tcW w:w="631" w:type="pct"/>
                  <w:tcBorders>
                    <w:tl2br w:val="nil"/>
                    <w:tr2bl w:val="nil"/>
                  </w:tcBorders>
                  <w:shd w:val="clear" w:color="auto" w:fill="auto"/>
                  <w:noWrap w:val="0"/>
                  <w:vAlign w:val="center"/>
                </w:tcPr>
                <w:p w14:paraId="0AC3A9E6">
                  <w:pPr>
                    <w:spacing w:line="240" w:lineRule="exact"/>
                    <w:jc w:val="center"/>
                    <w:rPr>
                      <w:rFonts w:hint="eastAsia"/>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47363D1A">
                  <w:pPr>
                    <w:spacing w:line="240" w:lineRule="exact"/>
                    <w:jc w:val="center"/>
                    <w:rPr>
                      <w:rFonts w:hint="eastAsia"/>
                      <w:color w:val="auto"/>
                      <w:szCs w:val="21"/>
                      <w:lang w:val="en-US" w:eastAsia="zh-CN"/>
                    </w:rPr>
                  </w:pPr>
                  <w:r>
                    <w:rPr>
                      <w:color w:val="auto"/>
                      <w:szCs w:val="21"/>
                    </w:rPr>
                    <w:t>台</w:t>
                  </w:r>
                </w:p>
              </w:tc>
            </w:tr>
            <w:tr w14:paraId="55E0F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32C056C1">
                  <w:pPr>
                    <w:jc w:val="center"/>
                    <w:rPr>
                      <w:rFonts w:hint="default"/>
                      <w:color w:val="auto"/>
                      <w:szCs w:val="21"/>
                      <w:lang w:val="en-US" w:eastAsia="zh-CN"/>
                    </w:rPr>
                  </w:pPr>
                  <w:r>
                    <w:rPr>
                      <w:rFonts w:hint="eastAsia"/>
                      <w:color w:val="auto"/>
                      <w:szCs w:val="21"/>
                      <w:lang w:val="en-US" w:eastAsia="zh-CN"/>
                    </w:rPr>
                    <w:t>14</w:t>
                  </w:r>
                </w:p>
              </w:tc>
              <w:tc>
                <w:tcPr>
                  <w:tcW w:w="1402" w:type="pct"/>
                  <w:tcBorders>
                    <w:tl2br w:val="nil"/>
                    <w:tr2bl w:val="nil"/>
                  </w:tcBorders>
                  <w:shd w:val="clear" w:color="auto" w:fill="auto"/>
                  <w:noWrap w:val="0"/>
                  <w:vAlign w:val="center"/>
                </w:tcPr>
                <w:p w14:paraId="62DAE0EB">
                  <w:pPr>
                    <w:spacing w:line="240" w:lineRule="exact"/>
                    <w:jc w:val="center"/>
                    <w:rPr>
                      <w:rFonts w:hint="default"/>
                      <w:color w:val="auto"/>
                      <w:szCs w:val="21"/>
                      <w:lang w:val="en-US" w:eastAsia="zh-CN"/>
                    </w:rPr>
                  </w:pPr>
                  <w:r>
                    <w:rPr>
                      <w:rFonts w:hint="eastAsia" w:ascii="宋体" w:hAnsi="宋体" w:eastAsia="宋体" w:cs="宋体"/>
                      <w:color w:val="000000"/>
                      <w:sz w:val="21"/>
                      <w:szCs w:val="21"/>
                      <w:lang w:val="en-US" w:eastAsia="zh-CN"/>
                    </w:rPr>
                    <w:t>钢模摆渡车</w:t>
                  </w:r>
                </w:p>
              </w:tc>
              <w:tc>
                <w:tcPr>
                  <w:tcW w:w="1509" w:type="pct"/>
                  <w:tcBorders>
                    <w:tl2br w:val="nil"/>
                    <w:tr2bl w:val="nil"/>
                  </w:tcBorders>
                  <w:shd w:val="clear" w:color="auto" w:fill="auto"/>
                  <w:noWrap w:val="0"/>
                  <w:vAlign w:val="center"/>
                </w:tcPr>
                <w:p w14:paraId="16E558BD">
                  <w:pPr>
                    <w:spacing w:line="240" w:lineRule="exact"/>
                    <w:jc w:val="center"/>
                    <w:rPr>
                      <w:rFonts w:hint="eastAsia"/>
                      <w:color w:val="auto"/>
                      <w:szCs w:val="21"/>
                      <w:lang w:val="en-US" w:eastAsia="zh-CN"/>
                    </w:rPr>
                  </w:pPr>
                  <w:r>
                    <w:rPr>
                      <w:rFonts w:hint="eastAsia"/>
                      <w:color w:val="auto"/>
                      <w:szCs w:val="21"/>
                      <w:lang w:val="en-US" w:eastAsia="zh-CN"/>
                    </w:rPr>
                    <w:t>5吨</w:t>
                  </w:r>
                </w:p>
              </w:tc>
              <w:tc>
                <w:tcPr>
                  <w:tcW w:w="631" w:type="pct"/>
                  <w:tcBorders>
                    <w:tl2br w:val="nil"/>
                    <w:tr2bl w:val="nil"/>
                  </w:tcBorders>
                  <w:shd w:val="clear" w:color="auto" w:fill="auto"/>
                  <w:noWrap w:val="0"/>
                  <w:vAlign w:val="center"/>
                </w:tcPr>
                <w:p w14:paraId="021A280C">
                  <w:pPr>
                    <w:spacing w:line="240" w:lineRule="exact"/>
                    <w:jc w:val="center"/>
                    <w:rPr>
                      <w:rFonts w:hint="eastAsia"/>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1181CCB1">
                  <w:pPr>
                    <w:spacing w:line="240" w:lineRule="exact"/>
                    <w:jc w:val="center"/>
                    <w:rPr>
                      <w:rFonts w:hint="eastAsia"/>
                      <w:color w:val="auto"/>
                      <w:szCs w:val="21"/>
                      <w:lang w:val="en-US" w:eastAsia="zh-CN"/>
                    </w:rPr>
                  </w:pPr>
                  <w:r>
                    <w:rPr>
                      <w:rFonts w:hint="eastAsia"/>
                      <w:color w:val="auto"/>
                      <w:szCs w:val="21"/>
                      <w:lang w:val="en-US" w:eastAsia="zh-CN"/>
                    </w:rPr>
                    <w:t>台</w:t>
                  </w:r>
                </w:p>
              </w:tc>
            </w:tr>
            <w:tr w14:paraId="127EB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25D894BC">
                  <w:pPr>
                    <w:jc w:val="center"/>
                    <w:rPr>
                      <w:rFonts w:hint="default"/>
                      <w:color w:val="auto"/>
                      <w:szCs w:val="21"/>
                      <w:lang w:val="en-US" w:eastAsia="zh-CN"/>
                    </w:rPr>
                  </w:pPr>
                  <w:r>
                    <w:rPr>
                      <w:rFonts w:hint="eastAsia"/>
                      <w:color w:val="auto"/>
                      <w:szCs w:val="21"/>
                      <w:lang w:val="en-US" w:eastAsia="zh-CN"/>
                    </w:rPr>
                    <w:t>15</w:t>
                  </w:r>
                </w:p>
              </w:tc>
              <w:tc>
                <w:tcPr>
                  <w:tcW w:w="1402" w:type="pct"/>
                  <w:tcBorders>
                    <w:tl2br w:val="nil"/>
                    <w:tr2bl w:val="nil"/>
                  </w:tcBorders>
                  <w:shd w:val="clear" w:color="auto" w:fill="auto"/>
                  <w:noWrap w:val="0"/>
                  <w:vAlign w:val="center"/>
                </w:tcPr>
                <w:p w14:paraId="58ED0A0B">
                  <w:pPr>
                    <w:spacing w:line="240" w:lineRule="exact"/>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脱模机</w:t>
                  </w:r>
                </w:p>
              </w:tc>
              <w:tc>
                <w:tcPr>
                  <w:tcW w:w="1509" w:type="pct"/>
                  <w:tcBorders>
                    <w:tl2br w:val="nil"/>
                    <w:tr2bl w:val="nil"/>
                  </w:tcBorders>
                  <w:shd w:val="clear" w:color="auto" w:fill="auto"/>
                  <w:noWrap w:val="0"/>
                  <w:vAlign w:val="center"/>
                </w:tcPr>
                <w:p w14:paraId="5A19A1E4">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0BAA07E2">
                  <w:pPr>
                    <w:spacing w:line="240" w:lineRule="exact"/>
                    <w:jc w:val="center"/>
                    <w:rPr>
                      <w:rFonts w:hint="default"/>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49E714B0">
                  <w:pPr>
                    <w:spacing w:line="240" w:lineRule="exact"/>
                    <w:jc w:val="center"/>
                    <w:rPr>
                      <w:rFonts w:hint="eastAsia"/>
                      <w:color w:val="auto"/>
                      <w:szCs w:val="21"/>
                      <w:lang w:val="en-US" w:eastAsia="zh-CN"/>
                    </w:rPr>
                  </w:pPr>
                </w:p>
              </w:tc>
            </w:tr>
            <w:tr w14:paraId="3E7FB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center"/>
                </w:tcPr>
                <w:p w14:paraId="55D5725A">
                  <w:pPr>
                    <w:jc w:val="center"/>
                    <w:rPr>
                      <w:rFonts w:hint="default"/>
                      <w:color w:val="auto"/>
                      <w:szCs w:val="21"/>
                      <w:lang w:val="en-US" w:eastAsia="zh-CN"/>
                    </w:rPr>
                  </w:pPr>
                  <w:r>
                    <w:rPr>
                      <w:rFonts w:hint="eastAsia"/>
                      <w:color w:val="auto"/>
                      <w:szCs w:val="21"/>
                      <w:lang w:val="en-US" w:eastAsia="zh-CN"/>
                    </w:rPr>
                    <w:t>16</w:t>
                  </w:r>
                </w:p>
              </w:tc>
              <w:tc>
                <w:tcPr>
                  <w:tcW w:w="1402" w:type="pct"/>
                  <w:tcBorders>
                    <w:tl2br w:val="nil"/>
                    <w:tr2bl w:val="nil"/>
                  </w:tcBorders>
                  <w:shd w:val="clear" w:color="auto" w:fill="auto"/>
                  <w:noWrap w:val="0"/>
                  <w:vAlign w:val="center"/>
                </w:tcPr>
                <w:p w14:paraId="68812314">
                  <w:pPr>
                    <w:spacing w:line="240" w:lineRule="exact"/>
                    <w:jc w:val="center"/>
                    <w:rPr>
                      <w:rFonts w:hint="default"/>
                      <w:color w:val="auto"/>
                      <w:szCs w:val="21"/>
                      <w:lang w:val="en-US" w:eastAsia="zh-CN"/>
                    </w:rPr>
                  </w:pPr>
                  <w:r>
                    <w:rPr>
                      <w:rFonts w:hint="eastAsia"/>
                      <w:color w:val="auto"/>
                      <w:szCs w:val="21"/>
                      <w:lang w:val="en-US" w:eastAsia="zh-CN"/>
                    </w:rPr>
                    <w:t>蒸汽</w:t>
                  </w:r>
                  <w:r>
                    <w:rPr>
                      <w:rFonts w:hint="default"/>
                      <w:color w:val="auto"/>
                      <w:szCs w:val="21"/>
                      <w:lang w:val="en-US" w:eastAsia="zh-CN"/>
                    </w:rPr>
                    <w:t>养护坑</w:t>
                  </w:r>
                </w:p>
              </w:tc>
              <w:tc>
                <w:tcPr>
                  <w:tcW w:w="1509" w:type="pct"/>
                  <w:tcBorders>
                    <w:tl2br w:val="nil"/>
                    <w:tr2bl w:val="nil"/>
                  </w:tcBorders>
                  <w:shd w:val="clear" w:color="auto" w:fill="auto"/>
                  <w:noWrap w:val="0"/>
                  <w:vAlign w:val="center"/>
                </w:tcPr>
                <w:p w14:paraId="1FA46096">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shd w:val="clear" w:color="auto" w:fill="auto"/>
                  <w:noWrap w:val="0"/>
                  <w:vAlign w:val="center"/>
                </w:tcPr>
                <w:p w14:paraId="5E1F0BA6">
                  <w:pPr>
                    <w:spacing w:line="240" w:lineRule="exact"/>
                    <w:jc w:val="center"/>
                    <w:rPr>
                      <w:rFonts w:hint="eastAsia"/>
                      <w:color w:val="auto"/>
                      <w:szCs w:val="21"/>
                      <w:lang w:val="en-US" w:eastAsia="zh-CN"/>
                    </w:rPr>
                  </w:pPr>
                  <w:r>
                    <w:rPr>
                      <w:rFonts w:hint="eastAsia"/>
                      <w:color w:val="auto"/>
                      <w:szCs w:val="21"/>
                      <w:lang w:val="en-US" w:eastAsia="zh-CN"/>
                    </w:rPr>
                    <w:t>1</w:t>
                  </w:r>
                </w:p>
              </w:tc>
              <w:tc>
                <w:tcPr>
                  <w:tcW w:w="805" w:type="pct"/>
                  <w:tcBorders>
                    <w:tl2br w:val="nil"/>
                    <w:tr2bl w:val="nil"/>
                  </w:tcBorders>
                  <w:shd w:val="clear" w:color="auto" w:fill="auto"/>
                  <w:noWrap w:val="0"/>
                  <w:vAlign w:val="center"/>
                </w:tcPr>
                <w:p w14:paraId="515325E0">
                  <w:pPr>
                    <w:spacing w:line="240" w:lineRule="exact"/>
                    <w:jc w:val="center"/>
                    <w:rPr>
                      <w:rFonts w:hint="eastAsia"/>
                      <w:color w:val="auto"/>
                      <w:szCs w:val="21"/>
                      <w:lang w:val="en-US" w:eastAsia="zh-CN"/>
                    </w:rPr>
                  </w:pPr>
                </w:p>
              </w:tc>
            </w:tr>
            <w:tr w14:paraId="3F21A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42062569">
                  <w:pPr>
                    <w:jc w:val="center"/>
                    <w:rPr>
                      <w:rFonts w:hint="default"/>
                      <w:color w:val="auto"/>
                      <w:szCs w:val="21"/>
                      <w:lang w:val="en-US" w:eastAsia="zh-CN"/>
                    </w:rPr>
                  </w:pPr>
                  <w:r>
                    <w:rPr>
                      <w:rFonts w:hint="eastAsia"/>
                      <w:color w:val="auto"/>
                      <w:szCs w:val="21"/>
                      <w:lang w:val="en-US" w:eastAsia="zh-CN"/>
                    </w:rPr>
                    <w:t>17</w:t>
                  </w:r>
                </w:p>
              </w:tc>
              <w:tc>
                <w:tcPr>
                  <w:tcW w:w="1402" w:type="pct"/>
                  <w:tcBorders>
                    <w:tl2br w:val="nil"/>
                    <w:tr2bl w:val="nil"/>
                  </w:tcBorders>
                  <w:noWrap w:val="0"/>
                  <w:vAlign w:val="center"/>
                </w:tcPr>
                <w:p w14:paraId="31DCAB7D">
                  <w:pPr>
                    <w:spacing w:line="240" w:lineRule="exact"/>
                    <w:jc w:val="center"/>
                    <w:rPr>
                      <w:rFonts w:hint="eastAsia" w:ascii="宋体" w:hAnsi="宋体" w:eastAsia="宋体" w:cs="宋体"/>
                      <w:color w:val="000000"/>
                      <w:sz w:val="21"/>
                      <w:szCs w:val="21"/>
                      <w:lang w:val="en-US" w:eastAsia="zh-CN"/>
                    </w:rPr>
                  </w:pPr>
                  <w:r>
                    <w:rPr>
                      <w:rFonts w:hint="eastAsia"/>
                      <w:color w:val="auto"/>
                      <w:szCs w:val="21"/>
                      <w:lang w:val="en-US" w:eastAsia="zh-CN"/>
                    </w:rPr>
                    <w:t>养护坑盖板</w:t>
                  </w:r>
                </w:p>
              </w:tc>
              <w:tc>
                <w:tcPr>
                  <w:tcW w:w="1509" w:type="pct"/>
                  <w:tcBorders>
                    <w:tl2br w:val="nil"/>
                    <w:tr2bl w:val="nil"/>
                  </w:tcBorders>
                  <w:noWrap w:val="0"/>
                  <w:vAlign w:val="center"/>
                </w:tcPr>
                <w:p w14:paraId="669B04C6">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noWrap w:val="0"/>
                  <w:vAlign w:val="center"/>
                </w:tcPr>
                <w:p w14:paraId="4F61E2AA">
                  <w:pPr>
                    <w:spacing w:line="240" w:lineRule="exact"/>
                    <w:jc w:val="center"/>
                    <w:rPr>
                      <w:rFonts w:hint="default"/>
                      <w:color w:val="auto"/>
                      <w:szCs w:val="21"/>
                      <w:lang w:val="en-US" w:eastAsia="zh-CN"/>
                    </w:rPr>
                  </w:pPr>
                  <w:r>
                    <w:rPr>
                      <w:rFonts w:hint="eastAsia"/>
                      <w:color w:val="auto"/>
                      <w:szCs w:val="21"/>
                      <w:lang w:val="en-US" w:eastAsia="zh-CN"/>
                    </w:rPr>
                    <w:t>4</w:t>
                  </w:r>
                </w:p>
              </w:tc>
              <w:tc>
                <w:tcPr>
                  <w:tcW w:w="805" w:type="pct"/>
                  <w:tcBorders>
                    <w:tl2br w:val="nil"/>
                    <w:tr2bl w:val="nil"/>
                  </w:tcBorders>
                  <w:noWrap w:val="0"/>
                  <w:vAlign w:val="center"/>
                </w:tcPr>
                <w:p w14:paraId="1E0D601D">
                  <w:pPr>
                    <w:spacing w:line="240" w:lineRule="exact"/>
                    <w:jc w:val="center"/>
                    <w:rPr>
                      <w:rFonts w:hint="eastAsia"/>
                      <w:color w:val="auto"/>
                      <w:szCs w:val="21"/>
                      <w:lang w:val="en-US" w:eastAsia="zh-CN"/>
                    </w:rPr>
                  </w:pPr>
                </w:p>
              </w:tc>
            </w:tr>
            <w:tr w14:paraId="05218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50" w:type="pct"/>
                  <w:tcBorders>
                    <w:tl2br w:val="nil"/>
                    <w:tr2bl w:val="nil"/>
                  </w:tcBorders>
                  <w:noWrap w:val="0"/>
                  <w:vAlign w:val="top"/>
                </w:tcPr>
                <w:p w14:paraId="7B24827B">
                  <w:pPr>
                    <w:jc w:val="center"/>
                    <w:rPr>
                      <w:rFonts w:hint="default"/>
                      <w:color w:val="auto"/>
                      <w:szCs w:val="21"/>
                      <w:lang w:val="en-US" w:eastAsia="zh-CN"/>
                    </w:rPr>
                  </w:pPr>
                  <w:r>
                    <w:rPr>
                      <w:rFonts w:hint="eastAsia"/>
                      <w:color w:val="auto"/>
                      <w:szCs w:val="21"/>
                      <w:lang w:val="en-US" w:eastAsia="zh-CN"/>
                    </w:rPr>
                    <w:t>18</w:t>
                  </w:r>
                </w:p>
              </w:tc>
              <w:tc>
                <w:tcPr>
                  <w:tcW w:w="1402" w:type="pct"/>
                  <w:tcBorders>
                    <w:tl2br w:val="nil"/>
                    <w:tr2bl w:val="nil"/>
                  </w:tcBorders>
                  <w:noWrap w:val="0"/>
                  <w:vAlign w:val="center"/>
                </w:tcPr>
                <w:p w14:paraId="0A67C92D">
                  <w:pPr>
                    <w:spacing w:line="240" w:lineRule="exact"/>
                    <w:jc w:val="center"/>
                    <w:rPr>
                      <w:rFonts w:hint="eastAsia" w:ascii="宋体" w:hAnsi="宋体" w:eastAsia="宋体" w:cs="宋体"/>
                      <w:color w:val="000000"/>
                      <w:sz w:val="21"/>
                      <w:szCs w:val="21"/>
                      <w:lang w:val="en-US" w:eastAsia="zh-CN"/>
                    </w:rPr>
                  </w:pPr>
                  <w:r>
                    <w:rPr>
                      <w:rFonts w:hint="eastAsia"/>
                      <w:color w:val="auto"/>
                      <w:szCs w:val="21"/>
                      <w:lang w:val="en-US" w:eastAsia="zh-CN"/>
                    </w:rPr>
                    <w:t>混凝土养护监控系统</w:t>
                  </w:r>
                </w:p>
              </w:tc>
              <w:tc>
                <w:tcPr>
                  <w:tcW w:w="1509" w:type="pct"/>
                  <w:tcBorders>
                    <w:tl2br w:val="nil"/>
                    <w:tr2bl w:val="nil"/>
                  </w:tcBorders>
                  <w:noWrap w:val="0"/>
                  <w:vAlign w:val="center"/>
                </w:tcPr>
                <w:p w14:paraId="487F2248">
                  <w:pPr>
                    <w:spacing w:line="240" w:lineRule="exact"/>
                    <w:jc w:val="center"/>
                    <w:rPr>
                      <w:rFonts w:hint="eastAsia"/>
                      <w:color w:val="auto"/>
                      <w:szCs w:val="21"/>
                      <w:lang w:val="en-US" w:eastAsia="zh-CN"/>
                    </w:rPr>
                  </w:pPr>
                  <w:r>
                    <w:rPr>
                      <w:rFonts w:hint="eastAsia"/>
                      <w:color w:val="auto"/>
                      <w:szCs w:val="21"/>
                      <w:lang w:val="en-US" w:eastAsia="zh-CN"/>
                    </w:rPr>
                    <w:t>/</w:t>
                  </w:r>
                </w:p>
              </w:tc>
              <w:tc>
                <w:tcPr>
                  <w:tcW w:w="631" w:type="pct"/>
                  <w:tcBorders>
                    <w:tl2br w:val="nil"/>
                    <w:tr2bl w:val="nil"/>
                  </w:tcBorders>
                  <w:noWrap w:val="0"/>
                  <w:vAlign w:val="center"/>
                </w:tcPr>
                <w:p w14:paraId="6D86D07A">
                  <w:pPr>
                    <w:spacing w:line="240" w:lineRule="exact"/>
                    <w:jc w:val="center"/>
                    <w:rPr>
                      <w:rFonts w:hint="default"/>
                      <w:color w:val="auto"/>
                      <w:szCs w:val="21"/>
                      <w:lang w:val="en-US" w:eastAsia="zh-CN"/>
                    </w:rPr>
                  </w:pPr>
                  <w:r>
                    <w:rPr>
                      <w:rFonts w:hint="eastAsia"/>
                      <w:color w:val="auto"/>
                      <w:szCs w:val="21"/>
                      <w:lang w:val="en-US" w:eastAsia="zh-CN"/>
                    </w:rPr>
                    <w:t>1</w:t>
                  </w:r>
                </w:p>
              </w:tc>
              <w:tc>
                <w:tcPr>
                  <w:tcW w:w="805" w:type="pct"/>
                  <w:tcBorders>
                    <w:tl2br w:val="nil"/>
                    <w:tr2bl w:val="nil"/>
                  </w:tcBorders>
                  <w:noWrap w:val="0"/>
                  <w:vAlign w:val="center"/>
                </w:tcPr>
                <w:p w14:paraId="6D57A0D2">
                  <w:pPr>
                    <w:spacing w:line="240" w:lineRule="exact"/>
                    <w:jc w:val="center"/>
                    <w:rPr>
                      <w:rFonts w:hint="eastAsia"/>
                      <w:color w:val="auto"/>
                      <w:szCs w:val="21"/>
                      <w:lang w:val="en-US" w:eastAsia="zh-CN"/>
                    </w:rPr>
                  </w:pPr>
                </w:p>
              </w:tc>
            </w:tr>
            <w:tr w14:paraId="7EB96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0" w:type="pct"/>
                  <w:tcBorders>
                    <w:tl2br w:val="nil"/>
                    <w:tr2bl w:val="nil"/>
                  </w:tcBorders>
                  <w:noWrap w:val="0"/>
                  <w:vAlign w:val="top"/>
                </w:tcPr>
                <w:p w14:paraId="2DBF4980">
                  <w:pPr>
                    <w:jc w:val="center"/>
                    <w:rPr>
                      <w:rFonts w:hint="default"/>
                      <w:color w:val="auto"/>
                      <w:szCs w:val="21"/>
                      <w:lang w:val="en-US" w:eastAsia="zh-CN"/>
                    </w:rPr>
                  </w:pPr>
                  <w:r>
                    <w:rPr>
                      <w:rFonts w:hint="eastAsia"/>
                      <w:color w:val="auto"/>
                      <w:szCs w:val="21"/>
                      <w:lang w:val="en-US" w:eastAsia="zh-CN"/>
                    </w:rPr>
                    <w:t>19</w:t>
                  </w:r>
                </w:p>
              </w:tc>
              <w:tc>
                <w:tcPr>
                  <w:tcW w:w="1402" w:type="pct"/>
                  <w:tcBorders>
                    <w:tl2br w:val="nil"/>
                    <w:tr2bl w:val="nil"/>
                  </w:tcBorders>
                  <w:shd w:val="clear" w:color="auto" w:fill="auto"/>
                  <w:noWrap w:val="0"/>
                  <w:vAlign w:val="center"/>
                </w:tcPr>
                <w:p w14:paraId="401DBE46">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电加热蒸汽发生器</w:t>
                  </w:r>
                </w:p>
              </w:tc>
              <w:tc>
                <w:tcPr>
                  <w:tcW w:w="1509" w:type="pct"/>
                  <w:tcBorders>
                    <w:tl2br w:val="nil"/>
                    <w:tr2bl w:val="nil"/>
                  </w:tcBorders>
                  <w:shd w:val="clear" w:color="auto" w:fill="auto"/>
                  <w:noWrap w:val="0"/>
                  <w:vAlign w:val="center"/>
                </w:tcPr>
                <w:p w14:paraId="05B8AC89">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0.2t/h</w:t>
                  </w:r>
                </w:p>
              </w:tc>
              <w:tc>
                <w:tcPr>
                  <w:tcW w:w="631" w:type="pct"/>
                  <w:tcBorders>
                    <w:tl2br w:val="nil"/>
                    <w:tr2bl w:val="nil"/>
                  </w:tcBorders>
                  <w:shd w:val="clear" w:color="auto" w:fill="auto"/>
                  <w:noWrap w:val="0"/>
                  <w:vAlign w:val="center"/>
                </w:tcPr>
                <w:p w14:paraId="5D426F21">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w:t>
                  </w:r>
                </w:p>
              </w:tc>
              <w:tc>
                <w:tcPr>
                  <w:tcW w:w="805" w:type="pct"/>
                  <w:tcBorders>
                    <w:tl2br w:val="nil"/>
                    <w:tr2bl w:val="nil"/>
                  </w:tcBorders>
                  <w:shd w:val="clear" w:color="auto" w:fill="auto"/>
                  <w:noWrap w:val="0"/>
                  <w:vAlign w:val="center"/>
                </w:tcPr>
                <w:p w14:paraId="34C0ED63">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台</w:t>
                  </w:r>
                </w:p>
              </w:tc>
            </w:tr>
          </w:tbl>
          <w:p w14:paraId="71CD7573">
            <w:pPr>
              <w:spacing w:line="360" w:lineRule="auto"/>
              <w:rPr>
                <w:b/>
                <w:color w:val="auto"/>
                <w:sz w:val="24"/>
              </w:rPr>
            </w:pPr>
            <w:r>
              <w:rPr>
                <w:rFonts w:hint="eastAsia"/>
                <w:b/>
                <w:color w:val="auto"/>
                <w:sz w:val="24"/>
              </w:rPr>
              <w:t>7</w:t>
            </w:r>
            <w:r>
              <w:rPr>
                <w:b/>
                <w:color w:val="auto"/>
                <w:sz w:val="24"/>
              </w:rPr>
              <w:t>、</w:t>
            </w:r>
            <w:r>
              <w:rPr>
                <w:rFonts w:hint="eastAsia"/>
                <w:b/>
                <w:color w:val="auto"/>
                <w:sz w:val="24"/>
              </w:rPr>
              <w:t>公用工程</w:t>
            </w:r>
          </w:p>
          <w:p w14:paraId="721FA320">
            <w:pPr>
              <w:pStyle w:val="57"/>
              <w:adjustRightInd/>
              <w:spacing w:line="360" w:lineRule="auto"/>
              <w:ind w:firstLine="482" w:firstLineChars="200"/>
              <w:rPr>
                <w:color w:val="auto"/>
              </w:rPr>
            </w:pPr>
            <w:r>
              <w:rPr>
                <w:rFonts w:hint="eastAsia"/>
                <w:color w:val="auto"/>
              </w:rPr>
              <w:t>（1）给排水</w:t>
            </w:r>
          </w:p>
          <w:p w14:paraId="42C2079F">
            <w:pPr>
              <w:pStyle w:val="57"/>
              <w:spacing w:line="360" w:lineRule="auto"/>
              <w:ind w:firstLine="480" w:firstLineChars="200"/>
              <w:rPr>
                <w:b w:val="0"/>
                <w:bCs w:val="0"/>
                <w:color w:val="auto"/>
                <w:highlight w:val="none"/>
              </w:rPr>
            </w:pPr>
            <w:r>
              <w:rPr>
                <w:rFonts w:hint="eastAsia"/>
                <w:b w:val="0"/>
                <w:bCs w:val="0"/>
                <w:color w:val="auto"/>
                <w:highlight w:val="none"/>
              </w:rPr>
              <w:t>本项目用水由市政供水管网供给。本项目年用水量</w:t>
            </w:r>
            <w:r>
              <w:rPr>
                <w:rFonts w:hint="eastAsia"/>
                <w:b w:val="0"/>
                <w:bCs w:val="0"/>
                <w:color w:val="auto"/>
                <w:highlight w:val="none"/>
                <w:lang w:val="en-US" w:eastAsia="zh-CN"/>
              </w:rPr>
              <w:t>16294</w:t>
            </w:r>
            <w:r>
              <w:rPr>
                <w:rFonts w:hint="eastAsia"/>
                <w:b w:val="0"/>
                <w:bCs w:val="0"/>
                <w:color w:val="auto"/>
                <w:highlight w:val="none"/>
              </w:rPr>
              <w:t>m</w:t>
            </w:r>
            <w:r>
              <w:rPr>
                <w:rFonts w:hint="eastAsia"/>
                <w:b w:val="0"/>
                <w:bCs w:val="0"/>
                <w:color w:val="auto"/>
                <w:highlight w:val="none"/>
                <w:vertAlign w:val="superscript"/>
              </w:rPr>
              <w:t>3</w:t>
            </w:r>
            <w:r>
              <w:rPr>
                <w:rFonts w:hint="eastAsia"/>
                <w:b w:val="0"/>
                <w:bCs w:val="0"/>
                <w:color w:val="auto"/>
                <w:highlight w:val="none"/>
              </w:rPr>
              <w:t>/a，</w:t>
            </w:r>
            <w:r>
              <w:rPr>
                <w:rFonts w:hint="eastAsia"/>
                <w:b w:val="0"/>
                <w:bCs w:val="0"/>
                <w:color w:val="auto"/>
                <w:highlight w:val="none"/>
                <w:shd w:val="clear"/>
              </w:rPr>
              <w:t>主要为</w:t>
            </w:r>
            <w:r>
              <w:rPr>
                <w:rFonts w:hint="eastAsia"/>
                <w:b w:val="0"/>
                <w:bCs w:val="0"/>
                <w:color w:val="auto"/>
                <w:highlight w:val="none"/>
                <w:shd w:val="clear"/>
                <w:lang w:val="en-US" w:eastAsia="zh-CN"/>
              </w:rPr>
              <w:t>物料搅拌混合用水、搅拌机清洗用水、电加热蒸汽发生器用水、脱模稀释剂用水、</w:t>
            </w:r>
            <w:r>
              <w:rPr>
                <w:rFonts w:hint="eastAsia" w:cs="Times New Roman"/>
                <w:b w:val="0"/>
                <w:bCs w:val="0"/>
                <w:color w:val="auto"/>
                <w:sz w:val="24"/>
                <w:szCs w:val="24"/>
                <w:lang w:val="en-US" w:eastAsia="zh-CN"/>
              </w:rPr>
              <w:t>喷淋降尘用水、保湿养护用水</w:t>
            </w:r>
            <w:r>
              <w:rPr>
                <w:rFonts w:hint="eastAsia"/>
                <w:b w:val="0"/>
                <w:bCs w:val="0"/>
                <w:color w:val="auto"/>
                <w:highlight w:val="none"/>
                <w:shd w:val="clear"/>
                <w:lang w:val="en-US" w:eastAsia="zh-CN"/>
              </w:rPr>
              <w:t>和</w:t>
            </w:r>
            <w:r>
              <w:rPr>
                <w:rFonts w:hint="eastAsia"/>
                <w:b w:val="0"/>
                <w:bCs w:val="0"/>
                <w:color w:val="auto"/>
                <w:highlight w:val="none"/>
              </w:rPr>
              <w:t>员工生活用水。</w:t>
            </w:r>
          </w:p>
          <w:p w14:paraId="03AA224B">
            <w:pPr>
              <w:pStyle w:val="57"/>
              <w:adjustRightInd/>
              <w:spacing w:line="360" w:lineRule="auto"/>
              <w:ind w:firstLine="480" w:firstLineChars="200"/>
              <w:jc w:val="both"/>
              <w:rPr>
                <w:rFonts w:hint="default" w:ascii="宋体" w:hAnsi="宋体" w:eastAsia="宋体"/>
                <w:b w:val="0"/>
                <w:bCs w:val="0"/>
                <w:color w:val="auto"/>
                <w:lang w:val="en-US" w:eastAsia="zh-CN"/>
              </w:rPr>
            </w:pPr>
            <w:r>
              <w:rPr>
                <w:rFonts w:hint="eastAsia" w:ascii="宋体" w:hAnsi="宋体"/>
                <w:b w:val="0"/>
                <w:bCs w:val="0"/>
                <w:color w:val="auto"/>
              </w:rPr>
              <w:t>①</w:t>
            </w:r>
            <w:r>
              <w:rPr>
                <w:rFonts w:hint="eastAsia" w:ascii="宋体" w:hAnsi="宋体"/>
                <w:b w:val="0"/>
                <w:bCs w:val="0"/>
                <w:color w:val="auto"/>
                <w:lang w:val="en-US" w:eastAsia="zh-CN"/>
              </w:rPr>
              <w:t>物料搅拌混合用水</w:t>
            </w:r>
          </w:p>
          <w:p w14:paraId="6B307581">
            <w:pPr>
              <w:pStyle w:val="57"/>
              <w:adjustRightInd/>
              <w:spacing w:line="360" w:lineRule="auto"/>
              <w:ind w:firstLine="480" w:firstLineChars="200"/>
              <w:jc w:val="both"/>
              <w:rPr>
                <w:rFonts w:hint="eastAsia"/>
                <w:b w:val="0"/>
                <w:bCs w:val="0"/>
                <w:color w:val="auto"/>
              </w:rPr>
            </w:pPr>
            <w:r>
              <w:rPr>
                <w:rFonts w:hint="eastAsia"/>
                <w:b w:val="0"/>
                <w:bCs w:val="0"/>
                <w:color w:val="auto"/>
                <w:kern w:val="0"/>
                <w:sz w:val="24"/>
                <w:lang w:val="en-US" w:eastAsia="zh-CN"/>
              </w:rPr>
              <w:t>本</w:t>
            </w:r>
            <w:r>
              <w:rPr>
                <w:rFonts w:hint="eastAsia"/>
                <w:b w:val="0"/>
                <w:bCs w:val="0"/>
                <w:color w:val="auto"/>
                <w:kern w:val="0"/>
                <w:sz w:val="24"/>
                <w:highlight w:val="none"/>
                <w:lang w:val="en-US" w:eastAsia="zh-CN"/>
              </w:rPr>
              <w:t>项目生产加工用水为物料搅拌混合用水，根据企业设计资料，年生产加工用水量为26.67</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highlight w:val="none"/>
              </w:rPr>
              <w:t>/</w:t>
            </w:r>
            <w:r>
              <w:rPr>
                <w:rFonts w:hint="eastAsia"/>
                <w:b w:val="0"/>
                <w:bCs w:val="0"/>
                <w:color w:val="auto"/>
                <w:kern w:val="0"/>
                <w:sz w:val="24"/>
                <w:highlight w:val="none"/>
              </w:rPr>
              <w:t>d</w:t>
            </w:r>
            <w:r>
              <w:rPr>
                <w:b w:val="0"/>
                <w:bCs w:val="0"/>
                <w:color w:val="auto"/>
                <w:kern w:val="0"/>
                <w:sz w:val="24"/>
                <w:szCs w:val="20"/>
                <w:highlight w:val="none"/>
              </w:rPr>
              <w:t>（</w:t>
            </w:r>
            <w:r>
              <w:rPr>
                <w:rFonts w:hint="eastAsia"/>
                <w:b w:val="0"/>
                <w:bCs w:val="0"/>
                <w:color w:val="auto"/>
                <w:kern w:val="0"/>
                <w:sz w:val="24"/>
                <w:szCs w:val="20"/>
                <w:highlight w:val="none"/>
                <w:lang w:val="en-US" w:eastAsia="zh-CN"/>
              </w:rPr>
              <w:t>8000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kern w:val="0"/>
                <w:sz w:val="24"/>
                <w:szCs w:val="20"/>
                <w:highlight w:val="none"/>
                <w:lang w:eastAsia="zh-CN"/>
              </w:rPr>
              <w:t>，</w:t>
            </w:r>
            <w:r>
              <w:rPr>
                <w:rFonts w:hint="eastAsia"/>
                <w:b w:val="0"/>
                <w:bCs w:val="0"/>
                <w:color w:val="auto"/>
                <w:kern w:val="0"/>
                <w:sz w:val="24"/>
                <w:szCs w:val="20"/>
                <w:lang w:val="en-US" w:eastAsia="zh-CN"/>
              </w:rPr>
              <w:t>该部分用水全部进入产品。</w:t>
            </w:r>
          </w:p>
          <w:p w14:paraId="74794140">
            <w:pPr>
              <w:pStyle w:val="57"/>
              <w:adjustRightInd/>
              <w:spacing w:line="360" w:lineRule="auto"/>
              <w:ind w:firstLine="480" w:firstLineChars="200"/>
              <w:jc w:val="both"/>
              <w:rPr>
                <w:rFonts w:hint="eastAsia" w:ascii="宋体" w:hAnsi="宋体"/>
                <w:b w:val="0"/>
                <w:bCs w:val="0"/>
                <w:color w:val="auto"/>
              </w:rPr>
            </w:pPr>
            <w:r>
              <w:rPr>
                <w:rFonts w:hint="eastAsia" w:ascii="宋体" w:hAnsi="宋体"/>
                <w:b w:val="0"/>
                <w:bCs w:val="0"/>
                <w:color w:val="auto"/>
              </w:rPr>
              <w:t>②</w:t>
            </w:r>
            <w:r>
              <w:rPr>
                <w:rFonts w:hint="eastAsia" w:ascii="宋体" w:hAnsi="宋体"/>
                <w:b w:val="0"/>
                <w:bCs w:val="0"/>
                <w:color w:val="auto"/>
                <w:lang w:val="en-US" w:eastAsia="zh-CN"/>
              </w:rPr>
              <w:t>搅拌机清洗用水</w:t>
            </w:r>
          </w:p>
          <w:p w14:paraId="1EDCB6F2">
            <w:pPr>
              <w:pStyle w:val="57"/>
              <w:adjustRightInd/>
              <w:spacing w:line="360" w:lineRule="auto"/>
              <w:ind w:firstLine="480" w:firstLineChars="200"/>
              <w:jc w:val="both"/>
              <w:rPr>
                <w:rFonts w:hint="eastAsia"/>
                <w:b w:val="0"/>
                <w:bCs w:val="0"/>
                <w:color w:val="auto"/>
              </w:rPr>
            </w:pPr>
            <w:r>
              <w:rPr>
                <w:rFonts w:hint="eastAsia"/>
                <w:b w:val="0"/>
                <w:bCs w:val="0"/>
                <w:color w:val="auto"/>
                <w:sz w:val="24"/>
                <w:lang w:val="en-US" w:eastAsia="zh-CN"/>
              </w:rPr>
              <w:t>项目搅拌机工作完成后，需利用清水进行清洗，搅拌机每天需冲洗一次，每次用水量约</w:t>
            </w:r>
            <w:r>
              <w:rPr>
                <w:rFonts w:hint="eastAsia"/>
                <w:b w:val="0"/>
                <w:bCs w:val="0"/>
                <w:color w:val="auto"/>
                <w:sz w:val="24"/>
                <w:highlight w:val="none"/>
                <w:lang w:val="en-US" w:eastAsia="zh-CN"/>
              </w:rPr>
              <w:t>0.3</w:t>
            </w:r>
            <w:r>
              <w:rPr>
                <w:b w:val="0"/>
                <w:bCs w:val="0"/>
                <w:color w:val="auto"/>
                <w:kern w:val="0"/>
                <w:sz w:val="24"/>
                <w:szCs w:val="20"/>
                <w:highlight w:val="none"/>
              </w:rPr>
              <w:t>m</w:t>
            </w:r>
            <w:r>
              <w:rPr>
                <w:b w:val="0"/>
                <w:bCs w:val="0"/>
                <w:color w:val="auto"/>
                <w:kern w:val="0"/>
                <w:sz w:val="24"/>
                <w:szCs w:val="20"/>
                <w:highlight w:val="none"/>
                <w:vertAlign w:val="superscript"/>
              </w:rPr>
              <w:t>3</w:t>
            </w:r>
            <w:r>
              <w:rPr>
                <w:rFonts w:hint="eastAsia"/>
                <w:b w:val="0"/>
                <w:bCs w:val="0"/>
                <w:color w:val="auto"/>
                <w:sz w:val="24"/>
                <w:highlight w:val="none"/>
                <w:lang w:val="en-US" w:eastAsia="zh-CN"/>
              </w:rPr>
              <w:t>，则搅拌机清洗用水量为90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highlight w:val="none"/>
                <w:lang w:val="en-US" w:eastAsia="zh-CN"/>
              </w:rPr>
              <w:t>，废水进入沉淀池处理，其产污系数按0.8计，则搅拌机清洗废水产生量为</w:t>
            </w:r>
            <w:r>
              <w:rPr>
                <w:rFonts w:hint="eastAsia"/>
                <w:b w:val="0"/>
                <w:bCs w:val="0"/>
                <w:color w:val="auto"/>
                <w:kern w:val="0"/>
                <w:sz w:val="24"/>
                <w:szCs w:val="20"/>
                <w:highlight w:val="none"/>
                <w:lang w:val="en-US" w:eastAsia="zh-CN"/>
              </w:rPr>
              <w:t>0.24</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highlight w:val="none"/>
              </w:rPr>
              <w:t>/</w:t>
            </w:r>
            <w:r>
              <w:rPr>
                <w:rFonts w:hint="eastAsia"/>
                <w:b w:val="0"/>
                <w:bCs w:val="0"/>
                <w:color w:val="auto"/>
                <w:kern w:val="0"/>
                <w:sz w:val="24"/>
                <w:highlight w:val="none"/>
              </w:rPr>
              <w:t>d</w:t>
            </w:r>
            <w:r>
              <w:rPr>
                <w:b w:val="0"/>
                <w:bCs w:val="0"/>
                <w:color w:val="auto"/>
                <w:kern w:val="0"/>
                <w:sz w:val="24"/>
                <w:szCs w:val="20"/>
                <w:highlight w:val="none"/>
              </w:rPr>
              <w:t>（</w:t>
            </w:r>
            <w:r>
              <w:rPr>
                <w:rFonts w:hint="eastAsia"/>
                <w:b w:val="0"/>
                <w:bCs w:val="0"/>
                <w:color w:val="auto"/>
                <w:kern w:val="0"/>
                <w:sz w:val="24"/>
                <w:szCs w:val="20"/>
                <w:highlight w:val="none"/>
                <w:lang w:val="en-US" w:eastAsia="zh-CN"/>
              </w:rPr>
              <w:t>72</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kern w:val="0"/>
                <w:sz w:val="24"/>
                <w:szCs w:val="20"/>
                <w:highlight w:val="none"/>
                <w:lang w:eastAsia="zh-CN"/>
              </w:rPr>
              <w:t>，</w:t>
            </w:r>
            <w:r>
              <w:rPr>
                <w:rFonts w:hint="eastAsia"/>
                <w:b w:val="0"/>
                <w:bCs w:val="0"/>
                <w:color w:val="auto"/>
                <w:kern w:val="0"/>
                <w:sz w:val="24"/>
                <w:szCs w:val="20"/>
                <w:highlight w:val="none"/>
                <w:lang w:val="en-US" w:eastAsia="zh-CN"/>
              </w:rPr>
              <w:t>该部分废水经沉淀池处理后回用于生产，不外排。</w:t>
            </w:r>
          </w:p>
          <w:p w14:paraId="7979526C">
            <w:pPr>
              <w:pStyle w:val="57"/>
              <w:adjustRightInd/>
              <w:spacing w:line="360" w:lineRule="auto"/>
              <w:ind w:firstLine="560" w:firstLineChars="200"/>
              <w:jc w:val="both"/>
              <w:rPr>
                <w:rFonts w:hint="eastAsia"/>
                <w:b w:val="0"/>
                <w:bCs w:val="0"/>
                <w:color w:val="auto"/>
              </w:rPr>
            </w:pPr>
            <w:r>
              <w:rPr>
                <w:rFonts w:hint="eastAsia"/>
                <w:b w:val="0"/>
                <w:bCs w:val="0"/>
                <w:color w:val="auto"/>
                <w:sz w:val="28"/>
                <w:szCs w:val="28"/>
              </w:rPr>
              <w:fldChar w:fldCharType="begin"/>
            </w:r>
            <w:r>
              <w:rPr>
                <w:rFonts w:hint="eastAsia"/>
                <w:b w:val="0"/>
                <w:bCs w:val="0"/>
                <w:color w:val="auto"/>
                <w:sz w:val="28"/>
                <w:szCs w:val="28"/>
              </w:rPr>
              <w:instrText xml:space="preserve"> = 3 \* GB3 \* MERGEFORMAT </w:instrText>
            </w:r>
            <w:r>
              <w:rPr>
                <w:rFonts w:hint="eastAsia"/>
                <w:b w:val="0"/>
                <w:bCs w:val="0"/>
                <w:color w:val="auto"/>
                <w:sz w:val="28"/>
                <w:szCs w:val="28"/>
              </w:rPr>
              <w:fldChar w:fldCharType="separate"/>
            </w:r>
            <w:r>
              <w:rPr>
                <w:b w:val="0"/>
                <w:bCs w:val="0"/>
                <w:color w:val="auto"/>
                <w:sz w:val="22"/>
                <w:szCs w:val="28"/>
              </w:rPr>
              <w:t>③</w:t>
            </w:r>
            <w:r>
              <w:rPr>
                <w:rFonts w:hint="eastAsia"/>
                <w:b w:val="0"/>
                <w:bCs w:val="0"/>
                <w:color w:val="auto"/>
                <w:sz w:val="28"/>
                <w:szCs w:val="28"/>
              </w:rPr>
              <w:fldChar w:fldCharType="end"/>
            </w:r>
            <w:r>
              <w:rPr>
                <w:rFonts w:hint="eastAsia"/>
                <w:b w:val="0"/>
                <w:bCs w:val="0"/>
                <w:color w:val="auto"/>
                <w:sz w:val="24"/>
                <w:szCs w:val="24"/>
                <w:lang w:val="en-US" w:eastAsia="zh-CN"/>
              </w:rPr>
              <w:t>电加热</w:t>
            </w:r>
            <w:r>
              <w:rPr>
                <w:rFonts w:hint="eastAsia"/>
                <w:b w:val="0"/>
                <w:bCs w:val="0"/>
                <w:color w:val="auto"/>
                <w:lang w:val="en-US" w:eastAsia="zh-CN"/>
              </w:rPr>
              <w:t>蒸汽发生器软水制备用水</w:t>
            </w:r>
          </w:p>
          <w:p w14:paraId="19EFA993">
            <w:pPr>
              <w:pStyle w:val="57"/>
              <w:adjustRightInd/>
              <w:spacing w:line="360" w:lineRule="auto"/>
              <w:ind w:firstLine="480" w:firstLineChars="200"/>
              <w:jc w:val="both"/>
              <w:rPr>
                <w:rFonts w:hint="eastAsia"/>
                <w:b w:val="0"/>
                <w:bCs w:val="0"/>
                <w:color w:val="auto"/>
                <w:highlight w:val="none"/>
              </w:rPr>
            </w:pPr>
            <w:r>
              <w:rPr>
                <w:rFonts w:hint="eastAsia"/>
                <w:b w:val="0"/>
                <w:bCs w:val="0"/>
                <w:sz w:val="24"/>
                <w:szCs w:val="24"/>
                <w:highlight w:val="none"/>
                <w:shd w:val="clear"/>
                <w:lang w:val="en-US" w:eastAsia="zh-CN"/>
              </w:rPr>
              <w:t>本项目设置有一台0.8t/h的</w:t>
            </w:r>
            <w:r>
              <w:rPr>
                <w:rFonts w:hint="eastAsia"/>
                <w:b w:val="0"/>
                <w:bCs w:val="0"/>
                <w:color w:val="auto"/>
                <w:sz w:val="24"/>
                <w:szCs w:val="24"/>
                <w:lang w:val="en-US" w:eastAsia="zh-CN"/>
              </w:rPr>
              <w:t>电加热</w:t>
            </w:r>
            <w:r>
              <w:rPr>
                <w:rFonts w:hint="eastAsia"/>
                <w:b w:val="0"/>
                <w:bCs w:val="0"/>
                <w:color w:val="auto"/>
                <w:lang w:val="en-US" w:eastAsia="zh-CN"/>
              </w:rPr>
              <w:t>蒸汽发生器</w:t>
            </w:r>
            <w:r>
              <w:rPr>
                <w:rFonts w:hint="eastAsia"/>
                <w:b w:val="0"/>
                <w:bCs w:val="0"/>
                <w:sz w:val="24"/>
                <w:szCs w:val="24"/>
                <w:highlight w:val="none"/>
                <w:shd w:val="clear"/>
                <w:lang w:val="en-US" w:eastAsia="zh-CN"/>
              </w:rPr>
              <w:t>，</w:t>
            </w:r>
            <w:r>
              <w:rPr>
                <w:rFonts w:hint="eastAsia"/>
                <w:b w:val="0"/>
                <w:bCs w:val="0"/>
                <w:sz w:val="24"/>
                <w:szCs w:val="24"/>
                <w:highlight w:val="none"/>
                <w:lang w:val="en-US" w:eastAsia="zh-CN"/>
              </w:rPr>
              <w:t>为岔枕养护提供热能。</w:t>
            </w:r>
            <w:r>
              <w:rPr>
                <w:rFonts w:hint="eastAsia"/>
                <w:b w:val="0"/>
                <w:bCs w:val="0"/>
                <w:color w:val="auto"/>
                <w:lang w:val="en-US" w:eastAsia="zh-CN"/>
              </w:rPr>
              <w:t>蒸汽发生器</w:t>
            </w:r>
            <w:r>
              <w:rPr>
                <w:rFonts w:hint="eastAsia"/>
                <w:b w:val="0"/>
                <w:bCs w:val="0"/>
                <w:sz w:val="24"/>
                <w:szCs w:val="24"/>
                <w:highlight w:val="none"/>
                <w:lang w:val="en-US" w:eastAsia="zh-CN"/>
              </w:rPr>
              <w:t>产生的蒸汽与产品直接接触，蒸汽全部消耗。本项目</w:t>
            </w:r>
            <w:r>
              <w:rPr>
                <w:rFonts w:hint="eastAsia"/>
                <w:b w:val="0"/>
                <w:bCs w:val="0"/>
                <w:color w:val="auto"/>
                <w:lang w:val="en-US" w:eastAsia="zh-CN"/>
              </w:rPr>
              <w:t>蒸汽发生器</w:t>
            </w:r>
            <w:r>
              <w:rPr>
                <w:rFonts w:hint="eastAsia"/>
                <w:b w:val="0"/>
                <w:bCs w:val="0"/>
                <w:sz w:val="24"/>
                <w:szCs w:val="24"/>
                <w:highlight w:val="none"/>
                <w:lang w:val="en-US" w:eastAsia="zh-CN"/>
              </w:rPr>
              <w:t>运行时间约2400h/a，则</w:t>
            </w:r>
            <w:r>
              <w:rPr>
                <w:rFonts w:hint="eastAsia"/>
                <w:b w:val="0"/>
                <w:bCs w:val="0"/>
                <w:color w:val="auto"/>
                <w:lang w:val="en-US" w:eastAsia="zh-CN"/>
              </w:rPr>
              <w:t>蒸汽发生器</w:t>
            </w:r>
            <w:r>
              <w:rPr>
                <w:rFonts w:hint="eastAsia"/>
                <w:b w:val="0"/>
                <w:bCs w:val="0"/>
                <w:sz w:val="24"/>
                <w:szCs w:val="24"/>
                <w:highlight w:val="none"/>
                <w:lang w:val="en-US" w:eastAsia="zh-CN"/>
              </w:rPr>
              <w:t>用水量为</w:t>
            </w:r>
            <w:r>
              <w:rPr>
                <w:rFonts w:hint="eastAsia"/>
                <w:b w:val="0"/>
                <w:bCs w:val="0"/>
                <w:color w:val="auto"/>
                <w:kern w:val="0"/>
                <w:sz w:val="24"/>
                <w:szCs w:val="20"/>
                <w:highlight w:val="none"/>
                <w:lang w:val="en-US" w:eastAsia="zh-CN"/>
              </w:rPr>
              <w:t>6.4</w:t>
            </w:r>
            <w:r>
              <w:rPr>
                <w:rFonts w:hint="eastAsia"/>
                <w:b w:val="0"/>
                <w:bCs w:val="0"/>
                <w:color w:val="auto"/>
                <w:sz w:val="24"/>
                <w:highlight w:val="none"/>
                <w:lang w:val="en-US" w:eastAsia="zh-CN"/>
              </w:rPr>
              <w:t>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w:t>
            </w:r>
            <w:r>
              <w:rPr>
                <w:rFonts w:hint="eastAsia"/>
                <w:b w:val="0"/>
                <w:bCs w:val="0"/>
                <w:sz w:val="24"/>
                <w:szCs w:val="24"/>
                <w:highlight w:val="none"/>
                <w:lang w:val="en-US" w:eastAsia="zh-CN"/>
              </w:rPr>
              <w:t>1920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kern w:val="0"/>
                <w:sz w:val="24"/>
                <w:szCs w:val="20"/>
                <w:highlight w:val="none"/>
                <w:lang w:eastAsia="zh-CN"/>
              </w:rPr>
              <w:t>）。</w:t>
            </w:r>
            <w:r>
              <w:rPr>
                <w:rFonts w:hint="eastAsia"/>
                <w:b w:val="0"/>
                <w:bCs w:val="0"/>
                <w:color w:val="auto"/>
                <w:lang w:val="en-US" w:eastAsia="zh-CN"/>
              </w:rPr>
              <w:t>蒸汽发生器</w:t>
            </w:r>
            <w:r>
              <w:rPr>
                <w:rFonts w:hint="eastAsia"/>
                <w:b w:val="0"/>
                <w:bCs w:val="0"/>
                <w:color w:val="auto"/>
                <w:kern w:val="0"/>
                <w:sz w:val="24"/>
                <w:szCs w:val="20"/>
                <w:highlight w:val="none"/>
                <w:lang w:val="en-US" w:eastAsia="zh-CN"/>
              </w:rPr>
              <w:t>用水为软水，软水制备效率约为75%。因此，本项目</w:t>
            </w:r>
            <w:r>
              <w:rPr>
                <w:rFonts w:hint="eastAsia"/>
                <w:b w:val="0"/>
                <w:bCs w:val="0"/>
                <w:color w:val="auto"/>
                <w:lang w:val="en-US" w:eastAsia="zh-CN"/>
              </w:rPr>
              <w:t>蒸汽发生器</w:t>
            </w:r>
            <w:r>
              <w:rPr>
                <w:rFonts w:hint="eastAsia"/>
                <w:b w:val="0"/>
                <w:bCs w:val="0"/>
                <w:color w:val="auto"/>
                <w:kern w:val="0"/>
                <w:sz w:val="24"/>
                <w:szCs w:val="20"/>
                <w:highlight w:val="none"/>
                <w:lang w:val="en-US" w:eastAsia="zh-CN"/>
              </w:rPr>
              <w:t>新鲜水用水量为8.53</w:t>
            </w:r>
            <w:r>
              <w:rPr>
                <w:rFonts w:hint="eastAsia"/>
                <w:b w:val="0"/>
                <w:bCs w:val="0"/>
                <w:color w:val="auto"/>
                <w:sz w:val="24"/>
                <w:highlight w:val="none"/>
                <w:lang w:val="en-US" w:eastAsia="zh-CN"/>
              </w:rPr>
              <w:t>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/d（2560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highlight w:val="none"/>
                <w:lang w:val="en-US" w:eastAsia="zh-CN"/>
              </w:rPr>
              <w:t>），软水系统浓水产生量为2.13m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/d（640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highlight w:val="none"/>
                <w:lang w:val="en-US" w:eastAsia="zh-CN"/>
              </w:rPr>
              <w:t>）。</w:t>
            </w:r>
          </w:p>
          <w:p w14:paraId="4049783C">
            <w:pPr>
              <w:spacing w:line="360" w:lineRule="auto"/>
              <w:ind w:firstLine="560" w:firstLineChars="200"/>
              <w:rPr>
                <w:rFonts w:hint="default" w:ascii="Times New Roman" w:hAnsi="Times New Roman" w:eastAsia="宋体" w:cs="Times New Roman"/>
                <w:b w:val="0"/>
                <w:bCs w:val="0"/>
                <w:color w:val="auto"/>
                <w:sz w:val="24"/>
                <w:lang w:val="en-US" w:eastAsia="zh-CN"/>
              </w:rPr>
            </w:pPr>
            <w:r>
              <w:rPr>
                <w:rFonts w:hint="eastAsia"/>
                <w:b w:val="0"/>
                <w:bCs w:val="0"/>
                <w:color w:val="auto"/>
                <w:sz w:val="28"/>
                <w:szCs w:val="28"/>
                <w:lang w:val="en-US" w:eastAsia="zh-CN"/>
              </w:rPr>
              <w:fldChar w:fldCharType="begin"/>
            </w:r>
            <w:r>
              <w:rPr>
                <w:rFonts w:hint="eastAsia"/>
                <w:b w:val="0"/>
                <w:bCs w:val="0"/>
                <w:color w:val="auto"/>
                <w:sz w:val="28"/>
                <w:szCs w:val="28"/>
                <w:lang w:val="en-US" w:eastAsia="zh-CN"/>
              </w:rPr>
              <w:instrText xml:space="preserve"> = 4 \* GB3 \* MERGEFORMAT </w:instrText>
            </w:r>
            <w:r>
              <w:rPr>
                <w:rFonts w:hint="eastAsia"/>
                <w:b w:val="0"/>
                <w:bCs w:val="0"/>
                <w:color w:val="auto"/>
                <w:sz w:val="28"/>
                <w:szCs w:val="28"/>
                <w:lang w:val="en-US" w:eastAsia="zh-CN"/>
              </w:rPr>
              <w:fldChar w:fldCharType="separate"/>
            </w:r>
            <w:r>
              <w:rPr>
                <w:b w:val="0"/>
                <w:bCs w:val="0"/>
                <w:sz w:val="22"/>
                <w:szCs w:val="28"/>
              </w:rPr>
              <w:t>④</w:t>
            </w:r>
            <w:r>
              <w:rPr>
                <w:rFonts w:hint="eastAsia"/>
                <w:b w:val="0"/>
                <w:bCs w:val="0"/>
                <w:color w:val="auto"/>
                <w:sz w:val="28"/>
                <w:szCs w:val="28"/>
                <w:lang w:val="en-US" w:eastAsia="zh-CN"/>
              </w:rPr>
              <w:fldChar w:fldCharType="end"/>
            </w:r>
            <w:r>
              <w:rPr>
                <w:rFonts w:hint="eastAsia" w:ascii="Times New Roman" w:hAnsi="Times New Roman" w:eastAsia="宋体" w:cs="Times New Roman"/>
                <w:b w:val="0"/>
                <w:bCs w:val="0"/>
                <w:color w:val="auto"/>
                <w:sz w:val="24"/>
                <w:lang w:val="en-US" w:eastAsia="zh-CN"/>
              </w:rPr>
              <w:t>脱模剂稀释用水</w:t>
            </w:r>
          </w:p>
          <w:p w14:paraId="6D651386">
            <w:pPr>
              <w:pStyle w:val="57"/>
              <w:adjustRightInd/>
              <w:spacing w:line="360" w:lineRule="auto"/>
              <w:ind w:firstLine="480" w:firstLineChars="200"/>
              <w:jc w:val="both"/>
              <w:rPr>
                <w:rFonts w:hint="eastAsia"/>
                <w:b w:val="0"/>
                <w:bCs w:val="0"/>
                <w:color w:val="auto"/>
              </w:rPr>
            </w:pPr>
            <w:r>
              <w:rPr>
                <w:rFonts w:hint="eastAsia"/>
                <w:b w:val="0"/>
                <w:bCs w:val="0"/>
                <w:color w:val="auto"/>
                <w:sz w:val="24"/>
                <w:lang w:val="en-US" w:eastAsia="zh-CN"/>
              </w:rPr>
              <w:t>本项目脱模剂使用时，需加水进行稀释。根据企业设计资料，脱模剂与水的调配比例为1：2，本项目脱模剂年用量为10t，则脱模剂稀释用水量为0.07m</w:t>
            </w:r>
            <w:r>
              <w:rPr>
                <w:rFonts w:hint="eastAsia"/>
                <w:b w:val="0"/>
                <w:bCs w:val="0"/>
                <w:color w:val="auto"/>
                <w:sz w:val="24"/>
                <w:vertAlign w:val="superscript"/>
                <w:lang w:val="en-US" w:eastAsia="zh-CN"/>
              </w:rPr>
              <w:t>3</w:t>
            </w:r>
            <w:r>
              <w:rPr>
                <w:rFonts w:hint="eastAsia"/>
                <w:b w:val="0"/>
                <w:bCs w:val="0"/>
                <w:color w:val="auto"/>
                <w:sz w:val="24"/>
                <w:lang w:val="en-US" w:eastAsia="zh-CN"/>
              </w:rPr>
              <w:t>/d（20</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lang w:val="en-US" w:eastAsia="zh-CN"/>
              </w:rPr>
              <w:t>），该部分用水全部损耗。</w:t>
            </w:r>
          </w:p>
          <w:p w14:paraId="19B53F40">
            <w:pPr>
              <w:pStyle w:val="57"/>
              <w:adjustRightInd/>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fldChar w:fldCharType="begin"/>
            </w:r>
            <w:r>
              <w:rPr>
                <w:rFonts w:hint="eastAsia" w:ascii="Times New Roman" w:hAnsi="Times New Roman" w:eastAsia="宋体" w:cs="Times New Roman"/>
                <w:b w:val="0"/>
                <w:bCs w:val="0"/>
                <w:color w:val="auto"/>
                <w:sz w:val="24"/>
                <w:szCs w:val="24"/>
                <w:lang w:val="en-US" w:eastAsia="zh-CN"/>
              </w:rPr>
              <w:instrText xml:space="preserve"> = 5 \* GB3 \* MERGEFORMAT </w:instrText>
            </w:r>
            <w:r>
              <w:rPr>
                <w:rFonts w:hint="eastAsia" w:ascii="Times New Roman" w:hAnsi="Times New Roman" w:eastAsia="宋体" w:cs="Times New Roman"/>
                <w:b w:val="0"/>
                <w:bCs w:val="0"/>
                <w:color w:val="auto"/>
                <w:sz w:val="24"/>
                <w:szCs w:val="24"/>
                <w:lang w:val="en-US" w:eastAsia="zh-CN"/>
              </w:rPr>
              <w:fldChar w:fldCharType="separate"/>
            </w:r>
            <w:r>
              <w:rPr>
                <w:b w:val="0"/>
                <w:bCs w:val="0"/>
                <w:sz w:val="24"/>
                <w:szCs w:val="24"/>
              </w:rPr>
              <w:t>⑤</w:t>
            </w:r>
            <w:r>
              <w:rPr>
                <w:rFonts w:hint="eastAsia" w:ascii="Times New Roman" w:hAnsi="Times New Roman" w:eastAsia="宋体" w:cs="Times New Roman"/>
                <w:b w:val="0"/>
                <w:bCs w:val="0"/>
                <w:color w:val="auto"/>
                <w:sz w:val="24"/>
                <w:szCs w:val="24"/>
                <w:lang w:val="en-US" w:eastAsia="zh-CN"/>
              </w:rPr>
              <w:fldChar w:fldCharType="end"/>
            </w:r>
            <w:r>
              <w:rPr>
                <w:rFonts w:hint="eastAsia" w:cs="Times New Roman"/>
                <w:b w:val="0"/>
                <w:bCs w:val="0"/>
                <w:color w:val="auto"/>
                <w:sz w:val="24"/>
                <w:szCs w:val="24"/>
                <w:lang w:val="en-US" w:eastAsia="zh-CN"/>
              </w:rPr>
              <w:t>喷淋降尘用水</w:t>
            </w:r>
          </w:p>
          <w:p w14:paraId="05E00355">
            <w:pPr>
              <w:pStyle w:val="57"/>
              <w:adjustRightInd/>
              <w:spacing w:line="360" w:lineRule="auto"/>
              <w:ind w:firstLine="480" w:firstLineChars="200"/>
              <w:jc w:val="both"/>
              <w:rPr>
                <w:rFonts w:hint="eastAsia" w:eastAsia="宋体" w:cs="Times New Roman"/>
                <w:b w:val="0"/>
                <w:bCs w:val="0"/>
                <w:color w:val="auto"/>
                <w:sz w:val="24"/>
                <w:szCs w:val="24"/>
                <w:lang w:val="en-US" w:eastAsia="zh-CN"/>
              </w:rPr>
            </w:pPr>
            <w:r>
              <w:rPr>
                <w:rFonts w:hint="eastAsia"/>
                <w:b w:val="0"/>
                <w:bCs w:val="0"/>
                <w:color w:val="auto"/>
                <w:sz w:val="24"/>
                <w:lang w:val="en-US" w:eastAsia="zh-CN"/>
              </w:rPr>
              <w:t>本项目在骨料堆放区、配料区、搅拌区上方，均安装水喷淋抑尘装置。根据建设项目提供资料，项目抑尘用水量为2.13m</w:t>
            </w:r>
            <w:r>
              <w:rPr>
                <w:rFonts w:hint="eastAsia"/>
                <w:b w:val="0"/>
                <w:bCs w:val="0"/>
                <w:color w:val="auto"/>
                <w:sz w:val="24"/>
                <w:vertAlign w:val="superscript"/>
                <w:lang w:val="en-US" w:eastAsia="zh-CN"/>
              </w:rPr>
              <w:t>3</w:t>
            </w:r>
            <w:r>
              <w:rPr>
                <w:rFonts w:hint="eastAsia"/>
                <w:b w:val="0"/>
                <w:bCs w:val="0"/>
                <w:color w:val="auto"/>
                <w:sz w:val="24"/>
                <w:lang w:val="en-US" w:eastAsia="zh-CN"/>
              </w:rPr>
              <w:t>/d（639</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lang w:val="en-US" w:eastAsia="zh-CN"/>
              </w:rPr>
              <w:t>），该部分用水来自于</w:t>
            </w:r>
            <w:r>
              <w:rPr>
                <w:rFonts w:hint="eastAsia"/>
                <w:b w:val="0"/>
                <w:bCs w:val="0"/>
                <w:color w:val="auto"/>
                <w:lang w:val="en-US" w:eastAsia="zh-CN"/>
              </w:rPr>
              <w:t>蒸汽发生器</w:t>
            </w:r>
            <w:r>
              <w:rPr>
                <w:rFonts w:hint="eastAsia"/>
                <w:b w:val="0"/>
                <w:bCs w:val="0"/>
                <w:color w:val="auto"/>
                <w:sz w:val="24"/>
                <w:lang w:val="en-US" w:eastAsia="zh-CN"/>
              </w:rPr>
              <w:t>软水制备系统产生的浓水，抑尘用水全部损耗。</w:t>
            </w:r>
          </w:p>
          <w:p w14:paraId="5229462D">
            <w:pPr>
              <w:pStyle w:val="57"/>
              <w:adjustRightInd/>
              <w:spacing w:line="360" w:lineRule="auto"/>
              <w:ind w:firstLine="560" w:firstLineChars="200"/>
              <w:jc w:val="both"/>
              <w:rPr>
                <w:rFonts w:hint="default" w:ascii="Times New Roman" w:hAnsi="Times New Roman" w:eastAsia="宋体" w:cs="Times New Roman"/>
                <w:b w:val="0"/>
                <w:bCs w:val="0"/>
                <w:color w:val="auto"/>
                <w:sz w:val="28"/>
                <w:szCs w:val="28"/>
                <w:lang w:val="en-US" w:eastAsia="zh-CN"/>
              </w:rPr>
            </w:pPr>
            <w:r>
              <w:rPr>
                <w:rFonts w:hint="eastAsia" w:ascii="Arial" w:hAnsi="Arial" w:eastAsia="宋体" w:cs="Arial"/>
                <w:b w:val="0"/>
                <w:bCs w:val="0"/>
                <w:snapToGrid w:val="0"/>
                <w:color w:val="000000"/>
                <w:kern w:val="0"/>
                <w:sz w:val="28"/>
                <w:szCs w:val="22"/>
                <w:lang w:val="en-US" w:eastAsia="en-US" w:bidi="ar-SA"/>
              </w:rPr>
              <w:t>⑥</w:t>
            </w:r>
            <w:r>
              <w:rPr>
                <w:rFonts w:hint="eastAsia" w:eastAsia="宋体" w:cs="Times New Roman"/>
                <w:b w:val="0"/>
                <w:bCs w:val="0"/>
                <w:color w:val="auto"/>
                <w:sz w:val="24"/>
                <w:szCs w:val="24"/>
                <w:lang w:val="en-US" w:eastAsia="zh-CN"/>
              </w:rPr>
              <w:t>保湿养护用水</w:t>
            </w:r>
          </w:p>
          <w:p w14:paraId="0FC5FA05">
            <w:pPr>
              <w:pStyle w:val="57"/>
              <w:adjustRightInd/>
              <w:spacing w:line="360" w:lineRule="auto"/>
              <w:ind w:firstLine="480" w:firstLineChars="200"/>
              <w:jc w:val="both"/>
              <w:rPr>
                <w:rFonts w:hint="eastAsia"/>
                <w:b w:val="0"/>
                <w:bCs w:val="0"/>
                <w:color w:val="auto"/>
              </w:rPr>
            </w:pPr>
            <w:r>
              <w:rPr>
                <w:rFonts w:hint="eastAsia"/>
                <w:b w:val="0"/>
                <w:bCs w:val="0"/>
                <w:color w:val="auto"/>
                <w:lang w:val="en-US" w:eastAsia="zh-CN"/>
              </w:rPr>
              <w:t>脱模后的岔枕经</w:t>
            </w:r>
            <w:r>
              <w:rPr>
                <w:rFonts w:hint="eastAsia"/>
                <w:b w:val="0"/>
                <w:bCs w:val="0"/>
                <w:color w:val="auto"/>
              </w:rPr>
              <w:t>蒸汽</w:t>
            </w:r>
            <w:r>
              <w:rPr>
                <w:rFonts w:hint="eastAsia"/>
                <w:b w:val="0"/>
                <w:bCs w:val="0"/>
                <w:color w:val="auto"/>
                <w:lang w:val="en-US" w:eastAsia="zh-CN"/>
              </w:rPr>
              <w:t>养护</w:t>
            </w:r>
            <w:r>
              <w:rPr>
                <w:rFonts w:hint="eastAsia"/>
                <w:b w:val="0"/>
                <w:bCs w:val="0"/>
                <w:color w:val="auto"/>
              </w:rPr>
              <w:t>成型后需放置自然养护，夏天放置2天，冬天放置时间为3</w:t>
            </w:r>
            <w:r>
              <w:rPr>
                <w:rFonts w:hint="eastAsia"/>
                <w:b w:val="0"/>
                <w:bCs w:val="0"/>
                <w:color w:val="auto"/>
                <w:lang w:val="en-US" w:eastAsia="zh-CN"/>
              </w:rPr>
              <w:t>~</w:t>
            </w:r>
            <w:r>
              <w:rPr>
                <w:rFonts w:hint="eastAsia"/>
                <w:b w:val="0"/>
                <w:bCs w:val="0"/>
                <w:color w:val="auto"/>
              </w:rPr>
              <w:t>5天，强度值能够达到设计混凝土强度的70%，满足使用要求，每天还要专人对其喷三次水</w:t>
            </w:r>
            <w:r>
              <w:rPr>
                <w:rFonts w:hint="eastAsia"/>
                <w:b w:val="0"/>
                <w:bCs w:val="0"/>
                <w:color w:val="auto"/>
                <w:lang w:eastAsia="zh-CN"/>
              </w:rPr>
              <w:t>（</w:t>
            </w:r>
            <w:r>
              <w:rPr>
                <w:rFonts w:hint="eastAsia"/>
                <w:b w:val="0"/>
                <w:bCs w:val="0"/>
                <w:color w:val="auto"/>
              </w:rPr>
              <w:t>早中晚各一次</w:t>
            </w:r>
            <w:r>
              <w:rPr>
                <w:rFonts w:hint="eastAsia"/>
                <w:b w:val="0"/>
                <w:bCs w:val="0"/>
                <w:color w:val="auto"/>
                <w:lang w:eastAsia="zh-CN"/>
              </w:rPr>
              <w:t>）</w:t>
            </w:r>
            <w:r>
              <w:rPr>
                <w:rFonts w:hint="eastAsia"/>
                <w:b w:val="0"/>
                <w:bCs w:val="0"/>
                <w:color w:val="auto"/>
              </w:rPr>
              <w:t>，以保持其湿度使混凝土能够自己慢慢凝固。</w:t>
            </w:r>
            <w:r>
              <w:rPr>
                <w:rFonts w:hint="eastAsia"/>
                <w:b w:val="0"/>
                <w:bCs w:val="0"/>
                <w:color w:val="auto"/>
                <w:lang w:val="en-US" w:eastAsia="zh-CN"/>
              </w:rPr>
              <w:t>根据企业设计资料</w:t>
            </w:r>
            <w:r>
              <w:rPr>
                <w:rFonts w:hint="eastAsia" w:eastAsia="宋体" w:cs="Times New Roman"/>
                <w:b w:val="0"/>
                <w:bCs w:val="0"/>
                <w:color w:val="auto"/>
                <w:sz w:val="24"/>
                <w:szCs w:val="24"/>
                <w:lang w:val="en-US" w:eastAsia="zh-CN"/>
              </w:rPr>
              <w:t>保湿养护用水量约</w:t>
            </w:r>
            <w:r>
              <w:rPr>
                <w:rFonts w:hint="eastAsia"/>
                <w:b w:val="0"/>
                <w:bCs w:val="0"/>
                <w:color w:val="auto"/>
                <w:sz w:val="24"/>
                <w:lang w:val="en-US" w:eastAsia="zh-CN"/>
              </w:rPr>
              <w:t>13.42</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w:t>
            </w:r>
            <w:r>
              <w:rPr>
                <w:rFonts w:hint="eastAsia"/>
                <w:b w:val="0"/>
                <w:bCs w:val="0"/>
                <w:color w:val="auto"/>
                <w:sz w:val="24"/>
                <w:lang w:val="en-US" w:eastAsia="zh-CN"/>
              </w:rPr>
              <w:t>d（4026</w:t>
            </w:r>
            <w:r>
              <w:rPr>
                <w:b w:val="0"/>
                <w:bCs w:val="0"/>
                <w:color w:val="auto"/>
                <w:kern w:val="0"/>
                <w:sz w:val="24"/>
                <w:szCs w:val="20"/>
                <w:highlight w:val="none"/>
              </w:rPr>
              <w:t>m</w:t>
            </w:r>
            <w:r>
              <w:rPr>
                <w:b w:val="0"/>
                <w:bCs w:val="0"/>
                <w:color w:val="auto"/>
                <w:kern w:val="0"/>
                <w:sz w:val="24"/>
                <w:szCs w:val="20"/>
                <w:highlight w:val="none"/>
                <w:vertAlign w:val="superscript"/>
              </w:rPr>
              <w:t>3</w:t>
            </w:r>
            <w:r>
              <w:rPr>
                <w:b w:val="0"/>
                <w:bCs w:val="0"/>
                <w:color w:val="auto"/>
                <w:kern w:val="0"/>
                <w:sz w:val="24"/>
                <w:szCs w:val="20"/>
                <w:highlight w:val="none"/>
              </w:rPr>
              <w:t>/a</w:t>
            </w:r>
            <w:r>
              <w:rPr>
                <w:rFonts w:hint="eastAsia"/>
                <w:b w:val="0"/>
                <w:bCs w:val="0"/>
                <w:color w:val="auto"/>
                <w:sz w:val="24"/>
                <w:lang w:val="en-US" w:eastAsia="zh-CN"/>
              </w:rPr>
              <w:t>）</w:t>
            </w:r>
            <w:r>
              <w:rPr>
                <w:rFonts w:hint="eastAsia"/>
                <w:b w:val="0"/>
                <w:bCs w:val="0"/>
                <w:color w:val="auto"/>
                <w:lang w:eastAsia="zh-CN"/>
              </w:rPr>
              <w:t>，</w:t>
            </w:r>
            <w:r>
              <w:rPr>
                <w:rFonts w:hint="eastAsia"/>
                <w:b w:val="0"/>
                <w:bCs w:val="0"/>
                <w:color w:val="auto"/>
              </w:rPr>
              <w:t>夏天养护用水较多，冬天由于天气和湿度，可以减少喷水次数。养护用水全部蒸发。</w:t>
            </w:r>
          </w:p>
          <w:p w14:paraId="397584FF">
            <w:pPr>
              <w:pStyle w:val="57"/>
              <w:adjustRightInd/>
              <w:spacing w:line="360" w:lineRule="auto"/>
              <w:ind w:firstLine="480" w:firstLineChars="200"/>
              <w:jc w:val="both"/>
              <w:rPr>
                <w:rFonts w:hint="default" w:eastAsia="宋体"/>
                <w:b w:val="0"/>
                <w:bCs w:val="0"/>
                <w:color w:val="auto"/>
                <w:lang w:val="en-US" w:eastAsia="zh-CN"/>
              </w:rPr>
            </w:pPr>
            <w:r>
              <w:rPr>
                <w:rFonts w:hint="eastAsia"/>
                <w:b w:val="0"/>
                <w:bCs w:val="0"/>
                <w:color w:val="auto"/>
                <w:lang w:val="en-US" w:eastAsia="en-US"/>
              </w:rPr>
              <w:t>⑦</w:t>
            </w:r>
            <w:r>
              <w:rPr>
                <w:rFonts w:hint="eastAsia"/>
                <w:b w:val="0"/>
                <w:bCs w:val="0"/>
                <w:color w:val="auto"/>
                <w:lang w:val="en-US" w:eastAsia="zh-CN"/>
              </w:rPr>
              <w:t>车辆清洗用水</w:t>
            </w:r>
          </w:p>
          <w:p w14:paraId="0C829489">
            <w:pPr>
              <w:pStyle w:val="57"/>
              <w:adjustRightInd/>
              <w:spacing w:line="360" w:lineRule="auto"/>
              <w:ind w:firstLine="480" w:firstLineChars="200"/>
              <w:jc w:val="both"/>
              <w:rPr>
                <w:rFonts w:hint="eastAsia"/>
                <w:b w:val="0"/>
                <w:bCs w:val="0"/>
                <w:color w:val="auto"/>
                <w:lang w:val="en-US" w:eastAsia="zh-CN"/>
              </w:rPr>
            </w:pPr>
            <w:r>
              <w:rPr>
                <w:rFonts w:hint="eastAsia"/>
                <w:b w:val="0"/>
                <w:bCs w:val="0"/>
                <w:color w:val="auto"/>
                <w:lang w:val="en-US" w:eastAsia="zh-CN"/>
              </w:rPr>
              <w:t>本项目原料进厂、产品出厂过程中均需要对车辆进行清洗。单车一次运输量按25t计，项目原料用量为78080t/a，故车辆运输次数为11次/d。</w:t>
            </w:r>
          </w:p>
          <w:p w14:paraId="0C85DF6A">
            <w:pPr>
              <w:pStyle w:val="57"/>
              <w:adjustRightInd/>
              <w:spacing w:line="360" w:lineRule="auto"/>
              <w:ind w:firstLine="480" w:firstLineChars="200"/>
              <w:jc w:val="both"/>
              <w:rPr>
                <w:rFonts w:hint="eastAsia"/>
                <w:b w:val="0"/>
                <w:bCs w:val="0"/>
                <w:color w:val="auto"/>
                <w:lang w:val="en-US" w:eastAsia="zh-CN"/>
              </w:rPr>
            </w:pPr>
            <w:r>
              <w:rPr>
                <w:rFonts w:hint="eastAsia"/>
                <w:b w:val="0"/>
                <w:bCs w:val="0"/>
                <w:color w:val="auto"/>
                <w:lang w:val="en-US" w:eastAsia="zh-CN"/>
              </w:rPr>
              <w:t>参照《建筑给水排水设计标准》（GB50015-2019），载重汽车冲洗水定额为60L/辆·次。故车辆清洗用水为0.66</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lang w:val="en-US" w:eastAsia="zh-CN"/>
              </w:rPr>
              <w:t>/d（198</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lang w:val="en-US" w:eastAsia="zh-CN"/>
              </w:rPr>
              <w:t>/a）。约20%蒸发损耗，车辆清洗废水0.53</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lang w:val="en-US" w:eastAsia="zh-CN"/>
              </w:rPr>
              <w:t>/d（158.4</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lang w:val="en-US" w:eastAsia="zh-CN"/>
              </w:rPr>
              <w:t>/a），经沉淀池沉淀后，回用于生产。</w:t>
            </w:r>
          </w:p>
          <w:p w14:paraId="28AB487D">
            <w:pPr>
              <w:pStyle w:val="57"/>
              <w:adjustRightInd/>
              <w:spacing w:line="360" w:lineRule="auto"/>
              <w:ind w:firstLine="480" w:firstLineChars="200"/>
              <w:jc w:val="both"/>
              <w:rPr>
                <w:b w:val="0"/>
                <w:bCs w:val="0"/>
                <w:color w:val="auto"/>
              </w:rPr>
            </w:pPr>
            <w:r>
              <w:rPr>
                <w:rFonts w:hint="eastAsia"/>
                <w:b w:val="0"/>
                <w:bCs w:val="0"/>
                <w:color w:val="auto"/>
                <w:lang w:val="en-US" w:eastAsia="zh-CN"/>
              </w:rPr>
              <w:t>⑧</w:t>
            </w:r>
            <w:r>
              <w:rPr>
                <w:rFonts w:hint="eastAsia"/>
                <w:b w:val="0"/>
                <w:bCs w:val="0"/>
                <w:color w:val="auto"/>
              </w:rPr>
              <w:t>生活用水：企业定员</w:t>
            </w:r>
            <w:r>
              <w:rPr>
                <w:rFonts w:hint="eastAsia"/>
                <w:b w:val="0"/>
                <w:bCs w:val="0"/>
                <w:color w:val="auto"/>
                <w:lang w:val="en-US" w:eastAsia="zh-CN"/>
              </w:rPr>
              <w:t>60</w:t>
            </w:r>
            <w:r>
              <w:rPr>
                <w:rFonts w:hint="eastAsia"/>
                <w:b w:val="0"/>
                <w:bCs w:val="0"/>
                <w:color w:val="auto"/>
              </w:rPr>
              <w:t>人，用水量以每人50L/d，年工作日为300天，则生活用水量为</w:t>
            </w:r>
            <w:r>
              <w:rPr>
                <w:rFonts w:hint="eastAsia"/>
                <w:b w:val="0"/>
                <w:bCs w:val="0"/>
                <w:color w:val="auto"/>
                <w:lang w:val="en-US" w:eastAsia="zh-CN"/>
              </w:rPr>
              <w:t>900</w:t>
            </w:r>
            <w:r>
              <w:rPr>
                <w:rFonts w:hint="eastAsia"/>
                <w:b w:val="0"/>
                <w:bCs w:val="0"/>
                <w:color w:val="auto"/>
              </w:rPr>
              <w:t>t/a。生活污水产生系数按80%计，则本项目污水产生量</w:t>
            </w:r>
            <w:r>
              <w:rPr>
                <w:rFonts w:hint="eastAsia"/>
                <w:b w:val="0"/>
                <w:bCs w:val="0"/>
                <w:color w:val="auto"/>
                <w:lang w:val="en-US" w:eastAsia="zh-CN"/>
              </w:rPr>
              <w:t>2.4m</w:t>
            </w:r>
            <w:r>
              <w:rPr>
                <w:rFonts w:hint="eastAsia"/>
                <w:b w:val="0"/>
                <w:bCs w:val="0"/>
                <w:color w:val="auto"/>
                <w:vertAlign w:val="superscript"/>
                <w:lang w:val="en-US" w:eastAsia="zh-CN"/>
              </w:rPr>
              <w:t>3</w:t>
            </w:r>
            <w:r>
              <w:rPr>
                <w:rFonts w:hint="eastAsia"/>
                <w:b w:val="0"/>
                <w:bCs w:val="0"/>
                <w:color w:val="auto"/>
                <w:lang w:val="en-US" w:eastAsia="zh-CN"/>
              </w:rPr>
              <w:t>/d（720</w:t>
            </w:r>
            <w:r>
              <w:rPr>
                <w:rFonts w:hint="eastAsia"/>
                <w:b w:val="0"/>
                <w:bCs w:val="0"/>
                <w:color w:val="auto"/>
                <w:sz w:val="24"/>
                <w:lang w:val="en-US" w:eastAsia="zh-CN"/>
              </w:rPr>
              <w:t>m</w:t>
            </w:r>
            <w:r>
              <w:rPr>
                <w:rFonts w:hint="eastAsia"/>
                <w:b w:val="0"/>
                <w:bCs w:val="0"/>
                <w:color w:val="auto"/>
                <w:sz w:val="24"/>
                <w:vertAlign w:val="superscript"/>
                <w:lang w:val="en-US" w:eastAsia="zh-CN"/>
              </w:rPr>
              <w:t>3</w:t>
            </w:r>
            <w:r>
              <w:rPr>
                <w:rFonts w:hint="eastAsia"/>
                <w:b w:val="0"/>
                <w:bCs w:val="0"/>
                <w:color w:val="auto"/>
              </w:rPr>
              <w:t>/a</w:t>
            </w:r>
            <w:r>
              <w:rPr>
                <w:rFonts w:hint="eastAsia"/>
                <w:b w:val="0"/>
                <w:bCs w:val="0"/>
                <w:color w:val="auto"/>
                <w:lang w:eastAsia="zh-CN"/>
              </w:rPr>
              <w:t>）</w:t>
            </w:r>
            <w:r>
              <w:rPr>
                <w:rFonts w:hint="eastAsia"/>
                <w:b w:val="0"/>
                <w:bCs w:val="0"/>
                <w:color w:val="auto"/>
              </w:rPr>
              <w:t>。生活污水中主要污染物及浓度COD320mg/L、BOD160mg/L、SS 160mg/L、氨氮30mg/L。</w:t>
            </w:r>
          </w:p>
          <w:p w14:paraId="3C43609C">
            <w:pPr>
              <w:pStyle w:val="57"/>
              <w:adjustRightInd/>
              <w:spacing w:line="360" w:lineRule="auto"/>
              <w:ind w:firstLine="480" w:firstLineChars="200"/>
              <w:jc w:val="both"/>
              <w:rPr>
                <w:b w:val="0"/>
                <w:bCs w:val="0"/>
                <w:color w:val="002DC7"/>
                <w:kern w:val="2"/>
              </w:rPr>
            </w:pPr>
            <w:r>
              <w:rPr>
                <w:rFonts w:hint="eastAsia"/>
                <w:b w:val="0"/>
                <w:bCs w:val="0"/>
                <w:color w:val="auto"/>
                <w:kern w:val="2"/>
              </w:rPr>
              <w:t>本项目雨污分流。雨水就近排入市政雨水管网。生活污水排入市政污水管网，接管</w:t>
            </w:r>
            <w:r>
              <w:rPr>
                <w:rFonts w:hint="eastAsia"/>
                <w:b w:val="0"/>
                <w:bCs w:val="0"/>
                <w:color w:val="auto"/>
                <w:kern w:val="2"/>
                <w:lang w:val="en-US" w:eastAsia="zh-CN"/>
              </w:rPr>
              <w:t>淮南经济开发区</w:t>
            </w:r>
            <w:r>
              <w:rPr>
                <w:rFonts w:hint="eastAsia"/>
                <w:b w:val="0"/>
                <w:bCs w:val="0"/>
                <w:color w:val="auto"/>
                <w:kern w:val="2"/>
              </w:rPr>
              <w:t>污水处理厂处理，污水处理厂尾水</w:t>
            </w:r>
            <w:r>
              <w:rPr>
                <w:b w:val="0"/>
                <w:bCs w:val="0"/>
                <w:color w:val="auto"/>
                <w:kern w:val="2"/>
              </w:rPr>
              <w:t>达</w:t>
            </w:r>
            <w:r>
              <w:rPr>
                <w:rFonts w:hint="eastAsia" w:hAnsi="宋体"/>
                <w:b w:val="0"/>
                <w:bCs w:val="0"/>
                <w:color w:val="auto"/>
              </w:rPr>
              <w:t>《城镇污水处理厂污</w:t>
            </w:r>
            <w:r>
              <w:rPr>
                <w:rFonts w:hint="eastAsia" w:hAnsi="宋体"/>
                <w:b w:val="0"/>
                <w:bCs w:val="0"/>
                <w:color w:val="auto"/>
                <w:highlight w:val="none"/>
              </w:rPr>
              <w:t>染物排放标准》（GB18918-2002）一级A标准</w:t>
            </w:r>
            <w:r>
              <w:rPr>
                <w:b w:val="0"/>
                <w:bCs w:val="0"/>
                <w:color w:val="auto"/>
                <w:kern w:val="2"/>
                <w:highlight w:val="none"/>
              </w:rPr>
              <w:t>后经</w:t>
            </w:r>
            <w:r>
              <w:rPr>
                <w:rFonts w:hint="eastAsia"/>
                <w:b w:val="0"/>
                <w:bCs w:val="0"/>
                <w:color w:val="auto"/>
                <w:kern w:val="2"/>
                <w:highlight w:val="none"/>
              </w:rPr>
              <w:t>排入</w:t>
            </w:r>
            <w:r>
              <w:rPr>
                <w:rFonts w:hint="eastAsia"/>
                <w:b w:val="0"/>
                <w:bCs w:val="0"/>
                <w:color w:val="auto"/>
                <w:kern w:val="2"/>
                <w:highlight w:val="none"/>
                <w:lang w:val="en-US" w:eastAsia="zh-CN"/>
              </w:rPr>
              <w:t>淮河</w:t>
            </w:r>
            <w:r>
              <w:rPr>
                <w:rFonts w:hint="eastAsia"/>
                <w:b w:val="0"/>
                <w:bCs w:val="0"/>
                <w:color w:val="auto"/>
                <w:kern w:val="2"/>
                <w:highlight w:val="none"/>
              </w:rPr>
              <w:t>。</w:t>
            </w:r>
            <w:r>
              <w:rPr>
                <w:rFonts w:hint="eastAsia"/>
                <w:b w:val="0"/>
                <w:bCs w:val="0"/>
                <w:color w:val="auto"/>
                <w:kern w:val="2"/>
                <w:highlight w:val="none"/>
                <w:lang w:val="en-US" w:eastAsia="zh-CN"/>
              </w:rPr>
              <w:t>淮南经济开发区</w:t>
            </w:r>
            <w:r>
              <w:rPr>
                <w:rFonts w:hint="eastAsia"/>
                <w:b w:val="0"/>
                <w:bCs w:val="0"/>
                <w:color w:val="auto"/>
                <w:szCs w:val="28"/>
                <w:highlight w:val="none"/>
              </w:rPr>
              <w:t>。</w:t>
            </w:r>
          </w:p>
          <w:p w14:paraId="7FDE1197">
            <w:pPr>
              <w:pStyle w:val="57"/>
              <w:adjustRightInd/>
              <w:spacing w:line="360" w:lineRule="auto"/>
              <w:ind w:firstLine="480" w:firstLineChars="200"/>
              <w:rPr>
                <w:rFonts w:hint="eastAsia"/>
                <w:b w:val="0"/>
                <w:bCs w:val="0"/>
                <w:color w:val="auto"/>
                <w:kern w:val="2"/>
              </w:rPr>
            </w:pPr>
            <w:r>
              <w:rPr>
                <w:rFonts w:hint="eastAsia"/>
                <w:b w:val="0"/>
                <w:bCs w:val="0"/>
                <w:color w:val="auto"/>
                <w:kern w:val="2"/>
              </w:rPr>
              <w:t>水平衡图见下图：</w:t>
            </w:r>
          </w:p>
          <w:p w14:paraId="38DDA56F">
            <w:pPr>
              <w:pStyle w:val="61"/>
              <w:rPr>
                <w:rFonts w:hint="eastAsia"/>
                <w:color w:val="auto"/>
                <w:kern w:val="2"/>
              </w:rPr>
            </w:pPr>
          </w:p>
          <w:p w14:paraId="15D3D55F">
            <w:pPr>
              <w:pStyle w:val="62"/>
              <w:rPr>
                <w:rFonts w:hint="eastAsia"/>
                <w:color w:val="auto"/>
                <w:kern w:val="2"/>
              </w:rPr>
            </w:pPr>
          </w:p>
          <w:p w14:paraId="7107FE4B">
            <w:pPr>
              <w:rPr>
                <w:rFonts w:hint="eastAsia"/>
                <w:color w:val="auto"/>
                <w:kern w:val="2"/>
              </w:rPr>
            </w:pPr>
          </w:p>
          <w:p w14:paraId="586BD2A0">
            <w:pPr>
              <w:pStyle w:val="2"/>
              <w:rPr>
                <w:rFonts w:hint="eastAsia"/>
                <w:color w:val="auto"/>
                <w:kern w:val="2"/>
              </w:rPr>
            </w:pPr>
          </w:p>
          <w:p w14:paraId="7410AA37">
            <w:pPr>
              <w:pStyle w:val="3"/>
              <w:rPr>
                <w:rFonts w:hint="eastAsia"/>
                <w:color w:val="auto"/>
                <w:kern w:val="2"/>
              </w:rPr>
            </w:pPr>
          </w:p>
          <w:p w14:paraId="654A80C4">
            <w:pPr>
              <w:pStyle w:val="4"/>
              <w:rPr>
                <w:rFonts w:hint="eastAsia"/>
                <w:color w:val="auto"/>
                <w:kern w:val="2"/>
              </w:rPr>
            </w:pPr>
          </w:p>
          <w:p w14:paraId="15BC0C3E">
            <w:pPr>
              <w:rPr>
                <w:rFonts w:hint="eastAsia"/>
                <w:color w:val="auto"/>
                <w:kern w:val="2"/>
              </w:rPr>
            </w:pPr>
          </w:p>
          <w:p w14:paraId="39578AEE">
            <w:pPr>
              <w:pStyle w:val="2"/>
              <w:rPr>
                <w:rFonts w:hint="eastAsia"/>
                <w:color w:val="auto"/>
                <w:kern w:val="2"/>
              </w:rPr>
            </w:pPr>
          </w:p>
          <w:p w14:paraId="21503A88">
            <w:pPr>
              <w:pStyle w:val="3"/>
              <w:rPr>
                <w:rFonts w:hint="eastAsia"/>
                <w:color w:val="auto"/>
                <w:kern w:val="2"/>
              </w:rPr>
            </w:pPr>
          </w:p>
          <w:p w14:paraId="0555D4A8">
            <w:pPr>
              <w:pStyle w:val="57"/>
              <w:adjustRightInd/>
              <w:spacing w:line="360" w:lineRule="auto"/>
              <w:ind w:left="0" w:leftChars="0" w:firstLine="0" w:firstLineChars="0"/>
              <w:jc w:val="center"/>
              <w:rPr>
                <w:color w:val="002DC7"/>
                <w:kern w:val="2"/>
                <w:highlight w:val="none"/>
              </w:rPr>
            </w:pPr>
            <w:r>
              <w:rPr>
                <w:b/>
                <w:color w:val="auto"/>
                <w:highlight w:val="none"/>
              </w:rPr>
              <w:object>
                <v:shape id="_x0000_i1025" o:spt="75" type="#_x0000_t75" style="height:408.35pt;width:415.05pt;" o:ole="t" filled="f" o:preferrelative="t" stroked="f" coordsize="21600,21600">
                  <v:path/>
                  <v:fill on="f" focussize="0,0"/>
                  <v:stroke on="f"/>
                  <v:imagedata r:id="rId11" o:title=""/>
                  <o:lock v:ext="edit" aspectratio="t"/>
                  <w10:wrap type="none"/>
                  <w10:anchorlock/>
                </v:shape>
                <o:OLEObject Type="Embed" ProgID="RFFlow4" ShapeID="_x0000_i1025" DrawAspect="Content" ObjectID="_1468075725" r:id="rId10">
                  <o:LockedField>false</o:LockedField>
                </o:OLEObject>
              </w:object>
            </w:r>
            <w:r>
              <w:rPr>
                <w:b/>
                <w:color w:val="auto"/>
                <w:highlight w:val="none"/>
              </w:rPr>
              <w:t>图</w:t>
            </w:r>
            <w:r>
              <w:rPr>
                <w:rFonts w:hint="eastAsia"/>
                <w:b/>
                <w:color w:val="auto"/>
                <w:highlight w:val="none"/>
              </w:rPr>
              <w:t>2-</w:t>
            </w:r>
            <w:r>
              <w:rPr>
                <w:b/>
                <w:color w:val="auto"/>
                <w:highlight w:val="none"/>
              </w:rPr>
              <w:t>1</w:t>
            </w:r>
            <w:r>
              <w:rPr>
                <w:rFonts w:hint="eastAsia"/>
                <w:b/>
                <w:color w:val="auto"/>
                <w:highlight w:val="none"/>
                <w:lang w:val="en-US" w:eastAsia="zh-CN"/>
              </w:rPr>
              <w:t xml:space="preserve"> </w:t>
            </w:r>
            <w:r>
              <w:rPr>
                <w:b/>
                <w:color w:val="auto"/>
                <w:highlight w:val="none"/>
              </w:rPr>
              <w:t>项目运营期水平衡图  单位：m</w:t>
            </w:r>
            <w:r>
              <w:rPr>
                <w:b/>
                <w:color w:val="auto"/>
                <w:highlight w:val="none"/>
                <w:vertAlign w:val="superscript"/>
              </w:rPr>
              <w:t>3</w:t>
            </w:r>
            <w:r>
              <w:rPr>
                <w:b/>
                <w:color w:val="auto"/>
                <w:highlight w:val="none"/>
              </w:rPr>
              <w:t>/d</w:t>
            </w:r>
          </w:p>
          <w:p w14:paraId="48CBDBD1">
            <w:pPr>
              <w:spacing w:line="360" w:lineRule="auto"/>
              <w:ind w:firstLine="480" w:firstLineChars="200"/>
              <w:rPr>
                <w:color w:val="auto"/>
                <w:sz w:val="24"/>
                <w:szCs w:val="28"/>
              </w:rPr>
            </w:pPr>
            <w:r>
              <w:rPr>
                <w:color w:val="auto"/>
                <w:sz w:val="24"/>
                <w:szCs w:val="28"/>
              </w:rPr>
              <w:t>（</w:t>
            </w:r>
            <w:r>
              <w:rPr>
                <w:rFonts w:hint="eastAsia"/>
                <w:color w:val="auto"/>
                <w:sz w:val="24"/>
                <w:szCs w:val="28"/>
              </w:rPr>
              <w:t>2</w:t>
            </w:r>
            <w:r>
              <w:rPr>
                <w:color w:val="auto"/>
                <w:sz w:val="24"/>
                <w:szCs w:val="28"/>
              </w:rPr>
              <w:t>）供电</w:t>
            </w:r>
          </w:p>
          <w:p w14:paraId="4FBCAFE6">
            <w:pPr>
              <w:spacing w:line="360" w:lineRule="auto"/>
              <w:ind w:firstLine="480" w:firstLineChars="200"/>
              <w:rPr>
                <w:rFonts w:hint="eastAsia" w:hAnsi="宋体"/>
                <w:color w:val="auto"/>
                <w:sz w:val="24"/>
              </w:rPr>
            </w:pPr>
            <w:r>
              <w:rPr>
                <w:rFonts w:hAnsi="宋体"/>
                <w:bCs/>
                <w:color w:val="auto"/>
                <w:sz w:val="24"/>
              </w:rPr>
              <w:t>来自市政供电管网，本项目用电量约</w:t>
            </w:r>
            <w:r>
              <w:rPr>
                <w:rFonts w:hint="eastAsia" w:hAnsi="宋体"/>
                <w:bCs/>
                <w:color w:val="auto"/>
                <w:sz w:val="24"/>
                <w:lang w:val="en-US" w:eastAsia="zh-CN"/>
              </w:rPr>
              <w:t>40</w:t>
            </w:r>
            <w:r>
              <w:rPr>
                <w:rFonts w:hAnsi="宋体"/>
                <w:bCs/>
                <w:color w:val="auto"/>
                <w:sz w:val="24"/>
              </w:rPr>
              <w:t>万</w:t>
            </w:r>
            <w:r>
              <w:rPr>
                <w:color w:val="auto"/>
                <w:sz w:val="24"/>
              </w:rPr>
              <w:t>kW·h/a</w:t>
            </w:r>
            <w:r>
              <w:rPr>
                <w:rFonts w:hAnsi="宋体"/>
                <w:color w:val="auto"/>
                <w:sz w:val="24"/>
              </w:rPr>
              <w:t>。</w:t>
            </w:r>
          </w:p>
          <w:p w14:paraId="14B4F5A1">
            <w:pPr>
              <w:spacing w:line="360" w:lineRule="auto"/>
              <w:ind w:firstLine="480" w:firstLineChars="200"/>
              <w:rPr>
                <w:b w:val="0"/>
                <w:bCs/>
                <w:color w:val="auto"/>
                <w:sz w:val="24"/>
              </w:rPr>
            </w:pPr>
            <w:r>
              <w:rPr>
                <w:rFonts w:hint="eastAsia"/>
                <w:b w:val="0"/>
                <w:bCs/>
                <w:color w:val="auto"/>
                <w:sz w:val="24"/>
              </w:rPr>
              <w:t>8</w:t>
            </w:r>
            <w:r>
              <w:rPr>
                <w:b w:val="0"/>
                <w:bCs/>
                <w:color w:val="auto"/>
                <w:sz w:val="24"/>
              </w:rPr>
              <w:t>、</w:t>
            </w:r>
            <w:r>
              <w:rPr>
                <w:rFonts w:hint="eastAsia"/>
                <w:b w:val="0"/>
                <w:bCs/>
                <w:color w:val="auto"/>
                <w:sz w:val="24"/>
              </w:rPr>
              <w:t>劳动定员及工作制度</w:t>
            </w:r>
          </w:p>
          <w:p w14:paraId="7D3FEA9D">
            <w:pPr>
              <w:pStyle w:val="57"/>
              <w:adjustRightInd/>
              <w:spacing w:line="360" w:lineRule="auto"/>
              <w:ind w:firstLine="480" w:firstLineChars="200"/>
              <w:jc w:val="both"/>
              <w:rPr>
                <w:b w:val="0"/>
                <w:bCs/>
                <w:color w:val="auto"/>
              </w:rPr>
            </w:pPr>
            <w:r>
              <w:rPr>
                <w:b w:val="0"/>
                <w:bCs/>
                <w:color w:val="auto"/>
                <w:szCs w:val="28"/>
              </w:rPr>
              <w:t>本项目劳动定员为</w:t>
            </w:r>
            <w:r>
              <w:rPr>
                <w:rFonts w:hint="eastAsia"/>
                <w:b w:val="0"/>
                <w:bCs/>
                <w:color w:val="auto"/>
                <w:szCs w:val="28"/>
                <w:lang w:val="en-US" w:eastAsia="zh-CN"/>
              </w:rPr>
              <w:t>60</w:t>
            </w:r>
            <w:r>
              <w:rPr>
                <w:b w:val="0"/>
                <w:bCs/>
                <w:color w:val="auto"/>
                <w:szCs w:val="28"/>
              </w:rPr>
              <w:t>人，</w:t>
            </w:r>
            <w:r>
              <w:rPr>
                <w:rFonts w:hint="eastAsia"/>
                <w:b w:val="0"/>
                <w:bCs/>
                <w:color w:val="auto"/>
                <w:szCs w:val="28"/>
              </w:rPr>
              <w:t>一</w:t>
            </w:r>
            <w:r>
              <w:rPr>
                <w:b w:val="0"/>
                <w:bCs/>
                <w:color w:val="auto"/>
                <w:szCs w:val="28"/>
              </w:rPr>
              <w:t>班制</w:t>
            </w:r>
            <w:r>
              <w:rPr>
                <w:rFonts w:hint="eastAsia"/>
                <w:b w:val="0"/>
                <w:bCs/>
                <w:color w:val="auto"/>
                <w:szCs w:val="28"/>
              </w:rPr>
              <w:t>，每天工作8小时，</w:t>
            </w:r>
            <w:r>
              <w:rPr>
                <w:b w:val="0"/>
                <w:bCs/>
                <w:color w:val="auto"/>
                <w:szCs w:val="28"/>
              </w:rPr>
              <w:t>年</w:t>
            </w:r>
            <w:r>
              <w:rPr>
                <w:rFonts w:hint="eastAsia"/>
                <w:b w:val="0"/>
                <w:bCs/>
                <w:color w:val="auto"/>
                <w:szCs w:val="28"/>
              </w:rPr>
              <w:t>工作</w:t>
            </w:r>
            <w:r>
              <w:rPr>
                <w:b w:val="0"/>
                <w:bCs/>
                <w:color w:val="auto"/>
                <w:szCs w:val="28"/>
              </w:rPr>
              <w:t>时间为3</w:t>
            </w:r>
            <w:r>
              <w:rPr>
                <w:rFonts w:hint="eastAsia"/>
                <w:b w:val="0"/>
                <w:bCs/>
                <w:color w:val="auto"/>
                <w:szCs w:val="28"/>
              </w:rPr>
              <w:t>00</w:t>
            </w:r>
            <w:r>
              <w:rPr>
                <w:b w:val="0"/>
                <w:bCs/>
                <w:color w:val="auto"/>
                <w:szCs w:val="28"/>
              </w:rPr>
              <w:t>天</w:t>
            </w:r>
            <w:r>
              <w:rPr>
                <w:rFonts w:hint="eastAsia"/>
                <w:b w:val="0"/>
                <w:bCs/>
                <w:color w:val="auto"/>
                <w:szCs w:val="28"/>
              </w:rPr>
              <w:t>。</w:t>
            </w:r>
          </w:p>
          <w:p w14:paraId="18189408">
            <w:pPr>
              <w:spacing w:line="360" w:lineRule="auto"/>
              <w:ind w:firstLine="480" w:firstLineChars="200"/>
              <w:rPr>
                <w:b w:val="0"/>
                <w:bCs/>
                <w:color w:val="auto"/>
              </w:rPr>
            </w:pPr>
            <w:r>
              <w:rPr>
                <w:rFonts w:hint="eastAsia"/>
                <w:b w:val="0"/>
                <w:bCs/>
                <w:color w:val="auto"/>
                <w:sz w:val="24"/>
              </w:rPr>
              <w:t>9、厂区平面布置</w:t>
            </w:r>
          </w:p>
          <w:p w14:paraId="723775BD">
            <w:pPr>
              <w:pStyle w:val="57"/>
              <w:adjustRightInd/>
              <w:spacing w:line="360" w:lineRule="auto"/>
              <w:ind w:firstLine="480" w:firstLineChars="200"/>
              <w:jc w:val="both"/>
              <w:rPr>
                <w:color w:val="002DC7"/>
                <w:szCs w:val="28"/>
              </w:rPr>
            </w:pPr>
            <w:r>
              <w:rPr>
                <w:rFonts w:hint="eastAsia" w:hAnsi="宋体"/>
                <w:b w:val="0"/>
                <w:bCs/>
                <w:color w:val="auto"/>
                <w:highlight w:val="none"/>
              </w:rPr>
              <w:t>本项目位于</w:t>
            </w:r>
            <w:r>
              <w:rPr>
                <w:rFonts w:hint="eastAsia"/>
                <w:b w:val="0"/>
                <w:bCs/>
                <w:color w:val="auto"/>
                <w:sz w:val="24"/>
                <w:szCs w:val="28"/>
                <w:highlight w:val="none"/>
              </w:rPr>
              <w:t>安徽省淮南经济技术开发区锦绣路100号东侧</w:t>
            </w:r>
            <w:r>
              <w:rPr>
                <w:rFonts w:hint="eastAsia" w:hAnsi="宋体"/>
                <w:b w:val="0"/>
                <w:bCs/>
                <w:color w:val="auto"/>
                <w:highlight w:val="none"/>
              </w:rPr>
              <w:t>，</w:t>
            </w:r>
            <w:r>
              <w:rPr>
                <w:rFonts w:hint="eastAsia"/>
                <w:b w:val="0"/>
                <w:bCs/>
                <w:color w:val="auto"/>
                <w:sz w:val="24"/>
                <w:szCs w:val="24"/>
                <w:highlight w:val="none"/>
                <w:lang w:val="en-US" w:eastAsia="zh-CN"/>
              </w:rPr>
              <w:t>本项目</w:t>
            </w:r>
            <w:r>
              <w:rPr>
                <w:rFonts w:hint="default" w:ascii="Times New Roman" w:hAnsi="Times New Roman" w:cs="Times New Roman"/>
                <w:b w:val="0"/>
                <w:bCs/>
                <w:color w:val="auto"/>
                <w:sz w:val="24"/>
                <w:highlight w:val="none"/>
                <w:lang w:val="en-US" w:eastAsia="zh-CN"/>
              </w:rPr>
              <w:t>占地面积约20亩，建设一栋建筑面积8000m</w:t>
            </w:r>
            <w:r>
              <w:rPr>
                <w:rFonts w:hint="default" w:ascii="Times New Roman" w:hAnsi="Times New Roman" w:cs="Times New Roman"/>
                <w:b w:val="0"/>
                <w:bCs/>
                <w:color w:val="auto"/>
                <w:sz w:val="24"/>
                <w:highlight w:val="none"/>
                <w:vertAlign w:val="superscript"/>
                <w:lang w:val="en-US" w:eastAsia="zh-CN"/>
              </w:rPr>
              <w:t>2</w:t>
            </w:r>
            <w:r>
              <w:rPr>
                <w:rFonts w:hint="default" w:ascii="Times New Roman" w:hAnsi="Times New Roman" w:cs="Times New Roman"/>
                <w:b w:val="0"/>
                <w:bCs/>
                <w:color w:val="auto"/>
                <w:sz w:val="24"/>
                <w:highlight w:val="none"/>
                <w:lang w:val="en-US" w:eastAsia="zh-CN"/>
              </w:rPr>
              <w:t>钢结构厂房，并在生产厂房内建设一条统型砼岔枕生产线</w:t>
            </w:r>
            <w:r>
              <w:rPr>
                <w:rFonts w:hint="eastAsia"/>
                <w:b w:val="0"/>
                <w:bCs/>
                <w:color w:val="auto"/>
                <w:szCs w:val="28"/>
                <w:highlight w:val="none"/>
                <w:lang w:eastAsia="zh-CN"/>
              </w:rPr>
              <w:t>。</w:t>
            </w:r>
            <w:r>
              <w:rPr>
                <w:rFonts w:hint="eastAsia"/>
                <w:b w:val="0"/>
                <w:bCs/>
                <w:color w:val="auto"/>
                <w:szCs w:val="28"/>
                <w:highlight w:val="none"/>
                <w:lang w:val="en-US" w:eastAsia="zh-CN"/>
              </w:rPr>
              <w:t>项目生产厂房内西侧依次建设保湿养护及成品堆放区、危废库、一般固废库、脱模剂存放区、碎石堆放区、砂子堆放区</w:t>
            </w:r>
            <w:r>
              <w:rPr>
                <w:rFonts w:hint="eastAsia"/>
                <w:b w:val="0"/>
                <w:bCs/>
                <w:color w:val="auto"/>
                <w:szCs w:val="21"/>
                <w:highlight w:val="none"/>
                <w:lang w:val="en-US" w:eastAsia="zh-CN"/>
              </w:rPr>
              <w:t>；生产厂房中部及西侧布置混凝土搅拌站</w:t>
            </w:r>
            <w:r>
              <w:rPr>
                <w:rFonts w:hint="eastAsia"/>
                <w:b w:val="0"/>
                <w:bCs/>
                <w:color w:val="auto"/>
                <w:szCs w:val="21"/>
                <w:highlight w:val="none"/>
              </w:rPr>
              <w:t>、</w:t>
            </w:r>
            <w:r>
              <w:rPr>
                <w:rFonts w:hint="eastAsia"/>
                <w:b w:val="0"/>
                <w:bCs/>
                <w:color w:val="auto"/>
                <w:szCs w:val="21"/>
                <w:highlight w:val="none"/>
                <w:lang w:val="en-US" w:eastAsia="zh-CN"/>
              </w:rPr>
              <w:t>钢筋加工区</w:t>
            </w:r>
            <w:r>
              <w:rPr>
                <w:rFonts w:hint="eastAsia"/>
                <w:b w:val="0"/>
                <w:bCs/>
                <w:color w:val="auto"/>
                <w:szCs w:val="21"/>
                <w:highlight w:val="none"/>
              </w:rPr>
              <w:t>、</w:t>
            </w:r>
            <w:r>
              <w:rPr>
                <w:rFonts w:hint="eastAsia"/>
                <w:b w:val="0"/>
                <w:bCs/>
                <w:color w:val="auto"/>
                <w:szCs w:val="21"/>
                <w:highlight w:val="none"/>
                <w:lang w:val="en-US" w:eastAsia="zh-CN"/>
              </w:rPr>
              <w:t>混凝土灌注区</w:t>
            </w:r>
            <w:r>
              <w:rPr>
                <w:rFonts w:hint="eastAsia"/>
                <w:b w:val="0"/>
                <w:bCs/>
                <w:color w:val="auto"/>
                <w:szCs w:val="21"/>
                <w:highlight w:val="none"/>
                <w:lang w:eastAsia="zh-CN"/>
              </w:rPr>
              <w:t>、</w:t>
            </w:r>
            <w:r>
              <w:rPr>
                <w:rFonts w:hint="eastAsia"/>
                <w:b w:val="0"/>
                <w:bCs/>
                <w:color w:val="auto"/>
                <w:szCs w:val="21"/>
                <w:highlight w:val="none"/>
                <w:lang w:val="en-US" w:eastAsia="zh-CN"/>
              </w:rPr>
              <w:t>蒸汽养护区等。项目平面布置满足工业生产的前提下，统筹考虑了物料运输、环境保护、安全卫生及消防等方面的需要。生产厂房各功能单元衔接顺畅，操作效率稳定。</w:t>
            </w:r>
            <w:r>
              <w:rPr>
                <w:rFonts w:hint="eastAsia"/>
                <w:b w:val="0"/>
                <w:bCs/>
                <w:color w:val="auto"/>
                <w:szCs w:val="28"/>
                <w:highlight w:val="none"/>
              </w:rPr>
              <w:t>项目总平面布置见附图</w:t>
            </w:r>
            <w:r>
              <w:rPr>
                <w:rFonts w:hint="eastAsia"/>
                <w:b w:val="0"/>
                <w:bCs/>
                <w:color w:val="auto"/>
                <w:szCs w:val="28"/>
                <w:highlight w:val="none"/>
                <w:lang w:val="en-US" w:eastAsia="zh-CN"/>
              </w:rPr>
              <w:t>2</w:t>
            </w:r>
            <w:r>
              <w:rPr>
                <w:rFonts w:hint="eastAsia"/>
                <w:b w:val="0"/>
                <w:bCs/>
                <w:color w:val="auto"/>
                <w:szCs w:val="28"/>
                <w:highlight w:val="none"/>
              </w:rPr>
              <w:t>。</w:t>
            </w:r>
          </w:p>
        </w:tc>
      </w:tr>
      <w:tr w14:paraId="52F85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03" w:hRule="atLeast"/>
        </w:trPr>
        <w:tc>
          <w:tcPr>
            <w:tcW w:w="439" w:type="dxa"/>
            <w:vAlign w:val="center"/>
          </w:tcPr>
          <w:p w14:paraId="0296B613">
            <w:pPr>
              <w:widowControl/>
              <w:spacing w:line="360" w:lineRule="auto"/>
              <w:jc w:val="center"/>
              <w:rPr>
                <w:rFonts w:hint="eastAsia" w:hAnsi="宋体"/>
                <w:color w:val="002DC7"/>
                <w:kern w:val="0"/>
                <w:sz w:val="24"/>
              </w:rPr>
            </w:pPr>
            <w:r>
              <w:rPr>
                <w:rFonts w:hAnsi="宋体"/>
                <w:color w:val="auto"/>
                <w:kern w:val="0"/>
                <w:sz w:val="24"/>
              </w:rPr>
              <w:t>工艺流程和产污环节</w:t>
            </w:r>
          </w:p>
        </w:tc>
        <w:tc>
          <w:tcPr>
            <w:tcW w:w="8378" w:type="dxa"/>
          </w:tcPr>
          <w:p w14:paraId="6AD3A881">
            <w:pPr>
              <w:spacing w:line="360" w:lineRule="auto"/>
              <w:ind w:firstLine="482" w:firstLineChars="200"/>
              <w:rPr>
                <w:rFonts w:hint="eastAsia" w:eastAsia="宋体"/>
                <w:b/>
                <w:color w:val="auto"/>
                <w:sz w:val="24"/>
                <w:highlight w:val="yellow"/>
                <w:lang w:eastAsia="zh-CN"/>
              </w:rPr>
            </w:pPr>
            <w:r>
              <w:rPr>
                <w:rFonts w:hint="eastAsia"/>
                <w:b/>
                <w:color w:val="auto"/>
                <w:sz w:val="24"/>
              </w:rPr>
              <w:t>1、施工期工程分析</w:t>
            </w:r>
          </w:p>
          <w:p w14:paraId="1C3B483C">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项目</w:t>
            </w:r>
            <w:r>
              <w:rPr>
                <w:rFonts w:hint="eastAsia" w:cs="Times New Roman"/>
                <w:color w:val="auto"/>
                <w:sz w:val="24"/>
                <w:lang w:val="en-US" w:eastAsia="zh-CN"/>
              </w:rPr>
              <w:t>在</w:t>
            </w:r>
            <w:r>
              <w:rPr>
                <w:rFonts w:hint="default" w:ascii="Times New Roman" w:hAnsi="Times New Roman" w:cs="Times New Roman"/>
                <w:color w:val="auto"/>
                <w:sz w:val="24"/>
              </w:rPr>
              <w:t>安徽中志轨道交通装备制造有限公司</w:t>
            </w:r>
            <w:r>
              <w:rPr>
                <w:rFonts w:hint="default" w:ascii="Times New Roman" w:hAnsi="Times New Roman" w:cs="Times New Roman"/>
                <w:color w:val="auto"/>
                <w:sz w:val="24"/>
                <w:lang w:val="en-US" w:eastAsia="zh-CN"/>
              </w:rPr>
              <w:t>东南侧空地，建设一栋钢结构厂房，占地面积约20亩，</w:t>
            </w:r>
            <w:r>
              <w:rPr>
                <w:rFonts w:hint="eastAsia" w:cs="Times New Roman"/>
                <w:color w:val="auto"/>
                <w:sz w:val="24"/>
                <w:lang w:val="en-US" w:eastAsia="zh-CN"/>
              </w:rPr>
              <w:t>建筑</w:t>
            </w:r>
            <w:r>
              <w:rPr>
                <w:rFonts w:hint="default" w:ascii="Times New Roman" w:hAnsi="Times New Roman" w:cs="Times New Roman"/>
                <w:color w:val="auto"/>
                <w:sz w:val="24"/>
                <w:lang w:val="en-US" w:eastAsia="zh-CN"/>
              </w:rPr>
              <w:t>面积约8000m</w:t>
            </w:r>
            <w:r>
              <w:rPr>
                <w:rFonts w:hint="default" w:ascii="Times New Roman" w:hAnsi="Times New Roman" w:cs="Times New Roman"/>
                <w:color w:val="auto"/>
                <w:sz w:val="24"/>
                <w:vertAlign w:val="superscript"/>
                <w:lang w:val="en-US" w:eastAsia="zh-CN"/>
              </w:rPr>
              <w:t>2</w:t>
            </w:r>
            <w:r>
              <w:rPr>
                <w:rFonts w:hint="eastAsia"/>
                <w:color w:val="auto"/>
                <w:kern w:val="0"/>
                <w:sz w:val="24"/>
                <w:szCs w:val="24"/>
                <w:lang w:eastAsia="zh-CN"/>
              </w:rPr>
              <w:t>，</w:t>
            </w:r>
            <w:r>
              <w:rPr>
                <w:rFonts w:hint="eastAsia"/>
                <w:color w:val="auto"/>
                <w:kern w:val="0"/>
                <w:sz w:val="24"/>
                <w:szCs w:val="24"/>
                <w:lang w:val="en-US" w:eastAsia="zh-CN"/>
              </w:rPr>
              <w:t>项目施工期工艺流程和产排污环节分析如下：</w:t>
            </w:r>
          </w:p>
          <w:p w14:paraId="656B48E3">
            <w:pPr>
              <w:pStyle w:val="21"/>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kern w:val="0"/>
                <w:sz w:val="24"/>
                <w:szCs w:val="24"/>
                <w:lang w:val="en-US" w:eastAsia="zh-CN"/>
              </w:rPr>
              <w:t>（1）施工期工艺流程</w:t>
            </w:r>
          </w:p>
          <w:p w14:paraId="7C520A3E">
            <w:pPr>
              <w:spacing w:line="360" w:lineRule="auto"/>
              <w:rPr>
                <w:color w:val="auto"/>
              </w:rPr>
            </w:pPr>
            <w:r>
              <w:rPr>
                <w:color w:val="auto"/>
              </w:rPr>
              <w:drawing>
                <wp:inline distT="0" distB="0" distL="114300" distR="114300">
                  <wp:extent cx="5200015" cy="1860550"/>
                  <wp:effectExtent l="0" t="0" r="635" b="635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2"/>
                          <a:stretch>
                            <a:fillRect/>
                          </a:stretch>
                        </pic:blipFill>
                        <pic:spPr>
                          <a:xfrm>
                            <a:off x="0" y="0"/>
                            <a:ext cx="5200015" cy="1860550"/>
                          </a:xfrm>
                          <a:prstGeom prst="rect">
                            <a:avLst/>
                          </a:prstGeom>
                          <a:noFill/>
                          <a:ln>
                            <a:noFill/>
                          </a:ln>
                        </pic:spPr>
                      </pic:pic>
                    </a:graphicData>
                  </a:graphic>
                </wp:inline>
              </w:drawing>
            </w:r>
          </w:p>
          <w:p w14:paraId="478DCEF1">
            <w:pPr>
              <w:numPr>
                <w:ilvl w:val="0"/>
                <w:numId w:val="0"/>
              </w:numPr>
              <w:spacing w:line="360" w:lineRule="auto"/>
              <w:ind w:leftChars="200"/>
              <w:rPr>
                <w:rFonts w:hint="default"/>
                <w:color w:val="auto"/>
                <w:kern w:val="0"/>
                <w:sz w:val="24"/>
                <w:szCs w:val="24"/>
                <w:lang w:val="en-US" w:eastAsia="zh-CN"/>
              </w:rPr>
            </w:pPr>
            <w:r>
              <w:rPr>
                <w:rFonts w:hint="eastAsia"/>
                <w:color w:val="auto"/>
                <w:kern w:val="0"/>
                <w:sz w:val="24"/>
                <w:szCs w:val="24"/>
                <w:lang w:val="en-US" w:eastAsia="zh-CN"/>
              </w:rPr>
              <w:t>①基础工程</w:t>
            </w:r>
          </w:p>
          <w:p w14:paraId="051FB9DE">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建设项目将施工过程中产生的建筑垃圾、碎石、砂土、粘士共同用作填士材料。利用压路机分片碾压，并浇水湿润填土以利于密实。然后利用起重机械吊起特制的重锤冲击基土表面，使地基受到压密。该工程主要污染物为施工机械产生的噪声、粉尘和汽车排放的尾气。</w:t>
            </w:r>
          </w:p>
          <w:p w14:paraId="05B5BA29">
            <w:pPr>
              <w:spacing w:line="360" w:lineRule="auto"/>
              <w:ind w:firstLine="480" w:firstLineChars="200"/>
              <w:rPr>
                <w:rFonts w:hint="default"/>
                <w:color w:val="auto"/>
                <w:kern w:val="0"/>
                <w:sz w:val="24"/>
                <w:szCs w:val="24"/>
                <w:lang w:val="en-US" w:eastAsia="zh-CN"/>
              </w:rPr>
            </w:pPr>
            <w:r>
              <w:rPr>
                <w:rFonts w:hint="eastAsia"/>
                <w:color w:val="auto"/>
                <w:kern w:val="0"/>
                <w:sz w:val="24"/>
                <w:szCs w:val="24"/>
                <w:lang w:val="en-US" w:eastAsia="zh-CN"/>
              </w:rPr>
              <w:t>②主体工程</w:t>
            </w:r>
          </w:p>
          <w:p w14:paraId="347E3AA3">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建设项目主体工程主要为钻孔灌注，现浇钢拴住、梁、砌墙砌筑。建筑项目利用钻孔设备进行钻孔后，用钢筋混凝土浇灌。浇灌时注入顶先拌制均匀的混凝士，随罐随振，振捣均匀，防止混凝士不实和素浆上浮。然后根据施工图纸，进行钢筋的配料和加工，安装于架好的模板之处，及时连续灌注混凝士，并捣实是混凝士成型。建设项目在砌墙砌筑时，首先进行水泥砂浆的调配，然后再挂线砌筑。该工段工期较长，主要污染物为搅拌机产生的噪声、尾气、搅拌砂浆时的砂浆水，碎砖和废砂等固废。</w:t>
            </w:r>
          </w:p>
          <w:p w14:paraId="6B41B7B8">
            <w:pPr>
              <w:spacing w:line="360" w:lineRule="auto"/>
              <w:ind w:firstLine="480" w:firstLineChars="200"/>
              <w:rPr>
                <w:rFonts w:hint="eastAsia"/>
                <w:color w:val="auto"/>
                <w:kern w:val="0"/>
                <w:sz w:val="24"/>
                <w:szCs w:val="24"/>
                <w:lang w:val="en-US" w:eastAsia="zh-CN"/>
              </w:rPr>
            </w:pPr>
          </w:p>
          <w:p w14:paraId="71BA6853">
            <w:pPr>
              <w:spacing w:line="360" w:lineRule="auto"/>
              <w:ind w:firstLine="480" w:firstLineChars="200"/>
              <w:rPr>
                <w:rFonts w:hint="default"/>
                <w:color w:val="auto"/>
                <w:kern w:val="0"/>
                <w:sz w:val="24"/>
                <w:szCs w:val="24"/>
                <w:lang w:val="en-US" w:eastAsia="zh-CN"/>
              </w:rPr>
            </w:pPr>
            <w:r>
              <w:rPr>
                <w:rFonts w:hint="eastAsia"/>
                <w:color w:val="auto"/>
                <w:kern w:val="0"/>
                <w:sz w:val="24"/>
                <w:szCs w:val="24"/>
                <w:lang w:val="en-US" w:eastAsia="zh-CN"/>
              </w:rPr>
              <w:t>③设备安装</w:t>
            </w:r>
          </w:p>
          <w:p w14:paraId="5B84CDB1">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包括道路、雨水管网铺设等施工，主要污染物是施工机械产生的噪声、尾气等。</w:t>
            </w:r>
          </w:p>
          <w:p w14:paraId="621334E4">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（2）主要污染工序</w:t>
            </w:r>
          </w:p>
          <w:p w14:paraId="2D2DB253">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 xml:space="preserve">本项目在施工期会产生一定的噪声污染和扬尘，同时会排放一定的废水、废气和建筑垃圾；此外建筑施工机械和运输车辆会产生较大的噪声。具体如下：   </w:t>
            </w:r>
          </w:p>
          <w:p w14:paraId="07DE5B70">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①大气污染物：带起污染物主要是扬尘，一般由土地平整、土方填挖、物料装卸、水泥搅拌和车辆运输造成的。</w:t>
            </w:r>
          </w:p>
          <w:p w14:paraId="13E40AAB">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②水污染物：项目施工期的水污染源主要来自施工人员的日常生活，主要是粪便污水。</w:t>
            </w:r>
          </w:p>
          <w:p w14:paraId="69988516">
            <w:pPr>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③噪声：施工期噪声污染源主要来自施工机械噪声、施工作业噪声和运输车辆噪声，施工机械噪声有施工机械所造成，入挖士机械、打桩机械、混凝士搅拌机、升降机等，多为点声源：施工作业噪声主要是指一些零星的敲打声、装卸建材的撞击声、施工人员的吆喝声、拆装模板的撞击声等，多为瞬间噪声；运输车辆的噪声属于交通噪声。这些施工噪声中对声环境影响最大的是施工机械噪声。</w:t>
            </w:r>
          </w:p>
          <w:p w14:paraId="54F44025">
            <w:pPr>
              <w:spacing w:line="360" w:lineRule="auto"/>
              <w:ind w:firstLine="480" w:firstLineChars="200"/>
              <w:rPr>
                <w:rFonts w:hint="default" w:eastAsia="宋体"/>
                <w:color w:val="auto"/>
                <w:kern w:val="0"/>
                <w:sz w:val="24"/>
                <w:szCs w:val="24"/>
                <w:lang w:val="en-US" w:eastAsia="zh-CN"/>
              </w:rPr>
            </w:pPr>
            <w:r>
              <w:rPr>
                <w:rFonts w:hint="eastAsia"/>
                <w:color w:val="auto"/>
                <w:kern w:val="0"/>
                <w:sz w:val="24"/>
                <w:szCs w:val="24"/>
                <w:lang w:val="en-US" w:eastAsia="zh-CN"/>
              </w:rPr>
              <w:t>④固体废物：本项目施工期的固废主要有施工人员产生的生活垃圾和各种建筑垃圾建筑垃圾主要有开挖士地产生的土石方、建材损耗产生的垃圾、装修产生的建筑垃圾等。</w:t>
            </w:r>
          </w:p>
          <w:p w14:paraId="394DAFC5">
            <w:pPr>
              <w:spacing w:line="360" w:lineRule="auto"/>
              <w:ind w:firstLine="482" w:firstLineChars="200"/>
              <w:rPr>
                <w:b/>
                <w:color w:val="auto"/>
                <w:sz w:val="24"/>
              </w:rPr>
            </w:pPr>
            <w:r>
              <w:rPr>
                <w:rFonts w:hint="eastAsia"/>
                <w:b/>
                <w:color w:val="auto"/>
                <w:sz w:val="24"/>
              </w:rPr>
              <w:t>2、运营期工艺流程</w:t>
            </w:r>
          </w:p>
          <w:p w14:paraId="745CFAB8">
            <w:pPr>
              <w:pStyle w:val="57"/>
              <w:adjustRightInd/>
              <w:spacing w:line="360" w:lineRule="auto"/>
              <w:ind w:firstLine="480" w:firstLineChars="200"/>
              <w:jc w:val="left"/>
              <w:rPr>
                <w:rFonts w:hint="eastAsia" w:eastAsia="宋体"/>
                <w:b w:val="0"/>
                <w:bCs w:val="0"/>
                <w:color w:val="auto"/>
                <w:lang w:eastAsia="zh-CN"/>
              </w:rPr>
            </w:pPr>
            <w:r>
              <w:rPr>
                <w:rFonts w:hint="eastAsia"/>
                <w:b w:val="0"/>
                <w:bCs w:val="0"/>
                <w:color w:val="auto"/>
              </w:rPr>
              <w:t>本项目</w:t>
            </w:r>
            <w:r>
              <w:rPr>
                <w:rFonts w:hint="eastAsia"/>
                <w:b w:val="0"/>
                <w:bCs w:val="0"/>
                <w:color w:val="auto"/>
                <w:lang w:val="en-US" w:eastAsia="zh-CN"/>
              </w:rPr>
              <w:t>产品为统型砼岔枕</w:t>
            </w:r>
            <w:r>
              <w:rPr>
                <w:rFonts w:hint="eastAsia"/>
                <w:b w:val="0"/>
                <w:bCs w:val="0"/>
                <w:color w:val="auto"/>
              </w:rPr>
              <w:t>，具体生产工艺流程如下。其工艺流程如下图所示：</w:t>
            </w:r>
            <w:r>
              <w:rPr>
                <w:b w:val="0"/>
                <w:bCs w:val="0"/>
                <w:color w:val="auto"/>
              </w:rPr>
              <w:t xml:space="preserve"> </w:t>
            </w:r>
          </w:p>
          <w:p w14:paraId="02CE42E6">
            <w:pPr>
              <w:spacing w:line="360" w:lineRule="auto"/>
              <w:jc w:val="center"/>
              <w:rPr>
                <w:rFonts w:hint="eastAsia" w:eastAsia="宋体"/>
                <w:lang w:eastAsia="zh-CN"/>
              </w:rPr>
            </w:pPr>
            <w:bookmarkStart w:id="5" w:name="_1790081555"/>
            <w:bookmarkEnd w:id="5"/>
            <w:r>
              <w:rPr>
                <w:rFonts w:hint="eastAsia" w:eastAsia="宋体"/>
                <w:lang w:eastAsia="zh-CN"/>
              </w:rPr>
              <w:object>
                <v:shape id="_x0000_i1026" o:spt="75" type="#_x0000_t75" style="height:510.7pt;width:389.55pt;" o:ole="t" filled="f" o:preferrelative="t" stroked="f" coordsize="21600,21600">
                  <v:path/>
                  <v:fill on="f" focussize="0,0"/>
                  <v:stroke on="f"/>
                  <v:imagedata r:id="rId14" o:title=""/>
                  <o:lock v:ext="edit" aspectratio="t"/>
                  <w10:wrap type="none"/>
                  <w10:anchorlock/>
                </v:shape>
                <o:OLEObject Type="Embed" ProgID="RFFlow4" ShapeID="_x0000_i1026" DrawAspect="Content" ObjectID="_1468075726" r:id="rId13">
                  <o:LockedField>false</o:LockedField>
                </o:OLEObject>
              </w:object>
            </w:r>
          </w:p>
          <w:p w14:paraId="05E59279">
            <w:pPr>
              <w:spacing w:line="360" w:lineRule="auto"/>
              <w:jc w:val="center"/>
              <w:rPr>
                <w:b/>
                <w:bCs/>
                <w:color w:val="002DC7"/>
                <w:sz w:val="24"/>
                <w:szCs w:val="24"/>
              </w:rPr>
            </w:pPr>
            <w:r>
              <w:rPr>
                <w:b/>
                <w:bCs/>
                <w:color w:val="auto"/>
                <w:sz w:val="24"/>
                <w:szCs w:val="24"/>
              </w:rPr>
              <w:t xml:space="preserve">图2-2  </w:t>
            </w:r>
            <w:r>
              <w:rPr>
                <w:rFonts w:hint="eastAsia"/>
                <w:b/>
                <w:bCs/>
                <w:color w:val="auto"/>
                <w:sz w:val="24"/>
                <w:szCs w:val="24"/>
                <w:lang w:val="en-US" w:eastAsia="zh-CN"/>
              </w:rPr>
              <w:t>统型砼岔枕</w:t>
            </w:r>
            <w:r>
              <w:rPr>
                <w:b/>
                <w:bCs/>
                <w:color w:val="auto"/>
                <w:sz w:val="24"/>
                <w:szCs w:val="24"/>
              </w:rPr>
              <w:t>生产工艺流程及产污节点图</w:t>
            </w:r>
          </w:p>
          <w:p w14:paraId="5330DE02">
            <w:pPr>
              <w:pStyle w:val="57"/>
              <w:adjustRightInd/>
              <w:spacing w:line="360" w:lineRule="auto"/>
              <w:ind w:firstLine="482" w:firstLineChars="200"/>
              <w:rPr>
                <w:b/>
                <w:color w:val="auto"/>
              </w:rPr>
            </w:pPr>
            <w:r>
              <w:rPr>
                <w:rFonts w:hint="eastAsia"/>
                <w:b/>
                <w:color w:val="auto"/>
              </w:rPr>
              <w:t>生产工艺流程简述：</w:t>
            </w:r>
          </w:p>
          <w:p w14:paraId="0AA1C63E">
            <w:pPr>
              <w:pStyle w:val="57"/>
              <w:adjustRightInd/>
              <w:spacing w:line="360" w:lineRule="auto"/>
              <w:ind w:firstLine="482" w:firstLineChars="200"/>
              <w:jc w:val="both"/>
              <w:rPr>
                <w:rFonts w:hint="eastAsia"/>
                <w:color w:val="auto"/>
                <w:highlight w:val="none"/>
              </w:rPr>
            </w:pPr>
            <w:r>
              <w:rPr>
                <w:rFonts w:hint="eastAsia"/>
                <w:color w:val="auto"/>
                <w:highlight w:val="none"/>
              </w:rPr>
              <w:t>（1）原料运输、储存</w:t>
            </w:r>
          </w:p>
          <w:p w14:paraId="5F2C59CE">
            <w:pPr>
              <w:pStyle w:val="57"/>
              <w:adjustRightInd/>
              <w:spacing w:line="360" w:lineRule="auto"/>
              <w:ind w:firstLine="480" w:firstLineChars="200"/>
              <w:jc w:val="both"/>
              <w:rPr>
                <w:rFonts w:hint="eastAsia"/>
                <w:b w:val="0"/>
                <w:bCs w:val="0"/>
                <w:color w:val="auto"/>
                <w:highlight w:val="yellow"/>
              </w:rPr>
            </w:pPr>
            <w:r>
              <w:rPr>
                <w:rFonts w:hint="eastAsia"/>
                <w:b w:val="0"/>
                <w:bCs w:val="0"/>
                <w:color w:val="auto"/>
                <w:highlight w:val="none"/>
                <w:lang w:val="en-US" w:eastAsia="zh-CN"/>
              </w:rPr>
              <w:t>砂子</w:t>
            </w:r>
            <w:r>
              <w:rPr>
                <w:rFonts w:hint="eastAsia"/>
                <w:b w:val="0"/>
                <w:bCs w:val="0"/>
                <w:color w:val="auto"/>
                <w:highlight w:val="none"/>
              </w:rPr>
              <w:t>、</w:t>
            </w:r>
            <w:r>
              <w:rPr>
                <w:rFonts w:hint="eastAsia"/>
                <w:b w:val="0"/>
                <w:bCs w:val="0"/>
                <w:color w:val="auto"/>
                <w:highlight w:val="none"/>
                <w:lang w:val="en-US" w:eastAsia="zh-CN"/>
              </w:rPr>
              <w:t>碎石</w:t>
            </w:r>
            <w:r>
              <w:rPr>
                <w:rFonts w:hint="eastAsia"/>
                <w:b w:val="0"/>
                <w:bCs w:val="0"/>
                <w:color w:val="auto"/>
                <w:highlight w:val="none"/>
              </w:rPr>
              <w:t>、水泥、</w:t>
            </w:r>
            <w:r>
              <w:rPr>
                <w:rFonts w:hint="eastAsia"/>
                <w:b w:val="0"/>
                <w:bCs w:val="0"/>
                <w:color w:val="auto"/>
                <w:highlight w:val="none"/>
                <w:lang w:val="en-US" w:eastAsia="zh-CN"/>
              </w:rPr>
              <w:t>粉煤灰</w:t>
            </w:r>
            <w:r>
              <w:rPr>
                <w:rFonts w:hint="eastAsia"/>
                <w:b w:val="0"/>
                <w:bCs w:val="0"/>
                <w:color w:val="auto"/>
                <w:highlight w:val="none"/>
              </w:rPr>
              <w:t>、</w:t>
            </w:r>
            <w:r>
              <w:rPr>
                <w:rFonts w:hint="eastAsia"/>
                <w:b w:val="0"/>
                <w:bCs w:val="0"/>
                <w:color w:val="auto"/>
                <w:highlight w:val="none"/>
                <w:lang w:val="en-US" w:eastAsia="zh-CN"/>
              </w:rPr>
              <w:t>钢材</w:t>
            </w:r>
            <w:r>
              <w:rPr>
                <w:rFonts w:hint="eastAsia"/>
                <w:b w:val="0"/>
                <w:bCs w:val="0"/>
                <w:color w:val="auto"/>
                <w:highlight w:val="none"/>
              </w:rPr>
              <w:t>等原料均采用车辆运输至厂区内；</w:t>
            </w:r>
            <w:r>
              <w:rPr>
                <w:rFonts w:hint="eastAsia"/>
                <w:b w:val="0"/>
                <w:bCs w:val="0"/>
                <w:color w:val="auto"/>
                <w:highlight w:val="none"/>
                <w:lang w:val="en-US" w:eastAsia="zh-CN"/>
              </w:rPr>
              <w:t>砂子</w:t>
            </w:r>
            <w:r>
              <w:rPr>
                <w:rFonts w:hint="eastAsia"/>
                <w:b w:val="0"/>
                <w:bCs w:val="0"/>
                <w:color w:val="auto"/>
                <w:highlight w:val="none"/>
              </w:rPr>
              <w:t>、</w:t>
            </w:r>
            <w:r>
              <w:rPr>
                <w:rFonts w:hint="eastAsia"/>
                <w:b w:val="0"/>
                <w:bCs w:val="0"/>
                <w:color w:val="auto"/>
                <w:highlight w:val="none"/>
                <w:lang w:val="en-US" w:eastAsia="zh-CN"/>
              </w:rPr>
              <w:t>碎石</w:t>
            </w:r>
            <w:r>
              <w:rPr>
                <w:rFonts w:hint="eastAsia"/>
                <w:b w:val="0"/>
                <w:bCs w:val="0"/>
                <w:color w:val="auto"/>
                <w:highlight w:val="none"/>
              </w:rPr>
              <w:t>、</w:t>
            </w:r>
            <w:r>
              <w:rPr>
                <w:rFonts w:hint="eastAsia"/>
                <w:b w:val="0"/>
                <w:bCs w:val="0"/>
                <w:color w:val="auto"/>
                <w:highlight w:val="none"/>
                <w:lang w:val="en-US" w:eastAsia="zh-CN"/>
              </w:rPr>
              <w:t>减水</w:t>
            </w:r>
            <w:r>
              <w:rPr>
                <w:rFonts w:hint="eastAsia"/>
                <w:b w:val="0"/>
                <w:bCs w:val="0"/>
                <w:color w:val="auto"/>
                <w:highlight w:val="none"/>
              </w:rPr>
              <w:t>剂、</w:t>
            </w:r>
            <w:r>
              <w:rPr>
                <w:rFonts w:hint="eastAsia"/>
                <w:b w:val="0"/>
                <w:bCs w:val="0"/>
                <w:color w:val="auto"/>
                <w:highlight w:val="none"/>
                <w:lang w:val="en-US" w:eastAsia="zh-CN"/>
              </w:rPr>
              <w:t>钢材</w:t>
            </w:r>
            <w:r>
              <w:rPr>
                <w:rFonts w:hint="eastAsia"/>
                <w:b w:val="0"/>
                <w:bCs w:val="0"/>
                <w:color w:val="auto"/>
                <w:highlight w:val="none"/>
              </w:rPr>
              <w:t>等通过车辆卸料，储存于</w:t>
            </w:r>
            <w:r>
              <w:rPr>
                <w:rFonts w:hint="eastAsia"/>
                <w:b w:val="0"/>
                <w:bCs w:val="0"/>
                <w:color w:val="auto"/>
                <w:highlight w:val="none"/>
                <w:lang w:val="en-US" w:eastAsia="zh-CN"/>
              </w:rPr>
              <w:t>原料</w:t>
            </w:r>
            <w:r>
              <w:rPr>
                <w:rFonts w:hint="eastAsia" w:hAnsi="宋体"/>
                <w:b w:val="0"/>
                <w:bCs w:val="0"/>
                <w:color w:val="auto"/>
                <w:szCs w:val="21"/>
                <w:lang w:val="en-US" w:eastAsia="zh-CN"/>
              </w:rPr>
              <w:t>堆放区</w:t>
            </w:r>
            <w:r>
              <w:rPr>
                <w:rFonts w:hint="eastAsia"/>
                <w:b w:val="0"/>
                <w:bCs w:val="0"/>
                <w:color w:val="auto"/>
                <w:highlight w:val="none"/>
              </w:rPr>
              <w:t>内；水泥、石粉通过管道密闭泵入筒仓内储存。</w:t>
            </w:r>
          </w:p>
          <w:p w14:paraId="7B5129A3">
            <w:pPr>
              <w:widowControl/>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val="0"/>
                <w:bCs/>
                <w:color w:val="000000" w:themeColor="text1"/>
                <w:kern w:val="0"/>
                <w:sz w:val="24"/>
                <w14:textFill>
                  <w14:solidFill>
                    <w14:schemeClr w14:val="tx1"/>
                  </w14:solidFill>
                </w14:textFill>
              </w:rPr>
              <w:t>产污及治理措施：</w:t>
            </w:r>
          </w:p>
          <w:p w14:paraId="53D6E093">
            <w:pPr>
              <w:widowControl/>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砂子</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、碎石</w:t>
            </w:r>
            <w:r>
              <w:rPr>
                <w:rFonts w:hint="eastAsia" w:ascii="Times New Roman" w:hAnsi="Times New Roman" w:eastAsia="宋体" w:cs="Times New Roman"/>
                <w:color w:val="000000" w:themeColor="text1"/>
                <w:kern w:val="0"/>
                <w:sz w:val="24"/>
                <w14:textFill>
                  <w14:solidFill>
                    <w14:schemeClr w14:val="tx1"/>
                  </w14:solidFill>
                </w14:textFill>
              </w:rPr>
              <w:t>等原料卸料过程中会产生G</w:t>
            </w:r>
            <w:r>
              <w:rPr>
                <w:rFonts w:hint="eastAsia" w:cs="Times New Roman"/>
                <w:color w:val="000000" w:themeColor="text1"/>
                <w:kern w:val="0"/>
                <w:sz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14:textFill>
                  <w14:solidFill>
                    <w14:schemeClr w14:val="tx1"/>
                  </w14:solidFill>
                </w14:textFill>
              </w:rPr>
              <w:t>卸料废气，通过采取密闭</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车间</w:t>
            </w:r>
            <w:r>
              <w:rPr>
                <w:rFonts w:hint="eastAsia" w:ascii="Times New Roman" w:hAnsi="Times New Roman" w:eastAsia="宋体" w:cs="Times New Roman"/>
                <w:color w:val="000000" w:themeColor="text1"/>
                <w:kern w:val="0"/>
                <w:sz w:val="24"/>
                <w14:textFill>
                  <w14:solidFill>
                    <w14:schemeClr w14:val="tx1"/>
                  </w14:solidFill>
                </w14:textFill>
              </w:rPr>
              <w:t>以及加强喷淋洒水降尘措施后，通过无组织排放；</w:t>
            </w:r>
          </w:p>
          <w:p w14:paraId="3C5B498C">
            <w:pPr>
              <w:widowControl/>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14:textFill>
                  <w14:solidFill>
                    <w14:schemeClr w14:val="tx1"/>
                  </w14:solidFill>
                </w14:textFill>
              </w:rPr>
              <w:t>G</w:t>
            </w:r>
            <w:r>
              <w:rPr>
                <w:rFonts w:hint="eastAsia" w:cs="Times New Roman"/>
                <w:color w:val="000000" w:themeColor="text1"/>
                <w:kern w:val="0"/>
                <w:sz w:val="24"/>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水泥</w:t>
            </w:r>
            <w:r>
              <w:rPr>
                <w:rFonts w:hint="eastAsia" w:ascii="Times New Roman" w:hAnsi="Times New Roman" w:eastAsia="宋体" w:cs="Times New Roman"/>
                <w:color w:val="000000" w:themeColor="text1"/>
                <w:kern w:val="0"/>
                <w:sz w:val="24"/>
                <w14:textFill>
                  <w14:solidFill>
                    <w14:schemeClr w14:val="tx1"/>
                  </w14:solidFill>
                </w14:textFill>
              </w:rPr>
              <w:t>筒仓呼吸废气经仓顶除尘器处理后</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无组织排放；</w:t>
            </w:r>
          </w:p>
          <w:p w14:paraId="7EA3DAE3">
            <w:pPr>
              <w:widowControl/>
              <w:spacing w:line="360" w:lineRule="auto"/>
              <w:ind w:firstLine="480" w:firstLineChars="200"/>
              <w:rPr>
                <w:rFonts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G</w:t>
            </w:r>
            <w:r>
              <w:rPr>
                <w:rFonts w:hint="eastAsia" w:cs="Times New Roman"/>
                <w:color w:val="000000" w:themeColor="text1"/>
                <w:kern w:val="0"/>
                <w:sz w:val="24"/>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粉煤灰筒仓呼吸气经仓顶除尘器处理后无组织排放</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p>
          <w:p w14:paraId="5C482891">
            <w:pPr>
              <w:pStyle w:val="57"/>
              <w:adjustRightInd/>
              <w:spacing w:line="360" w:lineRule="auto"/>
              <w:ind w:firstLine="482" w:firstLineChars="200"/>
              <w:jc w:val="both"/>
              <w:rPr>
                <w:rFonts w:hint="default" w:eastAsia="宋体"/>
                <w:color w:val="auto"/>
                <w:highlight w:val="yellow"/>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配料</w:t>
            </w:r>
            <w:r>
              <w:rPr>
                <w:rFonts w:hint="eastAsia"/>
                <w:color w:val="auto"/>
                <w:highlight w:val="none"/>
                <w:lang w:eastAsia="zh-CN"/>
              </w:rPr>
              <w:t>、</w:t>
            </w:r>
            <w:r>
              <w:rPr>
                <w:rFonts w:hint="eastAsia"/>
                <w:color w:val="auto"/>
                <w:highlight w:val="none"/>
                <w:lang w:val="en-US" w:eastAsia="zh-CN"/>
              </w:rPr>
              <w:t>搅拌</w:t>
            </w:r>
          </w:p>
          <w:p w14:paraId="574FCF97">
            <w:pPr>
              <w:pStyle w:val="57"/>
              <w:adjustRightInd/>
              <w:spacing w:line="360" w:lineRule="auto"/>
              <w:ind w:firstLine="480" w:firstLineChars="200"/>
              <w:jc w:val="both"/>
              <w:rPr>
                <w:rFonts w:hint="eastAsia" w:eastAsia="宋体"/>
                <w:b w:val="0"/>
                <w:bCs w:val="0"/>
                <w:color w:val="auto"/>
                <w:highlight w:val="yellow"/>
                <w:lang w:eastAsia="zh-CN"/>
              </w:rPr>
            </w:pPr>
            <w:r>
              <w:rPr>
                <w:rFonts w:hint="eastAsia" w:ascii="Times New Roman" w:hAnsi="Times New Roman" w:eastAsia="宋体" w:cs="Times New Roman"/>
                <w:b w:val="0"/>
                <w:bCs w:val="0"/>
                <w:color w:val="000000" w:themeColor="text1"/>
                <w:kern w:val="0"/>
                <w:sz w:val="24"/>
                <w14:textFill>
                  <w14:solidFill>
                    <w14:schemeClr w14:val="tx1"/>
                  </w14:solidFill>
                </w14:textFill>
              </w:rPr>
              <w:t>外购的</w:t>
            </w:r>
            <w:r>
              <w:rPr>
                <w:rFonts w:hint="eastAsia" w:cs="Times New Roman"/>
                <w:b w:val="0"/>
                <w:bCs w:val="0"/>
                <w:color w:val="000000" w:themeColor="text1"/>
                <w:kern w:val="0"/>
                <w:sz w:val="24"/>
                <w:lang w:val="en-US" w:eastAsia="zh-CN"/>
                <w14:textFill>
                  <w14:solidFill>
                    <w14:schemeClr w14:val="tx1"/>
                  </w14:solidFill>
                </w14:textFill>
              </w:rPr>
              <w:t>砂子</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、碎石</w:t>
            </w:r>
            <w:r>
              <w:rPr>
                <w:rFonts w:hint="eastAsia" w:ascii="Times New Roman" w:hAnsi="Times New Roman" w:eastAsia="宋体" w:cs="Times New Roman"/>
                <w:b w:val="0"/>
                <w:bCs w:val="0"/>
                <w:color w:val="000000" w:themeColor="text1"/>
                <w:kern w:val="0"/>
                <w:sz w:val="24"/>
                <w14:textFill>
                  <w14:solidFill>
                    <w14:schemeClr w14:val="tx1"/>
                  </w14:solidFill>
                </w14:textFill>
              </w:rPr>
              <w:t>由车辆运入厂区现有原料</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堆放区</w:t>
            </w:r>
            <w:r>
              <w:rPr>
                <w:rFonts w:hint="eastAsia" w:ascii="Times New Roman" w:hAnsi="Times New Roman" w:eastAsia="宋体" w:cs="Times New Roman"/>
                <w:b w:val="0"/>
                <w:bCs w:val="0"/>
                <w:color w:val="000000" w:themeColor="text1"/>
                <w:kern w:val="0"/>
                <w:sz w:val="24"/>
                <w14:textFill>
                  <w14:solidFill>
                    <w14:schemeClr w14:val="tx1"/>
                  </w14:solidFill>
                </w14:textFill>
              </w:rPr>
              <w:t>储存，通过铲车运入配料仓内</w:t>
            </w:r>
            <w:r>
              <w:rPr>
                <w:rFonts w:hint="eastAsia" w:ascii="Times New Roman" w:hAnsi="Times New Roman" w:eastAsia="宋体" w:cs="Times New Roman"/>
                <w:b w:val="0"/>
                <w:bCs w:val="0"/>
                <w:color w:val="000000" w:themeColor="text1"/>
                <w:kern w:val="0"/>
                <w:sz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此处产生配料废气G</w:t>
            </w:r>
            <w:r>
              <w:rPr>
                <w:rFonts w:hint="eastAsia" w:cs="Times New Roman"/>
                <w:b w:val="0"/>
                <w:bCs w:val="0"/>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kern w:val="0"/>
                <w:sz w:val="24"/>
                <w:lang w:eastAsia="zh-CN"/>
                <w14:textFill>
                  <w14:solidFill>
                    <w14:schemeClr w14:val="tx1"/>
                  </w14:solidFill>
                </w14:textFill>
              </w:rPr>
              <w:t>。</w:t>
            </w:r>
            <w:r>
              <w:rPr>
                <w:rFonts w:hint="eastAsia"/>
                <w:b w:val="0"/>
                <w:bCs w:val="0"/>
                <w:color w:val="auto"/>
                <w:highlight w:val="none"/>
              </w:rPr>
              <w:t>混凝土准备</w:t>
            </w:r>
            <w:r>
              <w:rPr>
                <w:rFonts w:hint="eastAsia"/>
                <w:b w:val="0"/>
                <w:bCs w:val="0"/>
                <w:color w:val="auto"/>
                <w:highlight w:val="none"/>
                <w:lang w:eastAsia="zh-CN"/>
              </w:rPr>
              <w:t>（</w:t>
            </w:r>
            <w:r>
              <w:rPr>
                <w:rFonts w:hint="eastAsia"/>
                <w:b w:val="0"/>
                <w:bCs w:val="0"/>
                <w:color w:val="auto"/>
                <w:highlight w:val="none"/>
              </w:rPr>
              <w:t>密闭输送、搅拌</w:t>
            </w:r>
            <w:r>
              <w:rPr>
                <w:rFonts w:hint="eastAsia"/>
                <w:b w:val="0"/>
                <w:bCs w:val="0"/>
                <w:color w:val="auto"/>
                <w:highlight w:val="none"/>
                <w:lang w:eastAsia="zh-CN"/>
              </w:rPr>
              <w:t>）：</w:t>
            </w:r>
            <w:r>
              <w:rPr>
                <w:rFonts w:hint="eastAsia"/>
                <w:b w:val="0"/>
                <w:bCs w:val="0"/>
                <w:color w:val="auto"/>
                <w:highlight w:val="none"/>
              </w:rPr>
              <w:t>水泥</w:t>
            </w:r>
            <w:r>
              <w:rPr>
                <w:rFonts w:hint="eastAsia"/>
                <w:b w:val="0"/>
                <w:bCs w:val="0"/>
                <w:color w:val="auto"/>
                <w:highlight w:val="none"/>
                <w:lang w:eastAsia="zh-CN"/>
              </w:rPr>
              <w:t>、</w:t>
            </w:r>
            <w:r>
              <w:rPr>
                <w:rFonts w:hint="eastAsia"/>
                <w:b w:val="0"/>
                <w:bCs w:val="0"/>
                <w:color w:val="auto"/>
                <w:highlight w:val="none"/>
                <w:lang w:val="en-US" w:eastAsia="zh-CN"/>
              </w:rPr>
              <w:t>粉煤灰</w:t>
            </w:r>
            <w:r>
              <w:rPr>
                <w:rFonts w:hint="eastAsia"/>
                <w:b w:val="0"/>
                <w:bCs w:val="0"/>
                <w:color w:val="auto"/>
                <w:highlight w:val="none"/>
              </w:rPr>
              <w:t>由高压风式密闭进料，</w:t>
            </w:r>
            <w:r>
              <w:rPr>
                <w:rFonts w:hint="eastAsia"/>
                <w:b w:val="0"/>
                <w:bCs w:val="0"/>
                <w:color w:val="auto"/>
                <w:highlight w:val="none"/>
                <w:lang w:val="en-US" w:eastAsia="zh-CN"/>
              </w:rPr>
              <w:t>砂子</w:t>
            </w:r>
            <w:r>
              <w:rPr>
                <w:rFonts w:hint="eastAsia"/>
                <w:b w:val="0"/>
                <w:bCs w:val="0"/>
                <w:color w:val="auto"/>
                <w:highlight w:val="none"/>
              </w:rPr>
              <w:t>、碎石通过密闭螺旋输送机加入到搅拌站内，水、减水剂泵入搅拌站内，整个输送过程采用密闭系统，不涉及粉尘产生</w:t>
            </w:r>
            <w:r>
              <w:rPr>
                <w:rFonts w:hint="eastAsia"/>
                <w:b w:val="0"/>
                <w:bCs w:val="0"/>
                <w:color w:val="auto"/>
                <w:highlight w:val="none"/>
                <w:lang w:eastAsia="zh-CN"/>
              </w:rPr>
              <w:t>。</w:t>
            </w:r>
            <w:r>
              <w:rPr>
                <w:rFonts w:hint="eastAsia"/>
                <w:b w:val="0"/>
                <w:bCs w:val="0"/>
                <w:color w:val="auto"/>
                <w:highlight w:val="none"/>
              </w:rPr>
              <w:t>按设计配比把水泥</w:t>
            </w:r>
            <w:r>
              <w:rPr>
                <w:rFonts w:hint="eastAsia"/>
                <w:b w:val="0"/>
                <w:bCs w:val="0"/>
                <w:color w:val="auto"/>
                <w:highlight w:val="none"/>
                <w:lang w:eastAsia="zh-CN"/>
              </w:rPr>
              <w:t>、</w:t>
            </w:r>
            <w:r>
              <w:rPr>
                <w:rFonts w:hint="eastAsia"/>
                <w:b w:val="0"/>
                <w:bCs w:val="0"/>
                <w:color w:val="auto"/>
                <w:highlight w:val="none"/>
                <w:lang w:val="en-US" w:eastAsia="zh-CN"/>
              </w:rPr>
              <w:t>粉煤灰</w:t>
            </w:r>
            <w:r>
              <w:rPr>
                <w:rFonts w:hint="eastAsia"/>
                <w:b w:val="0"/>
                <w:bCs w:val="0"/>
                <w:color w:val="auto"/>
                <w:highlight w:val="none"/>
              </w:rPr>
              <w:t>、</w:t>
            </w:r>
            <w:r>
              <w:rPr>
                <w:rFonts w:hint="eastAsia"/>
                <w:b w:val="0"/>
                <w:bCs w:val="0"/>
                <w:color w:val="auto"/>
                <w:highlight w:val="none"/>
                <w:lang w:val="en-US" w:eastAsia="zh-CN"/>
              </w:rPr>
              <w:t>砂子</w:t>
            </w:r>
            <w:r>
              <w:rPr>
                <w:rFonts w:hint="eastAsia"/>
                <w:b w:val="0"/>
                <w:bCs w:val="0"/>
                <w:color w:val="auto"/>
                <w:highlight w:val="none"/>
              </w:rPr>
              <w:t>、碎石原料计量后从各自的储仓内</w:t>
            </w:r>
            <w:r>
              <w:rPr>
                <w:rFonts w:hint="eastAsia"/>
                <w:b w:val="0"/>
                <w:bCs w:val="0"/>
                <w:color w:val="auto"/>
                <w:highlight w:val="none"/>
                <w:lang w:eastAsia="zh-CN"/>
              </w:rPr>
              <w:t>（</w:t>
            </w:r>
            <w:r>
              <w:rPr>
                <w:rFonts w:hint="eastAsia"/>
                <w:b w:val="0"/>
                <w:bCs w:val="0"/>
                <w:color w:val="auto"/>
                <w:highlight w:val="none"/>
              </w:rPr>
              <w:t>项目水泥储存在水泥</w:t>
            </w:r>
            <w:r>
              <w:rPr>
                <w:rFonts w:hint="eastAsia"/>
                <w:b w:val="0"/>
                <w:bCs w:val="0"/>
                <w:color w:val="auto"/>
                <w:highlight w:val="none"/>
                <w:lang w:val="en-US" w:eastAsia="zh-CN"/>
              </w:rPr>
              <w:t>筒仓</w:t>
            </w:r>
            <w:r>
              <w:rPr>
                <w:rFonts w:hint="eastAsia"/>
                <w:b w:val="0"/>
                <w:bCs w:val="0"/>
                <w:color w:val="auto"/>
                <w:highlight w:val="none"/>
              </w:rPr>
              <w:t>内</w:t>
            </w:r>
            <w:r>
              <w:rPr>
                <w:rFonts w:hint="eastAsia"/>
                <w:b w:val="0"/>
                <w:bCs w:val="0"/>
                <w:color w:val="auto"/>
                <w:highlight w:val="none"/>
                <w:lang w:eastAsia="zh-CN"/>
              </w:rPr>
              <w:t>；</w:t>
            </w:r>
            <w:r>
              <w:rPr>
                <w:rFonts w:hint="eastAsia"/>
                <w:b w:val="0"/>
                <w:bCs w:val="0"/>
                <w:color w:val="auto"/>
                <w:highlight w:val="none"/>
              </w:rPr>
              <w:t>砂、碎石储存在相应的堆场内</w:t>
            </w:r>
            <w:r>
              <w:rPr>
                <w:rFonts w:hint="eastAsia"/>
                <w:b w:val="0"/>
                <w:bCs w:val="0"/>
                <w:color w:val="auto"/>
                <w:highlight w:val="none"/>
                <w:lang w:eastAsia="zh-CN"/>
              </w:rPr>
              <w:t>）</w:t>
            </w:r>
            <w:r>
              <w:rPr>
                <w:rFonts w:hint="eastAsia"/>
                <w:b w:val="0"/>
                <w:bCs w:val="0"/>
                <w:color w:val="auto"/>
                <w:highlight w:val="none"/>
                <w:lang w:val="en-US" w:eastAsia="zh-CN"/>
              </w:rPr>
              <w:t>输送至搅拌站内，进行搅拌，此处产生搅拌废气G5</w:t>
            </w:r>
            <w:r>
              <w:rPr>
                <w:rFonts w:hint="eastAsia"/>
                <w:b w:val="0"/>
                <w:bCs w:val="0"/>
                <w:color w:val="auto"/>
                <w:highlight w:val="none"/>
                <w:lang w:eastAsia="zh-CN"/>
              </w:rPr>
              <w:t>。</w:t>
            </w:r>
          </w:p>
          <w:p w14:paraId="2380AD7B">
            <w:pPr>
              <w:pStyle w:val="57"/>
              <w:adjustRightInd/>
              <w:spacing w:line="360" w:lineRule="auto"/>
              <w:ind w:firstLine="480" w:firstLineChars="200"/>
              <w:jc w:val="both"/>
              <w:rPr>
                <w:rFonts w:hint="eastAsia" w:eastAsia="宋体"/>
                <w:b w:val="0"/>
                <w:bCs w:val="0"/>
                <w:color w:val="auto"/>
                <w:highlight w:val="none"/>
                <w:lang w:eastAsia="zh-CN"/>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ascii="Times New Roman" w:hAnsi="Times New Roman" w:eastAsia="宋体" w:cs="Times New Roman"/>
                <w:b w:val="0"/>
                <w:bCs w:val="0"/>
                <w:color w:val="000000" w:themeColor="text1"/>
                <w:kern w:val="0"/>
                <w:sz w:val="24"/>
                <w14:textFill>
                  <w14:solidFill>
                    <w14:schemeClr w14:val="tx1"/>
                  </w14:solidFill>
                </w14:textFill>
              </w:rPr>
              <w:t>G</w:t>
            </w:r>
            <w:r>
              <w:rPr>
                <w:rFonts w:hint="eastAsia" w:cs="Times New Roman"/>
                <w:b w:val="0"/>
                <w:bCs w:val="0"/>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kern w:val="0"/>
                <w:sz w:val="24"/>
                <w14:textFill>
                  <w14:solidFill>
                    <w14:schemeClr w14:val="tx1"/>
                  </w14:solidFill>
                </w14:textFill>
              </w:rPr>
              <w:t>配料废气通过集气罩收集，脉冲袋式除尘器处理后，通过15m高（DA00</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0"/>
                <w:sz w:val="24"/>
                <w14:textFill>
                  <w14:solidFill>
                    <w14:schemeClr w14:val="tx1"/>
                  </w14:solidFill>
                </w14:textFill>
              </w:rPr>
              <w:t>）排气筒排放</w:t>
            </w:r>
            <w:r>
              <w:rPr>
                <w:rFonts w:hint="eastAsia" w:ascii="Times New Roman" w:hAnsi="Times New Roman" w:eastAsia="宋体" w:cs="Times New Roman"/>
                <w:b w:val="0"/>
                <w:bCs w:val="0"/>
                <w:color w:val="000000" w:themeColor="text1"/>
                <w:kern w:val="0"/>
                <w:sz w:val="24"/>
                <w:lang w:eastAsia="zh-CN"/>
                <w14:textFill>
                  <w14:solidFill>
                    <w14:schemeClr w14:val="tx1"/>
                  </w14:solidFill>
                </w14:textFill>
              </w:rPr>
              <w:t>；</w:t>
            </w:r>
            <w:r>
              <w:rPr>
                <w:rFonts w:hint="eastAsia"/>
                <w:b w:val="0"/>
                <w:bCs w:val="0"/>
                <w:color w:val="auto"/>
                <w:highlight w:val="none"/>
                <w:lang w:val="en-US" w:eastAsia="zh-CN"/>
              </w:rPr>
              <w:t>G5搅拌废气</w:t>
            </w:r>
            <w:r>
              <w:rPr>
                <w:rFonts w:hint="eastAsia" w:ascii="Times New Roman" w:hAnsi="Times New Roman" w:eastAsia="宋体" w:cs="Times New Roman"/>
                <w:b w:val="0"/>
                <w:bCs w:val="0"/>
                <w:color w:val="000000" w:themeColor="text1"/>
                <w:kern w:val="0"/>
                <w:sz w:val="24"/>
                <w14:textFill>
                  <w14:solidFill>
                    <w14:schemeClr w14:val="tx1"/>
                  </w14:solidFill>
                </w14:textFill>
              </w:rPr>
              <w:t>通过</w:t>
            </w:r>
            <w:r>
              <w:rPr>
                <w:rFonts w:hint="eastAsia" w:cs="Times New Roman"/>
                <w:b w:val="0"/>
                <w:bCs w:val="0"/>
                <w:color w:val="000000" w:themeColor="text1"/>
                <w:kern w:val="0"/>
                <w:sz w:val="24"/>
                <w:lang w:eastAsia="zh-CN"/>
                <w14:textFill>
                  <w14:solidFill>
                    <w14:schemeClr w14:val="tx1"/>
                  </w14:solidFill>
                </w14:textFill>
              </w:rPr>
              <w:t>密闭收集</w:t>
            </w:r>
            <w:r>
              <w:rPr>
                <w:rFonts w:hint="eastAsia" w:ascii="Times New Roman" w:hAnsi="Times New Roman" w:eastAsia="宋体" w:cs="Times New Roman"/>
                <w:b w:val="0"/>
                <w:bCs w:val="0"/>
                <w:color w:val="000000" w:themeColor="text1"/>
                <w:kern w:val="0"/>
                <w:sz w:val="24"/>
                <w14:textFill>
                  <w14:solidFill>
                    <w14:schemeClr w14:val="tx1"/>
                  </w14:solidFill>
                </w14:textFill>
              </w:rPr>
              <w:t>，脉冲袋式除尘器处理后，通过15m高（DA00</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kern w:val="0"/>
                <w:sz w:val="24"/>
                <w14:textFill>
                  <w14:solidFill>
                    <w14:schemeClr w14:val="tx1"/>
                  </w14:solidFill>
                </w14:textFill>
              </w:rPr>
              <w:t>）排气筒排放。</w:t>
            </w:r>
          </w:p>
          <w:p w14:paraId="5E1C4C62">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）钢筋加工：</w:t>
            </w:r>
            <w:r>
              <w:rPr>
                <w:rFonts w:hint="eastAsia"/>
                <w:b w:val="0"/>
                <w:bCs w:val="0"/>
                <w:color w:val="auto"/>
                <w:highlight w:val="none"/>
                <w:lang w:eastAsia="zh-CN"/>
              </w:rPr>
              <w:t>把盘型钢筋进行定长下料、折弯等加工操作。</w:t>
            </w:r>
          </w:p>
          <w:p w14:paraId="40F4CAA2">
            <w:pPr>
              <w:pStyle w:val="57"/>
              <w:adjustRightInd/>
              <w:spacing w:line="360" w:lineRule="auto"/>
              <w:ind w:firstLine="480" w:firstLineChars="200"/>
              <w:jc w:val="both"/>
              <w:rPr>
                <w:rFonts w:hint="eastAsia"/>
                <w:b w:val="0"/>
                <w:bCs w:val="0"/>
                <w:color w:val="002DC7"/>
                <w:highlight w:val="yellow"/>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钢筋加工</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过程中产生</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废</w:t>
            </w:r>
            <w:r>
              <w:rPr>
                <w:rFonts w:hint="eastAsia"/>
                <w:b w:val="0"/>
                <w:bCs w:val="0"/>
                <w:color w:val="auto"/>
                <w:sz w:val="24"/>
                <w:szCs w:val="22"/>
                <w:lang w:val="en-US" w:eastAsia="zh-CN"/>
              </w:rPr>
              <w:t>切割边角料</w:t>
            </w:r>
            <w:r>
              <w:rPr>
                <w:rFonts w:hint="eastAsia" w:ascii="Times New Roman" w:hAnsi="Times New Roman" w:eastAsia="宋体" w:cs="Times New Roman"/>
                <w:b w:val="0"/>
                <w:bCs w:val="0"/>
                <w:color w:val="000000" w:themeColor="text1"/>
                <w:kern w:val="0"/>
                <w:sz w:val="24"/>
                <w14:textFill>
                  <w14:solidFill>
                    <w14:schemeClr w14:val="tx1"/>
                  </w14:solidFill>
                </w14:textFill>
              </w:rPr>
              <w:t>。</w:t>
            </w:r>
          </w:p>
          <w:p w14:paraId="1A28C01C">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4</w:t>
            </w:r>
            <w:r>
              <w:rPr>
                <w:rFonts w:hint="eastAsia"/>
                <w:b/>
                <w:bCs/>
                <w:color w:val="auto"/>
                <w:highlight w:val="none"/>
                <w:lang w:eastAsia="zh-CN"/>
              </w:rPr>
              <w:t>）钢筋入模：</w:t>
            </w:r>
            <w:r>
              <w:rPr>
                <w:rFonts w:hint="eastAsia"/>
                <w:b w:val="0"/>
                <w:bCs w:val="0"/>
                <w:color w:val="auto"/>
                <w:highlight w:val="none"/>
                <w:lang w:eastAsia="zh-CN"/>
              </w:rPr>
              <w:t>将加工好的钢筋装入钢模内。</w:t>
            </w:r>
          </w:p>
          <w:p w14:paraId="6589CAFE">
            <w:pPr>
              <w:pStyle w:val="57"/>
              <w:adjustRightInd/>
              <w:spacing w:line="360" w:lineRule="auto"/>
              <w:ind w:firstLine="480" w:firstLineChars="200"/>
              <w:jc w:val="both"/>
              <w:rPr>
                <w:rFonts w:hint="eastAsia"/>
                <w:b w:val="0"/>
                <w:bCs w:val="0"/>
                <w:color w:val="002DC7"/>
                <w:highlight w:val="yellow"/>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cs="Times New Roman"/>
                <w:b w:val="0"/>
                <w:bCs w:val="0"/>
                <w:color w:val="000000" w:themeColor="text1"/>
                <w:kern w:val="0"/>
                <w:sz w:val="24"/>
                <w:lang w:val="en-US" w:eastAsia="zh-CN"/>
                <w14:textFill>
                  <w14:solidFill>
                    <w14:schemeClr w14:val="tx1"/>
                  </w14:solidFill>
                </w14:textFill>
              </w:rPr>
              <w:t>钢筋入模</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p>
          <w:p w14:paraId="40D622C0">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5</w:t>
            </w:r>
            <w:r>
              <w:rPr>
                <w:rFonts w:hint="eastAsia"/>
                <w:b/>
                <w:bCs/>
                <w:color w:val="auto"/>
                <w:highlight w:val="none"/>
                <w:lang w:eastAsia="zh-CN"/>
              </w:rPr>
              <w:t>）预应力施工：</w:t>
            </w:r>
            <w:r>
              <w:rPr>
                <w:rFonts w:hint="eastAsia"/>
                <w:b w:val="0"/>
                <w:bCs w:val="0"/>
                <w:color w:val="auto"/>
                <w:highlight w:val="none"/>
                <w:lang w:eastAsia="zh-CN"/>
              </w:rPr>
              <w:t>保证钢筋张拉值到位并保证张拉力均匀。采用自动张拉及放张设备张拉力精度不得低于1级。</w:t>
            </w:r>
          </w:p>
          <w:p w14:paraId="102C5347">
            <w:pPr>
              <w:pStyle w:val="57"/>
              <w:adjustRightInd/>
              <w:spacing w:line="360" w:lineRule="auto"/>
              <w:ind w:firstLine="480" w:firstLineChars="200"/>
              <w:jc w:val="both"/>
              <w:rPr>
                <w:rFonts w:hint="eastAsia"/>
                <w:b w:val="0"/>
                <w:bCs w:val="0"/>
                <w:color w:val="auto"/>
                <w:highlight w:val="none"/>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cs="Times New Roman"/>
                <w:b w:val="0"/>
                <w:bCs w:val="0"/>
                <w:color w:val="000000" w:themeColor="text1"/>
                <w:kern w:val="0"/>
                <w:sz w:val="24"/>
                <w:lang w:val="en-US" w:eastAsia="zh-CN"/>
                <w14:textFill>
                  <w14:solidFill>
                    <w14:schemeClr w14:val="tx1"/>
                  </w14:solidFill>
                </w14:textFill>
              </w:rPr>
              <w:t>预应力施工</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p>
          <w:p w14:paraId="189A5DAB">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6</w:t>
            </w:r>
            <w:r>
              <w:rPr>
                <w:rFonts w:hint="eastAsia"/>
                <w:b/>
                <w:bCs/>
                <w:color w:val="auto"/>
                <w:highlight w:val="none"/>
                <w:lang w:eastAsia="zh-CN"/>
              </w:rPr>
              <w:t>）配件安装：</w:t>
            </w:r>
            <w:r>
              <w:rPr>
                <w:rFonts w:hint="eastAsia"/>
                <w:b w:val="0"/>
                <w:bCs w:val="0"/>
                <w:color w:val="auto"/>
                <w:highlight w:val="none"/>
                <w:lang w:eastAsia="zh-CN"/>
              </w:rPr>
              <w:t>将预应力施工完成的钢筋与加工后的钢丝、冷拔丝、钢材进行配件安装，主要为通过钢丝和冷拔丝缠绕的方式，将钢材与钢筋组合成相应的形状。</w:t>
            </w:r>
          </w:p>
          <w:p w14:paraId="20E169DD">
            <w:pPr>
              <w:pStyle w:val="57"/>
              <w:adjustRightInd/>
              <w:spacing w:line="360" w:lineRule="auto"/>
              <w:ind w:firstLine="480" w:firstLineChars="200"/>
              <w:jc w:val="both"/>
              <w:rPr>
                <w:rFonts w:hint="eastAsia"/>
                <w:b w:val="0"/>
                <w:bCs w:val="0"/>
                <w:color w:val="auto"/>
                <w:highlight w:val="none"/>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b w:val="0"/>
                <w:bCs w:val="0"/>
                <w:color w:val="auto"/>
                <w:highlight w:val="none"/>
                <w:lang w:eastAsia="zh-CN"/>
              </w:rPr>
              <w:t>配件安装</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p>
          <w:p w14:paraId="46DF62AF">
            <w:pPr>
              <w:pStyle w:val="57"/>
              <w:adjustRightInd/>
              <w:spacing w:line="360" w:lineRule="auto"/>
              <w:ind w:firstLine="482" w:firstLineChars="200"/>
              <w:jc w:val="both"/>
              <w:rPr>
                <w:rFonts w:hint="default" w:eastAsia="宋体"/>
                <w:b w:val="0"/>
                <w:bCs w:val="0"/>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7</w:t>
            </w:r>
            <w:r>
              <w:rPr>
                <w:rFonts w:hint="eastAsia"/>
                <w:b/>
                <w:bCs/>
                <w:color w:val="auto"/>
                <w:highlight w:val="none"/>
                <w:lang w:eastAsia="zh-CN"/>
              </w:rPr>
              <w:t>）灌注成型：</w:t>
            </w:r>
            <w:r>
              <w:rPr>
                <w:rFonts w:hint="eastAsia"/>
                <w:b w:val="0"/>
                <w:bCs w:val="0"/>
                <w:color w:val="auto"/>
                <w:highlight w:val="none"/>
                <w:lang w:eastAsia="zh-CN"/>
              </w:rPr>
              <w:t>将混凝土注入钢模中，并在振动台上振动，使混凝土均匀的填充在钢模</w:t>
            </w:r>
            <w:r>
              <w:rPr>
                <w:rFonts w:hint="eastAsia"/>
                <w:b w:val="0"/>
                <w:bCs w:val="0"/>
                <w:color w:val="auto"/>
                <w:highlight w:val="none"/>
                <w:lang w:val="en-US" w:eastAsia="zh-CN"/>
              </w:rPr>
              <w:t>内。</w:t>
            </w:r>
          </w:p>
          <w:p w14:paraId="602DD4A1">
            <w:pPr>
              <w:pStyle w:val="57"/>
              <w:adjustRightInd/>
              <w:spacing w:line="360" w:lineRule="auto"/>
              <w:ind w:firstLine="480" w:firstLineChars="200"/>
              <w:jc w:val="both"/>
              <w:rPr>
                <w:rFonts w:hint="eastAsia"/>
                <w:b w:val="0"/>
                <w:bCs w:val="0"/>
                <w:color w:val="auto"/>
                <w:highlight w:val="none"/>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b w:val="0"/>
                <w:bCs w:val="0"/>
                <w:color w:val="auto"/>
                <w:highlight w:val="none"/>
                <w:lang w:eastAsia="zh-CN"/>
              </w:rPr>
              <w:t>灌注成型</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p>
          <w:p w14:paraId="493A7A4A">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8</w:t>
            </w:r>
            <w:r>
              <w:rPr>
                <w:rFonts w:hint="eastAsia"/>
                <w:b/>
                <w:bCs/>
                <w:color w:val="auto"/>
                <w:highlight w:val="none"/>
                <w:lang w:eastAsia="zh-CN"/>
              </w:rPr>
              <w:t>）蒸汽养护：</w:t>
            </w:r>
            <w:r>
              <w:rPr>
                <w:rFonts w:hint="eastAsia"/>
                <w:b w:val="0"/>
                <w:bCs w:val="0"/>
                <w:color w:val="auto"/>
                <w:sz w:val="24"/>
                <w:szCs w:val="22"/>
                <w:highlight w:val="none"/>
                <w:lang w:val="en-US" w:eastAsia="zh-CN"/>
              </w:rPr>
              <w:t>半成品岔枕吊入蒸汽养护池进行养护，养护时养护池加盖为封闭式，恒温养护过程中根据温度调整供气量，使温度保持在55℃左右，养护时间平均约为8~12小时，其目的是加速水泥的固化。经过高温蒸养后，岔枕凝固达到70%，基本定型</w:t>
            </w:r>
            <w:r>
              <w:rPr>
                <w:rFonts w:hint="eastAsia"/>
                <w:b w:val="0"/>
                <w:bCs w:val="0"/>
                <w:color w:val="auto"/>
                <w:highlight w:val="none"/>
                <w:lang w:eastAsia="zh-CN"/>
              </w:rPr>
              <w:t>。</w:t>
            </w:r>
            <w:r>
              <w:rPr>
                <w:rFonts w:hint="eastAsia"/>
                <w:b w:val="0"/>
                <w:bCs w:val="0"/>
                <w:color w:val="auto"/>
                <w:highlight w:val="none"/>
                <w:lang w:val="en-US" w:eastAsia="zh-CN"/>
              </w:rPr>
              <w:t>蒸汽考虑全部蒸发</w:t>
            </w:r>
            <w:r>
              <w:rPr>
                <w:rFonts w:hint="eastAsia"/>
                <w:b w:val="0"/>
                <w:bCs w:val="0"/>
                <w:color w:val="auto"/>
                <w:highlight w:val="none"/>
                <w:lang w:eastAsia="zh-CN"/>
              </w:rPr>
              <w:t>。</w:t>
            </w:r>
          </w:p>
          <w:p w14:paraId="4A5314DB">
            <w:pPr>
              <w:pStyle w:val="57"/>
              <w:adjustRightInd/>
              <w:spacing w:line="360" w:lineRule="auto"/>
              <w:ind w:firstLine="480" w:firstLineChars="200"/>
              <w:jc w:val="both"/>
              <w:rPr>
                <w:rFonts w:hint="eastAsia"/>
                <w:b w:val="0"/>
                <w:bCs w:val="0"/>
                <w:color w:val="auto"/>
                <w:highlight w:val="none"/>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b w:val="0"/>
                <w:bCs w:val="0"/>
                <w:color w:val="auto"/>
                <w:highlight w:val="none"/>
                <w:lang w:val="en-US" w:eastAsia="zh-CN"/>
              </w:rPr>
              <w:t>养护</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p>
          <w:p w14:paraId="5F502CEE">
            <w:pPr>
              <w:pStyle w:val="57"/>
              <w:adjustRightInd/>
              <w:spacing w:line="360" w:lineRule="auto"/>
              <w:ind w:firstLine="482" w:firstLineChars="200"/>
              <w:jc w:val="both"/>
              <w:rPr>
                <w:rFonts w:hint="eastAsia" w:eastAsia="宋体"/>
                <w:b w:val="0"/>
                <w:bCs w:val="0"/>
                <w:color w:val="auto"/>
                <w:highlight w:val="none"/>
                <w:lang w:eastAsia="zh-CN"/>
              </w:rPr>
            </w:pPr>
            <w:r>
              <w:rPr>
                <w:rFonts w:hint="eastAsia"/>
                <w:b/>
                <w:bCs/>
                <w:color w:val="auto"/>
                <w:highlight w:val="none"/>
                <w:lang w:eastAsia="zh-CN"/>
              </w:rPr>
              <w:t>（</w:t>
            </w:r>
            <w:r>
              <w:rPr>
                <w:rFonts w:hint="eastAsia"/>
                <w:b/>
                <w:bCs/>
                <w:color w:val="auto"/>
                <w:highlight w:val="none"/>
                <w:lang w:val="en-US" w:eastAsia="zh-CN"/>
              </w:rPr>
              <w:t>9</w:t>
            </w:r>
            <w:r>
              <w:rPr>
                <w:rFonts w:hint="eastAsia"/>
                <w:b/>
                <w:bCs/>
                <w:color w:val="auto"/>
                <w:highlight w:val="none"/>
                <w:lang w:eastAsia="zh-CN"/>
              </w:rPr>
              <w:t>）脱模：</w:t>
            </w:r>
            <w:r>
              <w:rPr>
                <w:rFonts w:hint="eastAsia"/>
                <w:b w:val="0"/>
                <w:bCs w:val="0"/>
                <w:color w:val="auto"/>
                <w:highlight w:val="none"/>
                <w:lang w:eastAsia="zh-CN"/>
              </w:rPr>
              <w:t>使成品和钢模脱离，确保钢筋放张均匀、成品脱模顺畅。</w:t>
            </w:r>
          </w:p>
          <w:p w14:paraId="626FD5A2">
            <w:pPr>
              <w:pStyle w:val="57"/>
              <w:adjustRightInd/>
              <w:spacing w:line="360" w:lineRule="auto"/>
              <w:ind w:firstLine="480" w:firstLineChars="200"/>
              <w:jc w:val="both"/>
              <w:rPr>
                <w:rFonts w:hint="eastAsia" w:cs="Times New Roman"/>
                <w:b w:val="0"/>
                <w:bCs w:val="0"/>
                <w:color w:val="000000" w:themeColor="text1"/>
                <w:kern w:val="0"/>
                <w:sz w:val="24"/>
                <w:lang w:eastAsia="zh-CN"/>
                <w14:textFill>
                  <w14:solidFill>
                    <w14:schemeClr w14:val="tx1"/>
                  </w14:solidFill>
                </w14:textFill>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eastAsia="宋体" w:cs="Times New Roman"/>
                <w:b w:val="0"/>
                <w:bCs w:val="0"/>
                <w:color w:val="000000" w:themeColor="text1"/>
                <w:kern w:val="0"/>
                <w:sz w:val="24"/>
                <w:lang w:val="en-US" w:eastAsia="zh-CN"/>
                <w14:textFill>
                  <w14:solidFill>
                    <w14:schemeClr w14:val="tx1"/>
                  </w14:solidFill>
                </w14:textFill>
              </w:rPr>
              <w:t>脱模</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r>
              <w:rPr>
                <w:rFonts w:hint="eastAsia" w:cs="Times New Roman"/>
                <w:b w:val="0"/>
                <w:bCs w:val="0"/>
                <w:color w:val="000000" w:themeColor="text1"/>
                <w:kern w:val="0"/>
                <w:sz w:val="24"/>
                <w:lang w:eastAsia="zh-CN"/>
                <w14:textFill>
                  <w14:solidFill>
                    <w14:schemeClr w14:val="tx1"/>
                  </w14:solidFill>
                </w14:textFill>
              </w:rPr>
              <w:t>。</w:t>
            </w:r>
          </w:p>
          <w:p w14:paraId="38078CC2">
            <w:pPr>
              <w:pStyle w:val="57"/>
              <w:numPr>
                <w:ilvl w:val="0"/>
                <w:numId w:val="0"/>
              </w:numPr>
              <w:adjustRightInd/>
              <w:spacing w:line="360" w:lineRule="auto"/>
              <w:ind w:firstLine="482" w:firstLineChars="200"/>
              <w:jc w:val="both"/>
              <w:rPr>
                <w:rFonts w:hint="eastAsia"/>
                <w:b w:val="0"/>
                <w:bCs w:val="0"/>
                <w:color w:val="auto"/>
                <w:highlight w:val="none"/>
                <w:lang w:eastAsia="zh-CN"/>
              </w:rPr>
            </w:pPr>
            <w:r>
              <w:rPr>
                <w:rFonts w:hint="eastAsia" w:ascii="Times New Roman" w:hAnsi="Times New Roman" w:eastAsia="宋体" w:cs="Times New Roman"/>
                <w:b/>
                <w:bCs/>
                <w:snapToGrid w:val="0"/>
                <w:color w:val="auto"/>
                <w:kern w:val="0"/>
                <w:sz w:val="24"/>
                <w:szCs w:val="24"/>
                <w:lang w:val="en-US" w:eastAsia="zh-CN" w:bidi="ar-SA"/>
              </w:rPr>
              <w:t>（10）</w:t>
            </w:r>
            <w:r>
              <w:rPr>
                <w:rFonts w:hint="eastAsia" w:cs="Times New Roman"/>
                <w:b/>
                <w:bCs/>
                <w:color w:val="000000" w:themeColor="text1"/>
                <w:kern w:val="0"/>
                <w:sz w:val="24"/>
                <w:lang w:val="en-US" w:eastAsia="zh-CN"/>
                <w14:textFill>
                  <w14:solidFill>
                    <w14:schemeClr w14:val="tx1"/>
                  </w14:solidFill>
                </w14:textFill>
              </w:rPr>
              <w:t>水养护：</w:t>
            </w:r>
            <w:r>
              <w:rPr>
                <w:rFonts w:hint="eastAsia"/>
                <w:b w:val="0"/>
                <w:bCs w:val="0"/>
                <w:color w:val="auto"/>
                <w:highlight w:val="none"/>
                <w:lang w:eastAsia="zh-CN"/>
              </w:rPr>
              <w:t>放置自然养护，夏天放置2天，冬天放置时间为3-5 天，每天还要专人对其喷三次水（早中晚各一次），以保持其湿度使混凝土能够自己慢慢凝固。夏天养护用水较多，冬天由于天气和湿度，可以减少喷水次数。养护用水全部蒸发。</w:t>
            </w:r>
          </w:p>
          <w:p w14:paraId="79B28107">
            <w:pPr>
              <w:pStyle w:val="57"/>
              <w:numPr>
                <w:ilvl w:val="0"/>
                <w:numId w:val="0"/>
              </w:numPr>
              <w:adjustRightInd/>
              <w:spacing w:line="360" w:lineRule="auto"/>
              <w:ind w:firstLine="480" w:firstLineChars="200"/>
              <w:jc w:val="both"/>
              <w:rPr>
                <w:rFonts w:hint="eastAsia"/>
                <w:b w:val="0"/>
                <w:bCs w:val="0"/>
                <w:color w:val="auto"/>
                <w:highlight w:val="none"/>
              </w:rPr>
            </w:pPr>
            <w:r>
              <w:rPr>
                <w:rFonts w:ascii="Times New Roman" w:hAnsi="Times New Roman" w:eastAsia="宋体" w:cs="Times New Roman"/>
                <w:b w:val="0"/>
                <w:bCs w:val="0"/>
                <w:color w:val="000000" w:themeColor="text1"/>
                <w:kern w:val="0"/>
                <w:sz w:val="24"/>
                <w14:textFill>
                  <w14:solidFill>
                    <w14:schemeClr w14:val="tx1"/>
                  </w14:solidFill>
                </w14:textFill>
              </w:rPr>
              <w:t>产污及治理措施：</w:t>
            </w: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水养护</w:t>
            </w:r>
            <w:r>
              <w:rPr>
                <w:rFonts w:hint="eastAsia" w:ascii="Times New Roman" w:hAnsi="Times New Roman" w:eastAsia="宋体" w:cs="Times New Roman"/>
                <w:b w:val="0"/>
                <w:bCs w:val="0"/>
                <w:color w:val="000000" w:themeColor="text1"/>
                <w:kern w:val="0"/>
                <w:sz w:val="24"/>
                <w14:textFill>
                  <w14:solidFill>
                    <w14:schemeClr w14:val="tx1"/>
                  </w14:solidFill>
                </w14:textFill>
              </w:rPr>
              <w:t>过程中无污染物产生</w:t>
            </w:r>
            <w:r>
              <w:rPr>
                <w:rFonts w:hint="eastAsia"/>
                <w:b w:val="0"/>
                <w:bCs w:val="0"/>
                <w:color w:val="auto"/>
                <w:highlight w:val="none"/>
                <w:lang w:eastAsia="zh-CN"/>
              </w:rPr>
              <w:t>。</w:t>
            </w:r>
          </w:p>
          <w:p w14:paraId="6F2C2D8D">
            <w:pPr>
              <w:pStyle w:val="197"/>
              <w:adjustRightInd/>
              <w:spacing w:line="360" w:lineRule="auto"/>
              <w:ind w:left="0" w:right="0" w:firstLine="482" w:firstLineChars="200"/>
              <w:jc w:val="left"/>
              <w:rPr>
                <w:rFonts w:hint="default" w:eastAsia="宋体"/>
                <w:b/>
                <w:color w:val="auto"/>
                <w:lang w:val="en-US" w:eastAsia="zh-CN"/>
              </w:rPr>
            </w:pPr>
            <w:r>
              <w:rPr>
                <w:rFonts w:hint="eastAsia"/>
                <w:b/>
                <w:color w:val="auto"/>
                <w:lang w:val="en-US" w:eastAsia="zh-CN"/>
              </w:rPr>
              <w:t>3、产污环节分析</w:t>
            </w:r>
          </w:p>
          <w:p w14:paraId="76B62870">
            <w:pPr>
              <w:pStyle w:val="197"/>
              <w:adjustRightInd/>
              <w:spacing w:line="360" w:lineRule="auto"/>
              <w:ind w:left="0" w:right="0" w:firstLine="0"/>
              <w:jc w:val="center"/>
              <w:rPr>
                <w:b/>
                <w:color w:val="auto"/>
              </w:rPr>
            </w:pPr>
            <w:r>
              <w:rPr>
                <w:b/>
                <w:color w:val="auto"/>
              </w:rPr>
              <w:t>表</w:t>
            </w:r>
            <w:r>
              <w:rPr>
                <w:rFonts w:hint="eastAsia"/>
                <w:b/>
                <w:color w:val="auto"/>
              </w:rPr>
              <w:t>2-10</w:t>
            </w:r>
            <w:r>
              <w:rPr>
                <w:b/>
                <w:color w:val="auto"/>
              </w:rPr>
              <w:t xml:space="preserve"> 本项目生产工艺过程产污环节统计表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831"/>
              <w:gridCol w:w="1260"/>
              <w:gridCol w:w="4240"/>
            </w:tblGrid>
            <w:tr w14:paraId="6F655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tcBorders>
                    <w:tl2br w:val="nil"/>
                    <w:tr2bl w:val="nil"/>
                  </w:tcBorders>
                  <w:vAlign w:val="center"/>
                </w:tcPr>
                <w:p w14:paraId="3887EFC9">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类别</w:t>
                  </w:r>
                </w:p>
              </w:tc>
              <w:tc>
                <w:tcPr>
                  <w:tcW w:w="1123" w:type="pct"/>
                  <w:tcBorders>
                    <w:tl2br w:val="nil"/>
                    <w:tr2bl w:val="nil"/>
                  </w:tcBorders>
                  <w:vAlign w:val="center"/>
                </w:tcPr>
                <w:p w14:paraId="5206CE7B">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污染源</w:t>
                  </w:r>
                </w:p>
              </w:tc>
              <w:tc>
                <w:tcPr>
                  <w:tcW w:w="773" w:type="pct"/>
                  <w:tcBorders>
                    <w:tl2br w:val="nil"/>
                    <w:tr2bl w:val="nil"/>
                  </w:tcBorders>
                  <w:vAlign w:val="center"/>
                </w:tcPr>
                <w:p w14:paraId="6A2C31B4">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污染因子</w:t>
                  </w:r>
                </w:p>
              </w:tc>
              <w:tc>
                <w:tcPr>
                  <w:tcW w:w="2600" w:type="pct"/>
                  <w:tcBorders>
                    <w:tl2br w:val="nil"/>
                    <w:tr2bl w:val="nil"/>
                  </w:tcBorders>
                  <w:vAlign w:val="center"/>
                </w:tcPr>
                <w:p w14:paraId="3C7BAB3F">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处理措施</w:t>
                  </w:r>
                </w:p>
              </w:tc>
            </w:tr>
            <w:tr w14:paraId="48A2B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vMerge w:val="restart"/>
                  <w:tcBorders>
                    <w:tl2br w:val="nil"/>
                    <w:tr2bl w:val="nil"/>
                  </w:tcBorders>
                  <w:vAlign w:val="center"/>
                </w:tcPr>
                <w:p w14:paraId="262475A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123" w:type="pct"/>
                  <w:tcBorders>
                    <w:tl2br w:val="nil"/>
                    <w:tr2bl w:val="nil"/>
                  </w:tcBorders>
                  <w:vAlign w:val="center"/>
                </w:tcPr>
                <w:p w14:paraId="5FC26015">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hint="eastAsia"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原料装卸废气</w:t>
                  </w:r>
                </w:p>
              </w:tc>
              <w:tc>
                <w:tcPr>
                  <w:tcW w:w="773" w:type="pct"/>
                  <w:tcBorders>
                    <w:tl2br w:val="nil"/>
                    <w:tr2bl w:val="nil"/>
                  </w:tcBorders>
                  <w:vAlign w:val="center"/>
                </w:tcPr>
                <w:p w14:paraId="3EECEC5B">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2600" w:type="pct"/>
                  <w:tcBorders>
                    <w:tl2br w:val="nil"/>
                    <w:tr2bl w:val="nil"/>
                  </w:tcBorders>
                  <w:vAlign w:val="center"/>
                </w:tcPr>
                <w:p w14:paraId="22343A06">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采取密闭厂房+喷淋洒水降尘等措施后，通过无组织形式排放</w:t>
                  </w:r>
                </w:p>
              </w:tc>
            </w:tr>
            <w:tr w14:paraId="4832B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vMerge w:val="continue"/>
                  <w:tcBorders>
                    <w:tl2br w:val="nil"/>
                    <w:tr2bl w:val="nil"/>
                  </w:tcBorders>
                  <w:vAlign w:val="center"/>
                </w:tcPr>
                <w:p w14:paraId="009B2396">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1123" w:type="pct"/>
                  <w:tcBorders>
                    <w:tl2br w:val="nil"/>
                    <w:tr2bl w:val="nil"/>
                  </w:tcBorders>
                  <w:vAlign w:val="center"/>
                </w:tcPr>
                <w:p w14:paraId="5AB0EE68">
                  <w:pPr>
                    <w:adjustRightInd w:val="0"/>
                    <w:snapToGrid w:val="0"/>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hint="eastAsia"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水泥筒仓呼吸废气</w:t>
                  </w:r>
                </w:p>
              </w:tc>
              <w:tc>
                <w:tcPr>
                  <w:tcW w:w="773" w:type="pct"/>
                  <w:tcBorders>
                    <w:tl2br w:val="nil"/>
                    <w:tr2bl w:val="nil"/>
                  </w:tcBorders>
                  <w:vAlign w:val="center"/>
                </w:tcPr>
                <w:p w14:paraId="50B6FF79">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2600" w:type="pct"/>
                  <w:tcBorders>
                    <w:tl2br w:val="nil"/>
                    <w:tr2bl w:val="nil"/>
                  </w:tcBorders>
                  <w:vAlign w:val="center"/>
                </w:tcPr>
                <w:p w14:paraId="17739548">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经</w:t>
                  </w:r>
                  <w:r>
                    <w:rPr>
                      <w:rFonts w:ascii="Times New Roman" w:hAnsi="Times New Roman" w:eastAsia="宋体" w:cs="Times New Roman"/>
                      <w:color w:val="000000" w:themeColor="text1"/>
                      <w:szCs w:val="21"/>
                      <w14:textFill>
                        <w14:solidFill>
                          <w14:schemeClr w14:val="tx1"/>
                        </w14:solidFill>
                      </w14:textFill>
                    </w:rPr>
                    <w:t>仓顶除尘器处理后</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无组织</w:t>
                  </w:r>
                  <w:r>
                    <w:rPr>
                      <w:rFonts w:hint="eastAsia" w:ascii="Times New Roman" w:hAnsi="Times New Roman" w:eastAsia="宋体" w:cs="Times New Roman"/>
                      <w:color w:val="000000" w:themeColor="text1"/>
                      <w:szCs w:val="21"/>
                      <w14:textFill>
                        <w14:solidFill>
                          <w14:schemeClr w14:val="tx1"/>
                        </w14:solidFill>
                      </w14:textFill>
                    </w:rPr>
                    <w:t>排放</w:t>
                  </w:r>
                </w:p>
              </w:tc>
            </w:tr>
            <w:tr w14:paraId="3BEA7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vMerge w:val="continue"/>
                  <w:tcBorders>
                    <w:tl2br w:val="nil"/>
                    <w:tr2bl w:val="nil"/>
                  </w:tcBorders>
                  <w:vAlign w:val="center"/>
                </w:tcPr>
                <w:p w14:paraId="0F344CC9">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1123" w:type="pct"/>
                  <w:tcBorders>
                    <w:tl2br w:val="nil"/>
                    <w:tr2bl w:val="nil"/>
                  </w:tcBorders>
                  <w:vAlign w:val="center"/>
                </w:tcPr>
                <w:p w14:paraId="64727A2F">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w:t>
                  </w:r>
                  <w:r>
                    <w:rPr>
                      <w:rFonts w:hint="eastAsia" w:cs="Times New Roman"/>
                      <w:color w:val="000000" w:themeColor="text1"/>
                      <w:szCs w:val="21"/>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粉煤灰筒仓</w:t>
                  </w:r>
                  <w:r>
                    <w:rPr>
                      <w:rFonts w:hint="eastAsia" w:ascii="Times New Roman" w:hAnsi="Times New Roman" w:eastAsia="宋体" w:cs="Times New Roman"/>
                      <w:color w:val="000000" w:themeColor="text1"/>
                      <w:szCs w:val="21"/>
                      <w14:textFill>
                        <w14:solidFill>
                          <w14:schemeClr w14:val="tx1"/>
                        </w14:solidFill>
                      </w14:textFill>
                    </w:rPr>
                    <w:t>呼吸废气</w:t>
                  </w:r>
                </w:p>
              </w:tc>
              <w:tc>
                <w:tcPr>
                  <w:tcW w:w="773" w:type="pct"/>
                  <w:tcBorders>
                    <w:tl2br w:val="nil"/>
                    <w:tr2bl w:val="nil"/>
                  </w:tcBorders>
                  <w:vAlign w:val="center"/>
                </w:tcPr>
                <w:p w14:paraId="16C63BA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2600" w:type="pct"/>
                  <w:tcBorders>
                    <w:tl2br w:val="nil"/>
                    <w:tr2bl w:val="nil"/>
                  </w:tcBorders>
                  <w:vAlign w:val="center"/>
                </w:tcPr>
                <w:p w14:paraId="4DEA988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经</w:t>
                  </w:r>
                  <w:r>
                    <w:rPr>
                      <w:rFonts w:ascii="Times New Roman" w:hAnsi="Times New Roman" w:eastAsia="宋体" w:cs="Times New Roman"/>
                      <w:color w:val="000000" w:themeColor="text1"/>
                      <w:szCs w:val="21"/>
                      <w14:textFill>
                        <w14:solidFill>
                          <w14:schemeClr w14:val="tx1"/>
                        </w14:solidFill>
                      </w14:textFill>
                    </w:rPr>
                    <w:t>仓顶除尘器处理后</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无组织</w:t>
                  </w:r>
                  <w:r>
                    <w:rPr>
                      <w:rFonts w:hint="eastAsia" w:ascii="Times New Roman" w:hAnsi="Times New Roman" w:eastAsia="宋体" w:cs="Times New Roman"/>
                      <w:color w:val="000000" w:themeColor="text1"/>
                      <w:szCs w:val="21"/>
                      <w14:textFill>
                        <w14:solidFill>
                          <w14:schemeClr w14:val="tx1"/>
                        </w14:solidFill>
                      </w14:textFill>
                    </w:rPr>
                    <w:t>排放</w:t>
                  </w:r>
                </w:p>
              </w:tc>
            </w:tr>
            <w:tr w14:paraId="75A6F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vMerge w:val="continue"/>
                  <w:tcBorders>
                    <w:tl2br w:val="nil"/>
                    <w:tr2bl w:val="nil"/>
                  </w:tcBorders>
                  <w:vAlign w:val="center"/>
                </w:tcPr>
                <w:p w14:paraId="1DA4B82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123" w:type="pct"/>
                  <w:tcBorders>
                    <w:tl2br w:val="nil"/>
                    <w:tr2bl w:val="nil"/>
                  </w:tcBorders>
                  <w:vAlign w:val="center"/>
                </w:tcPr>
                <w:p w14:paraId="5338828F">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hint="eastAsia" w:cs="Times New Roman"/>
                      <w:color w:val="000000" w:themeColor="text1"/>
                      <w:szCs w:val="21"/>
                      <w:lang w:val="en-US" w:eastAsia="zh-CN"/>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配料废气</w:t>
                  </w:r>
                </w:p>
              </w:tc>
              <w:tc>
                <w:tcPr>
                  <w:tcW w:w="773" w:type="pct"/>
                  <w:tcBorders>
                    <w:tl2br w:val="nil"/>
                    <w:tr2bl w:val="nil"/>
                  </w:tcBorders>
                  <w:vAlign w:val="center"/>
                </w:tcPr>
                <w:p w14:paraId="39F5871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2600" w:type="pct"/>
                  <w:tcBorders>
                    <w:tl2br w:val="nil"/>
                    <w:tr2bl w:val="nil"/>
                  </w:tcBorders>
                  <w:vAlign w:val="center"/>
                </w:tcPr>
                <w:p w14:paraId="1B4D0AE0">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通过集气罩收集，脉冲</w:t>
                  </w:r>
                  <w:r>
                    <w:rPr>
                      <w:rFonts w:hint="eastAsia" w:ascii="Times New Roman" w:hAnsi="Times New Roman" w:eastAsia="宋体" w:cs="Times New Roman"/>
                      <w:color w:val="000000" w:themeColor="text1"/>
                      <w:szCs w:val="21"/>
                      <w14:textFill>
                        <w14:solidFill>
                          <w14:schemeClr w14:val="tx1"/>
                        </w14:solidFill>
                      </w14:textFill>
                    </w:rPr>
                    <w:t>袋式</w:t>
                  </w:r>
                  <w:r>
                    <w:rPr>
                      <w:rFonts w:ascii="Times New Roman" w:hAnsi="Times New Roman" w:eastAsia="宋体" w:cs="Times New Roman"/>
                      <w:color w:val="000000" w:themeColor="text1"/>
                      <w:szCs w:val="21"/>
                      <w14:textFill>
                        <w14:solidFill>
                          <w14:schemeClr w14:val="tx1"/>
                        </w14:solidFill>
                      </w14:textFill>
                    </w:rPr>
                    <w:t>除尘器处理后，通过</w:t>
                  </w:r>
                  <w:r>
                    <w:rPr>
                      <w:rFonts w:hint="eastAsia" w:ascii="Times New Roman" w:hAnsi="Times New Roman" w:eastAsia="宋体" w:cs="Times New Roman"/>
                      <w:color w:val="000000" w:themeColor="text1"/>
                      <w:szCs w:val="21"/>
                      <w14:textFill>
                        <w14:solidFill>
                          <w14:schemeClr w14:val="tx1"/>
                        </w14:solidFill>
                      </w14:textFill>
                    </w:rPr>
                    <w:t>15</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14:textFill>
                        <w14:solidFill>
                          <w14:schemeClr w14:val="tx1"/>
                        </w14:solidFill>
                      </w14:textFill>
                    </w:rPr>
                    <w:t>高（DA00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）排气筒排放</w:t>
                  </w:r>
                </w:p>
              </w:tc>
            </w:tr>
            <w:tr w14:paraId="626D7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vMerge w:val="continue"/>
                  <w:tcBorders>
                    <w:tl2br w:val="nil"/>
                    <w:tr2bl w:val="nil"/>
                  </w:tcBorders>
                  <w:vAlign w:val="center"/>
                </w:tcPr>
                <w:p w14:paraId="6492677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123" w:type="pct"/>
                  <w:tcBorders>
                    <w:tl2br w:val="nil"/>
                    <w:tr2bl w:val="nil"/>
                  </w:tcBorders>
                  <w:vAlign w:val="center"/>
                </w:tcPr>
                <w:p w14:paraId="5F989D0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w:t>
                  </w:r>
                  <w:r>
                    <w:rPr>
                      <w:rFonts w:hint="eastAsia" w:cs="Times New Roman"/>
                      <w:color w:val="000000" w:themeColor="text1"/>
                      <w:szCs w:val="21"/>
                      <w:lang w:val="en-US" w:eastAsia="zh-CN"/>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搅拌废气</w:t>
                  </w:r>
                </w:p>
              </w:tc>
              <w:tc>
                <w:tcPr>
                  <w:tcW w:w="773" w:type="pct"/>
                  <w:tcBorders>
                    <w:tl2br w:val="nil"/>
                    <w:tr2bl w:val="nil"/>
                  </w:tcBorders>
                  <w:vAlign w:val="center"/>
                </w:tcPr>
                <w:p w14:paraId="7CCD942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2600" w:type="pct"/>
                  <w:tcBorders>
                    <w:tl2br w:val="nil"/>
                    <w:tr2bl w:val="nil"/>
                  </w:tcBorders>
                  <w:vAlign w:val="center"/>
                </w:tcPr>
                <w:p w14:paraId="75B957E2">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通过</w:t>
                  </w:r>
                  <w:r>
                    <w:rPr>
                      <w:rFonts w:hint="eastAsia" w:cs="Times New Roman"/>
                      <w:color w:val="000000" w:themeColor="text1"/>
                      <w:szCs w:val="21"/>
                      <w:lang w:eastAsia="zh-CN"/>
                      <w14:textFill>
                        <w14:solidFill>
                          <w14:schemeClr w14:val="tx1"/>
                        </w14:solidFill>
                      </w14:textFill>
                    </w:rPr>
                    <w:t>密闭收集</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脉冲</w:t>
                  </w:r>
                  <w:r>
                    <w:rPr>
                      <w:rFonts w:hint="eastAsia" w:ascii="Times New Roman" w:hAnsi="Times New Roman" w:eastAsia="宋体" w:cs="Times New Roman"/>
                      <w:color w:val="000000" w:themeColor="text1"/>
                      <w:szCs w:val="21"/>
                      <w14:textFill>
                        <w14:solidFill>
                          <w14:schemeClr w14:val="tx1"/>
                        </w14:solidFill>
                      </w14:textFill>
                    </w:rPr>
                    <w:t>袋式</w:t>
                  </w:r>
                  <w:r>
                    <w:rPr>
                      <w:rFonts w:ascii="Times New Roman" w:hAnsi="Times New Roman" w:eastAsia="宋体" w:cs="Times New Roman"/>
                      <w:color w:val="000000" w:themeColor="text1"/>
                      <w:szCs w:val="21"/>
                      <w14:textFill>
                        <w14:solidFill>
                          <w14:schemeClr w14:val="tx1"/>
                        </w14:solidFill>
                      </w14:textFill>
                    </w:rPr>
                    <w:t>除尘器处理后，通过</w:t>
                  </w:r>
                  <w:r>
                    <w:rPr>
                      <w:rFonts w:hint="eastAsia" w:ascii="Times New Roman" w:hAnsi="Times New Roman" w:eastAsia="宋体" w:cs="Times New Roman"/>
                      <w:color w:val="000000" w:themeColor="text1"/>
                      <w:szCs w:val="21"/>
                      <w14:textFill>
                        <w14:solidFill>
                          <w14:schemeClr w14:val="tx1"/>
                        </w14:solidFill>
                      </w14:textFill>
                    </w:rPr>
                    <w:t>15</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14:textFill>
                        <w14:solidFill>
                          <w14:schemeClr w14:val="tx1"/>
                        </w14:solidFill>
                      </w14:textFill>
                    </w:rPr>
                    <w:t>高（DA00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）排气筒排放</w:t>
                  </w:r>
                </w:p>
              </w:tc>
            </w:tr>
            <w:tr w14:paraId="2AC5E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tcBorders>
                    <w:tl2br w:val="nil"/>
                    <w:tr2bl w:val="nil"/>
                  </w:tcBorders>
                  <w:vAlign w:val="center"/>
                </w:tcPr>
                <w:p w14:paraId="1FF8125D">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废水</w:t>
                  </w:r>
                </w:p>
              </w:tc>
              <w:tc>
                <w:tcPr>
                  <w:tcW w:w="1123" w:type="pct"/>
                  <w:tcBorders>
                    <w:tl2br w:val="nil"/>
                    <w:tr2bl w:val="nil"/>
                  </w:tcBorders>
                  <w:vAlign w:val="center"/>
                </w:tcPr>
                <w:p w14:paraId="46C3AC73">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W1搅拌机清洗废水</w:t>
                  </w:r>
                </w:p>
              </w:tc>
              <w:tc>
                <w:tcPr>
                  <w:tcW w:w="773" w:type="pct"/>
                  <w:tcBorders>
                    <w:tl2br w:val="nil"/>
                    <w:tr2bl w:val="nil"/>
                  </w:tcBorders>
                  <w:vAlign w:val="center"/>
                </w:tcPr>
                <w:p w14:paraId="62564DD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SS</w:t>
                  </w:r>
                </w:p>
              </w:tc>
              <w:tc>
                <w:tcPr>
                  <w:tcW w:w="2600" w:type="pct"/>
                  <w:tcBorders>
                    <w:tl2br w:val="nil"/>
                    <w:tr2bl w:val="nil"/>
                  </w:tcBorders>
                  <w:vAlign w:val="center"/>
                </w:tcPr>
                <w:p w14:paraId="0106EF5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经“沉淀池”处理，回用于物料搅拌用水</w:t>
                  </w:r>
                </w:p>
              </w:tc>
            </w:tr>
            <w:tr w14:paraId="56004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tcBorders>
                    <w:tl2br w:val="nil"/>
                    <w:tr2bl w:val="nil"/>
                  </w:tcBorders>
                  <w:vAlign w:val="center"/>
                </w:tcPr>
                <w:p w14:paraId="380D757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固废</w:t>
                  </w:r>
                </w:p>
              </w:tc>
              <w:tc>
                <w:tcPr>
                  <w:tcW w:w="1123" w:type="pct"/>
                  <w:tcBorders>
                    <w:tl2br w:val="nil"/>
                    <w:tr2bl w:val="nil"/>
                  </w:tcBorders>
                  <w:vAlign w:val="center"/>
                </w:tcPr>
                <w:p w14:paraId="38DD6BD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S1钢筋加工废边角料</w:t>
                  </w:r>
                </w:p>
              </w:tc>
              <w:tc>
                <w:tcPr>
                  <w:tcW w:w="773" w:type="pct"/>
                  <w:tcBorders>
                    <w:tl2br w:val="nil"/>
                    <w:tr2bl w:val="nil"/>
                  </w:tcBorders>
                  <w:vAlign w:val="center"/>
                </w:tcPr>
                <w:p w14:paraId="616298B6">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废边角料</w:t>
                  </w:r>
                </w:p>
              </w:tc>
              <w:tc>
                <w:tcPr>
                  <w:tcW w:w="2600" w:type="pct"/>
                  <w:tcBorders>
                    <w:tl2br w:val="nil"/>
                    <w:tr2bl w:val="nil"/>
                  </w:tcBorders>
                  <w:vAlign w:val="center"/>
                </w:tcPr>
                <w:p w14:paraId="1EE0CD69">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厂区暂存后外售</w:t>
                  </w:r>
                </w:p>
              </w:tc>
            </w:tr>
            <w:tr w14:paraId="5301B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02" w:type="pct"/>
                  <w:tcBorders>
                    <w:tl2br w:val="nil"/>
                    <w:tr2bl w:val="nil"/>
                  </w:tcBorders>
                  <w:vAlign w:val="center"/>
                </w:tcPr>
                <w:p w14:paraId="25BD0F7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噪声</w:t>
                  </w:r>
                </w:p>
              </w:tc>
              <w:tc>
                <w:tcPr>
                  <w:tcW w:w="1123" w:type="pct"/>
                  <w:tcBorders>
                    <w:tl2br w:val="nil"/>
                    <w:tr2bl w:val="nil"/>
                  </w:tcBorders>
                  <w:vAlign w:val="center"/>
                </w:tcPr>
                <w:p w14:paraId="4A53D98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噪声</w:t>
                  </w:r>
                </w:p>
              </w:tc>
              <w:tc>
                <w:tcPr>
                  <w:tcW w:w="773" w:type="pct"/>
                  <w:tcBorders>
                    <w:tl2br w:val="nil"/>
                    <w:tr2bl w:val="nil"/>
                  </w:tcBorders>
                  <w:vAlign w:val="center"/>
                </w:tcPr>
                <w:p w14:paraId="5842CD0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噪声</w:t>
                  </w:r>
                </w:p>
              </w:tc>
              <w:tc>
                <w:tcPr>
                  <w:tcW w:w="2600" w:type="pct"/>
                  <w:tcBorders>
                    <w:tl2br w:val="nil"/>
                    <w:tr2bl w:val="nil"/>
                  </w:tcBorders>
                  <w:vAlign w:val="center"/>
                </w:tcPr>
                <w:p w14:paraId="6DBCFFA4">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厂房隔声，基础设施减振</w:t>
                  </w:r>
                </w:p>
              </w:tc>
            </w:tr>
          </w:tbl>
          <w:p w14:paraId="0CBAAB35">
            <w:pPr>
              <w:pStyle w:val="57"/>
              <w:tabs>
                <w:tab w:val="left" w:pos="1555"/>
              </w:tabs>
              <w:adjustRightInd/>
              <w:spacing w:line="360" w:lineRule="auto"/>
              <w:rPr>
                <w:rFonts w:eastAsia="黑体"/>
                <w:color w:val="002DC7"/>
                <w:sz w:val="18"/>
                <w:szCs w:val="18"/>
              </w:rPr>
            </w:pPr>
          </w:p>
        </w:tc>
      </w:tr>
      <w:tr w14:paraId="130E8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88" w:hRule="atLeast"/>
        </w:trPr>
        <w:tc>
          <w:tcPr>
            <w:tcW w:w="439" w:type="dxa"/>
            <w:vAlign w:val="center"/>
          </w:tcPr>
          <w:p w14:paraId="1C008872">
            <w:pPr>
              <w:widowControl/>
              <w:spacing w:line="240" w:lineRule="auto"/>
              <w:jc w:val="center"/>
              <w:rPr>
                <w:rFonts w:hint="eastAsia" w:hAnsi="宋体"/>
                <w:color w:val="002DC7"/>
                <w:kern w:val="0"/>
                <w:sz w:val="24"/>
              </w:rPr>
            </w:pPr>
            <w:r>
              <w:rPr>
                <w:rFonts w:hAnsi="宋体"/>
                <w:color w:val="auto"/>
                <w:kern w:val="0"/>
                <w:sz w:val="24"/>
              </w:rPr>
              <w:t>与项目有关的原有环境污染问题</w:t>
            </w:r>
          </w:p>
        </w:tc>
        <w:tc>
          <w:tcPr>
            <w:tcW w:w="8378" w:type="dxa"/>
          </w:tcPr>
          <w:p w14:paraId="0A44E112">
            <w:pPr>
              <w:pStyle w:val="3"/>
              <w:spacing w:after="0" w:line="480" w:lineRule="exact"/>
              <w:ind w:left="0" w:leftChars="0" w:firstLine="480" w:firstLineChars="200"/>
              <w:rPr>
                <w:rFonts w:hint="default" w:eastAsia="宋体"/>
                <w:color w:val="002DC7"/>
                <w:kern w:val="0"/>
                <w:sz w:val="24"/>
                <w:lang w:val="en-US" w:eastAsia="zh-CN"/>
              </w:rPr>
            </w:pPr>
            <w:r>
              <w:rPr>
                <w:rFonts w:hint="eastAsia"/>
                <w:color w:val="auto"/>
                <w:sz w:val="24"/>
                <w:lang w:val="en-US" w:eastAsia="zh-CN"/>
              </w:rPr>
              <w:t>本项目为新建项目无现有环境问题。</w:t>
            </w:r>
          </w:p>
          <w:p w14:paraId="0F7B29B0">
            <w:pPr>
              <w:pStyle w:val="3"/>
              <w:spacing w:after="0" w:line="480" w:lineRule="exact"/>
              <w:ind w:left="0" w:leftChars="0" w:firstLine="480" w:firstLineChars="200"/>
              <w:rPr>
                <w:color w:val="002DC7"/>
                <w:kern w:val="0"/>
                <w:sz w:val="24"/>
              </w:rPr>
            </w:pPr>
          </w:p>
          <w:p w14:paraId="02FAF69E">
            <w:pPr>
              <w:pStyle w:val="3"/>
              <w:spacing w:after="0" w:line="480" w:lineRule="exact"/>
              <w:ind w:left="0" w:leftChars="0" w:firstLine="480" w:firstLineChars="200"/>
              <w:rPr>
                <w:color w:val="002DC7"/>
                <w:kern w:val="0"/>
                <w:sz w:val="24"/>
              </w:rPr>
            </w:pPr>
          </w:p>
          <w:p w14:paraId="70D3CF48">
            <w:pPr>
              <w:pStyle w:val="3"/>
              <w:spacing w:after="0" w:line="480" w:lineRule="exact"/>
              <w:ind w:left="0" w:leftChars="0" w:firstLine="480" w:firstLineChars="200"/>
              <w:rPr>
                <w:color w:val="002DC7"/>
                <w:kern w:val="0"/>
                <w:sz w:val="24"/>
              </w:rPr>
            </w:pPr>
          </w:p>
          <w:p w14:paraId="08C3ECBB">
            <w:pPr>
              <w:pStyle w:val="3"/>
              <w:spacing w:after="0" w:line="480" w:lineRule="exact"/>
              <w:ind w:left="0" w:leftChars="0" w:firstLine="480" w:firstLineChars="200"/>
              <w:rPr>
                <w:color w:val="002DC7"/>
                <w:kern w:val="0"/>
                <w:sz w:val="24"/>
              </w:rPr>
            </w:pPr>
          </w:p>
          <w:p w14:paraId="5F5D77CE">
            <w:pPr>
              <w:pStyle w:val="3"/>
              <w:spacing w:after="0" w:line="480" w:lineRule="exact"/>
              <w:ind w:left="0" w:leftChars="0" w:firstLine="480" w:firstLineChars="200"/>
              <w:rPr>
                <w:color w:val="002DC7"/>
                <w:kern w:val="0"/>
                <w:sz w:val="24"/>
              </w:rPr>
            </w:pPr>
          </w:p>
          <w:p w14:paraId="1FCA0AAE">
            <w:pPr>
              <w:pStyle w:val="3"/>
              <w:spacing w:after="0" w:line="240" w:lineRule="auto"/>
              <w:ind w:left="0" w:leftChars="0" w:firstLine="480" w:firstLineChars="200"/>
              <w:rPr>
                <w:color w:val="002DC7"/>
                <w:kern w:val="0"/>
                <w:sz w:val="24"/>
              </w:rPr>
            </w:pPr>
          </w:p>
          <w:p w14:paraId="25087DD2">
            <w:pPr>
              <w:pStyle w:val="3"/>
              <w:spacing w:after="0" w:line="240" w:lineRule="auto"/>
              <w:ind w:left="0" w:leftChars="0" w:firstLine="480" w:firstLineChars="200"/>
              <w:rPr>
                <w:color w:val="002DC7"/>
                <w:kern w:val="0"/>
                <w:sz w:val="24"/>
              </w:rPr>
            </w:pPr>
          </w:p>
          <w:p w14:paraId="51CF9524">
            <w:pPr>
              <w:spacing w:line="360" w:lineRule="auto"/>
              <w:rPr>
                <w:b/>
                <w:color w:val="002DC7"/>
                <w:sz w:val="24"/>
              </w:rPr>
            </w:pPr>
          </w:p>
          <w:p w14:paraId="2399543B">
            <w:pPr>
              <w:pStyle w:val="57"/>
              <w:rPr>
                <w:color w:val="002DC7"/>
              </w:rPr>
            </w:pPr>
          </w:p>
          <w:p w14:paraId="4C412038">
            <w:pPr>
              <w:pStyle w:val="57"/>
              <w:rPr>
                <w:color w:val="002DC7"/>
              </w:rPr>
            </w:pPr>
          </w:p>
          <w:p w14:paraId="29FAF6DB">
            <w:pPr>
              <w:pStyle w:val="57"/>
              <w:rPr>
                <w:color w:val="002DC7"/>
              </w:rPr>
            </w:pPr>
          </w:p>
          <w:p w14:paraId="0568D1A6">
            <w:pPr>
              <w:pStyle w:val="57"/>
              <w:rPr>
                <w:color w:val="002DC7"/>
              </w:rPr>
            </w:pPr>
          </w:p>
          <w:p w14:paraId="1ED72C54">
            <w:pPr>
              <w:pStyle w:val="57"/>
              <w:rPr>
                <w:color w:val="002DC7"/>
              </w:rPr>
            </w:pPr>
          </w:p>
          <w:p w14:paraId="1B07AE8D">
            <w:pPr>
              <w:pStyle w:val="57"/>
              <w:rPr>
                <w:rFonts w:hint="eastAsia"/>
                <w:color w:val="002DC7"/>
              </w:rPr>
            </w:pPr>
          </w:p>
          <w:p w14:paraId="797DD470">
            <w:pPr>
              <w:pStyle w:val="57"/>
              <w:rPr>
                <w:color w:val="002DC7"/>
              </w:rPr>
            </w:pPr>
          </w:p>
          <w:p w14:paraId="6B4BD38E">
            <w:pPr>
              <w:pStyle w:val="57"/>
              <w:rPr>
                <w:color w:val="002DC7"/>
              </w:rPr>
            </w:pPr>
          </w:p>
          <w:p w14:paraId="56FFECFD">
            <w:pPr>
              <w:pStyle w:val="57"/>
              <w:rPr>
                <w:color w:val="002DC7"/>
              </w:rPr>
            </w:pPr>
          </w:p>
          <w:p w14:paraId="3333903C">
            <w:pPr>
              <w:pStyle w:val="57"/>
              <w:rPr>
                <w:color w:val="002DC7"/>
              </w:rPr>
            </w:pPr>
          </w:p>
          <w:p w14:paraId="5C311DF8">
            <w:pPr>
              <w:pStyle w:val="57"/>
              <w:rPr>
                <w:color w:val="002DC7"/>
              </w:rPr>
            </w:pPr>
          </w:p>
          <w:p w14:paraId="63579A91">
            <w:pPr>
              <w:pStyle w:val="57"/>
              <w:rPr>
                <w:color w:val="002DC7"/>
              </w:rPr>
            </w:pPr>
          </w:p>
          <w:p w14:paraId="32D1A6F6">
            <w:pPr>
              <w:pStyle w:val="57"/>
              <w:rPr>
                <w:color w:val="002DC7"/>
              </w:rPr>
            </w:pPr>
          </w:p>
          <w:p w14:paraId="2FFEEFA1">
            <w:pPr>
              <w:pStyle w:val="57"/>
              <w:rPr>
                <w:color w:val="002DC7"/>
              </w:rPr>
            </w:pPr>
          </w:p>
          <w:p w14:paraId="623BB92B">
            <w:pPr>
              <w:pStyle w:val="57"/>
              <w:rPr>
                <w:color w:val="002DC7"/>
              </w:rPr>
            </w:pPr>
          </w:p>
          <w:p w14:paraId="283BA3FA">
            <w:pPr>
              <w:pStyle w:val="57"/>
              <w:rPr>
                <w:color w:val="002DC7"/>
              </w:rPr>
            </w:pPr>
          </w:p>
        </w:tc>
      </w:tr>
    </w:tbl>
    <w:p w14:paraId="2ECD97B3">
      <w:pPr>
        <w:widowControl/>
        <w:jc w:val="center"/>
        <w:outlineLvl w:val="0"/>
        <w:rPr>
          <w:rFonts w:hint="eastAsia" w:ascii="宋体" w:hAnsi="宋体"/>
          <w:b/>
          <w:bCs/>
          <w:color w:val="auto"/>
          <w:kern w:val="0"/>
          <w:sz w:val="30"/>
          <w:szCs w:val="30"/>
        </w:rPr>
      </w:pPr>
      <w:bookmarkStart w:id="6" w:name="_Toc243450252"/>
      <w:bookmarkEnd w:id="6"/>
      <w:bookmarkStart w:id="7" w:name="_Toc271726186"/>
      <w:bookmarkEnd w:id="7"/>
      <w:bookmarkStart w:id="8" w:name="_Toc89762009"/>
      <w:bookmarkEnd w:id="8"/>
      <w:bookmarkStart w:id="9" w:name="_Toc306347503"/>
      <w:bookmarkStart w:id="10" w:name="_Toc354926675"/>
      <w:r>
        <w:rPr>
          <w:rFonts w:ascii="宋体" w:hAnsi="宋体"/>
          <w:b/>
          <w:bCs/>
          <w:color w:val="002DC7"/>
          <w:kern w:val="0"/>
          <w:sz w:val="30"/>
          <w:szCs w:val="30"/>
        </w:rPr>
        <w:br w:type="page"/>
      </w:r>
      <w:r>
        <w:rPr>
          <w:rFonts w:ascii="宋体" w:hAnsi="宋体"/>
          <w:b/>
          <w:bCs/>
          <w:color w:val="auto"/>
          <w:kern w:val="0"/>
          <w:sz w:val="30"/>
          <w:szCs w:val="30"/>
        </w:rPr>
        <w:t>三</w:t>
      </w:r>
      <w:r>
        <w:rPr>
          <w:rFonts w:hint="eastAsia" w:ascii="宋体" w:hAnsi="宋体"/>
          <w:b/>
          <w:bCs/>
          <w:color w:val="auto"/>
          <w:kern w:val="0"/>
          <w:sz w:val="30"/>
          <w:szCs w:val="30"/>
        </w:rPr>
        <w:t>、</w:t>
      </w:r>
      <w:r>
        <w:rPr>
          <w:rFonts w:ascii="宋体" w:hAnsi="宋体"/>
          <w:b/>
          <w:bCs/>
          <w:color w:val="auto"/>
          <w:kern w:val="0"/>
          <w:sz w:val="30"/>
          <w:szCs w:val="30"/>
        </w:rPr>
        <w:t>区域环境质量现状</w:t>
      </w:r>
      <w:bookmarkEnd w:id="9"/>
      <w:bookmarkEnd w:id="10"/>
      <w:r>
        <w:rPr>
          <w:rFonts w:hint="eastAsia" w:ascii="宋体" w:hAnsi="宋体"/>
          <w:b/>
          <w:bCs/>
          <w:color w:val="auto"/>
          <w:kern w:val="0"/>
          <w:sz w:val="30"/>
          <w:szCs w:val="30"/>
        </w:rPr>
        <w:t>、</w:t>
      </w:r>
      <w:r>
        <w:rPr>
          <w:rFonts w:ascii="宋体" w:hAnsi="宋体"/>
          <w:b/>
          <w:bCs/>
          <w:color w:val="auto"/>
          <w:kern w:val="0"/>
          <w:sz w:val="30"/>
          <w:szCs w:val="30"/>
        </w:rPr>
        <w:t>环境保护目标及评价标准</w:t>
      </w:r>
    </w:p>
    <w:tbl>
      <w:tblPr>
        <w:tblStyle w:val="4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
        <w:gridCol w:w="8361"/>
      </w:tblGrid>
      <w:tr w14:paraId="368D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00" w:hRule="atLeast"/>
        </w:trPr>
        <w:tc>
          <w:tcPr>
            <w:tcW w:w="0" w:type="auto"/>
            <w:vAlign w:val="center"/>
          </w:tcPr>
          <w:p w14:paraId="20416E05">
            <w:pPr>
              <w:spacing w:line="360" w:lineRule="auto"/>
              <w:rPr>
                <w:b/>
                <w:color w:val="002DC7"/>
                <w:sz w:val="24"/>
                <w:szCs w:val="28"/>
              </w:rPr>
            </w:pPr>
            <w:r>
              <w:rPr>
                <w:rFonts w:hint="eastAsia" w:hAnsi="宋体"/>
                <w:color w:val="auto"/>
                <w:kern w:val="0"/>
                <w:sz w:val="24"/>
              </w:rPr>
              <w:t>区域</w:t>
            </w:r>
            <w:r>
              <w:rPr>
                <w:rFonts w:hAnsi="宋体"/>
                <w:color w:val="auto"/>
                <w:kern w:val="0"/>
                <w:sz w:val="24"/>
              </w:rPr>
              <w:t>环境质量现状</w:t>
            </w:r>
          </w:p>
        </w:tc>
        <w:tc>
          <w:tcPr>
            <w:tcW w:w="0" w:type="auto"/>
          </w:tcPr>
          <w:p w14:paraId="09266DF1">
            <w:pPr>
              <w:spacing w:line="360" w:lineRule="auto"/>
              <w:rPr>
                <w:b/>
                <w:color w:val="auto"/>
                <w:sz w:val="24"/>
                <w:szCs w:val="28"/>
              </w:rPr>
            </w:pPr>
            <w:r>
              <w:rPr>
                <w:b/>
                <w:color w:val="auto"/>
                <w:sz w:val="24"/>
                <w:szCs w:val="28"/>
              </w:rPr>
              <w:t>一</w:t>
            </w:r>
            <w:r>
              <w:rPr>
                <w:rFonts w:hint="eastAsia"/>
                <w:b/>
                <w:color w:val="auto"/>
                <w:sz w:val="24"/>
                <w:szCs w:val="28"/>
              </w:rPr>
              <w:t>、环境空气质量现状</w:t>
            </w:r>
          </w:p>
          <w:p w14:paraId="5042533D">
            <w:pPr>
              <w:adjustRightInd w:val="0"/>
              <w:spacing w:line="360" w:lineRule="auto"/>
              <w:ind w:firstLine="480" w:firstLineChars="200"/>
              <w:jc w:val="left"/>
              <w:rPr>
                <w:rFonts w:hint="eastAsia" w:hAnsi="宋体"/>
                <w:color w:val="auto"/>
                <w:sz w:val="24"/>
              </w:rPr>
            </w:pPr>
            <w:r>
              <w:rPr>
                <w:rFonts w:hint="eastAsia" w:hAnsi="宋体"/>
                <w:color w:val="auto"/>
                <w:sz w:val="24"/>
              </w:rPr>
              <w:t>（1）区域环境空气质量现状</w:t>
            </w:r>
          </w:p>
          <w:p w14:paraId="1B803ACE">
            <w:pPr>
              <w:adjustRightInd w:val="0"/>
              <w:spacing w:line="360" w:lineRule="auto"/>
              <w:ind w:firstLine="480" w:firstLineChars="200"/>
              <w:rPr>
                <w:color w:val="002DC7"/>
                <w:sz w:val="24"/>
              </w:rPr>
            </w:pPr>
            <w:r>
              <w:rPr>
                <w:rFonts w:hint="eastAsia" w:hAnsi="宋体"/>
                <w:color w:val="auto"/>
                <w:sz w:val="24"/>
              </w:rPr>
              <w:t>本项目位于</w:t>
            </w:r>
            <w:r>
              <w:rPr>
                <w:rFonts w:hint="eastAsia" w:hAnsi="宋体"/>
                <w:color w:val="auto"/>
                <w:sz w:val="24"/>
                <w:lang w:val="en-US" w:eastAsia="zh-CN"/>
              </w:rPr>
              <w:t>安徽省淮南市</w:t>
            </w:r>
            <w:r>
              <w:rPr>
                <w:rFonts w:hint="eastAsia" w:hAnsi="宋体"/>
                <w:color w:val="auto"/>
                <w:sz w:val="24"/>
              </w:rPr>
              <w:t>经济开发区。根据《建设项目环境影响报告表编制技术指南（污染影响类）（试行）》要求，常规污染物引用与建设项目距离近的有效数据，包括近3年的规划环境影响评价的监测数据，国家、地方环境空气质量监测网数据或生态环境主管部门公开发布的质量数据等。本次大气环境质量现状中常规因子现状数据引用</w:t>
            </w:r>
            <w:r>
              <w:rPr>
                <w:rFonts w:hint="eastAsia" w:hAnsi="宋体"/>
                <w:color w:val="auto"/>
                <w:sz w:val="24"/>
                <w:lang w:val="en-US" w:eastAsia="zh-CN"/>
              </w:rPr>
              <w:t>淮南市</w:t>
            </w:r>
            <w:r>
              <w:rPr>
                <w:rFonts w:hint="eastAsia" w:hAnsi="宋体"/>
                <w:color w:val="auto"/>
                <w:sz w:val="24"/>
              </w:rPr>
              <w:t>生态环境分局发布的《</w:t>
            </w:r>
            <w:r>
              <w:rPr>
                <w:rFonts w:hint="eastAsia" w:cs="Times New Roman"/>
                <w:color w:val="auto"/>
                <w:sz w:val="24"/>
              </w:rPr>
              <w:t>202</w:t>
            </w:r>
            <w:r>
              <w:rPr>
                <w:rFonts w:hint="eastAsia" w:cs="Times New Roman"/>
                <w:color w:val="auto"/>
                <w:sz w:val="24"/>
                <w:lang w:val="en-US" w:eastAsia="zh-CN"/>
              </w:rPr>
              <w:t>4</w:t>
            </w:r>
            <w:r>
              <w:rPr>
                <w:rFonts w:hint="eastAsia" w:cs="Times New Roman"/>
                <w:color w:val="auto"/>
                <w:sz w:val="24"/>
              </w:rPr>
              <w:t>年淮南市环境质量状况公报</w:t>
            </w:r>
            <w:r>
              <w:rPr>
                <w:rFonts w:hint="eastAsia" w:hAnsi="宋体"/>
                <w:color w:val="auto"/>
                <w:sz w:val="24"/>
              </w:rPr>
              <w:t>》数据平均值进行评价，内容如下表所示：</w:t>
            </w:r>
            <w:r>
              <w:rPr>
                <w:rFonts w:hAnsi="宋体"/>
                <w:color w:val="auto"/>
                <w:sz w:val="24"/>
              </w:rPr>
              <w:t>项目所在区域空气质量现状评价见下表：</w:t>
            </w:r>
          </w:p>
          <w:p w14:paraId="215CBD0A">
            <w:pPr>
              <w:spacing w:line="360" w:lineRule="auto"/>
              <w:jc w:val="center"/>
              <w:rPr>
                <w:b/>
                <w:color w:val="auto"/>
                <w:sz w:val="24"/>
              </w:rPr>
            </w:pPr>
            <w:r>
              <w:rPr>
                <w:b/>
                <w:color w:val="auto"/>
                <w:sz w:val="24"/>
              </w:rPr>
              <w:t>表3-</w:t>
            </w:r>
            <w:r>
              <w:rPr>
                <w:rFonts w:hint="eastAsia"/>
                <w:b/>
                <w:color w:val="auto"/>
                <w:sz w:val="24"/>
              </w:rPr>
              <w:t>1</w:t>
            </w:r>
            <w:r>
              <w:rPr>
                <w:b/>
                <w:color w:val="auto"/>
                <w:sz w:val="24"/>
              </w:rPr>
              <w:t xml:space="preserve"> 区域空气质量现状评价表</w:t>
            </w:r>
          </w:p>
          <w:tbl>
            <w:tblPr>
              <w:tblStyle w:val="40"/>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661"/>
              <w:gridCol w:w="967"/>
              <w:gridCol w:w="1285"/>
              <w:gridCol w:w="1509"/>
              <w:gridCol w:w="1523"/>
            </w:tblGrid>
            <w:tr w14:paraId="0E5BA2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tcBorders>
                    <w:tl2br w:val="nil"/>
                    <w:tr2bl w:val="nil"/>
                  </w:tcBorders>
                  <w:vAlign w:val="center"/>
                </w:tcPr>
                <w:p w14:paraId="22831DDE">
                  <w:pPr>
                    <w:pStyle w:val="242"/>
                    <w:rPr>
                      <w:b/>
                      <w:bCs/>
                      <w:color w:val="auto"/>
                      <w:sz w:val="21"/>
                      <w:szCs w:val="21"/>
                    </w:rPr>
                  </w:pPr>
                  <w:r>
                    <w:rPr>
                      <w:rFonts w:hint="eastAsia"/>
                      <w:b/>
                      <w:bCs/>
                      <w:color w:val="auto"/>
                      <w:sz w:val="21"/>
                      <w:szCs w:val="21"/>
                    </w:rPr>
                    <w:t>环境要素</w:t>
                  </w:r>
                </w:p>
              </w:tc>
              <w:tc>
                <w:tcPr>
                  <w:tcW w:w="1020" w:type="pct"/>
                  <w:tcBorders>
                    <w:tl2br w:val="nil"/>
                    <w:tr2bl w:val="nil"/>
                  </w:tcBorders>
                  <w:vAlign w:val="center"/>
                </w:tcPr>
                <w:p w14:paraId="5ADDFF43">
                  <w:pPr>
                    <w:pStyle w:val="242"/>
                    <w:rPr>
                      <w:b/>
                      <w:bCs/>
                      <w:color w:val="auto"/>
                      <w:sz w:val="21"/>
                      <w:szCs w:val="21"/>
                    </w:rPr>
                  </w:pPr>
                  <w:r>
                    <w:rPr>
                      <w:rFonts w:hint="eastAsia"/>
                      <w:b/>
                      <w:bCs/>
                      <w:color w:val="auto"/>
                      <w:sz w:val="21"/>
                      <w:szCs w:val="21"/>
                    </w:rPr>
                    <w:t>评价因子</w:t>
                  </w:r>
                </w:p>
              </w:tc>
              <w:tc>
                <w:tcPr>
                  <w:tcW w:w="594" w:type="pct"/>
                  <w:tcBorders>
                    <w:tl2br w:val="nil"/>
                    <w:tr2bl w:val="nil"/>
                  </w:tcBorders>
                  <w:vAlign w:val="center"/>
                </w:tcPr>
                <w:p w14:paraId="4050D5D7">
                  <w:pPr>
                    <w:pStyle w:val="242"/>
                    <w:rPr>
                      <w:b/>
                      <w:bCs/>
                      <w:color w:val="auto"/>
                      <w:sz w:val="21"/>
                      <w:szCs w:val="21"/>
                    </w:rPr>
                  </w:pPr>
                  <w:r>
                    <w:rPr>
                      <w:rFonts w:hint="eastAsia"/>
                      <w:b/>
                      <w:bCs/>
                      <w:color w:val="auto"/>
                      <w:sz w:val="21"/>
                      <w:szCs w:val="21"/>
                    </w:rPr>
                    <w:t>监测值</w:t>
                  </w:r>
                </w:p>
              </w:tc>
              <w:tc>
                <w:tcPr>
                  <w:tcW w:w="789" w:type="pct"/>
                  <w:tcBorders>
                    <w:tl2br w:val="nil"/>
                    <w:tr2bl w:val="nil"/>
                  </w:tcBorders>
                  <w:vAlign w:val="center"/>
                </w:tcPr>
                <w:p w14:paraId="31E2D620">
                  <w:pPr>
                    <w:pStyle w:val="242"/>
                    <w:rPr>
                      <w:b/>
                      <w:bCs/>
                      <w:color w:val="auto"/>
                      <w:sz w:val="21"/>
                      <w:szCs w:val="21"/>
                    </w:rPr>
                  </w:pPr>
                  <w:r>
                    <w:rPr>
                      <w:rFonts w:hint="eastAsia"/>
                      <w:b/>
                      <w:bCs/>
                      <w:color w:val="auto"/>
                      <w:sz w:val="21"/>
                      <w:szCs w:val="21"/>
                    </w:rPr>
                    <w:t>标准值</w:t>
                  </w:r>
                </w:p>
              </w:tc>
              <w:tc>
                <w:tcPr>
                  <w:tcW w:w="927" w:type="pct"/>
                  <w:tcBorders>
                    <w:tl2br w:val="nil"/>
                    <w:tr2bl w:val="nil"/>
                  </w:tcBorders>
                  <w:vAlign w:val="center"/>
                </w:tcPr>
                <w:p w14:paraId="582C32D1">
                  <w:pPr>
                    <w:pStyle w:val="242"/>
                    <w:rPr>
                      <w:b/>
                      <w:bCs/>
                      <w:color w:val="auto"/>
                      <w:sz w:val="21"/>
                      <w:szCs w:val="21"/>
                    </w:rPr>
                  </w:pPr>
                  <w:r>
                    <w:rPr>
                      <w:rFonts w:hint="eastAsia"/>
                      <w:b/>
                      <w:bCs/>
                      <w:color w:val="auto"/>
                      <w:sz w:val="21"/>
                      <w:szCs w:val="21"/>
                    </w:rPr>
                    <w:t>是否达标</w:t>
                  </w:r>
                </w:p>
              </w:tc>
              <w:tc>
                <w:tcPr>
                  <w:tcW w:w="935" w:type="pct"/>
                  <w:tcBorders>
                    <w:tl2br w:val="nil"/>
                    <w:tr2bl w:val="nil"/>
                  </w:tcBorders>
                  <w:vAlign w:val="center"/>
                </w:tcPr>
                <w:p w14:paraId="3B08A179">
                  <w:pPr>
                    <w:pStyle w:val="242"/>
                    <w:rPr>
                      <w:b/>
                      <w:bCs/>
                      <w:color w:val="auto"/>
                      <w:sz w:val="21"/>
                      <w:szCs w:val="21"/>
                    </w:rPr>
                  </w:pPr>
                  <w:r>
                    <w:rPr>
                      <w:rFonts w:hint="eastAsia"/>
                      <w:b/>
                      <w:bCs/>
                      <w:color w:val="auto"/>
                      <w:sz w:val="21"/>
                      <w:szCs w:val="21"/>
                    </w:rPr>
                    <w:t>超标倍数</w:t>
                  </w:r>
                </w:p>
              </w:tc>
            </w:tr>
            <w:tr w14:paraId="1F8ECF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tcBorders>
                    <w:tl2br w:val="nil"/>
                    <w:tr2bl w:val="nil"/>
                  </w:tcBorders>
                  <w:vAlign w:val="center"/>
                </w:tcPr>
                <w:p w14:paraId="6D3A54F6">
                  <w:pPr>
                    <w:pStyle w:val="242"/>
                    <w:rPr>
                      <w:color w:val="auto"/>
                      <w:sz w:val="21"/>
                      <w:szCs w:val="21"/>
                    </w:rPr>
                  </w:pPr>
                  <w:r>
                    <w:rPr>
                      <w:rFonts w:hint="eastAsia"/>
                      <w:color w:val="auto"/>
                      <w:sz w:val="21"/>
                      <w:szCs w:val="21"/>
                    </w:rPr>
                    <w:t>环境空气</w:t>
                  </w:r>
                </w:p>
              </w:tc>
              <w:tc>
                <w:tcPr>
                  <w:tcW w:w="1020" w:type="pct"/>
                  <w:tcBorders>
                    <w:tl2br w:val="nil"/>
                    <w:tr2bl w:val="nil"/>
                  </w:tcBorders>
                  <w:vAlign w:val="center"/>
                </w:tcPr>
                <w:p w14:paraId="29D5AB2F">
                  <w:pPr>
                    <w:pStyle w:val="242"/>
                    <w:rPr>
                      <w:color w:val="auto"/>
                      <w:sz w:val="21"/>
                      <w:szCs w:val="21"/>
                    </w:rPr>
                  </w:pPr>
                  <w:r>
                    <w:rPr>
                      <w:color w:val="auto"/>
                      <w:sz w:val="21"/>
                      <w:szCs w:val="21"/>
                    </w:rPr>
                    <w:t>SO</w:t>
                  </w:r>
                  <w:r>
                    <w:rPr>
                      <w:color w:val="auto"/>
                      <w:sz w:val="21"/>
                      <w:szCs w:val="21"/>
                      <w:vertAlign w:val="subscript"/>
                    </w:rPr>
                    <w:t>2</w:t>
                  </w:r>
                  <w:r>
                    <w:rPr>
                      <w:rFonts w:hint="eastAsia"/>
                      <w:color w:val="auto"/>
                      <w:sz w:val="21"/>
                      <w:szCs w:val="21"/>
                    </w:rPr>
                    <w:t>(ug/m³)</w:t>
                  </w:r>
                </w:p>
              </w:tc>
              <w:tc>
                <w:tcPr>
                  <w:tcW w:w="594" w:type="pct"/>
                  <w:tcBorders>
                    <w:tl2br w:val="nil"/>
                    <w:tr2bl w:val="nil"/>
                  </w:tcBorders>
                  <w:vAlign w:val="center"/>
                </w:tcPr>
                <w:p w14:paraId="3691CDFE">
                  <w:pPr>
                    <w:pStyle w:val="242"/>
                    <w:rPr>
                      <w:rFonts w:hint="eastAsia" w:eastAsia="宋体"/>
                      <w:color w:val="auto"/>
                      <w:sz w:val="21"/>
                      <w:szCs w:val="21"/>
                      <w:lang w:eastAsia="zh-CN"/>
                    </w:rPr>
                  </w:pPr>
                  <w:r>
                    <w:rPr>
                      <w:rFonts w:hint="eastAsia"/>
                      <w:color w:val="auto"/>
                      <w:sz w:val="21"/>
                      <w:szCs w:val="21"/>
                      <w:lang w:val="en-US" w:eastAsia="zh-CN"/>
                    </w:rPr>
                    <w:t>7</w:t>
                  </w:r>
                </w:p>
              </w:tc>
              <w:tc>
                <w:tcPr>
                  <w:tcW w:w="789" w:type="pct"/>
                  <w:tcBorders>
                    <w:tl2br w:val="nil"/>
                    <w:tr2bl w:val="nil"/>
                  </w:tcBorders>
                  <w:vAlign w:val="center"/>
                </w:tcPr>
                <w:p w14:paraId="54B2E669">
                  <w:pPr>
                    <w:pStyle w:val="242"/>
                    <w:rPr>
                      <w:color w:val="auto"/>
                      <w:sz w:val="21"/>
                      <w:szCs w:val="21"/>
                    </w:rPr>
                  </w:pPr>
                  <w:r>
                    <w:rPr>
                      <w:rFonts w:hint="eastAsia"/>
                      <w:color w:val="auto"/>
                      <w:sz w:val="21"/>
                      <w:szCs w:val="21"/>
                    </w:rPr>
                    <w:t>60</w:t>
                  </w:r>
                </w:p>
              </w:tc>
              <w:tc>
                <w:tcPr>
                  <w:tcW w:w="927" w:type="pct"/>
                  <w:tcBorders>
                    <w:tl2br w:val="nil"/>
                    <w:tr2bl w:val="nil"/>
                  </w:tcBorders>
                  <w:vAlign w:val="center"/>
                </w:tcPr>
                <w:p w14:paraId="17912DC9">
                  <w:pPr>
                    <w:pStyle w:val="242"/>
                    <w:rPr>
                      <w:color w:val="auto"/>
                      <w:sz w:val="21"/>
                      <w:szCs w:val="21"/>
                    </w:rPr>
                  </w:pPr>
                  <w:r>
                    <w:rPr>
                      <w:rFonts w:hint="eastAsia"/>
                      <w:color w:val="auto"/>
                      <w:sz w:val="21"/>
                      <w:szCs w:val="21"/>
                    </w:rPr>
                    <w:t>是</w:t>
                  </w:r>
                </w:p>
              </w:tc>
              <w:tc>
                <w:tcPr>
                  <w:tcW w:w="935" w:type="pct"/>
                  <w:tcBorders>
                    <w:tl2br w:val="nil"/>
                    <w:tr2bl w:val="nil"/>
                  </w:tcBorders>
                  <w:vAlign w:val="center"/>
                </w:tcPr>
                <w:p w14:paraId="57EAAC52">
                  <w:pPr>
                    <w:pStyle w:val="242"/>
                    <w:rPr>
                      <w:color w:val="auto"/>
                      <w:sz w:val="21"/>
                      <w:szCs w:val="21"/>
                    </w:rPr>
                  </w:pPr>
                  <w:r>
                    <w:rPr>
                      <w:rFonts w:hint="eastAsia"/>
                      <w:color w:val="auto"/>
                      <w:sz w:val="21"/>
                      <w:szCs w:val="21"/>
                    </w:rPr>
                    <w:t>-</w:t>
                  </w:r>
                </w:p>
              </w:tc>
            </w:tr>
            <w:tr w14:paraId="3F1499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vAlign w:val="center"/>
                </w:tcPr>
                <w:p w14:paraId="17BA59F5">
                  <w:pPr>
                    <w:pStyle w:val="242"/>
                    <w:rPr>
                      <w:color w:val="002DC7"/>
                      <w:sz w:val="21"/>
                      <w:szCs w:val="21"/>
                    </w:rPr>
                  </w:pPr>
                </w:p>
              </w:tc>
              <w:tc>
                <w:tcPr>
                  <w:tcW w:w="1020" w:type="pct"/>
                  <w:tcBorders>
                    <w:tl2br w:val="nil"/>
                    <w:tr2bl w:val="nil"/>
                  </w:tcBorders>
                  <w:vAlign w:val="center"/>
                </w:tcPr>
                <w:p w14:paraId="47359ABD">
                  <w:pPr>
                    <w:pStyle w:val="242"/>
                    <w:rPr>
                      <w:color w:val="auto"/>
                      <w:sz w:val="21"/>
                      <w:szCs w:val="21"/>
                    </w:rPr>
                  </w:pPr>
                  <w:r>
                    <w:rPr>
                      <w:color w:val="auto"/>
                      <w:sz w:val="21"/>
                      <w:szCs w:val="21"/>
                    </w:rPr>
                    <w:t>NO</w:t>
                  </w:r>
                  <w:r>
                    <w:rPr>
                      <w:color w:val="auto"/>
                      <w:sz w:val="21"/>
                      <w:szCs w:val="21"/>
                      <w:vertAlign w:val="subscript"/>
                    </w:rPr>
                    <w:t>2</w:t>
                  </w:r>
                  <w:r>
                    <w:rPr>
                      <w:rFonts w:hint="eastAsia"/>
                      <w:color w:val="auto"/>
                      <w:sz w:val="21"/>
                      <w:szCs w:val="21"/>
                    </w:rPr>
                    <w:t>(ug/m³)</w:t>
                  </w:r>
                </w:p>
              </w:tc>
              <w:tc>
                <w:tcPr>
                  <w:tcW w:w="594" w:type="pct"/>
                  <w:tcBorders>
                    <w:tl2br w:val="nil"/>
                    <w:tr2bl w:val="nil"/>
                  </w:tcBorders>
                  <w:vAlign w:val="center"/>
                </w:tcPr>
                <w:p w14:paraId="65DC75BA">
                  <w:pPr>
                    <w:pStyle w:val="242"/>
                    <w:rPr>
                      <w:rFonts w:hint="default" w:eastAsia="宋体"/>
                      <w:color w:val="auto"/>
                      <w:sz w:val="21"/>
                      <w:szCs w:val="21"/>
                      <w:lang w:val="en-US" w:eastAsia="zh-CN"/>
                    </w:rPr>
                  </w:pPr>
                  <w:r>
                    <w:rPr>
                      <w:rFonts w:hint="eastAsia"/>
                      <w:color w:val="auto"/>
                      <w:sz w:val="21"/>
                      <w:szCs w:val="21"/>
                      <w:lang w:val="en-US" w:eastAsia="zh-CN"/>
                    </w:rPr>
                    <w:t>19</w:t>
                  </w:r>
                </w:p>
              </w:tc>
              <w:tc>
                <w:tcPr>
                  <w:tcW w:w="789" w:type="pct"/>
                  <w:tcBorders>
                    <w:tl2br w:val="nil"/>
                    <w:tr2bl w:val="nil"/>
                  </w:tcBorders>
                  <w:vAlign w:val="center"/>
                </w:tcPr>
                <w:p w14:paraId="0CB8EA56">
                  <w:pPr>
                    <w:pStyle w:val="242"/>
                    <w:rPr>
                      <w:color w:val="auto"/>
                      <w:sz w:val="21"/>
                      <w:szCs w:val="21"/>
                    </w:rPr>
                  </w:pPr>
                  <w:r>
                    <w:rPr>
                      <w:rFonts w:hint="eastAsia"/>
                      <w:color w:val="auto"/>
                      <w:sz w:val="21"/>
                      <w:szCs w:val="21"/>
                    </w:rPr>
                    <w:t>40</w:t>
                  </w:r>
                </w:p>
              </w:tc>
              <w:tc>
                <w:tcPr>
                  <w:tcW w:w="927" w:type="pct"/>
                  <w:tcBorders>
                    <w:tl2br w:val="nil"/>
                    <w:tr2bl w:val="nil"/>
                  </w:tcBorders>
                  <w:vAlign w:val="center"/>
                </w:tcPr>
                <w:p w14:paraId="70AB6B4B">
                  <w:pPr>
                    <w:pStyle w:val="242"/>
                    <w:rPr>
                      <w:color w:val="auto"/>
                      <w:sz w:val="21"/>
                      <w:szCs w:val="21"/>
                    </w:rPr>
                  </w:pPr>
                  <w:r>
                    <w:rPr>
                      <w:rFonts w:hint="eastAsia"/>
                      <w:color w:val="auto"/>
                      <w:sz w:val="21"/>
                      <w:szCs w:val="21"/>
                    </w:rPr>
                    <w:t>是</w:t>
                  </w:r>
                </w:p>
              </w:tc>
              <w:tc>
                <w:tcPr>
                  <w:tcW w:w="935" w:type="pct"/>
                  <w:tcBorders>
                    <w:tl2br w:val="nil"/>
                    <w:tr2bl w:val="nil"/>
                  </w:tcBorders>
                  <w:vAlign w:val="center"/>
                </w:tcPr>
                <w:p w14:paraId="179DDB1A">
                  <w:pPr>
                    <w:pStyle w:val="242"/>
                    <w:rPr>
                      <w:color w:val="auto"/>
                      <w:sz w:val="21"/>
                      <w:szCs w:val="21"/>
                    </w:rPr>
                  </w:pPr>
                  <w:r>
                    <w:rPr>
                      <w:rFonts w:hint="eastAsia"/>
                      <w:color w:val="auto"/>
                      <w:sz w:val="21"/>
                      <w:szCs w:val="21"/>
                    </w:rPr>
                    <w:t>-</w:t>
                  </w:r>
                </w:p>
              </w:tc>
            </w:tr>
            <w:tr w14:paraId="131AE5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vAlign w:val="center"/>
                </w:tcPr>
                <w:p w14:paraId="27EE3AD2">
                  <w:pPr>
                    <w:pStyle w:val="242"/>
                    <w:rPr>
                      <w:color w:val="002DC7"/>
                      <w:sz w:val="21"/>
                      <w:szCs w:val="21"/>
                    </w:rPr>
                  </w:pPr>
                </w:p>
              </w:tc>
              <w:tc>
                <w:tcPr>
                  <w:tcW w:w="1020" w:type="pct"/>
                  <w:tcBorders>
                    <w:tl2br w:val="nil"/>
                    <w:tr2bl w:val="nil"/>
                  </w:tcBorders>
                  <w:vAlign w:val="center"/>
                </w:tcPr>
                <w:p w14:paraId="41551297">
                  <w:pPr>
                    <w:pStyle w:val="242"/>
                    <w:rPr>
                      <w:color w:val="auto"/>
                      <w:sz w:val="21"/>
                      <w:szCs w:val="21"/>
                    </w:rPr>
                  </w:pPr>
                  <w:r>
                    <w:rPr>
                      <w:color w:val="auto"/>
                      <w:sz w:val="21"/>
                      <w:szCs w:val="21"/>
                    </w:rPr>
                    <w:t>PM</w:t>
                  </w:r>
                  <w:r>
                    <w:rPr>
                      <w:color w:val="auto"/>
                      <w:sz w:val="21"/>
                      <w:szCs w:val="21"/>
                      <w:vertAlign w:val="subscript"/>
                    </w:rPr>
                    <w:t>10</w:t>
                  </w:r>
                  <w:r>
                    <w:rPr>
                      <w:rFonts w:hint="eastAsia"/>
                      <w:color w:val="auto"/>
                      <w:sz w:val="21"/>
                      <w:szCs w:val="21"/>
                    </w:rPr>
                    <w:t>(ug/m³)</w:t>
                  </w:r>
                </w:p>
              </w:tc>
              <w:tc>
                <w:tcPr>
                  <w:tcW w:w="594" w:type="pct"/>
                  <w:tcBorders>
                    <w:tl2br w:val="nil"/>
                    <w:tr2bl w:val="nil"/>
                  </w:tcBorders>
                  <w:vAlign w:val="center"/>
                </w:tcPr>
                <w:p w14:paraId="21C71455">
                  <w:pPr>
                    <w:pStyle w:val="242"/>
                    <w:rPr>
                      <w:rFonts w:hint="default" w:eastAsia="宋体"/>
                      <w:color w:val="auto"/>
                      <w:sz w:val="21"/>
                      <w:szCs w:val="21"/>
                      <w:lang w:val="en-US" w:eastAsia="zh-CN"/>
                    </w:rPr>
                  </w:pPr>
                  <w:r>
                    <w:rPr>
                      <w:rFonts w:hint="eastAsia"/>
                      <w:color w:val="auto"/>
                      <w:sz w:val="21"/>
                      <w:szCs w:val="21"/>
                      <w:lang w:val="en-US" w:eastAsia="zh-CN"/>
                    </w:rPr>
                    <w:t>60</w:t>
                  </w:r>
                </w:p>
              </w:tc>
              <w:tc>
                <w:tcPr>
                  <w:tcW w:w="789" w:type="pct"/>
                  <w:tcBorders>
                    <w:tl2br w:val="nil"/>
                    <w:tr2bl w:val="nil"/>
                  </w:tcBorders>
                  <w:vAlign w:val="center"/>
                </w:tcPr>
                <w:p w14:paraId="4C415666">
                  <w:pPr>
                    <w:pStyle w:val="242"/>
                    <w:rPr>
                      <w:color w:val="auto"/>
                      <w:sz w:val="21"/>
                      <w:szCs w:val="21"/>
                    </w:rPr>
                  </w:pPr>
                  <w:r>
                    <w:rPr>
                      <w:rFonts w:hint="eastAsia"/>
                      <w:color w:val="auto"/>
                      <w:sz w:val="21"/>
                      <w:szCs w:val="21"/>
                    </w:rPr>
                    <w:t>70</w:t>
                  </w:r>
                </w:p>
              </w:tc>
              <w:tc>
                <w:tcPr>
                  <w:tcW w:w="927" w:type="pct"/>
                  <w:tcBorders>
                    <w:tl2br w:val="nil"/>
                    <w:tr2bl w:val="nil"/>
                  </w:tcBorders>
                  <w:vAlign w:val="center"/>
                </w:tcPr>
                <w:p w14:paraId="59C72A3B">
                  <w:pPr>
                    <w:pStyle w:val="242"/>
                    <w:rPr>
                      <w:color w:val="auto"/>
                      <w:sz w:val="21"/>
                      <w:szCs w:val="21"/>
                    </w:rPr>
                  </w:pPr>
                  <w:r>
                    <w:rPr>
                      <w:rFonts w:hint="eastAsia"/>
                      <w:color w:val="auto"/>
                      <w:sz w:val="21"/>
                      <w:szCs w:val="21"/>
                    </w:rPr>
                    <w:t>是</w:t>
                  </w:r>
                </w:p>
              </w:tc>
              <w:tc>
                <w:tcPr>
                  <w:tcW w:w="935" w:type="pct"/>
                  <w:tcBorders>
                    <w:tl2br w:val="nil"/>
                    <w:tr2bl w:val="nil"/>
                  </w:tcBorders>
                  <w:vAlign w:val="center"/>
                </w:tcPr>
                <w:p w14:paraId="435CB03C">
                  <w:pPr>
                    <w:pStyle w:val="242"/>
                    <w:rPr>
                      <w:color w:val="auto"/>
                      <w:sz w:val="21"/>
                      <w:szCs w:val="21"/>
                    </w:rPr>
                  </w:pPr>
                  <w:r>
                    <w:rPr>
                      <w:rFonts w:hint="eastAsia"/>
                      <w:color w:val="auto"/>
                      <w:sz w:val="21"/>
                      <w:szCs w:val="21"/>
                    </w:rPr>
                    <w:t>-</w:t>
                  </w:r>
                </w:p>
              </w:tc>
            </w:tr>
            <w:tr w14:paraId="285147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vAlign w:val="center"/>
                </w:tcPr>
                <w:p w14:paraId="42BD54C4">
                  <w:pPr>
                    <w:pStyle w:val="242"/>
                    <w:rPr>
                      <w:color w:val="002DC7"/>
                      <w:sz w:val="21"/>
                      <w:szCs w:val="21"/>
                    </w:rPr>
                  </w:pPr>
                </w:p>
              </w:tc>
              <w:tc>
                <w:tcPr>
                  <w:tcW w:w="1020" w:type="pct"/>
                  <w:tcBorders>
                    <w:tl2br w:val="nil"/>
                    <w:tr2bl w:val="nil"/>
                  </w:tcBorders>
                  <w:vAlign w:val="center"/>
                </w:tcPr>
                <w:p w14:paraId="6E0F652B">
                  <w:pPr>
                    <w:pStyle w:val="242"/>
                    <w:rPr>
                      <w:color w:val="auto"/>
                      <w:sz w:val="21"/>
                      <w:szCs w:val="21"/>
                    </w:rPr>
                  </w:pPr>
                  <w:r>
                    <w:rPr>
                      <w:rFonts w:hint="eastAsia"/>
                      <w:color w:val="auto"/>
                      <w:sz w:val="21"/>
                      <w:szCs w:val="21"/>
                    </w:rPr>
                    <w:t>PM</w:t>
                  </w:r>
                  <w:r>
                    <w:rPr>
                      <w:rFonts w:hint="eastAsia"/>
                      <w:color w:val="auto"/>
                      <w:sz w:val="21"/>
                      <w:szCs w:val="21"/>
                      <w:vertAlign w:val="subscript"/>
                    </w:rPr>
                    <w:t>2.5</w:t>
                  </w:r>
                  <w:r>
                    <w:rPr>
                      <w:rFonts w:hint="eastAsia"/>
                      <w:color w:val="auto"/>
                      <w:sz w:val="21"/>
                      <w:szCs w:val="21"/>
                    </w:rPr>
                    <w:t>(ug/m³)</w:t>
                  </w:r>
                </w:p>
              </w:tc>
              <w:tc>
                <w:tcPr>
                  <w:tcW w:w="594" w:type="pct"/>
                  <w:tcBorders>
                    <w:tl2br w:val="nil"/>
                    <w:tr2bl w:val="nil"/>
                  </w:tcBorders>
                  <w:vAlign w:val="center"/>
                </w:tcPr>
                <w:p w14:paraId="4709F4E3">
                  <w:pPr>
                    <w:pStyle w:val="242"/>
                    <w:rPr>
                      <w:rFonts w:hint="default" w:eastAsia="宋体"/>
                      <w:color w:val="auto"/>
                      <w:sz w:val="21"/>
                      <w:szCs w:val="21"/>
                      <w:lang w:val="en-US" w:eastAsia="zh-CN"/>
                    </w:rPr>
                  </w:pPr>
                  <w:r>
                    <w:rPr>
                      <w:rFonts w:hint="eastAsia"/>
                      <w:color w:val="auto"/>
                      <w:sz w:val="21"/>
                      <w:szCs w:val="21"/>
                      <w:lang w:val="en-US" w:eastAsia="zh-CN"/>
                    </w:rPr>
                    <w:t>40</w:t>
                  </w:r>
                </w:p>
              </w:tc>
              <w:tc>
                <w:tcPr>
                  <w:tcW w:w="789" w:type="pct"/>
                  <w:tcBorders>
                    <w:tl2br w:val="nil"/>
                    <w:tr2bl w:val="nil"/>
                  </w:tcBorders>
                  <w:vAlign w:val="center"/>
                </w:tcPr>
                <w:p w14:paraId="2C466E19">
                  <w:pPr>
                    <w:pStyle w:val="242"/>
                    <w:rPr>
                      <w:color w:val="auto"/>
                      <w:sz w:val="21"/>
                      <w:szCs w:val="21"/>
                    </w:rPr>
                  </w:pPr>
                  <w:r>
                    <w:rPr>
                      <w:rFonts w:hint="eastAsia"/>
                      <w:color w:val="auto"/>
                      <w:sz w:val="21"/>
                      <w:szCs w:val="21"/>
                    </w:rPr>
                    <w:t>35</w:t>
                  </w:r>
                </w:p>
              </w:tc>
              <w:tc>
                <w:tcPr>
                  <w:tcW w:w="927" w:type="pct"/>
                  <w:tcBorders>
                    <w:tl2br w:val="nil"/>
                    <w:tr2bl w:val="nil"/>
                  </w:tcBorders>
                  <w:vAlign w:val="center"/>
                </w:tcPr>
                <w:p w14:paraId="549F8085">
                  <w:pPr>
                    <w:pStyle w:val="242"/>
                    <w:rPr>
                      <w:color w:val="auto"/>
                      <w:sz w:val="21"/>
                      <w:szCs w:val="21"/>
                    </w:rPr>
                  </w:pPr>
                  <w:r>
                    <w:rPr>
                      <w:rFonts w:hint="eastAsia"/>
                      <w:color w:val="auto"/>
                      <w:sz w:val="21"/>
                      <w:szCs w:val="21"/>
                    </w:rPr>
                    <w:t>否</w:t>
                  </w:r>
                </w:p>
              </w:tc>
              <w:tc>
                <w:tcPr>
                  <w:tcW w:w="935" w:type="pct"/>
                  <w:tcBorders>
                    <w:tl2br w:val="nil"/>
                    <w:tr2bl w:val="nil"/>
                  </w:tcBorders>
                  <w:vAlign w:val="center"/>
                </w:tcPr>
                <w:p w14:paraId="5A378DBD">
                  <w:pPr>
                    <w:pStyle w:val="242"/>
                    <w:rPr>
                      <w:rFonts w:hint="default" w:eastAsia="宋体"/>
                      <w:color w:val="auto"/>
                      <w:sz w:val="21"/>
                      <w:szCs w:val="21"/>
                      <w:lang w:val="en-US" w:eastAsia="zh-CN"/>
                    </w:rPr>
                  </w:pPr>
                  <w:r>
                    <w:rPr>
                      <w:rFonts w:hint="eastAsia"/>
                      <w:color w:val="auto"/>
                      <w:sz w:val="21"/>
                      <w:szCs w:val="21"/>
                      <w:lang w:val="en-US" w:eastAsia="zh-CN"/>
                    </w:rPr>
                    <w:t>0.87</w:t>
                  </w:r>
                </w:p>
              </w:tc>
            </w:tr>
            <w:tr w14:paraId="7995E5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vAlign w:val="center"/>
                </w:tcPr>
                <w:p w14:paraId="2D46DC16">
                  <w:pPr>
                    <w:pStyle w:val="242"/>
                    <w:rPr>
                      <w:color w:val="002DC7"/>
                      <w:sz w:val="21"/>
                      <w:szCs w:val="21"/>
                    </w:rPr>
                  </w:pPr>
                </w:p>
              </w:tc>
              <w:tc>
                <w:tcPr>
                  <w:tcW w:w="1020" w:type="pct"/>
                  <w:tcBorders>
                    <w:tl2br w:val="nil"/>
                    <w:tr2bl w:val="nil"/>
                  </w:tcBorders>
                  <w:vAlign w:val="center"/>
                </w:tcPr>
                <w:p w14:paraId="47C075B4">
                  <w:pPr>
                    <w:pStyle w:val="242"/>
                    <w:rPr>
                      <w:color w:val="auto"/>
                      <w:sz w:val="21"/>
                      <w:szCs w:val="21"/>
                    </w:rPr>
                  </w:pPr>
                  <w:r>
                    <w:rPr>
                      <w:color w:val="auto"/>
                      <w:sz w:val="21"/>
                      <w:szCs w:val="21"/>
                    </w:rPr>
                    <w:t>CO</w:t>
                  </w:r>
                  <w:r>
                    <w:rPr>
                      <w:rFonts w:hint="eastAsia"/>
                      <w:color w:val="auto"/>
                      <w:sz w:val="21"/>
                      <w:szCs w:val="21"/>
                      <w:lang w:eastAsia="zh-CN"/>
                    </w:rPr>
                    <w:t>（</w:t>
                  </w:r>
                  <w:r>
                    <w:rPr>
                      <w:rFonts w:hint="eastAsia"/>
                      <w:color w:val="auto"/>
                      <w:sz w:val="21"/>
                      <w:szCs w:val="21"/>
                    </w:rPr>
                    <w:t>mg/m³）</w:t>
                  </w:r>
                </w:p>
              </w:tc>
              <w:tc>
                <w:tcPr>
                  <w:tcW w:w="594" w:type="pct"/>
                  <w:tcBorders>
                    <w:tl2br w:val="nil"/>
                    <w:tr2bl w:val="nil"/>
                  </w:tcBorders>
                  <w:vAlign w:val="center"/>
                </w:tcPr>
                <w:p w14:paraId="0BBA0CF5">
                  <w:pPr>
                    <w:pStyle w:val="242"/>
                    <w:rPr>
                      <w:rFonts w:hint="default" w:eastAsia="宋体"/>
                      <w:color w:val="auto"/>
                      <w:sz w:val="21"/>
                      <w:szCs w:val="21"/>
                      <w:lang w:val="en-US" w:eastAsia="zh-CN"/>
                    </w:rPr>
                  </w:pPr>
                  <w:r>
                    <w:rPr>
                      <w:rFonts w:hint="eastAsia"/>
                      <w:color w:val="auto"/>
                      <w:sz w:val="21"/>
                      <w:szCs w:val="21"/>
                      <w:lang w:val="en-US" w:eastAsia="zh-CN"/>
                    </w:rPr>
                    <w:t>0.8</w:t>
                  </w:r>
                </w:p>
              </w:tc>
              <w:tc>
                <w:tcPr>
                  <w:tcW w:w="789" w:type="pct"/>
                  <w:tcBorders>
                    <w:tl2br w:val="nil"/>
                    <w:tr2bl w:val="nil"/>
                  </w:tcBorders>
                  <w:vAlign w:val="center"/>
                </w:tcPr>
                <w:p w14:paraId="603664C2">
                  <w:pPr>
                    <w:pStyle w:val="242"/>
                    <w:rPr>
                      <w:color w:val="auto"/>
                      <w:sz w:val="21"/>
                      <w:szCs w:val="21"/>
                    </w:rPr>
                  </w:pPr>
                  <w:r>
                    <w:rPr>
                      <w:rFonts w:hint="eastAsia"/>
                      <w:color w:val="auto"/>
                      <w:sz w:val="21"/>
                      <w:szCs w:val="21"/>
                    </w:rPr>
                    <w:t>4</w:t>
                  </w:r>
                </w:p>
              </w:tc>
              <w:tc>
                <w:tcPr>
                  <w:tcW w:w="927" w:type="pct"/>
                  <w:tcBorders>
                    <w:tl2br w:val="nil"/>
                    <w:tr2bl w:val="nil"/>
                  </w:tcBorders>
                  <w:vAlign w:val="center"/>
                </w:tcPr>
                <w:p w14:paraId="225586E0">
                  <w:pPr>
                    <w:pStyle w:val="242"/>
                    <w:rPr>
                      <w:color w:val="auto"/>
                      <w:sz w:val="21"/>
                      <w:szCs w:val="21"/>
                    </w:rPr>
                  </w:pPr>
                  <w:r>
                    <w:rPr>
                      <w:rFonts w:hint="eastAsia"/>
                      <w:color w:val="auto"/>
                      <w:sz w:val="21"/>
                      <w:szCs w:val="21"/>
                    </w:rPr>
                    <w:t>是</w:t>
                  </w:r>
                </w:p>
              </w:tc>
              <w:tc>
                <w:tcPr>
                  <w:tcW w:w="935" w:type="pct"/>
                  <w:tcBorders>
                    <w:tl2br w:val="nil"/>
                    <w:tr2bl w:val="nil"/>
                  </w:tcBorders>
                  <w:vAlign w:val="center"/>
                </w:tcPr>
                <w:p w14:paraId="14C8D845">
                  <w:pPr>
                    <w:pStyle w:val="242"/>
                    <w:rPr>
                      <w:color w:val="auto"/>
                      <w:sz w:val="21"/>
                      <w:szCs w:val="21"/>
                    </w:rPr>
                  </w:pPr>
                  <w:r>
                    <w:rPr>
                      <w:rFonts w:hint="eastAsia"/>
                      <w:color w:val="auto"/>
                      <w:sz w:val="21"/>
                      <w:szCs w:val="21"/>
                    </w:rPr>
                    <w:t>-</w:t>
                  </w:r>
                </w:p>
              </w:tc>
            </w:tr>
            <w:tr w14:paraId="153C8E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tcBorders>
                    <w:tl2br w:val="nil"/>
                    <w:tr2bl w:val="nil"/>
                  </w:tcBorders>
                  <w:vAlign w:val="center"/>
                </w:tcPr>
                <w:p w14:paraId="24E08C5D">
                  <w:pPr>
                    <w:pStyle w:val="242"/>
                    <w:rPr>
                      <w:color w:val="002DC7"/>
                      <w:sz w:val="21"/>
                      <w:szCs w:val="21"/>
                    </w:rPr>
                  </w:pPr>
                </w:p>
              </w:tc>
              <w:tc>
                <w:tcPr>
                  <w:tcW w:w="1020" w:type="pct"/>
                  <w:tcBorders>
                    <w:tl2br w:val="nil"/>
                    <w:tr2bl w:val="nil"/>
                  </w:tcBorders>
                  <w:vAlign w:val="center"/>
                </w:tcPr>
                <w:p w14:paraId="414F143B">
                  <w:pPr>
                    <w:pStyle w:val="242"/>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(ug/m³)</w:t>
                  </w:r>
                </w:p>
              </w:tc>
              <w:tc>
                <w:tcPr>
                  <w:tcW w:w="594" w:type="pct"/>
                  <w:tcBorders>
                    <w:tl2br w:val="nil"/>
                    <w:tr2bl w:val="nil"/>
                  </w:tcBorders>
                  <w:vAlign w:val="center"/>
                </w:tcPr>
                <w:p w14:paraId="307D99F1">
                  <w:pPr>
                    <w:pStyle w:val="242"/>
                    <w:rPr>
                      <w:rFonts w:hint="default" w:eastAsia="宋体"/>
                      <w:color w:val="auto"/>
                      <w:sz w:val="21"/>
                      <w:szCs w:val="21"/>
                      <w:lang w:val="en-US" w:eastAsia="zh-CN"/>
                    </w:rPr>
                  </w:pPr>
                  <w:r>
                    <w:rPr>
                      <w:rFonts w:hint="eastAsia"/>
                      <w:color w:val="auto"/>
                      <w:sz w:val="21"/>
                      <w:szCs w:val="21"/>
                      <w:lang w:val="en-US" w:eastAsia="zh-CN"/>
                    </w:rPr>
                    <w:t>160</w:t>
                  </w:r>
                </w:p>
              </w:tc>
              <w:tc>
                <w:tcPr>
                  <w:tcW w:w="789" w:type="pct"/>
                  <w:tcBorders>
                    <w:tl2br w:val="nil"/>
                    <w:tr2bl w:val="nil"/>
                  </w:tcBorders>
                  <w:vAlign w:val="center"/>
                </w:tcPr>
                <w:p w14:paraId="0CFCB783">
                  <w:pPr>
                    <w:pStyle w:val="242"/>
                    <w:rPr>
                      <w:color w:val="auto"/>
                      <w:sz w:val="21"/>
                      <w:szCs w:val="21"/>
                    </w:rPr>
                  </w:pPr>
                  <w:r>
                    <w:rPr>
                      <w:rFonts w:hint="eastAsia"/>
                      <w:color w:val="auto"/>
                      <w:sz w:val="21"/>
                      <w:szCs w:val="21"/>
                    </w:rPr>
                    <w:t>160</w:t>
                  </w:r>
                </w:p>
              </w:tc>
              <w:tc>
                <w:tcPr>
                  <w:tcW w:w="927" w:type="pct"/>
                  <w:tcBorders>
                    <w:tl2br w:val="nil"/>
                    <w:tr2bl w:val="nil"/>
                  </w:tcBorders>
                  <w:vAlign w:val="center"/>
                </w:tcPr>
                <w:p w14:paraId="0F043FE4">
                  <w:pPr>
                    <w:pStyle w:val="242"/>
                    <w:rPr>
                      <w:color w:val="auto"/>
                      <w:sz w:val="21"/>
                      <w:szCs w:val="21"/>
                    </w:rPr>
                  </w:pPr>
                  <w:r>
                    <w:rPr>
                      <w:rFonts w:hint="eastAsia"/>
                      <w:color w:val="auto"/>
                      <w:sz w:val="21"/>
                      <w:szCs w:val="21"/>
                    </w:rPr>
                    <w:t>是</w:t>
                  </w:r>
                </w:p>
              </w:tc>
              <w:tc>
                <w:tcPr>
                  <w:tcW w:w="935" w:type="pct"/>
                  <w:tcBorders>
                    <w:tl2br w:val="nil"/>
                    <w:tr2bl w:val="nil"/>
                  </w:tcBorders>
                  <w:vAlign w:val="center"/>
                </w:tcPr>
                <w:p w14:paraId="426215D8">
                  <w:pPr>
                    <w:pStyle w:val="242"/>
                    <w:rPr>
                      <w:color w:val="002DC7"/>
                      <w:sz w:val="21"/>
                      <w:szCs w:val="21"/>
                    </w:rPr>
                  </w:pPr>
                  <w:r>
                    <w:rPr>
                      <w:rFonts w:hint="eastAsia"/>
                      <w:color w:val="auto"/>
                      <w:sz w:val="21"/>
                      <w:szCs w:val="21"/>
                    </w:rPr>
                    <w:t>-</w:t>
                  </w:r>
                </w:p>
              </w:tc>
            </w:tr>
          </w:tbl>
          <w:p w14:paraId="1AB1AC56">
            <w:pPr>
              <w:pStyle w:val="197"/>
              <w:adjustRightInd/>
              <w:spacing w:line="360" w:lineRule="auto"/>
              <w:ind w:left="0" w:right="0" w:firstLine="480" w:firstLineChars="200"/>
              <w:jc w:val="both"/>
              <w:rPr>
                <w:rFonts w:hint="eastAsia" w:hAnsi="宋体"/>
                <w:color w:val="002DC7"/>
              </w:rPr>
            </w:pPr>
            <w:r>
              <w:rPr>
                <w:rFonts w:hAnsi="宋体"/>
                <w:color w:val="auto"/>
                <w:szCs w:val="24"/>
              </w:rPr>
              <w:t>根据质量公报监测结果统计，并结合《环境空气质量标准》（</w:t>
            </w:r>
            <w:r>
              <w:rPr>
                <w:color w:val="auto"/>
                <w:szCs w:val="24"/>
              </w:rPr>
              <w:t>GB3095-2012</w:t>
            </w:r>
            <w:r>
              <w:rPr>
                <w:rFonts w:hAnsi="宋体"/>
                <w:color w:val="auto"/>
                <w:szCs w:val="24"/>
              </w:rPr>
              <w:t>）及</w:t>
            </w:r>
            <w:r>
              <w:rPr>
                <w:color w:val="auto"/>
                <w:szCs w:val="24"/>
              </w:rPr>
              <w:t>2018</w:t>
            </w:r>
            <w:r>
              <w:rPr>
                <w:rFonts w:hAnsi="宋体"/>
                <w:color w:val="auto"/>
                <w:szCs w:val="24"/>
              </w:rPr>
              <w:t>年修改单中二级标准可知，项目所在区域</w:t>
            </w:r>
            <w:r>
              <w:rPr>
                <w:rFonts w:hint="eastAsia" w:hAnsi="宋体"/>
                <w:color w:val="auto"/>
                <w:szCs w:val="24"/>
              </w:rPr>
              <w:t>细颗粒物（PM</w:t>
            </w:r>
            <w:r>
              <w:rPr>
                <w:rFonts w:hint="eastAsia" w:hAnsi="宋体"/>
                <w:color w:val="auto"/>
                <w:szCs w:val="24"/>
                <w:vertAlign w:val="subscript"/>
              </w:rPr>
              <w:t>2.5</w:t>
            </w:r>
            <w:r>
              <w:rPr>
                <w:rFonts w:hint="eastAsia" w:hAnsi="宋体"/>
                <w:color w:val="auto"/>
                <w:szCs w:val="24"/>
              </w:rPr>
              <w:t>）年均值为</w:t>
            </w:r>
            <w:r>
              <w:rPr>
                <w:rFonts w:hint="eastAsia" w:hAnsi="宋体"/>
                <w:color w:val="auto"/>
                <w:szCs w:val="24"/>
                <w:lang w:val="en-US" w:eastAsia="zh-CN"/>
              </w:rPr>
              <w:t>40</w:t>
            </w:r>
            <w:r>
              <w:rPr>
                <w:rFonts w:hint="eastAsia" w:hAnsi="宋体"/>
                <w:color w:val="auto"/>
                <w:szCs w:val="24"/>
              </w:rPr>
              <w:t>微克/立方米</w:t>
            </w:r>
            <w:r>
              <w:rPr>
                <w:rFonts w:hint="eastAsia" w:hAnsi="宋体"/>
                <w:color w:val="auto"/>
                <w:szCs w:val="24"/>
                <w:lang w:val="en-US" w:eastAsia="zh-CN"/>
              </w:rPr>
              <w:t>未</w:t>
            </w:r>
            <w:r>
              <w:rPr>
                <w:rFonts w:hAnsi="宋体"/>
                <w:color w:val="auto"/>
              </w:rPr>
              <w:t>达标。</w:t>
            </w:r>
            <w:r>
              <w:rPr>
                <w:rFonts w:hint="eastAsia" w:hAnsi="宋体"/>
                <w:color w:val="auto"/>
              </w:rPr>
              <w:t>因此</w:t>
            </w:r>
            <w:r>
              <w:rPr>
                <w:rFonts w:hAnsi="宋体"/>
                <w:color w:val="auto"/>
              </w:rPr>
              <w:t>，项目所在区域判定为</w:t>
            </w:r>
            <w:r>
              <w:rPr>
                <w:rFonts w:hint="eastAsia" w:hAnsi="宋体"/>
                <w:color w:val="auto"/>
                <w:lang w:val="en-US" w:eastAsia="zh-CN"/>
              </w:rPr>
              <w:t>不</w:t>
            </w:r>
            <w:r>
              <w:rPr>
                <w:rFonts w:hAnsi="宋体"/>
                <w:color w:val="auto"/>
              </w:rPr>
              <w:t>达标区。</w:t>
            </w:r>
          </w:p>
          <w:p w14:paraId="2D2D13C5">
            <w:pPr>
              <w:adjustRightInd w:val="0"/>
              <w:spacing w:line="360" w:lineRule="auto"/>
              <w:ind w:firstLine="480" w:firstLineChars="200"/>
              <w:rPr>
                <w:rFonts w:hint="eastAsia" w:hAnsi="宋体"/>
                <w:color w:val="auto"/>
                <w:sz w:val="24"/>
              </w:rPr>
            </w:pPr>
            <w:r>
              <w:rPr>
                <w:rFonts w:hint="eastAsia" w:hAnsi="宋体"/>
                <w:color w:val="auto"/>
                <w:sz w:val="24"/>
              </w:rPr>
              <w:t>（2）其他污染物环境空气质量现状</w:t>
            </w:r>
          </w:p>
          <w:p w14:paraId="213A9B71">
            <w:pPr>
              <w:autoSpaceDE w:val="0"/>
              <w:autoSpaceDN w:val="0"/>
              <w:adjustRightInd w:val="0"/>
              <w:spacing w:line="360" w:lineRule="auto"/>
              <w:ind w:firstLine="480" w:firstLineChars="200"/>
              <w:rPr>
                <w:rFonts w:hint="eastAsia"/>
                <w:color w:val="002DC7"/>
                <w:sz w:val="24"/>
                <w:szCs w:val="24"/>
                <w:highlight w:val="yellow"/>
                <w:lang w:eastAsia="zh-CN"/>
              </w:rPr>
            </w:pPr>
            <w:r>
              <w:rPr>
                <w:rFonts w:hint="eastAsia"/>
                <w:color w:val="auto"/>
                <w:sz w:val="24"/>
                <w:szCs w:val="24"/>
                <w:highlight w:val="none"/>
              </w:rPr>
              <w:t>与本项目有关的其他大气污染物为</w:t>
            </w:r>
            <w:r>
              <w:rPr>
                <w:rFonts w:hint="eastAsia"/>
                <w:color w:val="auto"/>
                <w:sz w:val="24"/>
                <w:szCs w:val="24"/>
                <w:highlight w:val="none"/>
                <w:lang w:val="en-US" w:eastAsia="zh-CN"/>
              </w:rPr>
              <w:t>TSP</w:t>
            </w:r>
            <w:r>
              <w:rPr>
                <w:rFonts w:hint="eastAsia"/>
                <w:color w:val="auto"/>
                <w:sz w:val="24"/>
                <w:szCs w:val="24"/>
                <w:highlight w:val="none"/>
              </w:rPr>
              <w:t>，本项目</w:t>
            </w:r>
            <w:r>
              <w:rPr>
                <w:rFonts w:hint="eastAsia"/>
                <w:color w:val="auto"/>
                <w:sz w:val="24"/>
                <w:szCs w:val="24"/>
                <w:highlight w:val="none"/>
                <w:lang w:val="en-US" w:eastAsia="zh-CN"/>
              </w:rPr>
              <w:t>TSP</w:t>
            </w:r>
            <w:r>
              <w:rPr>
                <w:rFonts w:hint="eastAsia"/>
                <w:color w:val="auto"/>
                <w:sz w:val="24"/>
                <w:szCs w:val="24"/>
                <w:highlight w:val="none"/>
              </w:rPr>
              <w:t>空气质量现状引用《安徽德邦化工有限公司联碱安全环保节能提质改造项目(一期工程)环境影响报告书》中的监测数据，监测点位为“G</w:t>
            </w:r>
            <w:r>
              <w:rPr>
                <w:rFonts w:hint="eastAsia"/>
                <w:color w:val="auto"/>
                <w:sz w:val="24"/>
                <w:szCs w:val="24"/>
                <w:highlight w:val="none"/>
                <w:lang w:val="en-US" w:eastAsia="zh-CN"/>
              </w:rPr>
              <w:t>1</w:t>
            </w:r>
            <w:r>
              <w:rPr>
                <w:rFonts w:hint="eastAsia"/>
                <w:color w:val="auto"/>
                <w:sz w:val="24"/>
                <w:szCs w:val="24"/>
                <w:highlight w:val="none"/>
              </w:rPr>
              <w:t>（</w:t>
            </w:r>
            <w:r>
              <w:rPr>
                <w:rFonts w:hint="eastAsia"/>
                <w:color w:val="auto"/>
                <w:sz w:val="24"/>
                <w:szCs w:val="24"/>
                <w:highlight w:val="none"/>
                <w:lang w:val="en-US" w:eastAsia="zh-CN"/>
              </w:rPr>
              <w:t>安徽德邦化工厂区</w:t>
            </w:r>
            <w:r>
              <w:rPr>
                <w:rFonts w:hint="eastAsia"/>
                <w:color w:val="auto"/>
                <w:sz w:val="24"/>
                <w:szCs w:val="24"/>
                <w:highlight w:val="none"/>
              </w:rPr>
              <w:t>）”，位于本项目</w:t>
            </w:r>
            <w:r>
              <w:rPr>
                <w:rFonts w:hint="eastAsia"/>
                <w:color w:val="auto"/>
                <w:sz w:val="24"/>
                <w:szCs w:val="24"/>
                <w:highlight w:val="none"/>
                <w:lang w:val="en-US" w:eastAsia="zh-CN"/>
              </w:rPr>
              <w:t>西北</w:t>
            </w:r>
            <w:r>
              <w:rPr>
                <w:rFonts w:hint="eastAsia"/>
                <w:color w:val="auto"/>
                <w:sz w:val="24"/>
                <w:szCs w:val="24"/>
                <w:highlight w:val="none"/>
              </w:rPr>
              <w:t>侧</w:t>
            </w:r>
            <w:r>
              <w:rPr>
                <w:rFonts w:hint="eastAsia"/>
                <w:color w:val="auto"/>
                <w:sz w:val="24"/>
                <w:szCs w:val="24"/>
                <w:highlight w:val="none"/>
                <w:lang w:val="en-US" w:eastAsia="zh-CN"/>
              </w:rPr>
              <w:t>3893</w:t>
            </w:r>
            <w:r>
              <w:rPr>
                <w:rFonts w:hint="eastAsia"/>
                <w:color w:val="auto"/>
                <w:sz w:val="24"/>
                <w:szCs w:val="24"/>
                <w:highlight w:val="none"/>
              </w:rPr>
              <w:t>m处，监测时间为202</w:t>
            </w:r>
            <w:r>
              <w:rPr>
                <w:rFonts w:hint="eastAsia"/>
                <w:color w:val="auto"/>
                <w:sz w:val="24"/>
                <w:szCs w:val="24"/>
                <w:highlight w:val="none"/>
                <w:lang w:val="en-US" w:eastAsia="zh-CN"/>
              </w:rPr>
              <w:t>2</w:t>
            </w:r>
            <w:r>
              <w:rPr>
                <w:rFonts w:hint="eastAsia"/>
                <w:color w:val="auto"/>
                <w:sz w:val="24"/>
                <w:szCs w:val="24"/>
                <w:highlight w:val="none"/>
              </w:rPr>
              <w:t>年</w:t>
            </w:r>
            <w:r>
              <w:rPr>
                <w:rFonts w:hint="eastAsia"/>
                <w:color w:val="auto"/>
                <w:sz w:val="24"/>
                <w:szCs w:val="24"/>
                <w:highlight w:val="none"/>
                <w:lang w:val="en-US" w:eastAsia="zh-CN"/>
              </w:rPr>
              <w:t>12</w:t>
            </w:r>
            <w:r>
              <w:rPr>
                <w:rFonts w:hint="eastAsia"/>
                <w:color w:val="auto"/>
                <w:sz w:val="24"/>
                <w:szCs w:val="24"/>
                <w:highlight w:val="none"/>
              </w:rPr>
              <w:t>月</w:t>
            </w:r>
            <w:r>
              <w:rPr>
                <w:rFonts w:hint="eastAsia"/>
                <w:color w:val="auto"/>
                <w:sz w:val="24"/>
                <w:szCs w:val="24"/>
                <w:highlight w:val="none"/>
                <w:lang w:val="en-US" w:eastAsia="zh-CN"/>
              </w:rPr>
              <w:t>4</w:t>
            </w:r>
            <w:r>
              <w:rPr>
                <w:rFonts w:hint="eastAsia"/>
                <w:color w:val="auto"/>
                <w:sz w:val="24"/>
                <w:szCs w:val="24"/>
                <w:highlight w:val="none"/>
              </w:rPr>
              <w:t>日～</w:t>
            </w:r>
            <w:r>
              <w:rPr>
                <w:rFonts w:hint="eastAsia"/>
                <w:color w:val="auto"/>
                <w:sz w:val="24"/>
                <w:szCs w:val="24"/>
                <w:highlight w:val="none"/>
                <w:lang w:val="en-US" w:eastAsia="zh-CN"/>
              </w:rPr>
              <w:t>10</w:t>
            </w:r>
            <w:r>
              <w:rPr>
                <w:rFonts w:hint="eastAsia"/>
                <w:color w:val="auto"/>
                <w:sz w:val="24"/>
                <w:szCs w:val="24"/>
                <w:highlight w:val="none"/>
              </w:rPr>
              <w:t>日。根据《建设项目环境影响报告表技术指南（环境影响类）》（试行），该监测点符合要求，具体点位见下图</w:t>
            </w:r>
            <w:r>
              <w:rPr>
                <w:rFonts w:hint="eastAsia"/>
                <w:color w:val="auto"/>
                <w:sz w:val="24"/>
                <w:szCs w:val="24"/>
                <w:highlight w:val="none"/>
                <w:lang w:eastAsia="zh-CN"/>
              </w:rPr>
              <w:t>。</w:t>
            </w:r>
          </w:p>
          <w:p w14:paraId="32C4890C">
            <w:pPr>
              <w:autoSpaceDE w:val="0"/>
              <w:autoSpaceDN w:val="0"/>
              <w:adjustRightInd w:val="0"/>
              <w:spacing w:line="360" w:lineRule="auto"/>
              <w:ind w:firstLine="480" w:firstLineChars="200"/>
              <w:rPr>
                <w:rFonts w:hint="eastAsia"/>
                <w:color w:val="002DC7"/>
                <w:sz w:val="24"/>
                <w:szCs w:val="24"/>
                <w:lang w:eastAsia="zh-CN"/>
              </w:rPr>
            </w:pPr>
          </w:p>
          <w:p w14:paraId="4A1AD948">
            <w:pPr>
              <w:autoSpaceDE w:val="0"/>
              <w:autoSpaceDN w:val="0"/>
              <w:adjustRightInd w:val="0"/>
              <w:spacing w:line="360" w:lineRule="auto"/>
              <w:ind w:firstLine="480" w:firstLineChars="200"/>
              <w:rPr>
                <w:rFonts w:hint="eastAsia"/>
                <w:color w:val="002DC7"/>
                <w:sz w:val="24"/>
                <w:szCs w:val="24"/>
                <w:lang w:eastAsia="zh-CN"/>
              </w:rPr>
            </w:pPr>
          </w:p>
          <w:p w14:paraId="2FDE56D1">
            <w:pPr>
              <w:autoSpaceDE w:val="0"/>
              <w:autoSpaceDN w:val="0"/>
              <w:adjustRightInd w:val="0"/>
              <w:spacing w:line="360" w:lineRule="auto"/>
              <w:ind w:firstLine="480" w:firstLineChars="200"/>
              <w:rPr>
                <w:rFonts w:hint="eastAsia"/>
                <w:color w:val="002DC7"/>
                <w:sz w:val="24"/>
                <w:szCs w:val="24"/>
                <w:lang w:eastAsia="zh-CN"/>
              </w:rPr>
            </w:pPr>
          </w:p>
          <w:p w14:paraId="245DAFBA">
            <w:pPr>
              <w:autoSpaceDE w:val="0"/>
              <w:autoSpaceDN w:val="0"/>
              <w:adjustRightInd w:val="0"/>
              <w:spacing w:line="360" w:lineRule="auto"/>
              <w:ind w:firstLine="480" w:firstLineChars="200"/>
              <w:rPr>
                <w:rFonts w:hint="eastAsia"/>
                <w:color w:val="002DC7"/>
                <w:sz w:val="24"/>
                <w:szCs w:val="24"/>
                <w:lang w:eastAsia="zh-CN"/>
              </w:rPr>
            </w:pPr>
          </w:p>
          <w:p w14:paraId="355C2CB5">
            <w:pPr>
              <w:autoSpaceDE w:val="0"/>
              <w:autoSpaceDN w:val="0"/>
              <w:adjustRightInd w:val="0"/>
              <w:spacing w:line="360" w:lineRule="auto"/>
              <w:rPr>
                <w:color w:val="002DC7"/>
                <w:sz w:val="24"/>
                <w:szCs w:val="24"/>
              </w:rPr>
            </w:pPr>
          </w:p>
          <w:p w14:paraId="2C2BE1D0">
            <w:pPr>
              <w:pStyle w:val="57"/>
              <w:spacing w:line="240" w:lineRule="auto"/>
              <w:ind w:left="0" w:leftChars="0" w:firstLine="0" w:firstLineChars="0"/>
              <w:rPr>
                <w:color w:val="002DC7"/>
              </w:rPr>
            </w:pPr>
            <w:r>
              <w:rPr>
                <w:b/>
                <w:color w:val="002DC7"/>
                <w:szCs w:val="28"/>
              </w:rPr>
              <w:drawing>
                <wp:inline distT="0" distB="0" distL="114300" distR="114300">
                  <wp:extent cx="5165725" cy="3633470"/>
                  <wp:effectExtent l="0" t="0" r="15875" b="5080"/>
                  <wp:docPr id="28" name="图片 28"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1.png1"/>
                          <pic:cNvPicPr>
                            <a:picLocks noChangeAspect="1"/>
                          </pic:cNvPicPr>
                        </pic:nvPicPr>
                        <pic:blipFill>
                          <a:blip r:embed="rId15"/>
                          <a:srcRect l="2787" r="2787"/>
                          <a:stretch>
                            <a:fillRect/>
                          </a:stretch>
                        </pic:blipFill>
                        <pic:spPr>
                          <a:xfrm>
                            <a:off x="0" y="0"/>
                            <a:ext cx="5165725" cy="3633470"/>
                          </a:xfrm>
                          <a:prstGeom prst="rect">
                            <a:avLst/>
                          </a:prstGeom>
                        </pic:spPr>
                      </pic:pic>
                    </a:graphicData>
                  </a:graphic>
                </wp:inline>
              </w:drawing>
            </w:r>
            <w:r>
              <w:rPr>
                <w:b/>
                <w:color w:val="002DC7"/>
                <w:szCs w:val="28"/>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2887345</wp:posOffset>
                      </wp:positionV>
                      <wp:extent cx="1591945" cy="728980"/>
                      <wp:effectExtent l="4445" t="4445" r="22860" b="9525"/>
                      <wp:wrapNone/>
                      <wp:docPr id="883211419" name="文本框 3531"/>
                      <wp:cNvGraphicFramePr/>
                      <a:graphic xmlns:a="http://schemas.openxmlformats.org/drawingml/2006/main">
                        <a:graphicData uri="http://schemas.microsoft.com/office/word/2010/wordprocessingShape">
                          <wps:wsp>
                            <wps:cNvSpPr txBox="1">
                              <a:spLocks noChangeArrowheads="1"/>
                            </wps:cNvSpPr>
                            <wps:spPr bwMode="auto">
                              <a:xfrm>
                                <a:off x="0" y="0"/>
                                <a:ext cx="1591945" cy="728980"/>
                              </a:xfrm>
                              <a:prstGeom prst="rect">
                                <a:avLst/>
                              </a:prstGeom>
                              <a:solidFill>
                                <a:srgbClr val="FFFFFF"/>
                              </a:solidFill>
                              <a:ln w="9525">
                                <a:solidFill>
                                  <a:srgbClr val="000000"/>
                                </a:solidFill>
                                <a:miter lim="800000"/>
                              </a:ln>
                            </wps:spPr>
                            <wps:txbx>
                              <w:txbxContent>
                                <w:p w14:paraId="3762214D">
                                  <w:pPr>
                                    <w:jc w:val="center"/>
                                    <w:rPr>
                                      <w:rFonts w:hint="eastAsia" w:ascii="楷体" w:hAnsi="楷体" w:eastAsia="楷体" w:cs="楷体"/>
                                      <w:b/>
                                      <w:bCs/>
                                    </w:rPr>
                                  </w:pPr>
                                  <w:r>
                                    <w:rPr>
                                      <w:rFonts w:hint="eastAsia" w:ascii="楷体" w:hAnsi="楷体" w:eastAsia="楷体" w:cs="楷体"/>
                                      <w:b/>
                                      <w:bCs/>
                                    </w:rPr>
                                    <w:t>图  例</w:t>
                                  </w:r>
                                </w:p>
                                <w:p w14:paraId="4AA452A6">
                                  <w:pPr>
                                    <w:pStyle w:val="57"/>
                                  </w:pPr>
                                </w:p>
                              </w:txbxContent>
                            </wps:txbx>
                            <wps:bodyPr rot="0" vert="horz" wrap="square" lIns="91440" tIns="45720" rIns="91440" bIns="45720" anchor="t" anchorCtr="0" upright="1">
                              <a:noAutofit/>
                            </wps:bodyPr>
                          </wps:wsp>
                        </a:graphicData>
                      </a:graphic>
                    </wp:anchor>
                  </w:drawing>
                </mc:Choice>
                <mc:Fallback>
                  <w:pict>
                    <v:shape id="文本框 3531" o:spid="_x0000_s1026" o:spt="202" type="#_x0000_t202" style="position:absolute;left:0pt;margin-left:0.4pt;margin-top:227.35pt;height:57.4pt;width:125.35pt;z-index:251663360;mso-width-relative:page;mso-height-relative:page;" fillcolor="#FFFFFF" filled="t" stroked="t" coordsize="21600,21600" o:gfxdata="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Tpz/NgAAAAIAQAADwAAAAAA&#10;AAABACAAAAAiAAAAZHJzL2Rvd25yZXYueG1sUEsBAhQAFAAAAAgAh07iQD6Ph1pMAgAAkgQAAA4A&#10;AAAAAAAAAQAgAAAAJwEAAGRycy9lMm9Eb2MueG1sUEsFBgAAAAAGAAYAWQEAAOUFAAAAAA==&#10;">
                      <v:fill on="t" focussize="0,0"/>
                      <v:stroke color="#000000" miterlimit="8" joinstyle="miter"/>
                      <v:imagedata o:title=""/>
                      <o:lock v:ext="edit" aspectratio="f"/>
                      <v:textbox>
                        <w:txbxContent>
                          <w:p w14:paraId="3762214D">
                            <w:pPr>
                              <w:jc w:val="center"/>
                              <w:rPr>
                                <w:rFonts w:hint="eastAsia" w:ascii="楷体" w:hAnsi="楷体" w:eastAsia="楷体" w:cs="楷体"/>
                                <w:b/>
                                <w:bCs/>
                              </w:rPr>
                            </w:pPr>
                            <w:r>
                              <w:rPr>
                                <w:rFonts w:hint="eastAsia" w:ascii="楷体" w:hAnsi="楷体" w:eastAsia="楷体" w:cs="楷体"/>
                                <w:b/>
                                <w:bCs/>
                              </w:rPr>
                              <w:t>图  例</w:t>
                            </w:r>
                          </w:p>
                          <w:p w14:paraId="4AA452A6">
                            <w:pPr>
                              <w:pStyle w:val="57"/>
                            </w:pPr>
                          </w:p>
                        </w:txbxContent>
                      </v:textbox>
                    </v:shape>
                  </w:pict>
                </mc:Fallback>
              </mc:AlternateContent>
            </w:r>
            <w:r>
              <w:rPr>
                <w:b/>
                <w:color w:val="002DC7"/>
                <w:szCs w:val="28"/>
              </w:rPr>
              <mc:AlternateContent>
                <mc:Choice Requires="wps">
                  <w:drawing>
                    <wp:anchor distT="0" distB="0" distL="114300" distR="114300" simplePos="0" relativeHeight="251668480" behindDoc="0" locked="0" layoutInCell="1" allowOverlap="1">
                      <wp:simplePos x="0" y="0"/>
                      <wp:positionH relativeFrom="column">
                        <wp:posOffset>1534160</wp:posOffset>
                      </wp:positionH>
                      <wp:positionV relativeFrom="paragraph">
                        <wp:posOffset>1567815</wp:posOffset>
                      </wp:positionV>
                      <wp:extent cx="589915" cy="318770"/>
                      <wp:effectExtent l="3810" t="635" r="0" b="4445"/>
                      <wp:wrapNone/>
                      <wp:docPr id="1234229210" name="文本框 3537"/>
                      <wp:cNvGraphicFramePr/>
                      <a:graphic xmlns:a="http://schemas.openxmlformats.org/drawingml/2006/main">
                        <a:graphicData uri="http://schemas.microsoft.com/office/word/2010/wordprocessingShape">
                          <wps:wsp>
                            <wps:cNvSpPr txBox="1">
                              <a:spLocks noChangeArrowheads="1"/>
                            </wps:cNvSpPr>
                            <wps:spPr bwMode="auto">
                              <a:xfrm>
                                <a:off x="0" y="0"/>
                                <a:ext cx="589915" cy="318770"/>
                              </a:xfrm>
                              <a:prstGeom prst="rect">
                                <a:avLst/>
                              </a:prstGeom>
                              <a:noFill/>
                              <a:ln>
                                <a:noFill/>
                              </a:ln>
                              <a:effectLst/>
                            </wps:spPr>
                            <wps:txbx>
                              <w:txbxContent>
                                <w:p w14:paraId="6B44F7F2">
                                  <w:pPr>
                                    <w:jc w:val="center"/>
                                    <w:rPr>
                                      <w:rFonts w:hint="default" w:ascii="Times New Roman" w:hAnsi="Times New Roman" w:eastAsia="宋体" w:cs="Times New Roman"/>
                                      <w:color w:val="ED7D31" w:themeColor="accent2"/>
                                      <w14:textFill>
                                        <w14:solidFill>
                                          <w14:schemeClr w14:val="accent2"/>
                                        </w14:solidFill>
                                      </w14:textFill>
                                    </w:rPr>
                                  </w:pPr>
                                  <w:r>
                                    <w:rPr>
                                      <w:rFonts w:hint="eastAsia" w:cs="Times New Roman"/>
                                      <w:color w:val="ED7D31" w:themeColor="accent2"/>
                                      <w:lang w:val="en-US" w:eastAsia="zh-CN"/>
                                      <w14:textFill>
                                        <w14:solidFill>
                                          <w14:schemeClr w14:val="accent2"/>
                                        </w14:solidFill>
                                      </w14:textFill>
                                    </w:rPr>
                                    <w:t>3893</w:t>
                                  </w:r>
                                  <w:r>
                                    <w:rPr>
                                      <w:rFonts w:hint="default" w:ascii="Times New Roman" w:hAnsi="Times New Roman" w:eastAsia="宋体" w:cs="Times New Roman"/>
                                      <w:color w:val="ED7D31" w:themeColor="accent2"/>
                                      <w14:textFill>
                                        <w14:solidFill>
                                          <w14:schemeClr w14:val="accent2"/>
                                        </w14:solidFill>
                                      </w14:textFill>
                                    </w:rPr>
                                    <w:t>m</w:t>
                                  </w:r>
                                </w:p>
                              </w:txbxContent>
                            </wps:txbx>
                            <wps:bodyPr rot="0" vert="horz" wrap="square" lIns="91440" tIns="45720" rIns="91440" bIns="45720" anchor="t" anchorCtr="0" upright="1">
                              <a:noAutofit/>
                            </wps:bodyPr>
                          </wps:wsp>
                        </a:graphicData>
                      </a:graphic>
                    </wp:anchor>
                  </w:drawing>
                </mc:Choice>
                <mc:Fallback>
                  <w:pict>
                    <v:shape id="文本框 3537" o:spid="_x0000_s1026" o:spt="202" type="#_x0000_t202" style="position:absolute;left:0pt;margin-left:120.8pt;margin-top:123.45pt;height:25.1pt;width:46.45pt;z-index:251668480;mso-width-relative:page;mso-height-relative:page;" filled="f" stroked="f" coordsize="21600,21600" o:gfxdata="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rBbLDYAAAACwEAAA8AAAAAAAAAAQAgAAAAIgAAAGRycy9kb3ducmV2LnhtbFBLAQIUABQAAAAI&#10;AIdO4kC8CSF4JgIAAC4EAAAOAAAAAAAAAAEAIAAAACcBAABkcnMvZTJvRG9jLnhtbFBLBQYAAAAA&#10;BgAGAFkBAAC/BQAAAAA=&#10;">
                      <v:fill on="f" focussize="0,0"/>
                      <v:stroke on="f"/>
                      <v:imagedata o:title=""/>
                      <o:lock v:ext="edit" aspectratio="f"/>
                      <v:textbox>
                        <w:txbxContent>
                          <w:p w14:paraId="6B44F7F2">
                            <w:pPr>
                              <w:jc w:val="center"/>
                              <w:rPr>
                                <w:rFonts w:hint="default" w:ascii="Times New Roman" w:hAnsi="Times New Roman" w:eastAsia="宋体" w:cs="Times New Roman"/>
                                <w:color w:val="ED7D31" w:themeColor="accent2"/>
                                <w14:textFill>
                                  <w14:solidFill>
                                    <w14:schemeClr w14:val="accent2"/>
                                  </w14:solidFill>
                                </w14:textFill>
                              </w:rPr>
                            </w:pPr>
                            <w:r>
                              <w:rPr>
                                <w:rFonts w:hint="eastAsia" w:cs="Times New Roman"/>
                                <w:color w:val="ED7D31" w:themeColor="accent2"/>
                                <w:lang w:val="en-US" w:eastAsia="zh-CN"/>
                                <w14:textFill>
                                  <w14:solidFill>
                                    <w14:schemeClr w14:val="accent2"/>
                                  </w14:solidFill>
                                </w14:textFill>
                              </w:rPr>
                              <w:t>3893</w:t>
                            </w:r>
                            <w:r>
                              <w:rPr>
                                <w:rFonts w:hint="default" w:ascii="Times New Roman" w:hAnsi="Times New Roman" w:eastAsia="宋体" w:cs="Times New Roman"/>
                                <w:color w:val="ED7D31" w:themeColor="accent2"/>
                                <w14:textFill>
                                  <w14:solidFill>
                                    <w14:schemeClr w14:val="accent2"/>
                                  </w14:solidFill>
                                </w14:textFill>
                              </w:rPr>
                              <w:t>m</w:t>
                            </w:r>
                          </w:p>
                        </w:txbxContent>
                      </v:textbox>
                    </v:shape>
                  </w:pict>
                </mc:Fallback>
              </mc:AlternateContent>
            </w:r>
            <w:r>
              <w:rPr>
                <w:b/>
                <w:color w:val="002DC7"/>
                <w:szCs w:val="28"/>
              </w:rPr>
              <mc:AlternateContent>
                <mc:Choice Requires="wps">
                  <w:drawing>
                    <wp:anchor distT="0" distB="0" distL="114300" distR="114300" simplePos="0" relativeHeight="251677696" behindDoc="0" locked="0" layoutInCell="1" allowOverlap="1">
                      <wp:simplePos x="0" y="0"/>
                      <wp:positionH relativeFrom="column">
                        <wp:posOffset>783590</wp:posOffset>
                      </wp:positionH>
                      <wp:positionV relativeFrom="paragraph">
                        <wp:posOffset>873760</wp:posOffset>
                      </wp:positionV>
                      <wp:extent cx="125730" cy="125730"/>
                      <wp:effectExtent l="4445" t="4445" r="22225" b="22225"/>
                      <wp:wrapNone/>
                      <wp:docPr id="2" name="自选图形 3535"/>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ellipse">
                                <a:avLst/>
                              </a:prstGeom>
                              <a:solidFill>
                                <a:srgbClr val="FFFF00"/>
                              </a:solidFill>
                              <a:ln w="6350">
                                <a:solidFill>
                                  <a:schemeClr val="accent1"/>
                                </a:solidFill>
                                <a:round/>
                              </a:ln>
                            </wps:spPr>
                            <wps:bodyPr rot="0" vert="horz" wrap="square" lIns="91440" tIns="45720" rIns="91440" bIns="45720" anchor="t" anchorCtr="0" upright="1">
                              <a:noAutofit/>
                            </wps:bodyPr>
                          </wps:wsp>
                        </a:graphicData>
                      </a:graphic>
                    </wp:anchor>
                  </w:drawing>
                </mc:Choice>
                <mc:Fallback>
                  <w:pict>
                    <v:shape id="自选图形 3535" o:spid="_x0000_s1026" o:spt="3" type="#_x0000_t3" style="position:absolute;left:0pt;margin-left:61.7pt;margin-top:68.8pt;height:9.9pt;width:9.9pt;z-index:251677696;mso-width-relative:page;mso-height-relative:page;" fillcolor="#FFFF00" filled="t" stroked="t" coordsize="21600,21600" o:gfxdata="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ZlxX9oAAAALAQAADwAAAAAAAAABACAAAAAi&#10;AAAAZHJzL2Rvd25yZXYueG1sUEsBAhQAFAAAAAgAh07iQPOaNNpBAgAAbQQAAA4AAAAAAAAAAQAg&#10;AAAAKQEAAGRycy9lMm9Eb2MueG1sUEsFBgAAAAAGAAYAWQEAANwFAAAAAA==&#10;">
                      <v:fill on="t" focussize="0,0"/>
                      <v:stroke weight="0.5pt" color="#4472C4 [3204]" joinstyle="round"/>
                      <v:imagedata o:title=""/>
                      <o:lock v:ext="edit" aspectratio="f"/>
                    </v:shape>
                  </w:pict>
                </mc:Fallback>
              </mc:AlternateContent>
            </w:r>
            <w:r>
              <w:rPr>
                <w:b/>
                <w:color w:val="002DC7"/>
                <w:szCs w:val="28"/>
              </w:rPr>
              <mc:AlternateContent>
                <mc:Choice Requires="wps">
                  <w:drawing>
                    <wp:anchor distT="0" distB="0" distL="114300" distR="114300" simplePos="0" relativeHeight="251673600" behindDoc="0" locked="0" layoutInCell="1" allowOverlap="1">
                      <wp:simplePos x="0" y="0"/>
                      <wp:positionH relativeFrom="column">
                        <wp:posOffset>4498340</wp:posOffset>
                      </wp:positionH>
                      <wp:positionV relativeFrom="paragraph">
                        <wp:posOffset>802005</wp:posOffset>
                      </wp:positionV>
                      <wp:extent cx="621665" cy="318770"/>
                      <wp:effectExtent l="0" t="0" r="0" b="0"/>
                      <wp:wrapNone/>
                      <wp:docPr id="391604151" name="文本框 3544"/>
                      <wp:cNvGraphicFramePr/>
                      <a:graphic xmlns:a="http://schemas.openxmlformats.org/drawingml/2006/main">
                        <a:graphicData uri="http://schemas.microsoft.com/office/word/2010/wordprocessingShape">
                          <wps:wsp>
                            <wps:cNvSpPr txBox="1">
                              <a:spLocks noChangeArrowheads="1"/>
                            </wps:cNvSpPr>
                            <wps:spPr bwMode="auto">
                              <a:xfrm>
                                <a:off x="0" y="0"/>
                                <a:ext cx="621665" cy="318770"/>
                              </a:xfrm>
                              <a:prstGeom prst="rect">
                                <a:avLst/>
                              </a:prstGeom>
                              <a:noFill/>
                              <a:ln>
                                <a:noFill/>
                              </a:ln>
                              <a:effectLst/>
                            </wps:spPr>
                            <wps:txbx>
                              <w:txbxContent>
                                <w:p w14:paraId="2D91F2DA">
                                  <w:pPr>
                                    <w:jc w:val="center"/>
                                    <w:rPr>
                                      <w:rFonts w:hint="default" w:ascii="Times New Roman" w:hAnsi="Times New Roman" w:eastAsia="宋体" w:cs="Times New Roman"/>
                                      <w:color w:val="FFFFFF" w:themeColor="background1"/>
                                      <w:sz w:val="20"/>
                                      <w:szCs w:val="21"/>
                                      <w14:textFill>
                                        <w14:solidFill>
                                          <w14:schemeClr w14:val="bg1"/>
                                        </w14:solidFill>
                                      </w14:textFill>
                                    </w:rPr>
                                  </w:pPr>
                                  <w:r>
                                    <w:rPr>
                                      <w:rFonts w:hint="eastAsia" w:cs="Times New Roman"/>
                                      <w:color w:val="FFFFFF" w:themeColor="background1"/>
                                      <w:sz w:val="20"/>
                                      <w:szCs w:val="21"/>
                                      <w:lang w:val="en-US" w:eastAsia="zh-CN"/>
                                      <w14:textFill>
                                        <w14:solidFill>
                                          <w14:schemeClr w14:val="bg1"/>
                                        </w14:solidFill>
                                      </w14:textFill>
                                    </w:rPr>
                                    <w:t>2</w:t>
                                  </w:r>
                                  <w:r>
                                    <w:rPr>
                                      <w:rFonts w:hint="default" w:ascii="Times New Roman" w:hAnsi="Times New Roman" w:eastAsia="宋体" w:cs="Times New Roman"/>
                                      <w:color w:val="FFFFFF" w:themeColor="background1"/>
                                      <w:sz w:val="20"/>
                                      <w:szCs w:val="21"/>
                                      <w14:textFill>
                                        <w14:solidFill>
                                          <w14:schemeClr w14:val="bg1"/>
                                        </w14:solidFill>
                                      </w14:textFill>
                                    </w:rPr>
                                    <w:t>00m</w:t>
                                  </w:r>
                                </w:p>
                              </w:txbxContent>
                            </wps:txbx>
                            <wps:bodyPr rot="0" vert="horz" wrap="square" lIns="91440" tIns="45720" rIns="91440" bIns="45720" anchor="t" anchorCtr="0" upright="1">
                              <a:noAutofit/>
                            </wps:bodyPr>
                          </wps:wsp>
                        </a:graphicData>
                      </a:graphic>
                    </wp:anchor>
                  </w:drawing>
                </mc:Choice>
                <mc:Fallback>
                  <w:pict>
                    <v:shape id="文本框 3544" o:spid="_x0000_s1026" o:spt="202" type="#_x0000_t202" style="position:absolute;left:0pt;margin-left:354.2pt;margin-top:63.15pt;height:25.1pt;width:48.95pt;z-index:251673600;mso-width-relative:page;mso-height-relative:page;" filled="f" stroked="f" coordsize="21600,21600" o:gfxdata="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D7sSfYAAAACwEAAA8AAAAAAAAAAQAgAAAAIgAAAGRycy9kb3ducmV2LnhtbFBLAQIUABQAAAAI&#10;AIdO4kBVZRbqJgIAAC0EAAAOAAAAAAAAAAEAIAAAACcBAABkcnMvZTJvRG9jLnhtbFBLBQYAAAAA&#10;BgAGAFkBAAC/BQAAAAA=&#10;">
                      <v:fill on="f" focussize="0,0"/>
                      <v:stroke on="f"/>
                      <v:imagedata o:title=""/>
                      <o:lock v:ext="edit" aspectratio="f"/>
                      <v:textbox>
                        <w:txbxContent>
                          <w:p w14:paraId="2D91F2DA">
                            <w:pPr>
                              <w:jc w:val="center"/>
                              <w:rPr>
                                <w:rFonts w:hint="default" w:ascii="Times New Roman" w:hAnsi="Times New Roman" w:eastAsia="宋体" w:cs="Times New Roman"/>
                                <w:color w:val="FFFFFF" w:themeColor="background1"/>
                                <w:sz w:val="20"/>
                                <w:szCs w:val="21"/>
                                <w14:textFill>
                                  <w14:solidFill>
                                    <w14:schemeClr w14:val="bg1"/>
                                  </w14:solidFill>
                                </w14:textFill>
                              </w:rPr>
                            </w:pPr>
                            <w:r>
                              <w:rPr>
                                <w:rFonts w:hint="eastAsia" w:cs="Times New Roman"/>
                                <w:color w:val="FFFFFF" w:themeColor="background1"/>
                                <w:sz w:val="20"/>
                                <w:szCs w:val="21"/>
                                <w:lang w:val="en-US" w:eastAsia="zh-CN"/>
                                <w14:textFill>
                                  <w14:solidFill>
                                    <w14:schemeClr w14:val="bg1"/>
                                  </w14:solidFill>
                                </w14:textFill>
                              </w:rPr>
                              <w:t>2</w:t>
                            </w:r>
                            <w:r>
                              <w:rPr>
                                <w:rFonts w:hint="default" w:ascii="Times New Roman" w:hAnsi="Times New Roman" w:eastAsia="宋体" w:cs="Times New Roman"/>
                                <w:color w:val="FFFFFF" w:themeColor="background1"/>
                                <w:sz w:val="20"/>
                                <w:szCs w:val="21"/>
                                <w14:textFill>
                                  <w14:solidFill>
                                    <w14:schemeClr w14:val="bg1"/>
                                  </w14:solidFill>
                                </w14:textFill>
                              </w:rPr>
                              <w:t>00m</w:t>
                            </w:r>
                          </w:p>
                        </w:txbxContent>
                      </v:textbox>
                    </v:shape>
                  </w:pict>
                </mc:Fallback>
              </mc:AlternateContent>
            </w:r>
            <w:r>
              <w:rPr>
                <w:b/>
                <w:color w:val="002DC7"/>
                <w:szCs w:val="28"/>
              </w:rPr>
              <mc:AlternateContent>
                <mc:Choice Requires="wps">
                  <w:drawing>
                    <wp:anchor distT="0" distB="0" distL="114300" distR="114300" simplePos="0" relativeHeight="251665408" behindDoc="0" locked="0" layoutInCell="1" allowOverlap="1">
                      <wp:simplePos x="0" y="0"/>
                      <wp:positionH relativeFrom="column">
                        <wp:posOffset>167005</wp:posOffset>
                      </wp:positionH>
                      <wp:positionV relativeFrom="paragraph">
                        <wp:posOffset>3155315</wp:posOffset>
                      </wp:positionV>
                      <wp:extent cx="1467485" cy="318770"/>
                      <wp:effectExtent l="0" t="0" r="0" b="0"/>
                      <wp:wrapNone/>
                      <wp:docPr id="1600718132" name="文本框 3534"/>
                      <wp:cNvGraphicFramePr/>
                      <a:graphic xmlns:a="http://schemas.openxmlformats.org/drawingml/2006/main">
                        <a:graphicData uri="http://schemas.microsoft.com/office/word/2010/wordprocessingShape">
                          <wps:wsp>
                            <wps:cNvSpPr txBox="1">
                              <a:spLocks noChangeArrowheads="1"/>
                            </wps:cNvSpPr>
                            <wps:spPr bwMode="auto">
                              <a:xfrm>
                                <a:off x="0" y="0"/>
                                <a:ext cx="1467485" cy="318770"/>
                              </a:xfrm>
                              <a:prstGeom prst="rect">
                                <a:avLst/>
                              </a:prstGeom>
                              <a:noFill/>
                              <a:ln>
                                <a:noFill/>
                              </a:ln>
                              <a:effectLst/>
                            </wps:spPr>
                            <wps:txbx>
                              <w:txbxContent>
                                <w:p w14:paraId="2D37C113">
                                  <w:pPr>
                                    <w:jc w:val="center"/>
                                    <w:rPr>
                                      <w:rFonts w:hint="eastAsia" w:ascii="楷体_GB2312" w:hAnsi="楷体_GB2312" w:eastAsia="楷体_GB2312" w:cs="楷体_GB2312"/>
                                    </w:rPr>
                                  </w:pPr>
                                  <w:r>
                                    <w:rPr>
                                      <w:rFonts w:hint="eastAsia" w:ascii="楷体_GB2312" w:hAnsi="楷体_GB2312" w:eastAsia="楷体_GB2312" w:cs="楷体_GB2312"/>
                                    </w:rPr>
                                    <w:t>本项目所在地</w:t>
                                  </w:r>
                                </w:p>
                              </w:txbxContent>
                            </wps:txbx>
                            <wps:bodyPr rot="0" vert="horz" wrap="square" lIns="91440" tIns="45720" rIns="91440" bIns="45720" anchor="t" anchorCtr="0" upright="1">
                              <a:noAutofit/>
                            </wps:bodyPr>
                          </wps:wsp>
                        </a:graphicData>
                      </a:graphic>
                    </wp:anchor>
                  </w:drawing>
                </mc:Choice>
                <mc:Fallback>
                  <w:pict>
                    <v:shape id="文本框 3534" o:spid="_x0000_s1026" o:spt="202" type="#_x0000_t202" style="position:absolute;left:0pt;margin-left:13.15pt;margin-top:248.45pt;height:25.1pt;width:115.55pt;z-index:251665408;mso-width-relative:page;mso-height-relative:page;" filled="f" stroked="f" coordsize="21600,21600" o:gfxdata="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xmlU2AAAAAoBAAAPAAAAAAAAAAEAIAAAACIAAABkcnMvZG93bnJldi54bWxQSwECFAAUAAAA&#10;CACHTuJArzBx6ycCAAAvBAAADgAAAAAAAAABACAAAAAnAQAAZHJzL2Uyb0RvYy54bWxQSwUGAAAA&#10;AAYABgBZAQAAwAUAAAAA&#10;">
                      <v:fill on="f" focussize="0,0"/>
                      <v:stroke on="f"/>
                      <v:imagedata o:title=""/>
                      <o:lock v:ext="edit" aspectratio="f"/>
                      <v:textbox>
                        <w:txbxContent>
                          <w:p w14:paraId="2D37C113">
                            <w:pPr>
                              <w:jc w:val="center"/>
                              <w:rPr>
                                <w:rFonts w:hint="eastAsia" w:ascii="楷体_GB2312" w:hAnsi="楷体_GB2312" w:eastAsia="楷体_GB2312" w:cs="楷体_GB2312"/>
                              </w:rPr>
                            </w:pPr>
                            <w:r>
                              <w:rPr>
                                <w:rFonts w:hint="eastAsia" w:ascii="楷体_GB2312" w:hAnsi="楷体_GB2312" w:eastAsia="楷体_GB2312" w:cs="楷体_GB2312"/>
                              </w:rPr>
                              <w:t>本项目所在地</w:t>
                            </w:r>
                          </w:p>
                        </w:txbxContent>
                      </v:textbox>
                    </v:shape>
                  </w:pict>
                </mc:Fallback>
              </mc:AlternateContent>
            </w:r>
            <w:r>
              <w:rPr>
                <w:b/>
                <w:color w:val="002DC7"/>
                <w:szCs w:val="28"/>
              </w:rPr>
              <mc:AlternateContent>
                <mc:Choice Requires="wps">
                  <w:drawing>
                    <wp:anchor distT="0" distB="0" distL="114300" distR="114300" simplePos="0" relativeHeight="251664384" behindDoc="0" locked="0" layoutInCell="1" allowOverlap="1">
                      <wp:simplePos x="0" y="0"/>
                      <wp:positionH relativeFrom="column">
                        <wp:posOffset>214630</wp:posOffset>
                      </wp:positionH>
                      <wp:positionV relativeFrom="paragraph">
                        <wp:posOffset>3364230</wp:posOffset>
                      </wp:positionV>
                      <wp:extent cx="1467485" cy="318770"/>
                      <wp:effectExtent l="3175" t="0" r="0" b="0"/>
                      <wp:wrapNone/>
                      <wp:docPr id="1201601106" name="文本框 3533"/>
                      <wp:cNvGraphicFramePr/>
                      <a:graphic xmlns:a="http://schemas.openxmlformats.org/drawingml/2006/main">
                        <a:graphicData uri="http://schemas.microsoft.com/office/word/2010/wordprocessingShape">
                          <wps:wsp>
                            <wps:cNvSpPr txBox="1">
                              <a:spLocks noChangeArrowheads="1"/>
                            </wps:cNvSpPr>
                            <wps:spPr bwMode="auto">
                              <a:xfrm>
                                <a:off x="0" y="0"/>
                                <a:ext cx="1467485" cy="318770"/>
                              </a:xfrm>
                              <a:prstGeom prst="rect">
                                <a:avLst/>
                              </a:prstGeom>
                              <a:noFill/>
                              <a:ln>
                                <a:noFill/>
                              </a:ln>
                              <a:effectLst/>
                            </wps:spPr>
                            <wps:txbx>
                              <w:txbxContent>
                                <w:p w14:paraId="7E5C3900">
                                  <w:pPr>
                                    <w:jc w:val="center"/>
                                    <w:rPr>
                                      <w:rFonts w:hint="eastAsia" w:ascii="楷体" w:hAnsi="楷体" w:eastAsia="楷体" w:cs="楷体"/>
                                    </w:rPr>
                                  </w:pPr>
                                  <w:r>
                                    <w:rPr>
                                      <w:rFonts w:hint="eastAsia" w:ascii="楷体" w:hAnsi="楷体" w:eastAsia="楷体" w:cs="楷体"/>
                                    </w:rPr>
                                    <w:t>环境空气质量监测点</w:t>
                                  </w:r>
                                </w:p>
                              </w:txbxContent>
                            </wps:txbx>
                            <wps:bodyPr rot="0" vert="horz" wrap="square" lIns="91440" tIns="45720" rIns="91440" bIns="45720" anchor="t" anchorCtr="0" upright="1">
                              <a:noAutofit/>
                            </wps:bodyPr>
                          </wps:wsp>
                        </a:graphicData>
                      </a:graphic>
                    </wp:anchor>
                  </w:drawing>
                </mc:Choice>
                <mc:Fallback>
                  <w:pict>
                    <v:shape id="文本框 3533" o:spid="_x0000_s1026" o:spt="202" type="#_x0000_t202" style="position:absolute;left:0pt;margin-left:16.9pt;margin-top:264.9pt;height:25.1pt;width:115.55pt;z-index:251664384;mso-width-relative:page;mso-height-relative:page;" filled="f" stroked="f" coordsize="21600,21600" o:gfxdata="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O8QY2AAAAAoBAAAPAAAAAAAAAAEAIAAAACIAAABkcnMvZG93bnJldi54bWxQSwECFAAUAAAACACH&#10;TuJA1W927yQCAAAvBAAADgAAAAAAAAABACAAAAAnAQAAZHJzL2Uyb0RvYy54bWxQSwUGAAAAAAYA&#10;BgBZAQAAvQUAAAAA&#10;">
                      <v:fill on="f" focussize="0,0"/>
                      <v:stroke on="f"/>
                      <v:imagedata o:title=""/>
                      <o:lock v:ext="edit" aspectratio="f"/>
                      <v:textbox>
                        <w:txbxContent>
                          <w:p w14:paraId="7E5C3900">
                            <w:pPr>
                              <w:jc w:val="center"/>
                              <w:rPr>
                                <w:rFonts w:hint="eastAsia" w:ascii="楷体" w:hAnsi="楷体" w:eastAsia="楷体" w:cs="楷体"/>
                              </w:rPr>
                            </w:pPr>
                            <w:r>
                              <w:rPr>
                                <w:rFonts w:hint="eastAsia" w:ascii="楷体" w:hAnsi="楷体" w:eastAsia="楷体" w:cs="楷体"/>
                              </w:rPr>
                              <w:t>环境空气质量监测点</w:t>
                            </w:r>
                          </w:p>
                        </w:txbxContent>
                      </v:textbox>
                    </v:shape>
                  </w:pict>
                </mc:Fallback>
              </mc:AlternateContent>
            </w:r>
            <w:r>
              <w:rPr>
                <w:b/>
                <w:color w:val="002DC7"/>
                <w:szCs w:val="28"/>
              </w:rPr>
              <mc:AlternateContent>
                <mc:Choice Requires="wps">
                  <w:drawing>
                    <wp:anchor distT="0" distB="0" distL="114300" distR="114300" simplePos="0" relativeHeight="251669504" behindDoc="0" locked="0" layoutInCell="1" allowOverlap="1">
                      <wp:simplePos x="0" y="0"/>
                      <wp:positionH relativeFrom="column">
                        <wp:posOffset>55880</wp:posOffset>
                      </wp:positionH>
                      <wp:positionV relativeFrom="paragraph">
                        <wp:posOffset>3231515</wp:posOffset>
                      </wp:positionV>
                      <wp:extent cx="252095" cy="107950"/>
                      <wp:effectExtent l="5080" t="5080" r="9525" b="20320"/>
                      <wp:wrapNone/>
                      <wp:docPr id="2095626862" name="矩形 3538"/>
                      <wp:cNvGraphicFramePr/>
                      <a:graphic xmlns:a="http://schemas.openxmlformats.org/drawingml/2006/main">
                        <a:graphicData uri="http://schemas.microsoft.com/office/word/2010/wordprocessingShape">
                          <wps:wsp>
                            <wps:cNvSpPr>
                              <a:spLocks noChangeArrowheads="1"/>
                            </wps:cNvSpPr>
                            <wps:spPr bwMode="auto">
                              <a:xfrm>
                                <a:off x="0" y="0"/>
                                <a:ext cx="252095" cy="107950"/>
                              </a:xfrm>
                              <a:prstGeom prst="rect">
                                <a:avLst/>
                              </a:prstGeom>
                              <a:solidFill>
                                <a:srgbClr val="FFFFFF"/>
                              </a:solidFill>
                              <a:ln w="9525" algn="ctr">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3538" o:spid="_x0000_s1026" o:spt="1" style="position:absolute;left:0pt;margin-left:4.4pt;margin-top:254.45pt;height:8.5pt;width:19.85pt;z-index:251669504;mso-width-relative:page;mso-height-relative:page;" fillcolor="#FFFFFF" filled="t" stroked="t" coordsize="21600,21600" o:gfxdata="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TFBwtcAAAAIAQAADwAAAAAAAAAB&#10;ACAAAAAiAAAAZHJzL2Rvd25yZXYueG1sUEsBAhQAFAAAAAgAh07iQCEvEQBKAgAAkwQAAA4AAAAA&#10;AAAAAQAgAAAAJgEAAGRycy9lMm9Eb2MueG1sUEsFBgAAAAAGAAYAWQEAAOIFAAAAAA==&#10;">
                      <v:fill on="t" focussize="0,0"/>
                      <v:stroke color="#FF0000" miterlimit="8" joinstyle="miter"/>
                      <v:imagedata o:title=""/>
                      <o:lock v:ext="edit" aspectratio="f"/>
                    </v:rect>
                  </w:pict>
                </mc:Fallback>
              </mc:AlternateContent>
            </w:r>
            <w:r>
              <w:rPr>
                <w:b/>
                <w:color w:val="002DC7"/>
                <w:szCs w:val="28"/>
              </w:rPr>
              <mc:AlternateContent>
                <mc:Choice Requires="wps">
                  <w:drawing>
                    <wp:anchor distT="0" distB="0" distL="114300" distR="114300" simplePos="0" relativeHeight="251666432" behindDoc="0" locked="0" layoutInCell="1" allowOverlap="1">
                      <wp:simplePos x="0" y="0"/>
                      <wp:positionH relativeFrom="column">
                        <wp:posOffset>123825</wp:posOffset>
                      </wp:positionH>
                      <wp:positionV relativeFrom="paragraph">
                        <wp:posOffset>3441065</wp:posOffset>
                      </wp:positionV>
                      <wp:extent cx="125730" cy="125730"/>
                      <wp:effectExtent l="4445" t="4445" r="22225" b="22225"/>
                      <wp:wrapNone/>
                      <wp:docPr id="42319072" name="自选图形 3535"/>
                      <wp:cNvGraphicFramePr/>
                      <a:graphic xmlns:a="http://schemas.openxmlformats.org/drawingml/2006/main">
                        <a:graphicData uri="http://schemas.microsoft.com/office/word/2010/wordprocessingShape">
                          <wps:wsp>
                            <wps:cNvSpPr>
                              <a:spLocks noChangeArrowheads="1"/>
                            </wps:cNvSpPr>
                            <wps:spPr bwMode="auto">
                              <a:xfrm>
                                <a:off x="0" y="0"/>
                                <a:ext cx="125730" cy="125730"/>
                              </a:xfrm>
                              <a:prstGeom prst="ellipse">
                                <a:avLst/>
                              </a:prstGeom>
                              <a:solidFill>
                                <a:srgbClr val="FFFF00"/>
                              </a:solidFill>
                              <a:ln w="6350">
                                <a:solidFill>
                                  <a:schemeClr val="accent1"/>
                                </a:solidFill>
                                <a:round/>
                              </a:ln>
                            </wps:spPr>
                            <wps:bodyPr rot="0" vert="horz" wrap="square" lIns="91440" tIns="45720" rIns="91440" bIns="45720" anchor="t" anchorCtr="0" upright="1">
                              <a:noAutofit/>
                            </wps:bodyPr>
                          </wps:wsp>
                        </a:graphicData>
                      </a:graphic>
                    </wp:anchor>
                  </w:drawing>
                </mc:Choice>
                <mc:Fallback>
                  <w:pict>
                    <v:shape id="自选图形 3535" o:spid="_x0000_s1026" o:spt="3" type="#_x0000_t3" style="position:absolute;left:0pt;margin-left:9.75pt;margin-top:270.95pt;height:9.9pt;width:9.9pt;z-index:251666432;mso-width-relative:page;mso-height-relative:page;" fillcolor="#FFFF00" filled="t" stroked="t" coordsize="21600,21600" o:gfxdata="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ScOs2QAAAAkBAAAPAAAAAAAAAAEA&#10;IAAAACIAAABkcnMvZG93bnJldi54bWxQSwECFAAUAAAACACHTuJAwXfJ7UcCAAB0BAAADgAAAAAA&#10;AAABACAAAAAoAQAAZHJzL2Uyb0RvYy54bWxQSwUGAAAAAAYABgBZAQAA4QUAAAAA&#10;">
                      <v:fill on="t" focussize="0,0"/>
                      <v:stroke weight="0.5pt" color="#4472C4 [3204]" joinstyle="round"/>
                      <v:imagedata o:title=""/>
                      <o:lock v:ext="edit" aspectratio="f"/>
                    </v:shape>
                  </w:pict>
                </mc:Fallback>
              </mc:AlternateContent>
            </w:r>
            <w:r>
              <w:rPr>
                <w:b/>
                <w:color w:val="002DC7"/>
                <w:szCs w:val="28"/>
              </w:rPr>
              <mc:AlternateContent>
                <mc:Choice Requires="wps">
                  <w:drawing>
                    <wp:anchor distT="0" distB="0" distL="114300" distR="114300" simplePos="0" relativeHeight="251671552" behindDoc="0" locked="0" layoutInCell="1" allowOverlap="1">
                      <wp:simplePos x="0" y="0"/>
                      <wp:positionH relativeFrom="column">
                        <wp:posOffset>4516755</wp:posOffset>
                      </wp:positionH>
                      <wp:positionV relativeFrom="paragraph">
                        <wp:posOffset>926465</wp:posOffset>
                      </wp:positionV>
                      <wp:extent cx="0" cy="139065"/>
                      <wp:effectExtent l="4445" t="0" r="14605" b="13335"/>
                      <wp:wrapNone/>
                      <wp:docPr id="1658229362" name="自选图形 3542"/>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chemeClr val="bg2"/>
                                </a:solidFill>
                                <a:round/>
                              </a:ln>
                              <a:effectLst/>
                            </wps:spPr>
                            <wps:bodyPr/>
                          </wps:wsp>
                        </a:graphicData>
                      </a:graphic>
                    </wp:anchor>
                  </w:drawing>
                </mc:Choice>
                <mc:Fallback>
                  <w:pict>
                    <v:shape id="自选图形 3542" o:spid="_x0000_s1026" o:spt="32" type="#_x0000_t32" style="position:absolute;left:0pt;margin-left:355.65pt;margin-top:72.95pt;height:10.95pt;width:0pt;z-index:251671552;mso-width-relative:page;mso-height-relative:page;" filled="f" stroked="t" coordsize="21600,21600" o:gfxdata="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QffbcAAAACwEAAA8AAAAAAAAAAQAgAAAAIgAAAGRycy9k&#10;b3ducmV2LnhtbFBLAQIUABQAAAAIAIdO4kB4i5eD/gEAAM4DAAAOAAAAAAAAAAEAIAAAACsBAABk&#10;cnMvZTJvRG9jLnhtbFBLBQYAAAAABgAGAFkBAACbBQAAAAA=&#10;">
                      <v:fill on="f" focussize="0,0"/>
                      <v:stroke color="#E7E6E6 [3214]" joinstyle="round"/>
                      <v:imagedata o:title=""/>
                      <o:lock v:ext="edit" aspectratio="f"/>
                    </v:shape>
                  </w:pict>
                </mc:Fallback>
              </mc:AlternateContent>
            </w:r>
            <w:r>
              <w:rPr>
                <w:b/>
                <w:color w:val="002DC7"/>
                <w:szCs w:val="28"/>
              </w:rPr>
              <mc:AlternateContent>
                <mc:Choice Requires="wps">
                  <w:drawing>
                    <wp:anchor distT="0" distB="0" distL="114300" distR="114300" simplePos="0" relativeHeight="251670528" behindDoc="0" locked="0" layoutInCell="1" allowOverlap="1">
                      <wp:simplePos x="0" y="0"/>
                      <wp:positionH relativeFrom="column">
                        <wp:posOffset>4512310</wp:posOffset>
                      </wp:positionH>
                      <wp:positionV relativeFrom="paragraph">
                        <wp:posOffset>1069340</wp:posOffset>
                      </wp:positionV>
                      <wp:extent cx="575945" cy="635"/>
                      <wp:effectExtent l="0" t="0" r="0" b="0"/>
                      <wp:wrapNone/>
                      <wp:docPr id="424907516" name="自选图形 3541"/>
                      <wp:cNvGraphicFramePr/>
                      <a:graphic xmlns:a="http://schemas.openxmlformats.org/drawingml/2006/main">
                        <a:graphicData uri="http://schemas.microsoft.com/office/word/2010/wordprocessingShape">
                          <wps:wsp>
                            <wps:cNvCnPr>
                              <a:cxnSpLocks noChangeShapeType="1"/>
                            </wps:cNvCnPr>
                            <wps:spPr bwMode="auto">
                              <a:xfrm flipV="1">
                                <a:off x="0" y="0"/>
                                <a:ext cx="575945" cy="635"/>
                              </a:xfrm>
                              <a:prstGeom prst="straightConnector1">
                                <a:avLst/>
                              </a:prstGeom>
                              <a:noFill/>
                              <a:ln w="9525">
                                <a:solidFill>
                                  <a:schemeClr val="bg1"/>
                                </a:solidFill>
                                <a:round/>
                              </a:ln>
                              <a:effectLst/>
                            </wps:spPr>
                            <wps:bodyPr/>
                          </wps:wsp>
                        </a:graphicData>
                      </a:graphic>
                    </wp:anchor>
                  </w:drawing>
                </mc:Choice>
                <mc:Fallback>
                  <w:pict>
                    <v:shape id="自选图形 3541" o:spid="_x0000_s1026" o:spt="32" type="#_x0000_t32" style="position:absolute;left:0pt;flip:y;margin-left:355.3pt;margin-top:84.2pt;height:0.05pt;width:45.35pt;z-index:251670528;mso-width-relative:page;mso-height-relative:page;" filled="f" stroked="t" coordsize="21600,21600" o:gfxdata="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C+sP2AAAAAsBAAAPAAAAAAAAAAEAIAAAACIAAABkcnMv&#10;ZG93bnJldi54bWxQSwECFAAUAAAACACHTuJA7gwIbwMCAADZAwAADgAAAAAAAAABACAAAAAnAQAA&#10;ZHJzL2Uyb0RvYy54bWxQSwUGAAAAAAYABgBZAQAAnAUAAAAA&#10;">
                      <v:fill on="f" focussize="0,0"/>
                      <v:stroke color="#FFFFFF [3212]" joinstyle="round"/>
                      <v:imagedata o:title=""/>
                      <o:lock v:ext="edit" aspectratio="f"/>
                    </v:shape>
                  </w:pict>
                </mc:Fallback>
              </mc:AlternateContent>
            </w:r>
            <w:r>
              <w:rPr>
                <w:b/>
                <w:color w:val="002DC7"/>
                <w:szCs w:val="28"/>
              </w:rPr>
              <w:drawing>
                <wp:anchor distT="0" distB="0" distL="114300" distR="114300" simplePos="0" relativeHeight="251674624" behindDoc="0" locked="0" layoutInCell="1" allowOverlap="1">
                  <wp:simplePos x="0" y="0"/>
                  <wp:positionH relativeFrom="column">
                    <wp:posOffset>4458970</wp:posOffset>
                  </wp:positionH>
                  <wp:positionV relativeFrom="paragraph">
                    <wp:posOffset>89535</wp:posOffset>
                  </wp:positionV>
                  <wp:extent cx="692150" cy="680085"/>
                  <wp:effectExtent l="9525" t="9525" r="22225" b="15240"/>
                  <wp:wrapNone/>
                  <wp:docPr id="3546" name="图片 2" descr="C:/Users/Administrator/Desktop/风向标.png风向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 name="图片 2" descr="C:/Users/Administrator/Desktop/风向标.png风向标"/>
                          <pic:cNvPicPr>
                            <a:picLocks noChangeAspect="1" noChangeArrowheads="1"/>
                          </pic:cNvPicPr>
                        </pic:nvPicPr>
                        <pic:blipFill>
                          <a:blip r:embed="rId16"/>
                          <a:srcRect t="1651" b="1651"/>
                          <a:stretch>
                            <a:fillRect/>
                          </a:stretch>
                        </pic:blipFill>
                        <pic:spPr>
                          <a:xfrm>
                            <a:off x="0" y="0"/>
                            <a:ext cx="692150" cy="680085"/>
                          </a:xfrm>
                          <a:prstGeom prst="rect">
                            <a:avLst/>
                          </a:prstGeom>
                          <a:noFill/>
                          <a:ln w="9525">
                            <a:solidFill>
                              <a:srgbClr val="000000"/>
                            </a:solidFill>
                            <a:miter lim="800000"/>
                            <a:headEnd/>
                            <a:tailEnd/>
                          </a:ln>
                          <a:effectLst/>
                        </pic:spPr>
                      </pic:pic>
                    </a:graphicData>
                  </a:graphic>
                </wp:anchor>
              </w:drawing>
            </w:r>
            <w:r>
              <w:rPr>
                <w:b/>
                <w:color w:val="002DC7"/>
                <w:szCs w:val="28"/>
              </w:rPr>
              <mc:AlternateContent>
                <mc:Choice Requires="wps">
                  <w:drawing>
                    <wp:anchor distT="0" distB="0" distL="114300" distR="114300" simplePos="0" relativeHeight="251672576" behindDoc="0" locked="0" layoutInCell="1" allowOverlap="1">
                      <wp:simplePos x="0" y="0"/>
                      <wp:positionH relativeFrom="column">
                        <wp:posOffset>5083810</wp:posOffset>
                      </wp:positionH>
                      <wp:positionV relativeFrom="paragraph">
                        <wp:posOffset>932815</wp:posOffset>
                      </wp:positionV>
                      <wp:extent cx="635" cy="139065"/>
                      <wp:effectExtent l="4445" t="0" r="13970" b="13335"/>
                      <wp:wrapNone/>
                      <wp:docPr id="1370378344" name="自选图形 3543"/>
                      <wp:cNvGraphicFramePr/>
                      <a:graphic xmlns:a="http://schemas.openxmlformats.org/drawingml/2006/main">
                        <a:graphicData uri="http://schemas.microsoft.com/office/word/2010/wordprocessingShape">
                          <wps:wsp>
                            <wps:cNvCnPr>
                              <a:cxnSpLocks noChangeShapeType="1"/>
                            </wps:cNvCnPr>
                            <wps:spPr bwMode="auto">
                              <a:xfrm>
                                <a:off x="0" y="0"/>
                                <a:ext cx="635" cy="139065"/>
                              </a:xfrm>
                              <a:prstGeom prst="straightConnector1">
                                <a:avLst/>
                              </a:prstGeom>
                              <a:noFill/>
                              <a:ln w="9525">
                                <a:solidFill>
                                  <a:schemeClr val="bg1"/>
                                </a:solidFill>
                                <a:round/>
                              </a:ln>
                              <a:effectLst/>
                            </wps:spPr>
                            <wps:bodyPr/>
                          </wps:wsp>
                        </a:graphicData>
                      </a:graphic>
                    </wp:anchor>
                  </w:drawing>
                </mc:Choice>
                <mc:Fallback>
                  <w:pict>
                    <v:shape id="自选图形 3543" o:spid="_x0000_s1026" o:spt="32" type="#_x0000_t32" style="position:absolute;left:0pt;margin-left:400.3pt;margin-top:73.45pt;height:10.95pt;width:0.05pt;z-index:251672576;mso-width-relative:page;mso-height-relative:page;" filled="f" stroked="t" coordsize="21600,21600" o:gfxdata="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ckwz1gAAAAsBAAAPAAAAAAAAAAEAIAAAACIAAABkcnMvZG93bnJl&#10;di54bWxQSwECFAAUAAAACACHTuJAVKpcUP8BAADQAwAADgAAAAAAAAABACAAAAAlAQAAZHJzL2Uy&#10;b0RvYy54bWxQSwUGAAAAAAYABgBZAQAAlgUAAAAA&#10;">
                      <v:fill on="f" focussize="0,0"/>
                      <v:stroke color="#FFFFFF [3212]" joinstyle="round"/>
                      <v:imagedata o:title=""/>
                      <o:lock v:ext="edit" aspectratio="f"/>
                    </v:shape>
                  </w:pict>
                </mc:Fallback>
              </mc:AlternateContent>
            </w:r>
            <w:r>
              <w:rPr>
                <w:b/>
                <w:color w:val="002DC7"/>
                <w:szCs w:val="28"/>
              </w:rPr>
              <mc:AlternateContent>
                <mc:Choice Requires="wps">
                  <w:drawing>
                    <wp:anchor distT="0" distB="0" distL="114300" distR="114300" simplePos="0" relativeHeight="251667456" behindDoc="0" locked="0" layoutInCell="1" allowOverlap="1">
                      <wp:simplePos x="0" y="0"/>
                      <wp:positionH relativeFrom="column">
                        <wp:posOffset>890905</wp:posOffset>
                      </wp:positionH>
                      <wp:positionV relativeFrom="paragraph">
                        <wp:posOffset>981075</wp:posOffset>
                      </wp:positionV>
                      <wp:extent cx="1823085" cy="2023745"/>
                      <wp:effectExtent l="0" t="0" r="5715" b="14605"/>
                      <wp:wrapNone/>
                      <wp:docPr id="414938182" name="自选图形 3536"/>
                      <wp:cNvGraphicFramePr/>
                      <a:graphic xmlns:a="http://schemas.openxmlformats.org/drawingml/2006/main">
                        <a:graphicData uri="http://schemas.microsoft.com/office/word/2010/wordprocessingShape">
                          <wps:wsp>
                            <wps:cNvCnPr>
                              <a:cxnSpLocks noChangeShapeType="1"/>
                              <a:stCxn id="2" idx="5"/>
                            </wps:cNvCnPr>
                            <wps:spPr bwMode="auto">
                              <a:xfrm>
                                <a:off x="0" y="0"/>
                                <a:ext cx="1823085" cy="2023745"/>
                              </a:xfrm>
                              <a:prstGeom prst="straightConnector1">
                                <a:avLst/>
                              </a:prstGeom>
                              <a:noFill/>
                              <a:ln w="9525">
                                <a:solidFill>
                                  <a:schemeClr val="accent2"/>
                                </a:solidFill>
                                <a:round/>
                                <a:headEnd type="triangle" w="med" len="med"/>
                                <a:tailEnd type="triangle" w="med" len="med"/>
                              </a:ln>
                              <a:effectLst/>
                            </wps:spPr>
                            <wps:bodyPr/>
                          </wps:wsp>
                        </a:graphicData>
                      </a:graphic>
                    </wp:anchor>
                  </w:drawing>
                </mc:Choice>
                <mc:Fallback>
                  <w:pict>
                    <v:shape id="自选图形 3536" o:spid="_x0000_s1026" o:spt="32" type="#_x0000_t32" style="position:absolute;left:0pt;margin-left:70.15pt;margin-top:77.25pt;height:159.35pt;width:143.55pt;z-index:251667456;mso-width-relative:page;mso-height-relative:page;" filled="f" stroked="t" coordsize="21600,21600" o:gfxdata="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JmgxPWAAAACwEAAA8AAAAAAAAAAQAgAAAAIgAAAGRycy9kb3ducmV2Lnht&#10;bFBLAQIUABQAAAAIAIdO4kCVAOIbNAIAAEkEAAAOAAAAAAAAAAEAIAAAACUBAABkcnMvZTJvRG9j&#10;LnhtbFBLBQYAAAAABgAGAFkBAADLBQAAAAA=&#10;">
                      <v:fill on="f" focussize="0,0"/>
                      <v:stroke color="#ED7D31 [3205]" joinstyle="round" startarrow="block" endarrow="block"/>
                      <v:imagedata o:title=""/>
                      <o:lock v:ext="edit" aspectratio="f"/>
                    </v:shape>
                  </w:pict>
                </mc:Fallback>
              </mc:AlternateContent>
            </w:r>
          </w:p>
          <w:p w14:paraId="2A82BC09">
            <w:pPr>
              <w:pStyle w:val="57"/>
              <w:jc w:val="center"/>
              <w:rPr>
                <w:b/>
                <w:bCs/>
                <w:color w:val="auto"/>
              </w:rPr>
            </w:pPr>
            <w:r>
              <w:rPr>
                <w:b/>
                <w:bCs/>
                <w:color w:val="auto"/>
              </w:rPr>
              <w:t>图</w:t>
            </w:r>
            <w:r>
              <w:rPr>
                <w:rFonts w:hint="eastAsia"/>
                <w:b/>
                <w:bCs/>
                <w:color w:val="auto"/>
              </w:rPr>
              <w:t>3-1</w:t>
            </w:r>
            <w:r>
              <w:rPr>
                <w:b/>
                <w:bCs/>
                <w:color w:val="auto"/>
              </w:rPr>
              <w:t xml:space="preserve"> </w:t>
            </w:r>
            <w:r>
              <w:rPr>
                <w:rFonts w:hint="eastAsia"/>
                <w:b/>
                <w:bCs/>
                <w:color w:val="auto"/>
              </w:rPr>
              <w:t>其他污染物</w:t>
            </w:r>
            <w:r>
              <w:rPr>
                <w:b/>
                <w:bCs/>
                <w:color w:val="auto"/>
              </w:rPr>
              <w:t>现状监测布点图</w:t>
            </w:r>
          </w:p>
          <w:p w14:paraId="74746614">
            <w:pPr>
              <w:pStyle w:val="197"/>
              <w:spacing w:line="360" w:lineRule="auto"/>
              <w:ind w:left="0" w:right="0" w:firstLine="480" w:firstLineChars="200"/>
              <w:rPr>
                <w:color w:val="auto"/>
              </w:rPr>
            </w:pPr>
            <w:r>
              <w:rPr>
                <w:color w:val="auto"/>
              </w:rPr>
              <w:t>引用监测数据结果如下表所示</w:t>
            </w:r>
            <w:r>
              <w:rPr>
                <w:rFonts w:hint="eastAsia"/>
                <w:color w:val="auto"/>
              </w:rPr>
              <w:t>。</w:t>
            </w:r>
          </w:p>
          <w:p w14:paraId="307D120A">
            <w:pPr>
              <w:widowControl/>
              <w:jc w:val="center"/>
              <w:outlineLvl w:val="0"/>
              <w:rPr>
                <w:b/>
                <w:bCs/>
                <w:color w:val="002DC7"/>
                <w:sz w:val="24"/>
                <w:szCs w:val="24"/>
              </w:rPr>
            </w:pPr>
            <w:r>
              <w:rPr>
                <w:b/>
                <w:bCs/>
                <w:color w:val="auto"/>
                <w:sz w:val="24"/>
                <w:szCs w:val="24"/>
              </w:rPr>
              <w:t>表3-</w:t>
            </w:r>
            <w:r>
              <w:rPr>
                <w:rFonts w:hint="eastAsia"/>
                <w:b/>
                <w:bCs/>
                <w:color w:val="auto"/>
                <w:sz w:val="24"/>
                <w:szCs w:val="24"/>
              </w:rPr>
              <w:t>2</w:t>
            </w:r>
            <w:r>
              <w:rPr>
                <w:b/>
                <w:bCs/>
                <w:color w:val="auto"/>
                <w:sz w:val="24"/>
                <w:szCs w:val="24"/>
              </w:rPr>
              <w:t xml:space="preserve"> </w:t>
            </w:r>
            <w:r>
              <w:rPr>
                <w:rFonts w:hint="eastAsia"/>
                <w:b/>
                <w:bCs/>
                <w:color w:val="auto"/>
                <w:sz w:val="24"/>
                <w:szCs w:val="24"/>
              </w:rPr>
              <w:t>其他污染物补充监测点位基本信息</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9"/>
              <w:gridCol w:w="813"/>
              <w:gridCol w:w="817"/>
              <w:gridCol w:w="1412"/>
              <w:gridCol w:w="1676"/>
              <w:gridCol w:w="1364"/>
              <w:gridCol w:w="1364"/>
            </w:tblGrid>
            <w:tr w14:paraId="421684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 w:hRule="atLeast"/>
              </w:trPr>
              <w:tc>
                <w:tcPr>
                  <w:tcW w:w="429" w:type="pct"/>
                  <w:vMerge w:val="restart"/>
                  <w:vAlign w:val="center"/>
                </w:tcPr>
                <w:p w14:paraId="4929DE60">
                  <w:pPr>
                    <w:widowControl/>
                    <w:jc w:val="center"/>
                    <w:rPr>
                      <w:rFonts w:hint="eastAsia" w:hAnsi="宋体"/>
                      <w:b/>
                      <w:bCs/>
                      <w:color w:val="auto"/>
                      <w:kern w:val="0"/>
                      <w:szCs w:val="21"/>
                    </w:rPr>
                  </w:pPr>
                  <w:r>
                    <w:rPr>
                      <w:rFonts w:hAnsi="宋体"/>
                      <w:b/>
                      <w:bCs/>
                      <w:color w:val="auto"/>
                      <w:kern w:val="0"/>
                      <w:szCs w:val="21"/>
                    </w:rPr>
                    <w:t>监测</w:t>
                  </w:r>
                  <w:r>
                    <w:rPr>
                      <w:rFonts w:hint="eastAsia" w:hAnsi="宋体"/>
                      <w:b/>
                      <w:bCs/>
                      <w:color w:val="auto"/>
                      <w:kern w:val="0"/>
                      <w:szCs w:val="21"/>
                    </w:rPr>
                    <w:t>点位</w:t>
                  </w:r>
                </w:p>
              </w:tc>
              <w:tc>
                <w:tcPr>
                  <w:tcW w:w="1000" w:type="pct"/>
                  <w:gridSpan w:val="2"/>
                  <w:vAlign w:val="center"/>
                </w:tcPr>
                <w:p w14:paraId="6644F36C">
                  <w:pPr>
                    <w:widowControl/>
                    <w:jc w:val="center"/>
                    <w:rPr>
                      <w:rFonts w:hint="eastAsia" w:hAnsi="宋体"/>
                      <w:b/>
                      <w:bCs/>
                      <w:color w:val="auto"/>
                      <w:kern w:val="0"/>
                      <w:szCs w:val="21"/>
                    </w:rPr>
                  </w:pPr>
                  <w:r>
                    <w:rPr>
                      <w:rFonts w:hint="eastAsia" w:hAnsi="宋体"/>
                      <w:b/>
                      <w:bCs/>
                      <w:color w:val="auto"/>
                      <w:kern w:val="0"/>
                      <w:szCs w:val="21"/>
                    </w:rPr>
                    <w:t>监测点坐标/m</w:t>
                  </w:r>
                </w:p>
              </w:tc>
              <w:tc>
                <w:tcPr>
                  <w:tcW w:w="866" w:type="pct"/>
                  <w:vMerge w:val="restart"/>
                  <w:vAlign w:val="center"/>
                </w:tcPr>
                <w:p w14:paraId="7E3B5B4F">
                  <w:pPr>
                    <w:widowControl/>
                    <w:jc w:val="center"/>
                    <w:rPr>
                      <w:rFonts w:hint="eastAsia" w:hAnsi="宋体"/>
                      <w:b/>
                      <w:bCs/>
                      <w:color w:val="auto"/>
                      <w:kern w:val="0"/>
                      <w:szCs w:val="21"/>
                    </w:rPr>
                  </w:pPr>
                  <w:r>
                    <w:rPr>
                      <w:rFonts w:hint="eastAsia" w:hAnsi="宋体"/>
                      <w:b/>
                      <w:bCs/>
                      <w:color w:val="auto"/>
                      <w:kern w:val="0"/>
                      <w:szCs w:val="21"/>
                    </w:rPr>
                    <w:t>监测因子</w:t>
                  </w:r>
                </w:p>
              </w:tc>
              <w:tc>
                <w:tcPr>
                  <w:tcW w:w="1028" w:type="pct"/>
                  <w:vMerge w:val="restart"/>
                  <w:vAlign w:val="center"/>
                </w:tcPr>
                <w:p w14:paraId="462AE72D">
                  <w:pPr>
                    <w:widowControl/>
                    <w:jc w:val="center"/>
                    <w:rPr>
                      <w:rFonts w:hint="eastAsia" w:hAnsi="宋体"/>
                      <w:b/>
                      <w:bCs/>
                      <w:color w:val="auto"/>
                      <w:kern w:val="0"/>
                      <w:szCs w:val="21"/>
                    </w:rPr>
                  </w:pPr>
                  <w:r>
                    <w:rPr>
                      <w:rFonts w:hint="eastAsia" w:hAnsi="宋体"/>
                      <w:b/>
                      <w:bCs/>
                      <w:color w:val="auto"/>
                      <w:kern w:val="0"/>
                      <w:szCs w:val="21"/>
                    </w:rPr>
                    <w:t>监测时段</w:t>
                  </w:r>
                </w:p>
              </w:tc>
              <w:tc>
                <w:tcPr>
                  <w:tcW w:w="837" w:type="pct"/>
                  <w:vMerge w:val="restart"/>
                  <w:vAlign w:val="center"/>
                </w:tcPr>
                <w:p w14:paraId="76F37E63">
                  <w:pPr>
                    <w:widowControl/>
                    <w:jc w:val="center"/>
                    <w:rPr>
                      <w:rFonts w:hint="eastAsia" w:hAnsi="宋体"/>
                      <w:b/>
                      <w:bCs/>
                      <w:color w:val="auto"/>
                      <w:kern w:val="0"/>
                      <w:szCs w:val="21"/>
                    </w:rPr>
                  </w:pPr>
                  <w:r>
                    <w:rPr>
                      <w:rFonts w:hint="eastAsia" w:hAnsi="宋体"/>
                      <w:b/>
                      <w:bCs/>
                      <w:color w:val="auto"/>
                      <w:kern w:val="0"/>
                      <w:szCs w:val="21"/>
                    </w:rPr>
                    <w:t>相对厂址方位</w:t>
                  </w:r>
                </w:p>
              </w:tc>
              <w:tc>
                <w:tcPr>
                  <w:tcW w:w="837" w:type="pct"/>
                  <w:vMerge w:val="restart"/>
                  <w:vAlign w:val="center"/>
                </w:tcPr>
                <w:p w14:paraId="7644A262">
                  <w:pPr>
                    <w:widowControl/>
                    <w:jc w:val="center"/>
                    <w:rPr>
                      <w:rFonts w:hint="eastAsia" w:hAnsi="宋体"/>
                      <w:b/>
                      <w:bCs/>
                      <w:color w:val="auto"/>
                      <w:kern w:val="0"/>
                      <w:szCs w:val="21"/>
                    </w:rPr>
                  </w:pPr>
                  <w:r>
                    <w:rPr>
                      <w:rFonts w:hint="eastAsia" w:hAnsi="宋体"/>
                      <w:b/>
                      <w:bCs/>
                      <w:color w:val="auto"/>
                      <w:kern w:val="0"/>
                      <w:szCs w:val="21"/>
                    </w:rPr>
                    <w:t>相对厂界距离/m</w:t>
                  </w:r>
                </w:p>
              </w:tc>
            </w:tr>
            <w:tr w14:paraId="404A67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8" w:hRule="atLeast"/>
              </w:trPr>
              <w:tc>
                <w:tcPr>
                  <w:tcW w:w="429" w:type="pct"/>
                  <w:vMerge w:val="continue"/>
                  <w:vAlign w:val="center"/>
                </w:tcPr>
                <w:p w14:paraId="74EDFE60">
                  <w:pPr>
                    <w:pStyle w:val="57"/>
                    <w:adjustRightInd/>
                    <w:jc w:val="center"/>
                    <w:rPr>
                      <w:color w:val="auto"/>
                      <w:sz w:val="21"/>
                      <w:szCs w:val="21"/>
                    </w:rPr>
                  </w:pPr>
                </w:p>
              </w:tc>
              <w:tc>
                <w:tcPr>
                  <w:tcW w:w="499" w:type="pct"/>
                  <w:vAlign w:val="center"/>
                </w:tcPr>
                <w:p w14:paraId="694494EB">
                  <w:pPr>
                    <w:pStyle w:val="57"/>
                    <w:adjustRightInd/>
                    <w:ind w:left="0" w:leftChars="0" w:firstLine="0" w:firstLineChars="0"/>
                    <w:jc w:val="center"/>
                    <w:rPr>
                      <w:color w:val="auto"/>
                      <w:sz w:val="21"/>
                      <w:szCs w:val="21"/>
                    </w:rPr>
                  </w:pPr>
                  <w:r>
                    <w:rPr>
                      <w:rFonts w:hint="eastAsia"/>
                      <w:color w:val="auto"/>
                      <w:sz w:val="21"/>
                      <w:szCs w:val="21"/>
                    </w:rPr>
                    <w:t>X</w:t>
                  </w:r>
                </w:p>
              </w:tc>
              <w:tc>
                <w:tcPr>
                  <w:tcW w:w="500" w:type="pct"/>
                  <w:vAlign w:val="center"/>
                </w:tcPr>
                <w:p w14:paraId="0711F8E1">
                  <w:pPr>
                    <w:pStyle w:val="57"/>
                    <w:adjustRightInd/>
                    <w:ind w:left="0" w:leftChars="0" w:firstLine="0" w:firstLineChars="0"/>
                    <w:jc w:val="center"/>
                    <w:rPr>
                      <w:color w:val="auto"/>
                      <w:sz w:val="21"/>
                      <w:szCs w:val="21"/>
                    </w:rPr>
                  </w:pPr>
                  <w:r>
                    <w:rPr>
                      <w:rFonts w:hint="eastAsia"/>
                      <w:color w:val="auto"/>
                      <w:sz w:val="21"/>
                      <w:szCs w:val="21"/>
                    </w:rPr>
                    <w:t>Y</w:t>
                  </w:r>
                </w:p>
              </w:tc>
              <w:tc>
                <w:tcPr>
                  <w:tcW w:w="866" w:type="pct"/>
                  <w:vMerge w:val="continue"/>
                  <w:vAlign w:val="center"/>
                </w:tcPr>
                <w:p w14:paraId="57858CBB">
                  <w:pPr>
                    <w:pStyle w:val="57"/>
                    <w:adjustRightInd/>
                    <w:jc w:val="center"/>
                    <w:rPr>
                      <w:color w:val="auto"/>
                      <w:sz w:val="21"/>
                      <w:szCs w:val="21"/>
                    </w:rPr>
                  </w:pPr>
                </w:p>
              </w:tc>
              <w:tc>
                <w:tcPr>
                  <w:tcW w:w="1028" w:type="pct"/>
                  <w:vMerge w:val="continue"/>
                  <w:vAlign w:val="center"/>
                </w:tcPr>
                <w:p w14:paraId="3974B63B">
                  <w:pPr>
                    <w:pStyle w:val="57"/>
                    <w:adjustRightInd/>
                    <w:jc w:val="center"/>
                    <w:rPr>
                      <w:color w:val="auto"/>
                      <w:sz w:val="21"/>
                      <w:szCs w:val="21"/>
                    </w:rPr>
                  </w:pPr>
                </w:p>
              </w:tc>
              <w:tc>
                <w:tcPr>
                  <w:tcW w:w="837" w:type="pct"/>
                  <w:vMerge w:val="continue"/>
                  <w:vAlign w:val="center"/>
                </w:tcPr>
                <w:p w14:paraId="4D7FB62C">
                  <w:pPr>
                    <w:pStyle w:val="57"/>
                    <w:adjustRightInd/>
                    <w:jc w:val="center"/>
                    <w:rPr>
                      <w:b/>
                      <w:color w:val="002DC7"/>
                      <w:sz w:val="21"/>
                      <w:szCs w:val="21"/>
                    </w:rPr>
                  </w:pPr>
                </w:p>
              </w:tc>
              <w:tc>
                <w:tcPr>
                  <w:tcW w:w="837" w:type="pct"/>
                  <w:vMerge w:val="continue"/>
                  <w:vAlign w:val="center"/>
                </w:tcPr>
                <w:p w14:paraId="377C8D6D">
                  <w:pPr>
                    <w:pStyle w:val="57"/>
                    <w:adjustRightInd/>
                    <w:jc w:val="center"/>
                    <w:rPr>
                      <w:b/>
                      <w:color w:val="002DC7"/>
                      <w:sz w:val="21"/>
                      <w:szCs w:val="21"/>
                    </w:rPr>
                  </w:pPr>
                </w:p>
              </w:tc>
            </w:tr>
            <w:tr w14:paraId="19DAD2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29" w:type="pct"/>
                  <w:vAlign w:val="center"/>
                </w:tcPr>
                <w:p w14:paraId="0170040B">
                  <w:pPr>
                    <w:widowControl/>
                    <w:jc w:val="center"/>
                    <w:rPr>
                      <w:rFonts w:hint="eastAsia" w:hAnsi="宋体"/>
                      <w:b w:val="0"/>
                      <w:bCs/>
                      <w:color w:val="auto"/>
                      <w:kern w:val="0"/>
                      <w:szCs w:val="21"/>
                    </w:rPr>
                  </w:pPr>
                  <w:r>
                    <w:rPr>
                      <w:rFonts w:hint="eastAsia" w:hAnsi="宋体"/>
                      <w:b w:val="0"/>
                      <w:bCs/>
                      <w:color w:val="auto"/>
                      <w:kern w:val="0"/>
                      <w:szCs w:val="21"/>
                    </w:rPr>
                    <w:t>G1</w:t>
                  </w:r>
                </w:p>
              </w:tc>
              <w:tc>
                <w:tcPr>
                  <w:tcW w:w="499" w:type="pct"/>
                  <w:vAlign w:val="center"/>
                </w:tcPr>
                <w:p w14:paraId="4157DC3C">
                  <w:pPr>
                    <w:widowControl/>
                    <w:jc w:val="center"/>
                    <w:rPr>
                      <w:rFonts w:hint="default" w:hAnsi="宋体" w:eastAsia="宋体"/>
                      <w:b w:val="0"/>
                      <w:bCs/>
                      <w:color w:val="auto"/>
                      <w:kern w:val="0"/>
                      <w:szCs w:val="21"/>
                      <w:lang w:val="en-US" w:eastAsia="zh-CN"/>
                    </w:rPr>
                  </w:pPr>
                  <w:r>
                    <w:rPr>
                      <w:rFonts w:hint="eastAsia" w:hAnsi="宋体"/>
                      <w:b w:val="0"/>
                      <w:bCs/>
                      <w:color w:val="auto"/>
                      <w:kern w:val="0"/>
                      <w:szCs w:val="21"/>
                      <w:lang w:val="en-US" w:eastAsia="zh-CN"/>
                    </w:rPr>
                    <w:t>-2394</w:t>
                  </w:r>
                </w:p>
              </w:tc>
              <w:tc>
                <w:tcPr>
                  <w:tcW w:w="500" w:type="pct"/>
                  <w:vAlign w:val="center"/>
                </w:tcPr>
                <w:p w14:paraId="62A8B327">
                  <w:pPr>
                    <w:widowControl/>
                    <w:jc w:val="center"/>
                    <w:rPr>
                      <w:rFonts w:hint="default" w:hAnsi="宋体" w:eastAsia="宋体"/>
                      <w:b w:val="0"/>
                      <w:bCs/>
                      <w:color w:val="auto"/>
                      <w:kern w:val="0"/>
                      <w:szCs w:val="21"/>
                      <w:lang w:val="en-US" w:eastAsia="zh-CN"/>
                    </w:rPr>
                  </w:pPr>
                  <w:r>
                    <w:rPr>
                      <w:rFonts w:hint="eastAsia" w:hAnsi="宋体"/>
                      <w:b w:val="0"/>
                      <w:bCs/>
                      <w:color w:val="auto"/>
                      <w:kern w:val="0"/>
                      <w:szCs w:val="21"/>
                      <w:lang w:val="en-US" w:eastAsia="zh-CN"/>
                    </w:rPr>
                    <w:t>2931</w:t>
                  </w:r>
                </w:p>
              </w:tc>
              <w:tc>
                <w:tcPr>
                  <w:tcW w:w="866" w:type="pct"/>
                  <w:vAlign w:val="center"/>
                </w:tcPr>
                <w:p w14:paraId="7CEDBDCD">
                  <w:pPr>
                    <w:widowControl/>
                    <w:jc w:val="center"/>
                    <w:rPr>
                      <w:rFonts w:hint="default" w:hAnsi="宋体" w:eastAsia="宋体"/>
                      <w:b w:val="0"/>
                      <w:bCs/>
                      <w:color w:val="auto"/>
                      <w:kern w:val="0"/>
                      <w:szCs w:val="21"/>
                      <w:lang w:val="en-US" w:eastAsia="zh-CN"/>
                    </w:rPr>
                  </w:pPr>
                  <w:r>
                    <w:rPr>
                      <w:rFonts w:hint="eastAsia" w:hAnsi="宋体"/>
                      <w:b w:val="0"/>
                      <w:bCs/>
                      <w:color w:val="auto"/>
                      <w:kern w:val="0"/>
                      <w:szCs w:val="21"/>
                      <w:lang w:val="en-US" w:eastAsia="zh-CN"/>
                    </w:rPr>
                    <w:t>TSP</w:t>
                  </w:r>
                </w:p>
              </w:tc>
              <w:tc>
                <w:tcPr>
                  <w:tcW w:w="1028" w:type="pct"/>
                  <w:vAlign w:val="center"/>
                </w:tcPr>
                <w:p w14:paraId="47974B1F">
                  <w:pPr>
                    <w:widowControl/>
                    <w:jc w:val="center"/>
                    <w:rPr>
                      <w:rFonts w:hint="eastAsia" w:hAnsi="宋体"/>
                      <w:b w:val="0"/>
                      <w:bCs/>
                      <w:color w:val="auto"/>
                      <w:kern w:val="0"/>
                      <w:szCs w:val="21"/>
                    </w:rPr>
                  </w:pPr>
                  <w:r>
                    <w:rPr>
                      <w:rFonts w:hint="eastAsia" w:hAnsi="宋体"/>
                      <w:b w:val="0"/>
                      <w:bCs/>
                      <w:color w:val="auto"/>
                      <w:kern w:val="0"/>
                      <w:szCs w:val="21"/>
                    </w:rPr>
                    <w:t>202</w:t>
                  </w:r>
                  <w:r>
                    <w:rPr>
                      <w:rFonts w:hint="eastAsia" w:hAnsi="宋体"/>
                      <w:b w:val="0"/>
                      <w:bCs/>
                      <w:color w:val="auto"/>
                      <w:kern w:val="0"/>
                      <w:szCs w:val="21"/>
                      <w:lang w:val="en-US" w:eastAsia="zh-CN"/>
                    </w:rPr>
                    <w:t>2</w:t>
                  </w:r>
                  <w:r>
                    <w:rPr>
                      <w:rFonts w:hint="eastAsia" w:hAnsi="宋体"/>
                      <w:b w:val="0"/>
                      <w:bCs/>
                      <w:color w:val="auto"/>
                      <w:kern w:val="0"/>
                      <w:szCs w:val="21"/>
                    </w:rPr>
                    <w:t>年</w:t>
                  </w:r>
                  <w:r>
                    <w:rPr>
                      <w:rFonts w:hint="eastAsia" w:hAnsi="宋体"/>
                      <w:b w:val="0"/>
                      <w:bCs/>
                      <w:color w:val="auto"/>
                      <w:kern w:val="0"/>
                      <w:szCs w:val="21"/>
                      <w:lang w:val="en-US" w:eastAsia="zh-CN"/>
                    </w:rPr>
                    <w:t>12</w:t>
                  </w:r>
                  <w:r>
                    <w:rPr>
                      <w:rFonts w:hint="eastAsia" w:hAnsi="宋体"/>
                      <w:b w:val="0"/>
                      <w:bCs/>
                      <w:color w:val="auto"/>
                      <w:kern w:val="0"/>
                      <w:szCs w:val="21"/>
                    </w:rPr>
                    <w:t>月</w:t>
                  </w:r>
                  <w:r>
                    <w:rPr>
                      <w:rFonts w:hint="eastAsia" w:hAnsi="宋体"/>
                      <w:b w:val="0"/>
                      <w:bCs/>
                      <w:color w:val="auto"/>
                      <w:kern w:val="0"/>
                      <w:szCs w:val="21"/>
                      <w:lang w:val="en-US" w:eastAsia="zh-CN"/>
                    </w:rPr>
                    <w:t>4</w:t>
                  </w:r>
                  <w:r>
                    <w:rPr>
                      <w:rFonts w:hint="eastAsia" w:hAnsi="宋体"/>
                      <w:b w:val="0"/>
                      <w:bCs/>
                      <w:color w:val="auto"/>
                      <w:kern w:val="0"/>
                      <w:szCs w:val="21"/>
                    </w:rPr>
                    <w:t>日～</w:t>
                  </w:r>
                  <w:r>
                    <w:rPr>
                      <w:rFonts w:hint="eastAsia" w:hAnsi="宋体"/>
                      <w:b w:val="0"/>
                      <w:bCs/>
                      <w:color w:val="auto"/>
                      <w:kern w:val="0"/>
                      <w:szCs w:val="21"/>
                      <w:lang w:val="en-US" w:eastAsia="zh-CN"/>
                    </w:rPr>
                    <w:t>10</w:t>
                  </w:r>
                  <w:r>
                    <w:rPr>
                      <w:rFonts w:hint="eastAsia" w:hAnsi="宋体"/>
                      <w:b w:val="0"/>
                      <w:bCs/>
                      <w:color w:val="auto"/>
                      <w:kern w:val="0"/>
                      <w:szCs w:val="21"/>
                    </w:rPr>
                    <w:t>日</w:t>
                  </w:r>
                </w:p>
              </w:tc>
              <w:tc>
                <w:tcPr>
                  <w:tcW w:w="837" w:type="pct"/>
                  <w:vAlign w:val="center"/>
                </w:tcPr>
                <w:p w14:paraId="1229C299">
                  <w:pPr>
                    <w:widowControl/>
                    <w:jc w:val="center"/>
                    <w:rPr>
                      <w:rFonts w:hint="default" w:hAnsi="宋体" w:eastAsia="宋体"/>
                      <w:b w:val="0"/>
                      <w:bCs/>
                      <w:color w:val="auto"/>
                      <w:kern w:val="0"/>
                      <w:szCs w:val="21"/>
                      <w:lang w:val="en-US" w:eastAsia="zh-CN"/>
                    </w:rPr>
                  </w:pPr>
                  <w:r>
                    <w:rPr>
                      <w:rFonts w:hint="eastAsia" w:hAnsi="宋体"/>
                      <w:b w:val="0"/>
                      <w:bCs/>
                      <w:color w:val="auto"/>
                      <w:kern w:val="0"/>
                      <w:szCs w:val="21"/>
                      <w:lang w:val="en-US" w:eastAsia="zh-CN"/>
                    </w:rPr>
                    <w:t>NW</w:t>
                  </w:r>
                </w:p>
              </w:tc>
              <w:tc>
                <w:tcPr>
                  <w:tcW w:w="837" w:type="pct"/>
                  <w:vAlign w:val="center"/>
                </w:tcPr>
                <w:p w14:paraId="671B355B">
                  <w:pPr>
                    <w:widowControl/>
                    <w:jc w:val="center"/>
                    <w:rPr>
                      <w:rFonts w:hint="default" w:hAnsi="宋体" w:eastAsia="宋体"/>
                      <w:b w:val="0"/>
                      <w:bCs/>
                      <w:color w:val="auto"/>
                      <w:kern w:val="0"/>
                      <w:szCs w:val="21"/>
                      <w:lang w:val="en-US" w:eastAsia="zh-CN"/>
                    </w:rPr>
                  </w:pPr>
                  <w:r>
                    <w:rPr>
                      <w:rFonts w:hint="eastAsia" w:hAnsi="宋体"/>
                      <w:b w:val="0"/>
                      <w:bCs/>
                      <w:color w:val="auto"/>
                      <w:kern w:val="0"/>
                      <w:szCs w:val="21"/>
                      <w:lang w:val="en-US" w:eastAsia="zh-CN"/>
                    </w:rPr>
                    <w:t>3893</w:t>
                  </w:r>
                </w:p>
              </w:tc>
            </w:tr>
          </w:tbl>
          <w:p w14:paraId="7AD30E45">
            <w:pPr>
              <w:pStyle w:val="57"/>
              <w:spacing w:line="240" w:lineRule="auto"/>
              <w:ind w:firstLine="402" w:firstLineChars="200"/>
              <w:rPr>
                <w:color w:val="auto"/>
                <w:sz w:val="20"/>
                <w:szCs w:val="20"/>
              </w:rPr>
            </w:pPr>
            <w:r>
              <w:rPr>
                <w:rFonts w:hint="eastAsia"/>
                <w:color w:val="auto"/>
                <w:sz w:val="20"/>
                <w:szCs w:val="20"/>
              </w:rPr>
              <w:t>注：坐标原点为厂房东南角</w:t>
            </w:r>
          </w:p>
          <w:p w14:paraId="0DD77211">
            <w:pPr>
              <w:widowControl/>
              <w:jc w:val="center"/>
              <w:outlineLvl w:val="0"/>
              <w:rPr>
                <w:b/>
                <w:bCs/>
                <w:color w:val="auto"/>
                <w:sz w:val="24"/>
                <w:szCs w:val="24"/>
              </w:rPr>
            </w:pPr>
            <w:r>
              <w:rPr>
                <w:b/>
                <w:bCs/>
                <w:color w:val="auto"/>
                <w:sz w:val="24"/>
                <w:szCs w:val="24"/>
              </w:rPr>
              <w:t>表3-</w:t>
            </w:r>
            <w:r>
              <w:rPr>
                <w:rFonts w:hint="eastAsia"/>
                <w:b/>
                <w:bCs/>
                <w:color w:val="auto"/>
                <w:sz w:val="24"/>
                <w:szCs w:val="24"/>
              </w:rPr>
              <w:t>3</w:t>
            </w:r>
            <w:r>
              <w:rPr>
                <w:b/>
                <w:bCs/>
                <w:color w:val="auto"/>
                <w:sz w:val="24"/>
                <w:szCs w:val="24"/>
              </w:rPr>
              <w:t xml:space="preserve"> </w:t>
            </w:r>
            <w:r>
              <w:rPr>
                <w:rFonts w:hint="eastAsia"/>
                <w:b/>
                <w:bCs/>
                <w:color w:val="auto"/>
                <w:sz w:val="24"/>
                <w:szCs w:val="24"/>
              </w:rPr>
              <w:t>其他污染物</w:t>
            </w:r>
            <w:r>
              <w:rPr>
                <w:b/>
                <w:bCs/>
                <w:color w:val="auto"/>
                <w:sz w:val="24"/>
                <w:szCs w:val="24"/>
              </w:rPr>
              <w:t>环境</w:t>
            </w:r>
            <w:r>
              <w:rPr>
                <w:rFonts w:hint="eastAsia"/>
                <w:b/>
                <w:bCs/>
                <w:color w:val="auto"/>
                <w:sz w:val="24"/>
                <w:szCs w:val="24"/>
              </w:rPr>
              <w:t>质量</w:t>
            </w:r>
            <w:r>
              <w:rPr>
                <w:b/>
                <w:bCs/>
                <w:color w:val="auto"/>
                <w:sz w:val="24"/>
                <w:szCs w:val="24"/>
              </w:rPr>
              <w:t>现状监测</w:t>
            </w:r>
            <w:r>
              <w:rPr>
                <w:rFonts w:hint="eastAsia"/>
                <w:b/>
                <w:bCs/>
                <w:color w:val="auto"/>
                <w:sz w:val="24"/>
                <w:szCs w:val="24"/>
              </w:rPr>
              <w:t>结果</w:t>
            </w:r>
            <w:r>
              <w:rPr>
                <w:b/>
                <w:bCs/>
                <w:color w:val="auto"/>
                <w:sz w:val="24"/>
                <w:szCs w:val="24"/>
              </w:rPr>
              <w:t>表</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23"/>
              <w:gridCol w:w="1125"/>
              <w:gridCol w:w="1222"/>
              <w:gridCol w:w="1275"/>
              <w:gridCol w:w="1137"/>
              <w:gridCol w:w="1137"/>
              <w:gridCol w:w="1126"/>
            </w:tblGrid>
            <w:tr w14:paraId="20FED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694" w:type="pct"/>
                  <w:vAlign w:val="center"/>
                </w:tcPr>
                <w:p w14:paraId="1D3FB98A">
                  <w:pPr>
                    <w:widowControl/>
                    <w:spacing w:line="240" w:lineRule="auto"/>
                    <w:jc w:val="center"/>
                    <w:rPr>
                      <w:rFonts w:hint="eastAsia" w:hAnsi="宋体"/>
                      <w:b/>
                      <w:bCs/>
                      <w:color w:val="auto"/>
                      <w:kern w:val="0"/>
                      <w:szCs w:val="21"/>
                    </w:rPr>
                  </w:pPr>
                  <w:r>
                    <w:rPr>
                      <w:rFonts w:hint="eastAsia" w:hAnsi="宋体"/>
                      <w:b/>
                      <w:bCs/>
                      <w:color w:val="auto"/>
                      <w:kern w:val="0"/>
                      <w:szCs w:val="21"/>
                    </w:rPr>
                    <w:t>污染物</w:t>
                  </w:r>
                </w:p>
              </w:tc>
              <w:tc>
                <w:tcPr>
                  <w:tcW w:w="695" w:type="pct"/>
                  <w:vAlign w:val="center"/>
                </w:tcPr>
                <w:p w14:paraId="30BDA1ED">
                  <w:pPr>
                    <w:widowControl/>
                    <w:spacing w:line="240" w:lineRule="auto"/>
                    <w:jc w:val="center"/>
                    <w:rPr>
                      <w:rFonts w:hint="eastAsia" w:hAnsi="宋体"/>
                      <w:b/>
                      <w:bCs/>
                      <w:color w:val="auto"/>
                      <w:kern w:val="0"/>
                      <w:szCs w:val="21"/>
                    </w:rPr>
                  </w:pPr>
                  <w:r>
                    <w:rPr>
                      <w:rFonts w:hint="eastAsia" w:hAnsi="宋体"/>
                      <w:b/>
                      <w:bCs/>
                      <w:color w:val="auto"/>
                      <w:kern w:val="0"/>
                      <w:szCs w:val="21"/>
                    </w:rPr>
                    <w:t>取值类型</w:t>
                  </w:r>
                </w:p>
              </w:tc>
              <w:tc>
                <w:tcPr>
                  <w:tcW w:w="755" w:type="pct"/>
                  <w:vAlign w:val="center"/>
                </w:tcPr>
                <w:p w14:paraId="75F9BCD0">
                  <w:pPr>
                    <w:widowControl/>
                    <w:spacing w:line="240" w:lineRule="auto"/>
                    <w:jc w:val="center"/>
                    <w:rPr>
                      <w:rFonts w:hint="eastAsia" w:hAnsi="宋体"/>
                      <w:b/>
                      <w:bCs/>
                      <w:color w:val="auto"/>
                      <w:kern w:val="0"/>
                      <w:szCs w:val="21"/>
                    </w:rPr>
                  </w:pPr>
                  <w:r>
                    <w:rPr>
                      <w:rFonts w:hAnsi="宋体"/>
                      <w:b/>
                      <w:bCs/>
                      <w:color w:val="auto"/>
                      <w:kern w:val="0"/>
                      <w:szCs w:val="21"/>
                    </w:rPr>
                    <w:t>评价标准</w:t>
                  </w:r>
                  <w:r>
                    <w:rPr>
                      <w:rFonts w:hint="eastAsia" w:hAnsi="宋体"/>
                      <w:b/>
                      <w:bCs/>
                      <w:color w:val="auto"/>
                      <w:kern w:val="0"/>
                      <w:szCs w:val="21"/>
                    </w:rPr>
                    <w:t>（mg/m</w:t>
                  </w:r>
                  <w:r>
                    <w:rPr>
                      <w:rFonts w:hint="eastAsia" w:hAnsi="宋体"/>
                      <w:b/>
                      <w:bCs/>
                      <w:color w:val="auto"/>
                      <w:kern w:val="0"/>
                      <w:szCs w:val="21"/>
                      <w:vertAlign w:val="superscript"/>
                    </w:rPr>
                    <w:t>3</w:t>
                  </w:r>
                  <w:r>
                    <w:rPr>
                      <w:rFonts w:hint="eastAsia" w:hAnsi="宋体"/>
                      <w:b/>
                      <w:bCs/>
                      <w:color w:val="auto"/>
                      <w:kern w:val="0"/>
                      <w:szCs w:val="21"/>
                    </w:rPr>
                    <w:t>）</w:t>
                  </w:r>
                </w:p>
              </w:tc>
              <w:tc>
                <w:tcPr>
                  <w:tcW w:w="755" w:type="pct"/>
                  <w:vAlign w:val="center"/>
                </w:tcPr>
                <w:p w14:paraId="08CD6EDA">
                  <w:pPr>
                    <w:widowControl/>
                    <w:spacing w:line="240" w:lineRule="auto"/>
                    <w:jc w:val="center"/>
                    <w:rPr>
                      <w:rFonts w:hint="eastAsia" w:hAnsi="宋体"/>
                      <w:b/>
                      <w:color w:val="auto"/>
                      <w:kern w:val="0"/>
                      <w:szCs w:val="21"/>
                    </w:rPr>
                  </w:pPr>
                  <w:r>
                    <w:rPr>
                      <w:rFonts w:hAnsi="宋体"/>
                      <w:b/>
                      <w:color w:val="auto"/>
                      <w:kern w:val="0"/>
                      <w:szCs w:val="21"/>
                    </w:rPr>
                    <w:t>浓度范围</w:t>
                  </w:r>
                  <w:r>
                    <w:rPr>
                      <w:rFonts w:hint="eastAsia" w:hAnsi="宋体"/>
                      <w:b/>
                      <w:color w:val="auto"/>
                      <w:kern w:val="0"/>
                      <w:szCs w:val="21"/>
                    </w:rPr>
                    <w:t>（mg/m</w:t>
                  </w:r>
                  <w:r>
                    <w:rPr>
                      <w:rFonts w:hint="eastAsia" w:hAnsi="宋体"/>
                      <w:b/>
                      <w:color w:val="auto"/>
                      <w:kern w:val="0"/>
                      <w:szCs w:val="21"/>
                      <w:vertAlign w:val="superscript"/>
                    </w:rPr>
                    <w:t>3</w:t>
                  </w:r>
                  <w:r>
                    <w:rPr>
                      <w:rFonts w:hint="eastAsia" w:hAnsi="宋体"/>
                      <w:b/>
                      <w:color w:val="auto"/>
                      <w:kern w:val="0"/>
                      <w:szCs w:val="21"/>
                    </w:rPr>
                    <w:t>）</w:t>
                  </w:r>
                </w:p>
              </w:tc>
              <w:tc>
                <w:tcPr>
                  <w:tcW w:w="702" w:type="pct"/>
                  <w:vAlign w:val="center"/>
                </w:tcPr>
                <w:p w14:paraId="4C225B44">
                  <w:pPr>
                    <w:widowControl/>
                    <w:spacing w:line="240" w:lineRule="auto"/>
                    <w:jc w:val="center"/>
                    <w:rPr>
                      <w:rFonts w:hint="eastAsia" w:hAnsi="宋体"/>
                      <w:b/>
                      <w:color w:val="auto"/>
                      <w:kern w:val="0"/>
                      <w:szCs w:val="21"/>
                    </w:rPr>
                  </w:pPr>
                  <w:r>
                    <w:rPr>
                      <w:rFonts w:hAnsi="宋体"/>
                      <w:b/>
                      <w:color w:val="auto"/>
                      <w:kern w:val="0"/>
                      <w:szCs w:val="21"/>
                    </w:rPr>
                    <w:t>最大</w:t>
                  </w:r>
                  <w:r>
                    <w:rPr>
                      <w:rFonts w:hint="eastAsia" w:hAnsi="宋体"/>
                      <w:b/>
                      <w:color w:val="auto"/>
                      <w:kern w:val="0"/>
                      <w:szCs w:val="21"/>
                    </w:rPr>
                    <w:t>浓度</w:t>
                  </w:r>
                  <w:r>
                    <w:rPr>
                      <w:rFonts w:hAnsi="宋体"/>
                      <w:b/>
                      <w:color w:val="auto"/>
                      <w:kern w:val="0"/>
                      <w:szCs w:val="21"/>
                    </w:rPr>
                    <w:t>占标率</w:t>
                  </w:r>
                  <w:r>
                    <w:rPr>
                      <w:rFonts w:hint="eastAsia" w:hAnsi="宋体"/>
                      <w:b/>
                      <w:color w:val="auto"/>
                      <w:kern w:val="0"/>
                      <w:szCs w:val="21"/>
                    </w:rPr>
                    <w:t>%</w:t>
                  </w:r>
                </w:p>
              </w:tc>
              <w:tc>
                <w:tcPr>
                  <w:tcW w:w="702" w:type="pct"/>
                  <w:vAlign w:val="center"/>
                </w:tcPr>
                <w:p w14:paraId="5D1410C6">
                  <w:pPr>
                    <w:widowControl/>
                    <w:spacing w:line="240" w:lineRule="auto"/>
                    <w:jc w:val="center"/>
                    <w:rPr>
                      <w:rFonts w:hint="eastAsia" w:hAnsi="宋体"/>
                      <w:b/>
                      <w:color w:val="auto"/>
                      <w:kern w:val="0"/>
                      <w:szCs w:val="21"/>
                    </w:rPr>
                  </w:pPr>
                  <w:r>
                    <w:rPr>
                      <w:rFonts w:hAnsi="宋体"/>
                      <w:b/>
                      <w:color w:val="auto"/>
                      <w:kern w:val="0"/>
                      <w:szCs w:val="21"/>
                    </w:rPr>
                    <w:t>超标率</w:t>
                  </w:r>
                  <w:r>
                    <w:rPr>
                      <w:rFonts w:hint="eastAsia" w:hAnsi="宋体"/>
                      <w:b/>
                      <w:color w:val="auto"/>
                      <w:kern w:val="0"/>
                      <w:szCs w:val="21"/>
                    </w:rPr>
                    <w:t>%</w:t>
                  </w:r>
                </w:p>
              </w:tc>
              <w:tc>
                <w:tcPr>
                  <w:tcW w:w="695" w:type="pct"/>
                  <w:vAlign w:val="center"/>
                </w:tcPr>
                <w:p w14:paraId="65D46A4C">
                  <w:pPr>
                    <w:widowControl/>
                    <w:spacing w:line="240" w:lineRule="auto"/>
                    <w:jc w:val="center"/>
                    <w:rPr>
                      <w:rFonts w:hint="eastAsia" w:hAnsi="宋体"/>
                      <w:b/>
                      <w:color w:val="auto"/>
                      <w:kern w:val="0"/>
                      <w:szCs w:val="21"/>
                    </w:rPr>
                  </w:pPr>
                  <w:r>
                    <w:rPr>
                      <w:rFonts w:hint="eastAsia" w:hAnsi="宋体"/>
                      <w:b/>
                      <w:color w:val="auto"/>
                      <w:kern w:val="0"/>
                      <w:szCs w:val="21"/>
                    </w:rPr>
                    <w:t>达标情况</w:t>
                  </w:r>
                </w:p>
              </w:tc>
            </w:tr>
            <w:tr w14:paraId="4BFD8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94" w:type="pct"/>
                  <w:vAlign w:val="center"/>
                </w:tcPr>
                <w:p w14:paraId="6B36AB97">
                  <w:pPr>
                    <w:widowControl/>
                    <w:spacing w:line="240" w:lineRule="auto"/>
                    <w:jc w:val="center"/>
                    <w:rPr>
                      <w:rFonts w:hint="default" w:hAnsi="宋体" w:eastAsia="宋体"/>
                      <w:bCs/>
                      <w:color w:val="auto"/>
                      <w:kern w:val="0"/>
                      <w:szCs w:val="21"/>
                      <w:lang w:val="en-US" w:eastAsia="zh-CN"/>
                    </w:rPr>
                  </w:pPr>
                  <w:r>
                    <w:rPr>
                      <w:rFonts w:hint="eastAsia" w:hAnsi="宋体"/>
                      <w:bCs/>
                      <w:color w:val="auto"/>
                      <w:kern w:val="0"/>
                      <w:szCs w:val="21"/>
                      <w:lang w:val="en-US" w:eastAsia="zh-CN"/>
                    </w:rPr>
                    <w:t>TSP</w:t>
                  </w:r>
                </w:p>
              </w:tc>
              <w:tc>
                <w:tcPr>
                  <w:tcW w:w="695" w:type="pct"/>
                  <w:vAlign w:val="center"/>
                </w:tcPr>
                <w:p w14:paraId="2B61A802">
                  <w:pPr>
                    <w:widowControl/>
                    <w:spacing w:line="240" w:lineRule="auto"/>
                    <w:jc w:val="center"/>
                    <w:rPr>
                      <w:rFonts w:hint="eastAsia" w:hAnsi="宋体"/>
                      <w:bCs/>
                      <w:color w:val="auto"/>
                      <w:kern w:val="0"/>
                      <w:szCs w:val="21"/>
                    </w:rPr>
                  </w:pPr>
                  <w:r>
                    <w:rPr>
                      <w:rFonts w:hint="eastAsia" w:hAnsi="宋体"/>
                      <w:bCs/>
                      <w:color w:val="auto"/>
                      <w:kern w:val="0"/>
                      <w:szCs w:val="21"/>
                      <w:lang w:val="en-US" w:eastAsia="zh-CN"/>
                    </w:rPr>
                    <w:t>24</w:t>
                  </w:r>
                  <w:r>
                    <w:rPr>
                      <w:rFonts w:hint="eastAsia" w:hAnsi="宋体"/>
                      <w:bCs/>
                      <w:color w:val="auto"/>
                      <w:kern w:val="0"/>
                      <w:szCs w:val="21"/>
                    </w:rPr>
                    <w:t>h</w:t>
                  </w:r>
                  <w:r>
                    <w:rPr>
                      <w:rFonts w:hint="eastAsia" w:hAnsi="宋体"/>
                      <w:bCs/>
                      <w:color w:val="auto"/>
                      <w:kern w:val="0"/>
                      <w:szCs w:val="21"/>
                      <w:lang w:val="en-US" w:eastAsia="zh-CN"/>
                    </w:rPr>
                    <w:t>均值</w:t>
                  </w:r>
                </w:p>
              </w:tc>
              <w:tc>
                <w:tcPr>
                  <w:tcW w:w="755" w:type="pct"/>
                  <w:vAlign w:val="center"/>
                </w:tcPr>
                <w:p w14:paraId="5C771AC8">
                  <w:pPr>
                    <w:widowControl/>
                    <w:spacing w:line="240" w:lineRule="auto"/>
                    <w:jc w:val="center"/>
                    <w:rPr>
                      <w:rFonts w:hint="eastAsia" w:hAnsi="宋体" w:eastAsia="宋体"/>
                      <w:bCs/>
                      <w:color w:val="auto"/>
                      <w:kern w:val="0"/>
                      <w:szCs w:val="21"/>
                      <w:lang w:eastAsia="zh-CN"/>
                    </w:rPr>
                  </w:pPr>
                  <w:r>
                    <w:rPr>
                      <w:rFonts w:hint="eastAsia" w:hAnsi="宋体"/>
                      <w:bCs/>
                      <w:color w:val="auto"/>
                      <w:kern w:val="0"/>
                      <w:szCs w:val="21"/>
                      <w:lang w:val="en-US" w:eastAsia="zh-CN"/>
                    </w:rPr>
                    <w:t>3</w:t>
                  </w:r>
                </w:p>
              </w:tc>
              <w:tc>
                <w:tcPr>
                  <w:tcW w:w="755" w:type="pct"/>
                  <w:vAlign w:val="center"/>
                </w:tcPr>
                <w:p w14:paraId="604B647D">
                  <w:pPr>
                    <w:widowControl/>
                    <w:spacing w:line="240" w:lineRule="auto"/>
                    <w:jc w:val="center"/>
                    <w:rPr>
                      <w:rFonts w:hint="eastAsia" w:hAnsi="宋体"/>
                      <w:bCs/>
                      <w:color w:val="auto"/>
                      <w:kern w:val="0"/>
                      <w:szCs w:val="21"/>
                    </w:rPr>
                  </w:pPr>
                  <w:r>
                    <w:rPr>
                      <w:rFonts w:hint="eastAsia" w:hAnsi="宋体"/>
                      <w:bCs/>
                      <w:color w:val="auto"/>
                      <w:kern w:val="0"/>
                      <w:szCs w:val="21"/>
                    </w:rPr>
                    <w:t xml:space="preserve">0.108~0.138    </w:t>
                  </w:r>
                </w:p>
              </w:tc>
              <w:tc>
                <w:tcPr>
                  <w:tcW w:w="702" w:type="pct"/>
                  <w:vAlign w:val="center"/>
                </w:tcPr>
                <w:p w14:paraId="475AF696">
                  <w:pPr>
                    <w:widowControl/>
                    <w:spacing w:line="240" w:lineRule="auto"/>
                    <w:jc w:val="center"/>
                    <w:rPr>
                      <w:rFonts w:hint="default" w:hAnsi="宋体" w:eastAsia="宋体"/>
                      <w:bCs/>
                      <w:color w:val="auto"/>
                      <w:kern w:val="0"/>
                      <w:szCs w:val="21"/>
                      <w:lang w:val="en-US" w:eastAsia="zh-CN"/>
                    </w:rPr>
                  </w:pPr>
                  <w:r>
                    <w:rPr>
                      <w:rFonts w:hint="eastAsia" w:hAnsi="宋体"/>
                      <w:bCs/>
                      <w:color w:val="auto"/>
                      <w:kern w:val="0"/>
                      <w:szCs w:val="21"/>
                      <w:lang w:val="en-US" w:eastAsia="zh-CN"/>
                    </w:rPr>
                    <w:t>46</w:t>
                  </w:r>
                </w:p>
              </w:tc>
              <w:tc>
                <w:tcPr>
                  <w:tcW w:w="702" w:type="pct"/>
                  <w:vAlign w:val="center"/>
                </w:tcPr>
                <w:p w14:paraId="07B2B6E8">
                  <w:pPr>
                    <w:widowControl/>
                    <w:spacing w:line="240" w:lineRule="auto"/>
                    <w:jc w:val="center"/>
                    <w:rPr>
                      <w:rFonts w:hint="eastAsia" w:hAnsi="宋体"/>
                      <w:bCs/>
                      <w:color w:val="auto"/>
                      <w:kern w:val="0"/>
                      <w:szCs w:val="21"/>
                    </w:rPr>
                  </w:pPr>
                  <w:r>
                    <w:rPr>
                      <w:rFonts w:hint="eastAsia" w:hAnsi="宋体"/>
                      <w:bCs/>
                      <w:color w:val="auto"/>
                      <w:kern w:val="0"/>
                      <w:szCs w:val="21"/>
                    </w:rPr>
                    <w:t>0</w:t>
                  </w:r>
                </w:p>
              </w:tc>
              <w:tc>
                <w:tcPr>
                  <w:tcW w:w="695" w:type="pct"/>
                  <w:vAlign w:val="center"/>
                </w:tcPr>
                <w:p w14:paraId="6E1F90A9">
                  <w:pPr>
                    <w:widowControl/>
                    <w:spacing w:line="240" w:lineRule="auto"/>
                    <w:jc w:val="center"/>
                    <w:rPr>
                      <w:rFonts w:hint="eastAsia" w:hAnsi="宋体"/>
                      <w:bCs/>
                      <w:color w:val="auto"/>
                      <w:kern w:val="0"/>
                      <w:szCs w:val="21"/>
                    </w:rPr>
                  </w:pPr>
                  <w:r>
                    <w:rPr>
                      <w:rFonts w:hint="eastAsia" w:hAnsi="宋体"/>
                      <w:bCs/>
                      <w:color w:val="auto"/>
                      <w:kern w:val="0"/>
                      <w:szCs w:val="21"/>
                    </w:rPr>
                    <w:t>达标</w:t>
                  </w:r>
                </w:p>
              </w:tc>
            </w:tr>
          </w:tbl>
          <w:p w14:paraId="593B3BC7">
            <w:pPr>
              <w:pStyle w:val="57"/>
              <w:spacing w:line="360" w:lineRule="auto"/>
              <w:ind w:firstLine="480" w:firstLineChars="200"/>
              <w:jc w:val="both"/>
              <w:rPr>
                <w:color w:val="auto"/>
              </w:rPr>
            </w:pPr>
            <w:r>
              <w:rPr>
                <w:rFonts w:hint="eastAsia"/>
                <w:b w:val="0"/>
                <w:bCs w:val="0"/>
                <w:color w:val="auto"/>
              </w:rPr>
              <w:t>根据上述监测结果可知，本项目引用的监测点G1的</w:t>
            </w:r>
            <w:r>
              <w:rPr>
                <w:rFonts w:hint="eastAsia" w:hAnsi="宋体"/>
                <w:b w:val="0"/>
                <w:bCs w:val="0"/>
                <w:color w:val="auto"/>
                <w:kern w:val="0"/>
                <w:szCs w:val="21"/>
                <w:lang w:val="en-US" w:eastAsia="zh-CN"/>
              </w:rPr>
              <w:t>TSP</w:t>
            </w:r>
            <w:r>
              <w:rPr>
                <w:rFonts w:hint="eastAsia"/>
                <w:b w:val="0"/>
                <w:bCs w:val="0"/>
                <w:color w:val="auto"/>
              </w:rPr>
              <w:t>浓度</w:t>
            </w:r>
            <w:r>
              <w:rPr>
                <w:rFonts w:ascii="Times New Roman" w:hAnsi="Times New Roman" w:eastAsia="宋体" w:cs="Times New Roman"/>
                <w:b w:val="0"/>
                <w:bCs w:val="0"/>
                <w:color w:val="auto"/>
                <w:spacing w:val="-3"/>
                <w:sz w:val="24"/>
                <w:szCs w:val="28"/>
              </w:rPr>
              <w:t>满足《环境空气质量标准》（GB3095-2012）及其</w:t>
            </w:r>
            <w:r>
              <w:rPr>
                <w:rFonts w:ascii="Times New Roman" w:hAnsi="Times New Roman" w:eastAsia="宋体" w:cs="Times New Roman"/>
                <w:b w:val="0"/>
                <w:bCs w:val="0"/>
                <w:color w:val="auto"/>
                <w:sz w:val="24"/>
                <w:szCs w:val="28"/>
              </w:rPr>
              <w:t>2018年修改单</w:t>
            </w:r>
            <w:r>
              <w:rPr>
                <w:rFonts w:ascii="Times New Roman" w:hAnsi="Times New Roman" w:eastAsia="宋体" w:cs="Times New Roman"/>
                <w:b w:val="0"/>
                <w:bCs w:val="0"/>
                <w:color w:val="auto"/>
                <w:spacing w:val="-3"/>
                <w:sz w:val="24"/>
                <w:szCs w:val="28"/>
              </w:rPr>
              <w:t>中二级标准。</w:t>
            </w:r>
          </w:p>
          <w:p w14:paraId="50712A57">
            <w:pPr>
              <w:spacing w:line="360" w:lineRule="auto"/>
              <w:rPr>
                <w:b/>
                <w:color w:val="auto"/>
                <w:sz w:val="24"/>
                <w:szCs w:val="28"/>
              </w:rPr>
            </w:pPr>
            <w:r>
              <w:rPr>
                <w:rFonts w:hint="eastAsia"/>
                <w:b/>
                <w:color w:val="auto"/>
                <w:sz w:val="24"/>
                <w:szCs w:val="28"/>
              </w:rPr>
              <w:t>二、地表水质量现状</w:t>
            </w:r>
          </w:p>
          <w:p w14:paraId="775BAFA6">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30384EB0">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根据淮南市生态环境局发布的《202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年淮南市环境质量状况公报》，2024年，全市地表水24个监测断面中优良水质比例为91.7%，比上年下降了4.1个百分点，Ⅳ类水质比例8.3%，总体水质状况优。</w:t>
            </w:r>
          </w:p>
          <w:p w14:paraId="7D626ECC">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8个国控断面中优良水质比例为87.5%，Ⅳ类水质比例12.5%，水质总体状况良好；11个省控断面中优良水质比例为90.9%，水质总体状况优。</w:t>
            </w:r>
          </w:p>
          <w:p w14:paraId="0824EA67">
            <w:pPr>
              <w:keepNext/>
              <w:keepLines/>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71DF3904">
            <w:pPr>
              <w:keepNext/>
              <w:keepLines/>
              <w:spacing w:line="360" w:lineRule="auto"/>
              <w:ind w:firstLine="480" w:firstLineChars="200"/>
              <w:rPr>
                <w:rFonts w:hint="eastAsia"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r>
              <w:rPr>
                <w:rFonts w:hint="eastAsia" w:cs="Times New Roman"/>
                <w:bCs/>
                <w:color w:val="auto"/>
                <w:sz w:val="24"/>
                <w:lang w:eastAsia="zh-CN"/>
              </w:rPr>
              <w:t>。</w:t>
            </w:r>
          </w:p>
          <w:p w14:paraId="1C3154AD">
            <w:pPr>
              <w:keepNext/>
              <w:keepLines/>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bCs/>
                <w:color w:val="auto"/>
                <w:sz w:val="24"/>
              </w:rPr>
              <w:t>综上所述，项目所在地区域地表水淮河水质良好</w:t>
            </w:r>
            <w:r>
              <w:rPr>
                <w:rFonts w:hint="default" w:ascii="Times New Roman" w:hAnsi="Times New Roman" w:cs="Times New Roman"/>
                <w:color w:val="auto"/>
                <w:sz w:val="24"/>
              </w:rPr>
              <w:t>。</w:t>
            </w:r>
          </w:p>
          <w:p w14:paraId="1AE6FE0E">
            <w:pPr>
              <w:spacing w:line="360" w:lineRule="auto"/>
              <w:rPr>
                <w:b/>
                <w:bCs/>
                <w:color w:val="auto"/>
                <w:sz w:val="24"/>
                <w:szCs w:val="28"/>
              </w:rPr>
            </w:pPr>
            <w:r>
              <w:rPr>
                <w:rFonts w:hint="eastAsia"/>
                <w:b/>
                <w:bCs/>
                <w:color w:val="auto"/>
                <w:sz w:val="24"/>
                <w:szCs w:val="28"/>
              </w:rPr>
              <w:t>三、声环境质量现状</w:t>
            </w:r>
          </w:p>
          <w:p w14:paraId="2AAD1CFA">
            <w:pPr>
              <w:spacing w:line="360" w:lineRule="auto"/>
              <w:ind w:firstLine="480" w:firstLineChars="200"/>
              <w:rPr>
                <w:color w:val="auto"/>
                <w:sz w:val="24"/>
              </w:rPr>
            </w:pPr>
            <w:r>
              <w:rPr>
                <w:rFonts w:hint="eastAsia"/>
                <w:color w:val="auto"/>
                <w:sz w:val="24"/>
              </w:rPr>
              <w:t>本项目厂界外周边50米范围内不存在声环境保护目标，根据《建设项目环境影响报告表编制技术指南（污染影响类）（试行）》，项目厂界外周边50米范围内不存在声环境保护目标的建设项目，无需进行现状监测。</w:t>
            </w:r>
          </w:p>
          <w:p w14:paraId="4E3D7E02">
            <w:pPr>
              <w:spacing w:line="360" w:lineRule="auto"/>
              <w:rPr>
                <w:b/>
                <w:bCs/>
                <w:color w:val="auto"/>
                <w:sz w:val="24"/>
                <w:szCs w:val="28"/>
              </w:rPr>
            </w:pPr>
            <w:r>
              <w:rPr>
                <w:rFonts w:hint="eastAsia"/>
                <w:b/>
                <w:bCs/>
                <w:color w:val="auto"/>
                <w:sz w:val="24"/>
                <w:szCs w:val="28"/>
              </w:rPr>
              <w:t>四、生态环境现状</w:t>
            </w:r>
          </w:p>
          <w:p w14:paraId="2817EEBE">
            <w:pPr>
              <w:spacing w:line="360" w:lineRule="auto"/>
              <w:ind w:firstLine="480" w:firstLineChars="200"/>
              <w:rPr>
                <w:color w:val="auto"/>
                <w:sz w:val="24"/>
              </w:rPr>
            </w:pPr>
            <w:r>
              <w:rPr>
                <w:rFonts w:hint="eastAsia"/>
                <w:color w:val="auto"/>
                <w:sz w:val="24"/>
              </w:rPr>
              <w:t>本项目位于</w:t>
            </w:r>
            <w:r>
              <w:rPr>
                <w:rFonts w:hint="eastAsia"/>
                <w:color w:val="auto"/>
                <w:sz w:val="24"/>
                <w:lang w:val="en-US" w:eastAsia="zh-CN"/>
              </w:rPr>
              <w:t>淮南市</w:t>
            </w:r>
            <w:r>
              <w:rPr>
                <w:rFonts w:hint="eastAsia"/>
                <w:color w:val="auto"/>
                <w:sz w:val="24"/>
              </w:rPr>
              <w:t>经济开发区</w:t>
            </w:r>
            <w:r>
              <w:rPr>
                <w:rFonts w:hint="eastAsia"/>
                <w:color w:val="auto"/>
                <w:sz w:val="24"/>
                <w:lang w:val="en-US" w:eastAsia="zh-CN"/>
              </w:rPr>
              <w:t>锦绣路100号东侧</w:t>
            </w:r>
            <w:r>
              <w:rPr>
                <w:rFonts w:hint="eastAsia"/>
                <w:color w:val="auto"/>
                <w:sz w:val="24"/>
              </w:rPr>
              <w:t>，</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highlight w:val="none"/>
                <w:lang w:val="en-US" w:eastAsia="zh-CN"/>
              </w:rPr>
              <w:t>占地面积约20亩，建设一栋钢结构厂房</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建设一条</w:t>
            </w:r>
            <w:r>
              <w:rPr>
                <w:rFonts w:hint="default" w:ascii="Times New Roman" w:hAnsi="Times New Roman" w:cs="Times New Roman"/>
                <w:color w:val="auto"/>
                <w:sz w:val="24"/>
                <w:szCs w:val="24"/>
                <w:highlight w:val="none"/>
                <w:lang w:val="en-US" w:eastAsia="zh-CN"/>
              </w:rPr>
              <w:t>统型砼岔枕生产线。项目建成后可达年产50万根统型砼岔枕</w:t>
            </w:r>
            <w:r>
              <w:rPr>
                <w:color w:val="auto"/>
                <w:sz w:val="24"/>
              </w:rPr>
              <w:t>。</w:t>
            </w:r>
            <w:r>
              <w:rPr>
                <w:rFonts w:hint="eastAsia"/>
                <w:color w:val="auto"/>
                <w:sz w:val="24"/>
                <w:lang w:val="en-US" w:eastAsia="zh-CN"/>
              </w:rPr>
              <w:t>项目不属于产业园区外建设项目新增用地，</w:t>
            </w:r>
            <w:r>
              <w:rPr>
                <w:rFonts w:hint="eastAsia"/>
                <w:color w:val="auto"/>
                <w:sz w:val="24"/>
              </w:rPr>
              <w:t>项目用地范围现状内无生态环境保护目标，无需进行生态现状调查。</w:t>
            </w:r>
          </w:p>
          <w:p w14:paraId="392EA499">
            <w:pPr>
              <w:spacing w:line="360" w:lineRule="auto"/>
              <w:rPr>
                <w:b/>
                <w:bCs/>
                <w:color w:val="auto"/>
                <w:sz w:val="24"/>
                <w:szCs w:val="28"/>
              </w:rPr>
            </w:pPr>
            <w:r>
              <w:rPr>
                <w:rFonts w:hint="eastAsia"/>
                <w:b/>
                <w:bCs/>
                <w:color w:val="auto"/>
                <w:sz w:val="24"/>
                <w:szCs w:val="28"/>
              </w:rPr>
              <w:t>五、电磁辐射现状</w:t>
            </w:r>
          </w:p>
          <w:p w14:paraId="4D6D568D">
            <w:pPr>
              <w:spacing w:line="360" w:lineRule="auto"/>
              <w:ind w:firstLine="480" w:firstLineChars="200"/>
              <w:rPr>
                <w:color w:val="auto"/>
                <w:sz w:val="24"/>
              </w:rPr>
            </w:pPr>
            <w:r>
              <w:rPr>
                <w:rFonts w:hint="eastAsia"/>
                <w:color w:val="auto"/>
                <w:sz w:val="24"/>
              </w:rPr>
              <w:t>新建或改建、扩建广播电台、雷达等电磁辐射类项目，应根据相关技术导则对项目电磁辐射现状开展监测与评价。本项目属于</w:t>
            </w:r>
            <w:r>
              <w:rPr>
                <w:rFonts w:hint="default" w:ascii="Times New Roman" w:hAnsi="Times New Roman" w:cs="Times New Roman"/>
                <w:color w:val="auto"/>
                <w:sz w:val="24"/>
              </w:rPr>
              <w:t>C</w:t>
            </w:r>
            <w:r>
              <w:rPr>
                <w:rFonts w:hint="default" w:ascii="Times New Roman" w:hAnsi="Times New Roman" w:cs="Times New Roman"/>
                <w:color w:val="auto"/>
                <w:sz w:val="24"/>
                <w:lang w:val="en-US" w:eastAsia="zh-CN"/>
              </w:rPr>
              <w:t>3021水泥制品制</w:t>
            </w:r>
            <w:r>
              <w:rPr>
                <w:rFonts w:hint="eastAsia"/>
                <w:color w:val="auto"/>
                <w:sz w:val="24"/>
                <w:lang w:val="en-US" w:eastAsia="zh-CN"/>
              </w:rPr>
              <w:t>造</w:t>
            </w:r>
            <w:r>
              <w:rPr>
                <w:rFonts w:hint="eastAsia"/>
                <w:color w:val="auto"/>
                <w:sz w:val="24"/>
              </w:rPr>
              <w:t>，不属于上述行业，无需开展电磁辐射现状监测与评价。</w:t>
            </w:r>
          </w:p>
          <w:p w14:paraId="769E384F">
            <w:pPr>
              <w:spacing w:line="360" w:lineRule="auto"/>
              <w:rPr>
                <w:b/>
                <w:bCs/>
                <w:color w:val="auto"/>
                <w:sz w:val="24"/>
                <w:szCs w:val="28"/>
              </w:rPr>
            </w:pPr>
            <w:r>
              <w:rPr>
                <w:rFonts w:hint="eastAsia"/>
                <w:b/>
                <w:bCs/>
                <w:color w:val="auto"/>
                <w:sz w:val="24"/>
                <w:szCs w:val="28"/>
              </w:rPr>
              <w:t>六、地下水、土壤环境现状</w:t>
            </w:r>
          </w:p>
          <w:p w14:paraId="067EF1D4">
            <w:pPr>
              <w:spacing w:line="360" w:lineRule="auto"/>
              <w:ind w:firstLine="480" w:firstLineChars="200"/>
              <w:rPr>
                <w:color w:val="002DC7"/>
                <w:sz w:val="24"/>
              </w:rPr>
            </w:pPr>
            <w:r>
              <w:rPr>
                <w:rFonts w:hint="eastAsia"/>
                <w:color w:val="auto"/>
                <w:sz w:val="24"/>
              </w:rPr>
              <w:t>根据《建设项目环境影响报告表编制技术指南（污染影响类）》（试行），原则上对地下水和土壤不开展环境质量现状调查。本项目位于安徽省滁州市经济开发区，项目通过采取分区防渗措施后，无地下水、土壤环境污染途径。因此，本次不开展地下水和土壤环境现状调查。</w:t>
            </w:r>
          </w:p>
          <w:p w14:paraId="366750A9">
            <w:pPr>
              <w:spacing w:line="360" w:lineRule="auto"/>
              <w:ind w:firstLine="480" w:firstLineChars="200"/>
              <w:rPr>
                <w:color w:val="002DC7"/>
                <w:sz w:val="24"/>
              </w:rPr>
            </w:pPr>
          </w:p>
          <w:p w14:paraId="4D3DB615">
            <w:pPr>
              <w:spacing w:line="360" w:lineRule="auto"/>
              <w:ind w:firstLine="480" w:firstLineChars="200"/>
              <w:rPr>
                <w:color w:val="002DC7"/>
                <w:sz w:val="24"/>
              </w:rPr>
            </w:pPr>
          </w:p>
          <w:p w14:paraId="51FB8F56">
            <w:pPr>
              <w:spacing w:line="360" w:lineRule="auto"/>
              <w:ind w:firstLine="480" w:firstLineChars="200"/>
              <w:rPr>
                <w:color w:val="002DC7"/>
                <w:sz w:val="24"/>
              </w:rPr>
            </w:pPr>
          </w:p>
          <w:p w14:paraId="7D5BC34C">
            <w:pPr>
              <w:spacing w:line="360" w:lineRule="auto"/>
              <w:rPr>
                <w:color w:val="002DC7"/>
                <w:sz w:val="24"/>
              </w:rPr>
            </w:pPr>
          </w:p>
          <w:p w14:paraId="3C359E71">
            <w:pPr>
              <w:spacing w:line="360" w:lineRule="auto"/>
              <w:rPr>
                <w:color w:val="002DC7"/>
                <w:sz w:val="24"/>
              </w:rPr>
            </w:pPr>
          </w:p>
          <w:p w14:paraId="200AC002">
            <w:pPr>
              <w:spacing w:line="360" w:lineRule="auto"/>
              <w:rPr>
                <w:color w:val="002DC7"/>
                <w:sz w:val="24"/>
              </w:rPr>
            </w:pPr>
          </w:p>
          <w:p w14:paraId="389BF2EC">
            <w:pPr>
              <w:spacing w:line="360" w:lineRule="auto"/>
              <w:rPr>
                <w:color w:val="002DC7"/>
                <w:sz w:val="24"/>
              </w:rPr>
            </w:pPr>
          </w:p>
          <w:p w14:paraId="42767DE8">
            <w:pPr>
              <w:spacing w:line="360" w:lineRule="auto"/>
              <w:rPr>
                <w:color w:val="002DC7"/>
                <w:sz w:val="24"/>
              </w:rPr>
            </w:pPr>
          </w:p>
          <w:p w14:paraId="1153F6C6">
            <w:pPr>
              <w:spacing w:line="360" w:lineRule="auto"/>
              <w:rPr>
                <w:color w:val="002DC7"/>
                <w:sz w:val="24"/>
              </w:rPr>
            </w:pPr>
          </w:p>
          <w:p w14:paraId="3F262CB2">
            <w:pPr>
              <w:spacing w:line="360" w:lineRule="auto"/>
              <w:rPr>
                <w:rFonts w:hint="eastAsia"/>
                <w:color w:val="002DC7"/>
                <w:sz w:val="24"/>
              </w:rPr>
            </w:pPr>
          </w:p>
          <w:p w14:paraId="5295641F">
            <w:pPr>
              <w:spacing w:line="360" w:lineRule="auto"/>
              <w:rPr>
                <w:rFonts w:hint="eastAsia"/>
                <w:color w:val="002DC7"/>
                <w:sz w:val="24"/>
              </w:rPr>
            </w:pPr>
          </w:p>
          <w:p w14:paraId="3A11707C">
            <w:pPr>
              <w:spacing w:line="360" w:lineRule="auto"/>
              <w:rPr>
                <w:rFonts w:hint="eastAsia"/>
                <w:color w:val="002DC7"/>
                <w:sz w:val="24"/>
              </w:rPr>
            </w:pPr>
          </w:p>
          <w:p w14:paraId="7D5CECEB">
            <w:pPr>
              <w:spacing w:line="360" w:lineRule="auto"/>
              <w:rPr>
                <w:rFonts w:hint="eastAsia"/>
                <w:color w:val="002DC7"/>
                <w:sz w:val="24"/>
              </w:rPr>
            </w:pPr>
          </w:p>
          <w:p w14:paraId="5B3AC92C">
            <w:pPr>
              <w:spacing w:line="360" w:lineRule="auto"/>
              <w:rPr>
                <w:rFonts w:hint="eastAsia"/>
                <w:color w:val="002DC7"/>
                <w:sz w:val="24"/>
              </w:rPr>
            </w:pPr>
          </w:p>
          <w:p w14:paraId="194B9EB2">
            <w:pPr>
              <w:spacing w:line="360" w:lineRule="auto"/>
              <w:rPr>
                <w:rFonts w:hint="eastAsia"/>
                <w:color w:val="002DC7"/>
                <w:sz w:val="24"/>
              </w:rPr>
            </w:pPr>
          </w:p>
          <w:p w14:paraId="4C18E28A">
            <w:pPr>
              <w:spacing w:line="360" w:lineRule="auto"/>
              <w:rPr>
                <w:rFonts w:hint="eastAsia"/>
                <w:color w:val="002DC7"/>
                <w:sz w:val="24"/>
              </w:rPr>
            </w:pPr>
          </w:p>
          <w:p w14:paraId="45D039C6">
            <w:pPr>
              <w:spacing w:line="360" w:lineRule="auto"/>
              <w:rPr>
                <w:rFonts w:hint="eastAsia"/>
                <w:color w:val="002DC7"/>
                <w:sz w:val="24"/>
              </w:rPr>
            </w:pPr>
          </w:p>
          <w:p w14:paraId="17DD7F12">
            <w:pPr>
              <w:spacing w:line="360" w:lineRule="auto"/>
              <w:rPr>
                <w:rFonts w:hint="eastAsia"/>
                <w:color w:val="002DC7"/>
                <w:sz w:val="24"/>
              </w:rPr>
            </w:pPr>
          </w:p>
          <w:p w14:paraId="4AD6C3CE">
            <w:pPr>
              <w:spacing w:line="360" w:lineRule="auto"/>
              <w:rPr>
                <w:rFonts w:hint="eastAsia"/>
                <w:color w:val="002DC7"/>
                <w:sz w:val="24"/>
              </w:rPr>
            </w:pPr>
          </w:p>
          <w:p w14:paraId="052B6B5C">
            <w:pPr>
              <w:spacing w:line="360" w:lineRule="auto"/>
              <w:rPr>
                <w:rFonts w:hint="eastAsia"/>
                <w:color w:val="002DC7"/>
                <w:sz w:val="24"/>
              </w:rPr>
            </w:pPr>
          </w:p>
          <w:p w14:paraId="2B4781AF">
            <w:pPr>
              <w:spacing w:line="360" w:lineRule="auto"/>
              <w:rPr>
                <w:rFonts w:hint="eastAsia"/>
                <w:color w:val="002DC7"/>
                <w:sz w:val="24"/>
              </w:rPr>
            </w:pPr>
          </w:p>
          <w:p w14:paraId="6F7F5787">
            <w:pPr>
              <w:spacing w:line="360" w:lineRule="auto"/>
              <w:rPr>
                <w:rFonts w:hint="eastAsia"/>
                <w:color w:val="002DC7"/>
                <w:sz w:val="24"/>
              </w:rPr>
            </w:pPr>
          </w:p>
          <w:p w14:paraId="2BCB698F">
            <w:pPr>
              <w:spacing w:line="360" w:lineRule="auto"/>
              <w:rPr>
                <w:rFonts w:hint="eastAsia"/>
                <w:color w:val="002DC7"/>
                <w:sz w:val="24"/>
              </w:rPr>
            </w:pPr>
          </w:p>
        </w:tc>
      </w:tr>
      <w:tr w14:paraId="02A54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00" w:hRule="atLeast"/>
        </w:trPr>
        <w:tc>
          <w:tcPr>
            <w:tcW w:w="0" w:type="auto"/>
            <w:vAlign w:val="center"/>
          </w:tcPr>
          <w:p w14:paraId="007B17D5">
            <w:pPr>
              <w:spacing w:line="360" w:lineRule="auto"/>
              <w:rPr>
                <w:rFonts w:hint="eastAsia" w:hAnsi="宋体"/>
                <w:color w:val="002DC7"/>
                <w:kern w:val="0"/>
                <w:sz w:val="24"/>
              </w:rPr>
            </w:pPr>
            <w:bookmarkStart w:id="11" w:name="_Toc354926676"/>
            <w:r>
              <w:rPr>
                <w:rFonts w:hAnsi="宋体"/>
                <w:color w:val="auto"/>
                <w:sz w:val="24"/>
                <w:szCs w:val="28"/>
              </w:rPr>
              <w:t>环境保护目标</w:t>
            </w:r>
          </w:p>
        </w:tc>
        <w:tc>
          <w:tcPr>
            <w:tcW w:w="0" w:type="auto"/>
          </w:tcPr>
          <w:p w14:paraId="4B97E94D">
            <w:pPr>
              <w:pStyle w:val="6"/>
              <w:keepNext w:val="0"/>
              <w:keepLines w:val="0"/>
              <w:spacing w:line="360" w:lineRule="auto"/>
              <w:ind w:firstLine="482" w:firstLineChars="200"/>
              <w:jc w:val="left"/>
              <w:rPr>
                <w:rFonts w:hint="eastAsia" w:ascii="宋体" w:hAnsi="宋体" w:eastAsia="宋体"/>
                <w:color w:val="auto"/>
                <w:sz w:val="24"/>
                <w:szCs w:val="24"/>
              </w:rPr>
            </w:pPr>
            <w:r>
              <w:rPr>
                <w:rFonts w:hint="eastAsia" w:ascii="宋体" w:hAnsi="宋体" w:eastAsia="宋体"/>
                <w:color w:val="auto"/>
                <w:sz w:val="24"/>
                <w:szCs w:val="24"/>
              </w:rPr>
              <w:t>1、大气环境</w:t>
            </w:r>
          </w:p>
          <w:p w14:paraId="5DE02FCD">
            <w:pPr>
              <w:spacing w:line="360" w:lineRule="auto"/>
              <w:ind w:firstLine="480" w:firstLineChars="200"/>
              <w:jc w:val="left"/>
              <w:rPr>
                <w:rFonts w:hint="eastAsia"/>
                <w:bCs/>
                <w:color w:val="auto"/>
                <w:kern w:val="0"/>
                <w:sz w:val="24"/>
                <w:lang w:val="en-US" w:eastAsia="zh-CN"/>
              </w:rPr>
            </w:pPr>
            <w:r>
              <w:rPr>
                <w:rFonts w:ascii="Times New Roman" w:hAnsi="Times New Roman" w:cs="Times New Roman"/>
                <w:color w:val="auto"/>
                <w:sz w:val="24"/>
              </w:rPr>
              <w:t>本项目</w:t>
            </w:r>
            <w:r>
              <w:rPr>
                <w:rFonts w:hint="eastAsia" w:cs="Times New Roman"/>
                <w:color w:val="auto"/>
                <w:sz w:val="24"/>
                <w:lang w:val="en-US" w:eastAsia="zh-CN"/>
              </w:rPr>
              <w:t>一期</w:t>
            </w:r>
            <w:r>
              <w:rPr>
                <w:rFonts w:ascii="Times New Roman" w:hAnsi="Times New Roman" w:cs="Times New Roman"/>
                <w:color w:val="auto"/>
                <w:kern w:val="0"/>
                <w:sz w:val="24"/>
              </w:rPr>
              <w:t>周边</w:t>
            </w:r>
            <w:r>
              <w:rPr>
                <w:rFonts w:ascii="Times New Roman" w:hAnsi="Times New Roman" w:cs="Times New Roman"/>
                <w:snapToGrid w:val="0"/>
                <w:color w:val="auto"/>
                <w:kern w:val="0"/>
                <w:sz w:val="24"/>
              </w:rPr>
              <w:t>500米范围内</w:t>
            </w:r>
            <w:r>
              <w:rPr>
                <w:rFonts w:ascii="Times New Roman" w:hAnsi="Times New Roman" w:cs="Times New Roman"/>
                <w:color w:val="auto"/>
                <w:kern w:val="0"/>
                <w:sz w:val="24"/>
              </w:rPr>
              <w:t>大气环境保护目标见下表</w:t>
            </w:r>
            <w:r>
              <w:rPr>
                <w:rFonts w:hint="eastAsia"/>
                <w:bCs/>
                <w:color w:val="auto"/>
                <w:kern w:val="0"/>
                <w:sz w:val="24"/>
              </w:rPr>
              <w:t>3-</w:t>
            </w:r>
            <w:r>
              <w:rPr>
                <w:rFonts w:hint="eastAsia"/>
                <w:bCs/>
                <w:color w:val="auto"/>
                <w:kern w:val="0"/>
                <w:sz w:val="24"/>
                <w:lang w:val="en-US" w:eastAsia="zh-CN"/>
              </w:rPr>
              <w:t>4，项目厂界外500m范围内无自然保护区、风景名胜区、大气环境保护目标。</w:t>
            </w:r>
          </w:p>
          <w:p w14:paraId="68A914E1">
            <w:pPr>
              <w:spacing w:line="360" w:lineRule="auto"/>
              <w:ind w:firstLine="482" w:firstLineChars="200"/>
              <w:jc w:val="left"/>
              <w:rPr>
                <w:b/>
                <w:color w:val="auto"/>
                <w:sz w:val="24"/>
                <w:szCs w:val="32"/>
              </w:rPr>
            </w:pPr>
            <w:r>
              <w:rPr>
                <w:rFonts w:hint="eastAsia"/>
                <w:b/>
                <w:color w:val="auto"/>
                <w:sz w:val="24"/>
                <w:szCs w:val="32"/>
              </w:rPr>
              <w:t>2、声环境</w:t>
            </w:r>
          </w:p>
          <w:p w14:paraId="3992FB6B">
            <w:pPr>
              <w:spacing w:line="360" w:lineRule="auto"/>
              <w:ind w:firstLine="480" w:firstLineChars="200"/>
              <w:jc w:val="left"/>
              <w:rPr>
                <w:bCs/>
                <w:color w:val="auto"/>
                <w:kern w:val="0"/>
                <w:sz w:val="24"/>
              </w:rPr>
            </w:pPr>
            <w:r>
              <w:rPr>
                <w:rFonts w:hint="eastAsia"/>
                <w:bCs/>
                <w:color w:val="auto"/>
                <w:kern w:val="0"/>
                <w:sz w:val="24"/>
              </w:rPr>
              <w:t>本项目厂界外50米范围内无声环境保护目标。</w:t>
            </w:r>
          </w:p>
          <w:p w14:paraId="56C3FF20">
            <w:pPr>
              <w:spacing w:line="360" w:lineRule="auto"/>
              <w:ind w:firstLine="482" w:firstLineChars="200"/>
              <w:jc w:val="left"/>
              <w:rPr>
                <w:b/>
                <w:bCs/>
                <w:color w:val="auto"/>
                <w:kern w:val="0"/>
                <w:sz w:val="24"/>
              </w:rPr>
            </w:pPr>
            <w:r>
              <w:rPr>
                <w:rFonts w:hint="eastAsia"/>
                <w:b/>
                <w:bCs/>
                <w:color w:val="auto"/>
                <w:kern w:val="0"/>
                <w:sz w:val="24"/>
              </w:rPr>
              <w:t>3、地下水环境</w:t>
            </w:r>
          </w:p>
          <w:p w14:paraId="381F64DD">
            <w:pPr>
              <w:spacing w:line="360" w:lineRule="auto"/>
              <w:ind w:firstLine="480" w:firstLineChars="200"/>
              <w:rPr>
                <w:bCs/>
                <w:color w:val="auto"/>
                <w:kern w:val="0"/>
                <w:sz w:val="24"/>
              </w:rPr>
            </w:pPr>
            <w:r>
              <w:rPr>
                <w:rFonts w:hint="eastAsia"/>
                <w:bCs/>
                <w:color w:val="auto"/>
                <w:kern w:val="0"/>
                <w:sz w:val="24"/>
              </w:rPr>
              <w:t>本项目位于</w:t>
            </w:r>
            <w:r>
              <w:rPr>
                <w:rFonts w:hint="eastAsia"/>
                <w:color w:val="auto"/>
                <w:sz w:val="24"/>
                <w:lang w:val="en-US" w:eastAsia="zh-CN"/>
              </w:rPr>
              <w:t>淮南市</w:t>
            </w:r>
            <w:r>
              <w:rPr>
                <w:rFonts w:hint="eastAsia"/>
                <w:color w:val="auto"/>
                <w:sz w:val="24"/>
              </w:rPr>
              <w:t>经济开发区</w:t>
            </w:r>
            <w:r>
              <w:rPr>
                <w:rFonts w:hint="eastAsia"/>
                <w:color w:val="auto"/>
                <w:sz w:val="24"/>
                <w:lang w:val="en-US" w:eastAsia="zh-CN"/>
              </w:rPr>
              <w:t>锦绣路100号东侧</w:t>
            </w:r>
            <w:r>
              <w:rPr>
                <w:rFonts w:hint="eastAsia"/>
                <w:bCs/>
                <w:color w:val="auto"/>
                <w:kern w:val="0"/>
                <w:sz w:val="24"/>
              </w:rPr>
              <w:t>，</w:t>
            </w:r>
            <w:r>
              <w:rPr>
                <w:bCs/>
                <w:color w:val="auto"/>
                <w:kern w:val="0"/>
                <w:sz w:val="24"/>
              </w:rPr>
              <w:t>项目所在区域均采用自来水作为饮用水源</w:t>
            </w:r>
            <w:r>
              <w:rPr>
                <w:rFonts w:hint="eastAsia"/>
                <w:bCs/>
                <w:color w:val="auto"/>
                <w:kern w:val="0"/>
                <w:sz w:val="24"/>
              </w:rPr>
              <w:t>，</w:t>
            </w:r>
            <w:r>
              <w:rPr>
                <w:bCs/>
                <w:color w:val="auto"/>
                <w:kern w:val="0"/>
                <w:sz w:val="24"/>
              </w:rPr>
              <w:t>项目厂界</w:t>
            </w:r>
            <w:r>
              <w:rPr>
                <w:rFonts w:hint="eastAsia"/>
                <w:bCs/>
                <w:color w:val="auto"/>
                <w:kern w:val="0"/>
                <w:sz w:val="24"/>
              </w:rPr>
              <w:t>外</w:t>
            </w:r>
            <w:r>
              <w:rPr>
                <w:bCs/>
                <w:color w:val="auto"/>
                <w:kern w:val="0"/>
                <w:sz w:val="24"/>
              </w:rPr>
              <w:t>500</w:t>
            </w:r>
            <w:r>
              <w:rPr>
                <w:rFonts w:hint="eastAsia"/>
                <w:bCs/>
                <w:color w:val="auto"/>
                <w:kern w:val="0"/>
                <w:sz w:val="24"/>
              </w:rPr>
              <w:t>米范围内无地下水集中式饮用水水源和热水、矿泉水、温泉等特殊地下水资源。</w:t>
            </w:r>
          </w:p>
          <w:p w14:paraId="276D3DE4">
            <w:pPr>
              <w:spacing w:line="360" w:lineRule="auto"/>
              <w:ind w:firstLine="482" w:firstLineChars="200"/>
              <w:jc w:val="left"/>
              <w:rPr>
                <w:b/>
                <w:bCs/>
                <w:color w:val="auto"/>
                <w:kern w:val="0"/>
                <w:sz w:val="24"/>
              </w:rPr>
            </w:pPr>
            <w:r>
              <w:rPr>
                <w:rFonts w:hint="eastAsia"/>
                <w:b/>
                <w:bCs/>
                <w:color w:val="auto"/>
                <w:kern w:val="0"/>
                <w:sz w:val="24"/>
              </w:rPr>
              <w:t>4、生态环境</w:t>
            </w:r>
          </w:p>
          <w:p w14:paraId="0D4DF463">
            <w:pPr>
              <w:spacing w:line="360" w:lineRule="auto"/>
              <w:ind w:firstLine="480" w:firstLineChars="200"/>
              <w:rPr>
                <w:b/>
                <w:color w:val="002DC7"/>
                <w:sz w:val="24"/>
                <w:szCs w:val="28"/>
              </w:rPr>
            </w:pPr>
            <w:r>
              <w:rPr>
                <w:bCs/>
                <w:color w:val="auto"/>
                <w:kern w:val="0"/>
                <w:sz w:val="24"/>
              </w:rPr>
              <w:t>本项目位于</w:t>
            </w:r>
            <w:r>
              <w:rPr>
                <w:rFonts w:hint="eastAsia"/>
                <w:color w:val="auto"/>
                <w:sz w:val="24"/>
                <w:lang w:val="en-US" w:eastAsia="zh-CN"/>
              </w:rPr>
              <w:t>淮南市</w:t>
            </w:r>
            <w:r>
              <w:rPr>
                <w:rFonts w:hint="eastAsia"/>
                <w:color w:val="auto"/>
                <w:sz w:val="24"/>
              </w:rPr>
              <w:t>经济开发区</w:t>
            </w:r>
            <w:r>
              <w:rPr>
                <w:rFonts w:hint="eastAsia"/>
                <w:color w:val="auto"/>
                <w:sz w:val="24"/>
                <w:lang w:val="en-US" w:eastAsia="zh-CN"/>
              </w:rPr>
              <w:t>锦绣路100号东侧</w:t>
            </w:r>
            <w:r>
              <w:rPr>
                <w:bCs/>
                <w:color w:val="auto"/>
                <w:kern w:val="0"/>
                <w:sz w:val="24"/>
              </w:rPr>
              <w:t>，</w:t>
            </w:r>
            <w:r>
              <w:rPr>
                <w:rFonts w:hint="eastAsia"/>
                <w:bCs/>
                <w:color w:val="auto"/>
                <w:kern w:val="0"/>
                <w:sz w:val="24"/>
              </w:rPr>
              <w:t>本项目</w:t>
            </w:r>
            <w:r>
              <w:rPr>
                <w:bCs/>
                <w:color w:val="auto"/>
                <w:kern w:val="0"/>
                <w:sz w:val="24"/>
              </w:rPr>
              <w:t>用地范围内</w:t>
            </w:r>
            <w:r>
              <w:rPr>
                <w:rFonts w:hint="eastAsia"/>
                <w:bCs/>
                <w:color w:val="auto"/>
                <w:kern w:val="0"/>
                <w:sz w:val="24"/>
              </w:rPr>
              <w:t>无</w:t>
            </w:r>
            <w:r>
              <w:rPr>
                <w:bCs/>
                <w:color w:val="auto"/>
                <w:kern w:val="0"/>
                <w:sz w:val="24"/>
              </w:rPr>
              <w:t>生态环境保护目标。</w:t>
            </w:r>
          </w:p>
        </w:tc>
      </w:tr>
    </w:tbl>
    <w:p w14:paraId="09793BE4">
      <w:pPr>
        <w:rPr>
          <w:rFonts w:hint="eastAsia" w:ascii="宋体" w:hAnsi="宋体"/>
          <w:b/>
          <w:bCs/>
          <w:color w:val="002DC7"/>
          <w:kern w:val="0"/>
          <w:sz w:val="30"/>
          <w:szCs w:val="30"/>
        </w:rPr>
        <w:sectPr>
          <w:pgSz w:w="11906" w:h="16838"/>
          <w:pgMar w:top="1440" w:right="1797" w:bottom="1440" w:left="1508" w:header="851" w:footer="992" w:gutter="0"/>
          <w:pgBorders>
            <w:top w:val="none" w:sz="0" w:space="0"/>
            <w:left w:val="none" w:sz="0" w:space="0"/>
            <w:bottom w:val="none" w:sz="0" w:space="0"/>
            <w:right w:val="none" w:sz="0" w:space="0"/>
          </w:pgBorders>
          <w:cols w:space="720" w:num="1"/>
          <w:docGrid w:type="lines" w:linePitch="312" w:charSpace="0"/>
        </w:sectPr>
      </w:pPr>
      <w:r>
        <w:rPr>
          <w:b/>
          <w:color w:val="002DC7"/>
          <w:sz w:val="24"/>
          <w:szCs w:val="28"/>
        </w:rPr>
        <mc:AlternateContent>
          <mc:Choice Requires="wps">
            <w:drawing>
              <wp:anchor distT="0" distB="0" distL="114300" distR="114300" simplePos="0" relativeHeight="251675648" behindDoc="0" locked="0" layoutInCell="1" allowOverlap="1">
                <wp:simplePos x="0" y="0"/>
                <wp:positionH relativeFrom="column">
                  <wp:posOffset>7400290</wp:posOffset>
                </wp:positionH>
                <wp:positionV relativeFrom="paragraph">
                  <wp:posOffset>3933825</wp:posOffset>
                </wp:positionV>
                <wp:extent cx="792480" cy="453390"/>
                <wp:effectExtent l="4445" t="0" r="3175" b="0"/>
                <wp:wrapNone/>
                <wp:docPr id="80403336" name="文本框 3544"/>
                <wp:cNvGraphicFramePr/>
                <a:graphic xmlns:a="http://schemas.openxmlformats.org/drawingml/2006/main">
                  <a:graphicData uri="http://schemas.microsoft.com/office/word/2010/wordprocessingShape">
                    <wps:wsp>
                      <wps:cNvSpPr txBox="1">
                        <a:spLocks noChangeArrowheads="1"/>
                      </wps:cNvSpPr>
                      <wps:spPr bwMode="auto">
                        <a:xfrm>
                          <a:off x="0" y="0"/>
                          <a:ext cx="792480" cy="453390"/>
                        </a:xfrm>
                        <a:prstGeom prst="rect">
                          <a:avLst/>
                        </a:prstGeom>
                        <a:noFill/>
                        <a:ln>
                          <a:noFill/>
                        </a:ln>
                        <a:effectLst/>
                      </wps:spPr>
                      <wps:txbx>
                        <w:txbxContent>
                          <w:p w14:paraId="50BC07C5">
                            <w:pPr>
                              <w:rPr>
                                <w:color w:val="FF0000"/>
                              </w:rPr>
                            </w:pPr>
                            <w:r>
                              <w:rPr>
                                <w:rFonts w:hint="eastAsia"/>
                                <w:color w:val="FF0000"/>
                              </w:rPr>
                              <w:t xml:space="preserve"> </w:t>
                            </w:r>
                          </w:p>
                        </w:txbxContent>
                      </wps:txbx>
                      <wps:bodyPr rot="0" vert="horz" wrap="square" lIns="91440" tIns="45720" rIns="91440" bIns="45720" anchor="t" anchorCtr="0" upright="1">
                        <a:noAutofit/>
                      </wps:bodyPr>
                    </wps:wsp>
                  </a:graphicData>
                </a:graphic>
              </wp:anchor>
            </w:drawing>
          </mc:Choice>
          <mc:Fallback>
            <w:pict>
              <v:shape id="文本框 3544" o:spid="_x0000_s1026" o:spt="202" type="#_x0000_t202" style="position:absolute;left:0pt;margin-left:582.7pt;margin-top:309.75pt;height:35.7pt;width:62.4pt;z-index:251675648;mso-width-relative:page;mso-height-relative:page;" filled="f" stroked="f" coordsize="21600,21600" o:gfxdata="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WVIu9gAAAANAQAADwAAAAAAAAABACAAAAAiAAAAZHJzL2Rvd25yZXYueG1sUEsBAhQAFAAAAAgA&#10;h07iQH3kWrslAgAALAQAAA4AAAAAAAAAAQAgAAAAJwEAAGRycy9lMm9Eb2MueG1sUEsFBgAAAAAG&#10;AAYAWQEAAL4FAAAAAA==&#10;">
                <v:fill on="f" focussize="0,0"/>
                <v:stroke on="f"/>
                <v:imagedata o:title=""/>
                <o:lock v:ext="edit" aspectratio="f"/>
                <v:textbox>
                  <w:txbxContent>
                    <w:p w14:paraId="50BC07C5">
                      <w:pPr>
                        <w:rPr>
                          <w:color w:val="FF0000"/>
                        </w:rPr>
                      </w:pPr>
                      <w:r>
                        <w:rPr>
                          <w:rFonts w:hint="eastAsia"/>
                          <w:color w:val="FF0000"/>
                        </w:rPr>
                        <w:t xml:space="preserve"> </w:t>
                      </w:r>
                    </w:p>
                  </w:txbxContent>
                </v:textbox>
              </v:shape>
            </w:pict>
          </mc:Fallback>
        </mc:AlternateContent>
      </w:r>
    </w:p>
    <w:tbl>
      <w:tblPr>
        <w:tblStyle w:val="4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8170"/>
      </w:tblGrid>
      <w:tr w14:paraId="75A39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1" w:type="dxa"/>
            <w:vAlign w:val="center"/>
          </w:tcPr>
          <w:p w14:paraId="6EA0E7F9">
            <w:pPr>
              <w:widowControl/>
              <w:jc w:val="center"/>
              <w:outlineLvl w:val="0"/>
              <w:rPr>
                <w:rFonts w:hAnsi="宋体"/>
                <w:color w:val="002DC7"/>
                <w:kern w:val="0"/>
                <w:sz w:val="24"/>
              </w:rPr>
            </w:pPr>
          </w:p>
          <w:p w14:paraId="5858BFF4">
            <w:pPr>
              <w:widowControl/>
              <w:jc w:val="center"/>
              <w:outlineLvl w:val="0"/>
              <w:rPr>
                <w:rFonts w:hAnsi="宋体"/>
                <w:color w:val="002DC7"/>
                <w:kern w:val="0"/>
                <w:sz w:val="24"/>
              </w:rPr>
            </w:pPr>
          </w:p>
          <w:p w14:paraId="168C1989">
            <w:pPr>
              <w:widowControl/>
              <w:jc w:val="center"/>
              <w:outlineLvl w:val="0"/>
              <w:rPr>
                <w:rFonts w:hAnsi="宋体"/>
                <w:color w:val="002DC7"/>
                <w:kern w:val="0"/>
                <w:sz w:val="24"/>
              </w:rPr>
            </w:pPr>
          </w:p>
          <w:p w14:paraId="771AEC10">
            <w:pPr>
              <w:widowControl/>
              <w:jc w:val="center"/>
              <w:outlineLvl w:val="0"/>
              <w:rPr>
                <w:rFonts w:hAnsi="宋体"/>
                <w:color w:val="002DC7"/>
                <w:kern w:val="0"/>
                <w:sz w:val="24"/>
              </w:rPr>
            </w:pPr>
          </w:p>
          <w:p w14:paraId="3FF837DE">
            <w:pPr>
              <w:widowControl/>
              <w:jc w:val="center"/>
              <w:outlineLvl w:val="0"/>
              <w:rPr>
                <w:rFonts w:hAnsi="宋体"/>
                <w:color w:val="002DC7"/>
                <w:kern w:val="0"/>
                <w:sz w:val="24"/>
              </w:rPr>
            </w:pPr>
          </w:p>
          <w:p w14:paraId="504D1C2B">
            <w:pPr>
              <w:widowControl/>
              <w:jc w:val="center"/>
              <w:outlineLvl w:val="0"/>
              <w:rPr>
                <w:rFonts w:hAnsi="宋体"/>
                <w:color w:val="002DC7"/>
                <w:kern w:val="0"/>
                <w:sz w:val="24"/>
              </w:rPr>
            </w:pPr>
          </w:p>
          <w:p w14:paraId="65FE5481">
            <w:pPr>
              <w:widowControl/>
              <w:jc w:val="center"/>
              <w:outlineLvl w:val="0"/>
              <w:rPr>
                <w:rFonts w:hAnsi="宋体"/>
                <w:color w:val="002DC7"/>
                <w:kern w:val="0"/>
                <w:sz w:val="24"/>
              </w:rPr>
            </w:pPr>
          </w:p>
          <w:p w14:paraId="37CBDD87">
            <w:pPr>
              <w:widowControl/>
              <w:jc w:val="center"/>
              <w:outlineLvl w:val="0"/>
              <w:rPr>
                <w:rFonts w:hAnsi="宋体"/>
                <w:color w:val="002DC7"/>
                <w:kern w:val="0"/>
                <w:sz w:val="24"/>
              </w:rPr>
            </w:pPr>
          </w:p>
          <w:p w14:paraId="2797061E">
            <w:pPr>
              <w:widowControl/>
              <w:jc w:val="center"/>
              <w:outlineLvl w:val="0"/>
              <w:rPr>
                <w:rFonts w:hAnsi="宋体"/>
                <w:color w:val="002DC7"/>
                <w:kern w:val="0"/>
                <w:sz w:val="24"/>
              </w:rPr>
            </w:pPr>
          </w:p>
          <w:p w14:paraId="5006074D">
            <w:pPr>
              <w:widowControl/>
              <w:jc w:val="center"/>
              <w:outlineLvl w:val="0"/>
              <w:rPr>
                <w:rFonts w:hAnsi="宋体"/>
                <w:color w:val="002DC7"/>
                <w:kern w:val="0"/>
                <w:sz w:val="24"/>
              </w:rPr>
            </w:pPr>
          </w:p>
          <w:p w14:paraId="0B0A0652">
            <w:pPr>
              <w:widowControl/>
              <w:jc w:val="center"/>
              <w:outlineLvl w:val="0"/>
              <w:rPr>
                <w:rFonts w:hAnsi="宋体"/>
                <w:color w:val="002DC7"/>
                <w:kern w:val="0"/>
                <w:sz w:val="24"/>
              </w:rPr>
            </w:pPr>
          </w:p>
          <w:p w14:paraId="76B2E1BA">
            <w:pPr>
              <w:widowControl/>
              <w:jc w:val="center"/>
              <w:outlineLvl w:val="0"/>
              <w:rPr>
                <w:rFonts w:hAnsi="宋体"/>
                <w:color w:val="002DC7"/>
                <w:kern w:val="0"/>
                <w:sz w:val="24"/>
              </w:rPr>
            </w:pPr>
          </w:p>
          <w:p w14:paraId="050DEA3C">
            <w:pPr>
              <w:widowControl/>
              <w:jc w:val="center"/>
              <w:outlineLvl w:val="0"/>
              <w:rPr>
                <w:rFonts w:hAnsi="宋体"/>
                <w:color w:val="002DC7"/>
                <w:kern w:val="0"/>
                <w:sz w:val="24"/>
              </w:rPr>
            </w:pPr>
          </w:p>
          <w:p w14:paraId="21AE1D5A">
            <w:pPr>
              <w:widowControl/>
              <w:jc w:val="center"/>
              <w:outlineLvl w:val="0"/>
              <w:rPr>
                <w:rFonts w:hAnsi="宋体"/>
                <w:color w:val="002DC7"/>
                <w:kern w:val="0"/>
                <w:sz w:val="24"/>
              </w:rPr>
            </w:pPr>
          </w:p>
          <w:p w14:paraId="65E30903">
            <w:pPr>
              <w:widowControl/>
              <w:spacing w:line="360" w:lineRule="auto"/>
              <w:jc w:val="center"/>
              <w:outlineLvl w:val="0"/>
              <w:rPr>
                <w:b/>
                <w:color w:val="002DC7"/>
                <w:sz w:val="24"/>
                <w:szCs w:val="24"/>
              </w:rPr>
            </w:pPr>
            <w:r>
              <w:rPr>
                <w:color w:val="auto"/>
              </w:rPr>
              <mc:AlternateContent>
                <mc:Choice Requires="wps">
                  <w:drawing>
                    <wp:anchor distT="2147483656" distB="0" distL="2147597956" distR="114300" simplePos="0" relativeHeight="251662336" behindDoc="0" locked="0" layoutInCell="1" allowOverlap="1">
                      <wp:simplePos x="0" y="0"/>
                      <wp:positionH relativeFrom="column">
                        <wp:posOffset>2125592015</wp:posOffset>
                      </wp:positionH>
                      <wp:positionV relativeFrom="paragraph">
                        <wp:posOffset>2127911670</wp:posOffset>
                      </wp:positionV>
                      <wp:extent cx="0" cy="0"/>
                      <wp:effectExtent l="104775" t="109855" r="95885" b="100330"/>
                      <wp:wrapNone/>
                      <wp:docPr id="1212321820"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7">
                                <w14:nvContentPartPr>
                                  <w14:cNvPr id="1212321820" name="墨迹 4"/>
                                  <w14:cNvContentPartPr/>
                                </w14:nvContentPartPr>
                                <w14:xfrm>
                                  <a:off x="0" y="0"/>
                                  <a:ext cx="2147011200" cy="2147011200"/>
                                </w14:xfrm>
                              </w14:contentPart>
                            </mc:Choice>
                          </mc:AlternateContent>
                        </a:graphicData>
                      </a:graphic>
                    </wp:anchor>
                  </w:drawing>
                </mc:Choice>
                <mc:Fallback>
                  <w:pict>
                    <v:shape id="墨迹 4" o:spid="_x0000_s1026" o:spt="75" style="position:absolute;left:0pt;margin-left:167369.45pt;margin-top:167552.1pt;height:0pt;width:0pt;z-index:251662336;mso-width-relative:page;mso-height-relative:page;" coordsize="21600,21600" o:gfxdata="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">
                      <v:imagedata r:id="rId18" o:title=""/>
                      <o:lock v:ext="edit"/>
                    </v:shape>
                  </w:pict>
                </mc:Fallback>
              </mc:AlternateContent>
            </w:r>
            <w:r>
              <w:rPr>
                <w:color w:val="auto"/>
              </w:rPr>
              <mc:AlternateContent>
                <mc:Choice Requires="wps">
                  <w:drawing>
                    <wp:anchor distT="2147483656" distB="0" distL="2147597956" distR="114300" simplePos="0" relativeHeight="251661312" behindDoc="0" locked="0" layoutInCell="1" allowOverlap="1">
                      <wp:simplePos x="0" y="0"/>
                      <wp:positionH relativeFrom="column">
                        <wp:posOffset>2125562805</wp:posOffset>
                      </wp:positionH>
                      <wp:positionV relativeFrom="paragraph">
                        <wp:posOffset>2128328865</wp:posOffset>
                      </wp:positionV>
                      <wp:extent cx="0" cy="0"/>
                      <wp:effectExtent l="104775" t="109855" r="95885" b="100330"/>
                      <wp:wrapNone/>
                      <wp:docPr id="370205766" name="墨迹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9">
                                <w14:nvContentPartPr>
                                  <w14:cNvPr id="370205766" name="墨迹 3"/>
                                  <w14:cNvContentPartPr/>
                                </w14:nvContentPartPr>
                                <w14:xfrm>
                                  <a:off x="0" y="0"/>
                                  <a:ext cx="2147011200" cy="2147011200"/>
                                </w14:xfrm>
                              </w14:contentPart>
                            </mc:Choice>
                          </mc:AlternateContent>
                        </a:graphicData>
                      </a:graphic>
                    </wp:anchor>
                  </w:drawing>
                </mc:Choice>
                <mc:Fallback>
                  <w:pict>
                    <v:shape id="墨迹 3" o:spid="_x0000_s1026" o:spt="75" style="position:absolute;left:0pt;margin-left:167367.15pt;margin-top:167584.95pt;height:0pt;width:0pt;z-index:251661312;mso-width-relative:page;mso-height-relative:page;" coordsize="21600,21600" o:gfxdata="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">
                      <v:imagedata r:id="rId18" o:title=""/>
                      <o:lock v:ext="edit"/>
                    </v:shape>
                  </w:pict>
                </mc:Fallback>
              </mc:AlternateContent>
            </w:r>
            <w:r>
              <w:rPr>
                <w:color w:val="auto"/>
              </w:rPr>
              <mc:AlternateContent>
                <mc:Choice Requires="wps">
                  <w:drawing>
                    <wp:anchor distT="2147483656" distB="0" distL="2147597956" distR="114300" simplePos="0" relativeHeight="251660288" behindDoc="0" locked="0" layoutInCell="1" allowOverlap="1">
                      <wp:simplePos x="0" y="0"/>
                      <wp:positionH relativeFrom="column">
                        <wp:posOffset>2125635830</wp:posOffset>
                      </wp:positionH>
                      <wp:positionV relativeFrom="paragraph">
                        <wp:posOffset>2129206435</wp:posOffset>
                      </wp:positionV>
                      <wp:extent cx="0" cy="0"/>
                      <wp:effectExtent l="104775" t="109855" r="95885" b="100330"/>
                      <wp:wrapNone/>
                      <wp:docPr id="1031354517" name="墨迹 2"/>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1031354517" name="墨迹 2"/>
                                  <w14:cNvContentPartPr/>
                                </w14:nvContentPartPr>
                                <w14:xfrm>
                                  <a:off x="0" y="0"/>
                                  <a:ext cx="2147011200" cy="2147011200"/>
                                </w14:xfrm>
                              </w14:contentPart>
                            </mc:Choice>
                          </mc:AlternateContent>
                        </a:graphicData>
                      </a:graphic>
                    </wp:anchor>
                  </w:drawing>
                </mc:Choice>
                <mc:Fallback>
                  <w:pict>
                    <v:shape id="墨迹 2" o:spid="_x0000_s1026" o:spt="75" style="position:absolute;left:0pt;margin-left:167372.9pt;margin-top:167654.05pt;height:0pt;width:0pt;z-index:251660288;mso-width-relative:page;mso-height-relative:page;" coordsize="21600,21600" o:gfxdata="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">
                      <v:imagedata r:id="rId18" o:title=""/>
                      <o:lock v:ext="edit"/>
                    </v:shape>
                  </w:pict>
                </mc:Fallback>
              </mc:AlternateContent>
            </w:r>
            <w:r>
              <w:rPr>
                <w:color w:val="auto"/>
              </w:rPr>
              <mc:AlternateContent>
                <mc:Choice Requires="wps">
                  <w:drawing>
                    <wp:anchor distT="2147483656" distB="0" distL="2147597956" distR="114300" simplePos="0" relativeHeight="251659264" behindDoc="0" locked="0" layoutInCell="1" allowOverlap="1">
                      <wp:simplePos x="0" y="0"/>
                      <wp:positionH relativeFrom="column">
                        <wp:posOffset>2131941380</wp:posOffset>
                      </wp:positionH>
                      <wp:positionV relativeFrom="paragraph">
                        <wp:posOffset>2129594420</wp:posOffset>
                      </wp:positionV>
                      <wp:extent cx="0" cy="0"/>
                      <wp:effectExtent l="104775" t="109855" r="95885" b="100330"/>
                      <wp:wrapNone/>
                      <wp:docPr id="111560955" name="墨迹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1">
                                <w14:nvContentPartPr>
                                  <w14:cNvPr id="111560955" name="墨迹 1"/>
                                  <w14:cNvContentPartPr/>
                                </w14:nvContentPartPr>
                                <w14:xfrm>
                                  <a:off x="0" y="0"/>
                                  <a:ext cx="2147011200" cy="2147011200"/>
                                </w14:xfrm>
                              </w14:contentPart>
                            </mc:Choice>
                          </mc:AlternateContent>
                        </a:graphicData>
                      </a:graphic>
                    </wp:anchor>
                  </w:drawing>
                </mc:Choice>
                <mc:Fallback>
                  <w:pict>
                    <v:shape id="墨迹 1" o:spid="_x0000_s1026" o:spt="75" style="position:absolute;left:0pt;margin-left:167869.4pt;margin-top:167684.6pt;height:0pt;width:0pt;z-index:251659264;mso-width-relative:page;mso-height-relative:page;" coordsize="21600,21600" o:gfxdata="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">
                      <v:imagedata r:id="rId18" o:title=""/>
                      <o:lock v:ext="edit"/>
                    </v:shape>
                  </w:pict>
                </mc:Fallback>
              </mc:AlternateContent>
            </w:r>
            <w:r>
              <w:rPr>
                <w:rFonts w:hAnsi="宋体"/>
                <w:color w:val="auto"/>
                <w:kern w:val="0"/>
                <w:sz w:val="24"/>
              </w:rPr>
              <w:t>污染物排放控制标准</w:t>
            </w:r>
          </w:p>
        </w:tc>
        <w:tc>
          <w:tcPr>
            <w:tcW w:w="8170" w:type="dxa"/>
          </w:tcPr>
          <w:p w14:paraId="51DD99DF">
            <w:pPr>
              <w:pStyle w:val="18"/>
              <w:widowControl/>
              <w:spacing w:line="360" w:lineRule="auto"/>
              <w:ind w:firstLine="482"/>
              <w:rPr>
                <w:b/>
                <w:color w:val="auto"/>
                <w:sz w:val="24"/>
                <w:szCs w:val="24"/>
              </w:rPr>
            </w:pPr>
            <w:r>
              <w:rPr>
                <w:b/>
                <w:color w:val="auto"/>
                <w:sz w:val="24"/>
                <w:szCs w:val="24"/>
              </w:rPr>
              <w:t>1、</w:t>
            </w:r>
            <w:r>
              <w:rPr>
                <w:rFonts w:hint="eastAsia"/>
                <w:b/>
                <w:color w:val="auto"/>
                <w:sz w:val="24"/>
                <w:szCs w:val="24"/>
              </w:rPr>
              <w:t>大气</w:t>
            </w:r>
            <w:r>
              <w:rPr>
                <w:b/>
                <w:color w:val="auto"/>
                <w:sz w:val="24"/>
                <w:szCs w:val="24"/>
              </w:rPr>
              <w:t>污染物</w:t>
            </w:r>
          </w:p>
          <w:p w14:paraId="3D64DB6D">
            <w:pPr>
              <w:pStyle w:val="18"/>
              <w:widowControl/>
              <w:spacing w:line="360" w:lineRule="auto"/>
              <w:ind w:firstLine="480"/>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eastAsia="zh-CN"/>
              </w:rPr>
              <w:t>项目施工过程中产生的颗粒物执行《施工场地颗粒物排放标准》（DB34/4811-2024）</w:t>
            </w:r>
            <w:r>
              <w:rPr>
                <w:rFonts w:hint="eastAsia" w:ascii="Times New Roman" w:hAnsi="Times New Roman" w:eastAsia="宋体" w:cs="Times New Roman"/>
                <w:color w:val="auto"/>
                <w:sz w:val="24"/>
                <w:lang w:val="en-US" w:eastAsia="zh-CN"/>
              </w:rPr>
              <w:t>，具体标准值见下表。</w:t>
            </w:r>
          </w:p>
          <w:p w14:paraId="2D9EDC9D">
            <w:pPr>
              <w:adjustRightInd w:val="0"/>
              <w:snapToGrid w:val="0"/>
              <w:jc w:val="center"/>
              <w:rPr>
                <w:rFonts w:hint="default" w:ascii="Times New Roman" w:hAnsi="Times New Roman" w:cs="Times New Roman"/>
                <w:bCs/>
                <w:color w:val="auto"/>
                <w:sz w:val="24"/>
                <w:szCs w:val="24"/>
                <w:lang w:val="zh-CN"/>
              </w:rPr>
            </w:pPr>
            <w:r>
              <w:rPr>
                <w:rFonts w:hint="default" w:ascii="Times New Roman" w:hAnsi="Times New Roman" w:cs="Times New Roman"/>
                <w:b/>
                <w:color w:val="auto"/>
                <w:sz w:val="24"/>
                <w:szCs w:val="24"/>
              </w:rPr>
              <w:t>表3-5 施工期大气排放标准</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8"/>
              <w:gridCol w:w="2337"/>
              <w:gridCol w:w="1732"/>
              <w:gridCol w:w="2724"/>
            </w:tblGrid>
            <w:tr w14:paraId="0087F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28" w:type="pct"/>
                  <w:noWrap w:val="0"/>
                  <w:vAlign w:val="center"/>
                </w:tcPr>
                <w:p w14:paraId="3E8C156A">
                  <w:pPr>
                    <w:adjustRightInd w:val="0"/>
                    <w:snapToGrid w:val="0"/>
                    <w:jc w:val="center"/>
                    <w:rPr>
                      <w:rFonts w:hint="default" w:ascii="Times New Roman" w:hAnsi="Times New Roman" w:cs="Times New Roman"/>
                      <w:b/>
                      <w:iCs/>
                      <w:color w:val="auto"/>
                      <w:sz w:val="21"/>
                      <w:szCs w:val="21"/>
                    </w:rPr>
                  </w:pPr>
                  <w:r>
                    <w:rPr>
                      <w:rFonts w:hint="default" w:ascii="Times New Roman" w:hAnsi="Times New Roman" w:cs="Times New Roman"/>
                      <w:b/>
                      <w:iCs/>
                      <w:color w:val="auto"/>
                      <w:sz w:val="21"/>
                      <w:szCs w:val="21"/>
                      <w:lang w:bidi="ar"/>
                    </w:rPr>
                    <w:t>污染物名称</w:t>
                  </w:r>
                </w:p>
              </w:tc>
              <w:tc>
                <w:tcPr>
                  <w:tcW w:w="1469" w:type="pct"/>
                  <w:noWrap w:val="0"/>
                  <w:vAlign w:val="center"/>
                </w:tcPr>
                <w:p w14:paraId="16975B07">
                  <w:pPr>
                    <w:adjustRightInd w:val="0"/>
                    <w:snapToGrid w:val="0"/>
                    <w:jc w:val="center"/>
                    <w:rPr>
                      <w:rFonts w:hint="default" w:ascii="Times New Roman" w:hAnsi="Times New Roman" w:cs="Times New Roman"/>
                      <w:b/>
                      <w:iCs/>
                      <w:color w:val="auto"/>
                      <w:sz w:val="21"/>
                      <w:szCs w:val="21"/>
                    </w:rPr>
                  </w:pPr>
                  <w:r>
                    <w:rPr>
                      <w:rFonts w:hint="default" w:ascii="Times New Roman" w:hAnsi="Times New Roman" w:cs="Times New Roman"/>
                      <w:b/>
                      <w:iCs/>
                      <w:color w:val="auto"/>
                      <w:sz w:val="21"/>
                      <w:szCs w:val="21"/>
                      <w:lang w:bidi="ar"/>
                    </w:rPr>
                    <w:t>最高允许排放浓度(μg/m</w:t>
                  </w:r>
                  <w:r>
                    <w:rPr>
                      <w:rFonts w:hint="default" w:ascii="Times New Roman" w:hAnsi="Times New Roman" w:cs="Times New Roman"/>
                      <w:b/>
                      <w:iCs/>
                      <w:color w:val="auto"/>
                      <w:sz w:val="21"/>
                      <w:szCs w:val="21"/>
                      <w:vertAlign w:val="superscript"/>
                      <w:lang w:bidi="ar"/>
                    </w:rPr>
                    <w:t>3</w:t>
                  </w:r>
                  <w:r>
                    <w:rPr>
                      <w:rFonts w:hint="default" w:ascii="Times New Roman" w:hAnsi="Times New Roman" w:cs="Times New Roman"/>
                      <w:b/>
                      <w:iCs/>
                      <w:color w:val="auto"/>
                      <w:sz w:val="21"/>
                      <w:szCs w:val="21"/>
                      <w:lang w:bidi="ar"/>
                    </w:rPr>
                    <w:t>)</w:t>
                  </w:r>
                </w:p>
              </w:tc>
              <w:tc>
                <w:tcPr>
                  <w:tcW w:w="1089" w:type="pct"/>
                  <w:noWrap w:val="0"/>
                  <w:vAlign w:val="center"/>
                </w:tcPr>
                <w:p w14:paraId="250F2D05">
                  <w:pPr>
                    <w:adjustRightInd w:val="0"/>
                    <w:snapToGrid w:val="0"/>
                    <w:jc w:val="center"/>
                    <w:rPr>
                      <w:rFonts w:hint="default" w:ascii="Times New Roman" w:hAnsi="Times New Roman" w:cs="Times New Roman"/>
                      <w:b/>
                      <w:iCs/>
                      <w:color w:val="auto"/>
                      <w:sz w:val="21"/>
                      <w:szCs w:val="21"/>
                    </w:rPr>
                  </w:pPr>
                  <w:r>
                    <w:rPr>
                      <w:rFonts w:hint="default" w:ascii="Times New Roman" w:hAnsi="Times New Roman" w:cs="Times New Roman"/>
                      <w:b/>
                      <w:iCs/>
                      <w:color w:val="auto"/>
                      <w:sz w:val="21"/>
                      <w:szCs w:val="21"/>
                    </w:rPr>
                    <w:t>达标判定依据</w:t>
                  </w:r>
                </w:p>
              </w:tc>
              <w:tc>
                <w:tcPr>
                  <w:tcW w:w="1712" w:type="pct"/>
                  <w:noWrap w:val="0"/>
                  <w:vAlign w:val="center"/>
                </w:tcPr>
                <w:p w14:paraId="1C3D36E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标准来源</w:t>
                  </w:r>
                </w:p>
              </w:tc>
            </w:tr>
            <w:tr w14:paraId="3B720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28" w:type="pct"/>
                  <w:vMerge w:val="restart"/>
                  <w:noWrap w:val="0"/>
                  <w:vAlign w:val="center"/>
                </w:tcPr>
                <w:p w14:paraId="0204B7D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469" w:type="pct"/>
                  <w:noWrap w:val="0"/>
                  <w:vAlign w:val="center"/>
                </w:tcPr>
                <w:p w14:paraId="54E22E25">
                  <w:pPr>
                    <w:adjustRightInd w:val="0"/>
                    <w:snapToGrid w:val="0"/>
                    <w:jc w:val="center"/>
                    <w:rPr>
                      <w:rFonts w:hint="default" w:ascii="Times New Roman" w:hAnsi="Times New Roman" w:cs="Times New Roman"/>
                      <w:bCs/>
                      <w:iCs/>
                      <w:color w:val="auto"/>
                      <w:sz w:val="21"/>
                      <w:szCs w:val="21"/>
                      <w:lang w:bidi="ar"/>
                    </w:rPr>
                  </w:pPr>
                  <w:r>
                    <w:rPr>
                      <w:rFonts w:hint="default" w:ascii="Times New Roman" w:hAnsi="Times New Roman" w:cs="Times New Roman"/>
                      <w:bCs/>
                      <w:iCs/>
                      <w:color w:val="auto"/>
                      <w:sz w:val="21"/>
                      <w:szCs w:val="21"/>
                      <w:lang w:bidi="ar"/>
                    </w:rPr>
                    <w:t>1000</w:t>
                  </w:r>
                </w:p>
              </w:tc>
              <w:tc>
                <w:tcPr>
                  <w:tcW w:w="1089" w:type="pct"/>
                  <w:noWrap w:val="0"/>
                  <w:vAlign w:val="center"/>
                </w:tcPr>
                <w:p w14:paraId="2EE2BF77">
                  <w:pPr>
                    <w:adjustRightInd w:val="0"/>
                    <w:snapToGrid w:val="0"/>
                    <w:jc w:val="center"/>
                    <w:rPr>
                      <w:rFonts w:hint="default" w:ascii="Times New Roman" w:hAnsi="Times New Roman" w:cs="Times New Roman"/>
                      <w:bCs/>
                      <w:iCs/>
                      <w:color w:val="auto"/>
                      <w:sz w:val="21"/>
                      <w:szCs w:val="21"/>
                      <w:lang w:bidi="ar"/>
                    </w:rPr>
                  </w:pPr>
                  <w:r>
                    <w:rPr>
                      <w:rFonts w:hint="default" w:ascii="Times New Roman" w:hAnsi="Times New Roman" w:cs="Times New Roman"/>
                      <w:bCs/>
                      <w:iCs/>
                      <w:color w:val="auto"/>
                      <w:sz w:val="21"/>
                      <w:szCs w:val="21"/>
                      <w:lang w:bidi="ar"/>
                    </w:rPr>
                    <w:t>超标次数≤1次/日</w:t>
                  </w:r>
                </w:p>
              </w:tc>
              <w:tc>
                <w:tcPr>
                  <w:tcW w:w="1712" w:type="pct"/>
                  <w:vMerge w:val="restart"/>
                  <w:noWrap w:val="0"/>
                  <w:vAlign w:val="center"/>
                </w:tcPr>
                <w:p w14:paraId="0DF6EF8E">
                  <w:pPr>
                    <w:adjustRightInd w:val="0"/>
                    <w:snapToGrid w:val="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《施工场地颗粒物排放标准》（DB34/4811-2024）表1标准</w:t>
                  </w:r>
                </w:p>
              </w:tc>
            </w:tr>
            <w:tr w14:paraId="7D8D8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28" w:type="pct"/>
                  <w:vMerge w:val="continue"/>
                  <w:noWrap w:val="0"/>
                  <w:vAlign w:val="center"/>
                </w:tcPr>
                <w:p w14:paraId="495D1C6C">
                  <w:pPr>
                    <w:adjustRightInd w:val="0"/>
                    <w:snapToGrid w:val="0"/>
                    <w:jc w:val="center"/>
                    <w:rPr>
                      <w:rFonts w:hint="default" w:ascii="Times New Roman" w:hAnsi="Times New Roman" w:cs="Times New Roman"/>
                      <w:bCs/>
                      <w:iCs/>
                      <w:color w:val="002DC7"/>
                      <w:sz w:val="21"/>
                      <w:szCs w:val="21"/>
                      <w:lang w:bidi="ar"/>
                    </w:rPr>
                  </w:pPr>
                </w:p>
              </w:tc>
              <w:tc>
                <w:tcPr>
                  <w:tcW w:w="1469" w:type="pct"/>
                  <w:noWrap w:val="0"/>
                  <w:vAlign w:val="center"/>
                </w:tcPr>
                <w:p w14:paraId="3E85D49C">
                  <w:pPr>
                    <w:adjustRightInd w:val="0"/>
                    <w:snapToGrid w:val="0"/>
                    <w:jc w:val="center"/>
                    <w:rPr>
                      <w:rFonts w:hint="default" w:ascii="Times New Roman" w:hAnsi="Times New Roman" w:cs="Times New Roman"/>
                      <w:bCs/>
                      <w:iCs/>
                      <w:color w:val="auto"/>
                      <w:sz w:val="21"/>
                      <w:szCs w:val="21"/>
                      <w:lang w:bidi="ar"/>
                    </w:rPr>
                  </w:pPr>
                  <w:r>
                    <w:rPr>
                      <w:rFonts w:hint="default" w:ascii="Times New Roman" w:hAnsi="Times New Roman" w:cs="Times New Roman"/>
                      <w:bCs/>
                      <w:iCs/>
                      <w:color w:val="auto"/>
                      <w:sz w:val="21"/>
                      <w:szCs w:val="21"/>
                      <w:lang w:bidi="ar"/>
                    </w:rPr>
                    <w:t>500</w:t>
                  </w:r>
                </w:p>
              </w:tc>
              <w:tc>
                <w:tcPr>
                  <w:tcW w:w="1089" w:type="pct"/>
                  <w:noWrap w:val="0"/>
                  <w:vAlign w:val="center"/>
                </w:tcPr>
                <w:p w14:paraId="54B5D1C4">
                  <w:pPr>
                    <w:adjustRightInd w:val="0"/>
                    <w:snapToGrid w:val="0"/>
                    <w:jc w:val="center"/>
                    <w:rPr>
                      <w:rFonts w:hint="default" w:ascii="Times New Roman" w:hAnsi="Times New Roman" w:cs="Times New Roman"/>
                      <w:bCs/>
                      <w:iCs/>
                      <w:color w:val="auto"/>
                      <w:sz w:val="21"/>
                      <w:szCs w:val="21"/>
                      <w:lang w:bidi="ar"/>
                    </w:rPr>
                  </w:pPr>
                  <w:r>
                    <w:rPr>
                      <w:rFonts w:hint="default" w:ascii="Times New Roman" w:hAnsi="Times New Roman" w:cs="Times New Roman"/>
                      <w:bCs/>
                      <w:iCs/>
                      <w:color w:val="auto"/>
                      <w:sz w:val="21"/>
                      <w:szCs w:val="21"/>
                      <w:lang w:bidi="ar"/>
                    </w:rPr>
                    <w:t>超标次数≤6次/日</w:t>
                  </w:r>
                </w:p>
              </w:tc>
              <w:tc>
                <w:tcPr>
                  <w:tcW w:w="1712" w:type="pct"/>
                  <w:vMerge w:val="continue"/>
                  <w:noWrap w:val="0"/>
                  <w:vAlign w:val="center"/>
                </w:tcPr>
                <w:p w14:paraId="33C21613">
                  <w:pPr>
                    <w:adjustRightInd w:val="0"/>
                    <w:snapToGrid w:val="0"/>
                    <w:jc w:val="center"/>
                    <w:rPr>
                      <w:rFonts w:hint="default" w:ascii="Times New Roman" w:hAnsi="Times New Roman" w:cs="Times New Roman"/>
                      <w:color w:val="002DC7"/>
                      <w:sz w:val="21"/>
                      <w:szCs w:val="21"/>
                      <w:lang w:bidi="ar"/>
                    </w:rPr>
                  </w:pPr>
                </w:p>
              </w:tc>
            </w:tr>
          </w:tbl>
          <w:p w14:paraId="6142AF26">
            <w:pPr>
              <w:pStyle w:val="18"/>
              <w:widowControl/>
              <w:spacing w:line="360" w:lineRule="auto"/>
              <w:ind w:firstLine="480"/>
              <w:rPr>
                <w:color w:val="002DC7"/>
                <w:sz w:val="24"/>
              </w:rPr>
            </w:pPr>
            <w:r>
              <w:rPr>
                <w:rFonts w:hint="default" w:ascii="Times New Roman" w:hAnsi="Times New Roman" w:eastAsia="宋体" w:cs="Times New Roman"/>
                <w:color w:val="auto"/>
                <w:kern w:val="0"/>
                <w:sz w:val="24"/>
                <w:lang w:val="en-US" w:eastAsia="zh-CN"/>
              </w:rPr>
              <w:t>项目</w:t>
            </w:r>
            <w:r>
              <w:rPr>
                <w:rFonts w:hint="default" w:ascii="Times New Roman" w:hAnsi="Times New Roman" w:eastAsia="宋体" w:cs="Times New Roman"/>
                <w:color w:val="auto"/>
                <w:kern w:val="0"/>
                <w:sz w:val="24"/>
              </w:rPr>
              <w:t>运营期项目有组织废气</w:t>
            </w:r>
            <w:r>
              <w:rPr>
                <w:rFonts w:hint="eastAsia" w:cs="Times New Roman"/>
                <w:color w:val="auto"/>
                <w:kern w:val="0"/>
                <w:sz w:val="24"/>
                <w:lang w:val="en-US" w:eastAsia="zh-CN"/>
              </w:rPr>
              <w:t>颗粒物</w:t>
            </w:r>
            <w:r>
              <w:rPr>
                <w:rFonts w:hint="default" w:ascii="Times New Roman" w:hAnsi="Times New Roman" w:eastAsia="宋体" w:cs="Times New Roman"/>
                <w:color w:val="auto"/>
                <w:kern w:val="0"/>
                <w:sz w:val="24"/>
              </w:rPr>
              <w:t>排放</w:t>
            </w:r>
            <w:bookmarkStart w:id="12" w:name="OLE_LINK38"/>
            <w:r>
              <w:rPr>
                <w:rFonts w:hint="default" w:ascii="Times New Roman" w:hAnsi="Times New Roman" w:eastAsia="宋体" w:cs="Times New Roman"/>
                <w:color w:val="auto"/>
                <w:kern w:val="0"/>
                <w:sz w:val="24"/>
              </w:rPr>
              <w:t>执行</w:t>
            </w:r>
            <w:bookmarkStart w:id="13" w:name="_Hlk198888194"/>
            <w:r>
              <w:rPr>
                <w:rFonts w:ascii="Times New Roman" w:hAnsi="Times New Roman" w:eastAsia="宋体" w:cs="Times New Roman"/>
                <w:color w:val="000000" w:themeColor="text1"/>
                <w:sz w:val="24"/>
                <w:szCs w:val="24"/>
                <w14:textFill>
                  <w14:solidFill>
                    <w14:schemeClr w14:val="tx1"/>
                  </w14:solidFill>
                </w14:textFill>
              </w:rPr>
              <w:t>《水泥工业大气污染物排放标准》</w:t>
            </w:r>
            <w:r>
              <w:rPr>
                <w:rFonts w:ascii="Times New Roman" w:hAnsi="Times New Roman" w:eastAsia="宋体" w:cs="Times New Roman"/>
                <w:color w:val="000000" w:themeColor="text1"/>
                <w:sz w:val="24"/>
                <w:szCs w:val="32"/>
                <w14:textFill>
                  <w14:solidFill>
                    <w14:schemeClr w14:val="tx1"/>
                  </w14:solidFill>
                </w14:textFill>
              </w:rPr>
              <w:t>（DB34/3576-2020）</w:t>
            </w:r>
            <w:bookmarkEnd w:id="13"/>
            <w:r>
              <w:rPr>
                <w:rFonts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eastAsia="宋体" w:cs="Times New Roman"/>
                <w:color w:val="000000" w:themeColor="text1"/>
                <w:sz w:val="24"/>
                <w:szCs w:val="24"/>
                <w14:textFill>
                  <w14:solidFill>
                    <w14:schemeClr w14:val="tx1"/>
                  </w14:solidFill>
                </w14:textFill>
              </w:rPr>
              <w:t>表1 现有与新建企业大气污染物最高允许排放</w:t>
            </w:r>
            <w:r>
              <w:rPr>
                <w:rFonts w:ascii="Times New Roman" w:hAnsi="Times New Roman" w:eastAsia="宋体" w:cs="Times New Roman"/>
                <w:color w:val="000000" w:themeColor="text1"/>
                <w:sz w:val="24"/>
                <w:szCs w:val="24"/>
                <w14:textFill>
                  <w14:solidFill>
                    <w14:schemeClr w14:val="tx1"/>
                  </w14:solidFill>
                </w14:textFill>
              </w:rPr>
              <w:t>浓度限值要求</w:t>
            </w:r>
            <w:r>
              <w:rPr>
                <w:rFonts w:ascii="Times New Roman" w:hAnsi="Times New Roman" w:eastAsia="宋体" w:cs="Times New Roman"/>
                <w:color w:val="auto"/>
                <w:sz w:val="24"/>
                <w:szCs w:val="24"/>
              </w:rPr>
              <w:t>。</w:t>
            </w:r>
            <w:bookmarkEnd w:id="12"/>
            <w:r>
              <w:rPr>
                <w:rFonts w:hint="default" w:ascii="Times New Roman" w:hAnsi="Times New Roman" w:cs="Times New Roman"/>
                <w:color w:val="auto"/>
                <w:sz w:val="24"/>
              </w:rPr>
              <w:t>厂界废气无组织排放</w:t>
            </w:r>
            <w:r>
              <w:rPr>
                <w:rFonts w:hint="default" w:ascii="Times New Roman" w:hAnsi="Times New Roman" w:cs="Times New Roman"/>
                <w:color w:val="auto"/>
                <w:kern w:val="0"/>
                <w:sz w:val="24"/>
              </w:rPr>
              <w:t>执行</w:t>
            </w:r>
            <w:r>
              <w:rPr>
                <w:rFonts w:ascii="Times New Roman" w:hAnsi="Times New Roman" w:eastAsia="宋体" w:cs="Times New Roman"/>
                <w:color w:val="auto"/>
                <w:sz w:val="24"/>
                <w:szCs w:val="24"/>
              </w:rPr>
              <w:t>《水泥工业大气污染物排放标准》</w:t>
            </w:r>
            <w:r>
              <w:rPr>
                <w:rFonts w:ascii="Times New Roman" w:hAnsi="Times New Roman" w:eastAsia="宋体" w:cs="Times New Roman"/>
                <w:color w:val="auto"/>
                <w:sz w:val="24"/>
                <w:szCs w:val="32"/>
              </w:rPr>
              <w:t>（DB34/3576-2020）</w:t>
            </w:r>
            <w:r>
              <w:rPr>
                <w:rFonts w:hint="default" w:ascii="Times New Roman" w:hAnsi="Times New Roman" w:cs="Times New Roman"/>
                <w:color w:val="auto"/>
                <w:sz w:val="24"/>
              </w:rPr>
              <w:t>中表2 大气污染物无组织排放限值。具体见下表：</w:t>
            </w:r>
          </w:p>
          <w:p w14:paraId="637ADE55">
            <w:pPr>
              <w:adjustRightInd w:val="0"/>
              <w:spacing w:line="360" w:lineRule="auto"/>
              <w:jc w:val="center"/>
              <w:rPr>
                <w:b/>
                <w:bCs/>
                <w:color w:val="auto"/>
                <w:sz w:val="24"/>
                <w:szCs w:val="21"/>
              </w:rPr>
            </w:pPr>
            <w:r>
              <w:rPr>
                <w:b/>
                <w:bCs/>
                <w:color w:val="auto"/>
                <w:sz w:val="24"/>
                <w:szCs w:val="21"/>
              </w:rPr>
              <w:t>表3-</w:t>
            </w:r>
            <w:r>
              <w:rPr>
                <w:rFonts w:hint="eastAsia"/>
                <w:b/>
                <w:bCs/>
                <w:color w:val="auto"/>
                <w:sz w:val="24"/>
                <w:szCs w:val="21"/>
                <w:lang w:val="en-US" w:eastAsia="zh-CN"/>
              </w:rPr>
              <w:t>6</w:t>
            </w:r>
            <w:r>
              <w:rPr>
                <w:rFonts w:hint="eastAsia"/>
                <w:b/>
                <w:bCs/>
                <w:color w:val="auto"/>
                <w:sz w:val="24"/>
                <w:szCs w:val="21"/>
              </w:rPr>
              <w:t xml:space="preserve"> </w:t>
            </w:r>
            <w:r>
              <w:rPr>
                <w:b/>
                <w:bCs/>
                <w:color w:val="auto"/>
                <w:sz w:val="24"/>
                <w:szCs w:val="21"/>
              </w:rPr>
              <w:t>项目废气</w:t>
            </w:r>
            <w:r>
              <w:rPr>
                <w:rFonts w:hint="eastAsia"/>
                <w:b/>
                <w:bCs/>
                <w:color w:val="auto"/>
                <w:sz w:val="24"/>
                <w:szCs w:val="21"/>
              </w:rPr>
              <w:t>有组织</w:t>
            </w:r>
            <w:r>
              <w:rPr>
                <w:b/>
                <w:bCs/>
                <w:color w:val="auto"/>
                <w:sz w:val="24"/>
                <w:szCs w:val="21"/>
              </w:rPr>
              <w:t>排放标准</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1"/>
              <w:gridCol w:w="1020"/>
              <w:gridCol w:w="1330"/>
              <w:gridCol w:w="1339"/>
              <w:gridCol w:w="3264"/>
            </w:tblGrid>
            <w:tr w14:paraId="7D80CC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29" w:type="pct"/>
                  <w:vAlign w:val="center"/>
                </w:tcPr>
                <w:p w14:paraId="7BB0536B">
                  <w:pPr>
                    <w:jc w:val="center"/>
                    <w:rPr>
                      <w:rFonts w:hint="eastAsia" w:hAnsi="宋体"/>
                      <w:b/>
                      <w:color w:val="auto"/>
                      <w:szCs w:val="21"/>
                    </w:rPr>
                  </w:pPr>
                  <w:r>
                    <w:rPr>
                      <w:rFonts w:hint="eastAsia" w:hAnsi="宋体"/>
                      <w:b/>
                      <w:color w:val="auto"/>
                      <w:szCs w:val="21"/>
                    </w:rPr>
                    <w:t>排气筒编号</w:t>
                  </w:r>
                </w:p>
              </w:tc>
              <w:tc>
                <w:tcPr>
                  <w:tcW w:w="641" w:type="pct"/>
                  <w:vAlign w:val="center"/>
                </w:tcPr>
                <w:p w14:paraId="367D2955">
                  <w:pPr>
                    <w:jc w:val="center"/>
                    <w:rPr>
                      <w:rFonts w:hint="eastAsia" w:hAnsi="宋体"/>
                      <w:b/>
                      <w:color w:val="auto"/>
                      <w:szCs w:val="21"/>
                    </w:rPr>
                  </w:pPr>
                  <w:r>
                    <w:rPr>
                      <w:rFonts w:hint="eastAsia" w:hAnsi="宋体"/>
                      <w:b/>
                      <w:color w:val="auto"/>
                      <w:szCs w:val="21"/>
                    </w:rPr>
                    <w:t>污染物</w:t>
                  </w:r>
                </w:p>
              </w:tc>
              <w:tc>
                <w:tcPr>
                  <w:tcW w:w="836" w:type="pct"/>
                  <w:vAlign w:val="center"/>
                </w:tcPr>
                <w:p w14:paraId="7AA76649">
                  <w:pPr>
                    <w:jc w:val="center"/>
                    <w:rPr>
                      <w:rFonts w:hint="eastAsia" w:hAnsi="宋体"/>
                      <w:b/>
                      <w:color w:val="auto"/>
                      <w:szCs w:val="21"/>
                    </w:rPr>
                  </w:pPr>
                  <w:r>
                    <w:rPr>
                      <w:rFonts w:hint="eastAsia" w:hAnsi="宋体"/>
                      <w:b/>
                      <w:color w:val="auto"/>
                      <w:szCs w:val="21"/>
                    </w:rPr>
                    <w:t>排放浓度（mg/m</w:t>
                  </w:r>
                  <w:r>
                    <w:rPr>
                      <w:rFonts w:hint="eastAsia" w:hAnsi="宋体"/>
                      <w:b/>
                      <w:color w:val="auto"/>
                      <w:szCs w:val="21"/>
                      <w:vertAlign w:val="superscript"/>
                    </w:rPr>
                    <w:t>3</w:t>
                  </w:r>
                  <w:r>
                    <w:rPr>
                      <w:rFonts w:hint="eastAsia" w:hAnsi="宋体"/>
                      <w:b/>
                      <w:color w:val="auto"/>
                      <w:szCs w:val="21"/>
                    </w:rPr>
                    <w:t>）</w:t>
                  </w:r>
                </w:p>
              </w:tc>
              <w:tc>
                <w:tcPr>
                  <w:tcW w:w="841" w:type="pct"/>
                  <w:vAlign w:val="center"/>
                </w:tcPr>
                <w:p w14:paraId="030BF882">
                  <w:pPr>
                    <w:jc w:val="center"/>
                    <w:rPr>
                      <w:rFonts w:hint="eastAsia" w:hAnsi="宋体" w:eastAsia="宋体"/>
                      <w:b/>
                      <w:color w:val="auto"/>
                      <w:szCs w:val="21"/>
                      <w:lang w:eastAsia="zh-CN"/>
                    </w:rPr>
                  </w:pPr>
                  <w:r>
                    <w:rPr>
                      <w:rFonts w:hint="eastAsia" w:hAnsi="宋体"/>
                      <w:b/>
                      <w:color w:val="auto"/>
                      <w:szCs w:val="21"/>
                      <w:lang w:val="en-US" w:eastAsia="zh-CN"/>
                    </w:rPr>
                    <w:t>排放速率（kg/h）</w:t>
                  </w:r>
                </w:p>
              </w:tc>
              <w:tc>
                <w:tcPr>
                  <w:tcW w:w="2051" w:type="pct"/>
                  <w:vAlign w:val="center"/>
                </w:tcPr>
                <w:p w14:paraId="7D493B9C">
                  <w:pPr>
                    <w:jc w:val="center"/>
                    <w:rPr>
                      <w:rFonts w:hint="eastAsia" w:hAnsi="宋体"/>
                      <w:b/>
                      <w:color w:val="auto"/>
                      <w:szCs w:val="21"/>
                    </w:rPr>
                  </w:pPr>
                  <w:r>
                    <w:rPr>
                      <w:rFonts w:hint="eastAsia" w:hAnsi="宋体"/>
                      <w:b/>
                      <w:color w:val="auto"/>
                      <w:szCs w:val="21"/>
                    </w:rPr>
                    <w:t>标准来源</w:t>
                  </w:r>
                </w:p>
              </w:tc>
            </w:tr>
            <w:tr w14:paraId="285DE4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629" w:type="pct"/>
                  <w:vAlign w:val="center"/>
                </w:tcPr>
                <w:p w14:paraId="5126D376">
                  <w:pPr>
                    <w:jc w:val="center"/>
                    <w:rPr>
                      <w:rFonts w:hint="eastAsia" w:hAnsi="宋体"/>
                      <w:color w:val="auto"/>
                      <w:szCs w:val="21"/>
                    </w:rPr>
                  </w:pPr>
                  <w:r>
                    <w:rPr>
                      <w:rFonts w:hint="eastAsia" w:hAnsi="宋体"/>
                      <w:color w:val="auto"/>
                      <w:szCs w:val="21"/>
                    </w:rPr>
                    <w:t>DA001</w:t>
                  </w:r>
                </w:p>
              </w:tc>
              <w:tc>
                <w:tcPr>
                  <w:tcW w:w="641" w:type="pct"/>
                  <w:vAlign w:val="center"/>
                </w:tcPr>
                <w:p w14:paraId="598B3759">
                  <w:pPr>
                    <w:jc w:val="center"/>
                    <w:rPr>
                      <w:rFonts w:hint="default" w:eastAsia="宋体"/>
                      <w:snapToGrid w:val="0"/>
                      <w:color w:val="auto"/>
                      <w:spacing w:val="-2"/>
                      <w:szCs w:val="21"/>
                      <w:lang w:val="en-US" w:eastAsia="zh-CN"/>
                    </w:rPr>
                  </w:pPr>
                  <w:r>
                    <w:rPr>
                      <w:rFonts w:hint="eastAsia"/>
                      <w:snapToGrid w:val="0"/>
                      <w:color w:val="auto"/>
                      <w:spacing w:val="-2"/>
                      <w:szCs w:val="21"/>
                      <w:lang w:val="en-US" w:eastAsia="zh-CN"/>
                    </w:rPr>
                    <w:t>颗粒物</w:t>
                  </w:r>
                </w:p>
              </w:tc>
              <w:tc>
                <w:tcPr>
                  <w:tcW w:w="836" w:type="pct"/>
                  <w:vAlign w:val="center"/>
                </w:tcPr>
                <w:p w14:paraId="4CD7373C">
                  <w:pPr>
                    <w:jc w:val="center"/>
                    <w:rPr>
                      <w:rFonts w:hint="default" w:hAnsi="宋体" w:eastAsia="宋体"/>
                      <w:color w:val="auto"/>
                      <w:szCs w:val="21"/>
                      <w:lang w:val="en-US" w:eastAsia="zh-CN"/>
                    </w:rPr>
                  </w:pPr>
                  <w:r>
                    <w:rPr>
                      <w:rFonts w:hint="eastAsia" w:hAnsi="宋体"/>
                      <w:color w:val="auto"/>
                      <w:szCs w:val="21"/>
                      <w:lang w:val="en-US" w:eastAsia="zh-CN"/>
                    </w:rPr>
                    <w:t>10</w:t>
                  </w:r>
                </w:p>
              </w:tc>
              <w:tc>
                <w:tcPr>
                  <w:tcW w:w="841" w:type="pct"/>
                  <w:vAlign w:val="center"/>
                </w:tcPr>
                <w:p w14:paraId="776ED3D5">
                  <w:pPr>
                    <w:jc w:val="center"/>
                    <w:rPr>
                      <w:rFonts w:hint="default" w:hAnsi="宋体" w:eastAsia="宋体"/>
                      <w:color w:val="auto"/>
                      <w:szCs w:val="21"/>
                      <w:lang w:val="en-US" w:eastAsia="zh-CN"/>
                    </w:rPr>
                  </w:pPr>
                  <w:r>
                    <w:rPr>
                      <w:rFonts w:hint="eastAsia" w:hAnsi="宋体"/>
                      <w:color w:val="auto"/>
                      <w:szCs w:val="21"/>
                      <w:lang w:val="en-US" w:eastAsia="zh-CN"/>
                    </w:rPr>
                    <w:t>/</w:t>
                  </w:r>
                </w:p>
              </w:tc>
              <w:tc>
                <w:tcPr>
                  <w:tcW w:w="2051" w:type="pct"/>
                  <w:vAlign w:val="center"/>
                </w:tcPr>
                <w:p w14:paraId="71C186D1">
                  <w:pPr>
                    <w:jc w:val="center"/>
                    <w:rPr>
                      <w:color w:val="auto"/>
                      <w:szCs w:val="21"/>
                    </w:rPr>
                  </w:pPr>
                  <w:r>
                    <w:rPr>
                      <w:color w:val="auto"/>
                      <w:szCs w:val="21"/>
                    </w:rPr>
                    <w:t>《水泥工业大气污染物排放标准》（DB34/3576-2020）</w:t>
                  </w:r>
                </w:p>
              </w:tc>
            </w:tr>
          </w:tbl>
          <w:p w14:paraId="70CA2813">
            <w:pPr>
              <w:spacing w:line="360" w:lineRule="auto"/>
              <w:jc w:val="center"/>
              <w:rPr>
                <w:b/>
                <w:color w:val="auto"/>
                <w:spacing w:val="-2"/>
                <w:sz w:val="24"/>
                <w:szCs w:val="20"/>
              </w:rPr>
            </w:pPr>
            <w:r>
              <w:rPr>
                <w:b/>
                <w:color w:val="auto"/>
                <w:sz w:val="24"/>
              </w:rPr>
              <w:t>表3-</w:t>
            </w:r>
            <w:r>
              <w:rPr>
                <w:rFonts w:hint="eastAsia"/>
                <w:b/>
                <w:color w:val="auto"/>
                <w:sz w:val="24"/>
                <w:lang w:val="en-US" w:eastAsia="zh-CN"/>
              </w:rPr>
              <w:t>7</w:t>
            </w:r>
            <w:r>
              <w:rPr>
                <w:rFonts w:hint="eastAsia"/>
                <w:b/>
                <w:color w:val="auto"/>
                <w:sz w:val="24"/>
              </w:rPr>
              <w:t xml:space="preserve"> 废气污染物</w:t>
            </w:r>
            <w:r>
              <w:rPr>
                <w:b/>
                <w:color w:val="auto"/>
                <w:sz w:val="24"/>
              </w:rPr>
              <w:t>无组织排放</w:t>
            </w:r>
            <w:r>
              <w:rPr>
                <w:b/>
                <w:bCs/>
                <w:color w:val="auto"/>
                <w:sz w:val="24"/>
                <w:szCs w:val="21"/>
              </w:rPr>
              <w:t>标准</w:t>
            </w:r>
            <w:r>
              <w:rPr>
                <w:b/>
                <w:color w:val="auto"/>
                <w:sz w:val="24"/>
              </w:rPr>
              <w:t xml:space="preserve"> </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827"/>
              <w:gridCol w:w="913"/>
              <w:gridCol w:w="1210"/>
              <w:gridCol w:w="1740"/>
              <w:gridCol w:w="3264"/>
            </w:tblGrid>
            <w:tr w14:paraId="5A7A32B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50" w:hRule="atLeast"/>
              </w:trPr>
              <w:tc>
                <w:tcPr>
                  <w:tcW w:w="519" w:type="pct"/>
                  <w:tcBorders>
                    <w:tl2br w:val="nil"/>
                    <w:tr2bl w:val="nil"/>
                  </w:tcBorders>
                  <w:vAlign w:val="center"/>
                </w:tcPr>
                <w:p w14:paraId="167048AE">
                  <w:pPr>
                    <w:adjustRightInd w:val="0"/>
                    <w:snapToGrid w:val="0"/>
                    <w:jc w:val="center"/>
                    <w:rPr>
                      <w:b/>
                      <w:snapToGrid w:val="0"/>
                      <w:color w:val="auto"/>
                      <w:spacing w:val="-2"/>
                      <w:szCs w:val="21"/>
                    </w:rPr>
                  </w:pPr>
                  <w:r>
                    <w:rPr>
                      <w:rFonts w:hint="eastAsia"/>
                      <w:b/>
                      <w:snapToGrid w:val="0"/>
                      <w:color w:val="auto"/>
                      <w:szCs w:val="21"/>
                    </w:rPr>
                    <w:t>类别</w:t>
                  </w:r>
                </w:p>
              </w:tc>
              <w:tc>
                <w:tcPr>
                  <w:tcW w:w="573" w:type="pct"/>
                  <w:tcBorders>
                    <w:tl2br w:val="nil"/>
                    <w:tr2bl w:val="nil"/>
                  </w:tcBorders>
                  <w:vAlign w:val="center"/>
                </w:tcPr>
                <w:p w14:paraId="6CA104B7">
                  <w:pPr>
                    <w:adjustRightInd w:val="0"/>
                    <w:snapToGrid w:val="0"/>
                    <w:jc w:val="center"/>
                    <w:rPr>
                      <w:b/>
                      <w:snapToGrid w:val="0"/>
                      <w:color w:val="auto"/>
                      <w:spacing w:val="-2"/>
                      <w:szCs w:val="21"/>
                    </w:rPr>
                  </w:pPr>
                  <w:r>
                    <w:rPr>
                      <w:rFonts w:hint="eastAsia"/>
                      <w:b/>
                      <w:snapToGrid w:val="0"/>
                      <w:color w:val="auto"/>
                      <w:spacing w:val="-2"/>
                      <w:szCs w:val="21"/>
                    </w:rPr>
                    <w:t>污染物</w:t>
                  </w:r>
                </w:p>
              </w:tc>
              <w:tc>
                <w:tcPr>
                  <w:tcW w:w="760" w:type="pct"/>
                  <w:tcBorders>
                    <w:tl2br w:val="nil"/>
                    <w:tr2bl w:val="nil"/>
                  </w:tcBorders>
                  <w:vAlign w:val="center"/>
                </w:tcPr>
                <w:p w14:paraId="783EC196">
                  <w:pPr>
                    <w:adjustRightInd w:val="0"/>
                    <w:snapToGrid w:val="0"/>
                    <w:jc w:val="center"/>
                    <w:rPr>
                      <w:rFonts w:hint="eastAsia" w:eastAsia="宋体"/>
                      <w:b/>
                      <w:snapToGrid w:val="0"/>
                      <w:color w:val="auto"/>
                      <w:spacing w:val="-2"/>
                      <w:szCs w:val="21"/>
                      <w:lang w:eastAsia="zh-CN"/>
                    </w:rPr>
                  </w:pPr>
                  <w:r>
                    <w:rPr>
                      <w:rFonts w:hint="eastAsia"/>
                      <w:b/>
                      <w:snapToGrid w:val="0"/>
                      <w:color w:val="auto"/>
                      <w:szCs w:val="21"/>
                    </w:rPr>
                    <w:t>排放限值（mg/m</w:t>
                  </w:r>
                  <w:r>
                    <w:rPr>
                      <w:rFonts w:hint="eastAsia"/>
                      <w:b/>
                      <w:snapToGrid w:val="0"/>
                      <w:color w:val="auto"/>
                      <w:szCs w:val="21"/>
                      <w:vertAlign w:val="superscript"/>
                    </w:rPr>
                    <w:t>3</w:t>
                  </w:r>
                  <w:r>
                    <w:rPr>
                      <w:rFonts w:hint="eastAsia"/>
                      <w:b/>
                      <w:snapToGrid w:val="0"/>
                      <w:color w:val="auto"/>
                      <w:szCs w:val="21"/>
                      <w:vertAlign w:val="baseline"/>
                      <w:lang w:eastAsia="zh-CN"/>
                    </w:rPr>
                    <w:t>）</w:t>
                  </w:r>
                </w:p>
              </w:tc>
              <w:tc>
                <w:tcPr>
                  <w:tcW w:w="1093" w:type="pct"/>
                  <w:tcBorders>
                    <w:tl2br w:val="nil"/>
                    <w:tr2bl w:val="nil"/>
                  </w:tcBorders>
                  <w:vAlign w:val="center"/>
                </w:tcPr>
                <w:p w14:paraId="1A9580EB">
                  <w:pPr>
                    <w:adjustRightInd w:val="0"/>
                    <w:snapToGrid w:val="0"/>
                    <w:jc w:val="center"/>
                    <w:rPr>
                      <w:b/>
                      <w:snapToGrid w:val="0"/>
                      <w:color w:val="auto"/>
                      <w:spacing w:val="-2"/>
                      <w:szCs w:val="21"/>
                    </w:rPr>
                  </w:pPr>
                  <w:r>
                    <w:rPr>
                      <w:rFonts w:hint="eastAsia"/>
                      <w:b/>
                      <w:snapToGrid w:val="0"/>
                      <w:color w:val="auto"/>
                      <w:szCs w:val="21"/>
                    </w:rPr>
                    <w:t>监控点</w:t>
                  </w:r>
                </w:p>
              </w:tc>
              <w:tc>
                <w:tcPr>
                  <w:tcW w:w="2051" w:type="pct"/>
                  <w:tcBorders>
                    <w:tl2br w:val="nil"/>
                    <w:tr2bl w:val="nil"/>
                  </w:tcBorders>
                  <w:vAlign w:val="center"/>
                </w:tcPr>
                <w:p w14:paraId="747F80B9">
                  <w:pPr>
                    <w:adjustRightInd w:val="0"/>
                    <w:snapToGrid w:val="0"/>
                    <w:jc w:val="center"/>
                    <w:rPr>
                      <w:b/>
                      <w:snapToGrid w:val="0"/>
                      <w:color w:val="002DC7"/>
                      <w:spacing w:val="-2"/>
                      <w:szCs w:val="21"/>
                    </w:rPr>
                  </w:pPr>
                  <w:r>
                    <w:rPr>
                      <w:rFonts w:hint="eastAsia" w:hAnsi="宋体"/>
                      <w:b/>
                      <w:color w:val="auto"/>
                      <w:szCs w:val="21"/>
                    </w:rPr>
                    <w:t>标准来源</w:t>
                  </w:r>
                </w:p>
              </w:tc>
            </w:tr>
            <w:tr w14:paraId="60E4AC5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77" w:hRule="atLeast"/>
              </w:trPr>
              <w:tc>
                <w:tcPr>
                  <w:tcW w:w="519" w:type="pct"/>
                  <w:tcBorders>
                    <w:tl2br w:val="nil"/>
                    <w:tr2bl w:val="nil"/>
                  </w:tcBorders>
                  <w:vAlign w:val="center"/>
                </w:tcPr>
                <w:p w14:paraId="1CF96E7B">
                  <w:pPr>
                    <w:adjustRightInd w:val="0"/>
                    <w:snapToGrid w:val="0"/>
                    <w:jc w:val="center"/>
                    <w:rPr>
                      <w:snapToGrid w:val="0"/>
                      <w:color w:val="auto"/>
                      <w:szCs w:val="21"/>
                    </w:rPr>
                  </w:pPr>
                  <w:r>
                    <w:rPr>
                      <w:rFonts w:hint="eastAsia"/>
                      <w:snapToGrid w:val="0"/>
                      <w:color w:val="auto"/>
                      <w:szCs w:val="21"/>
                    </w:rPr>
                    <w:t>厂界</w:t>
                  </w:r>
                </w:p>
              </w:tc>
              <w:tc>
                <w:tcPr>
                  <w:tcW w:w="573" w:type="pct"/>
                  <w:tcBorders>
                    <w:tl2br w:val="nil"/>
                    <w:tr2bl w:val="nil"/>
                  </w:tcBorders>
                  <w:vAlign w:val="center"/>
                </w:tcPr>
                <w:p w14:paraId="281014CA">
                  <w:pPr>
                    <w:adjustRightInd w:val="0"/>
                    <w:snapToGrid w:val="0"/>
                    <w:jc w:val="center"/>
                    <w:rPr>
                      <w:snapToGrid w:val="0"/>
                      <w:color w:val="auto"/>
                      <w:spacing w:val="-2"/>
                      <w:szCs w:val="21"/>
                    </w:rPr>
                  </w:pPr>
                  <w:r>
                    <w:rPr>
                      <w:rFonts w:hint="eastAsia"/>
                      <w:snapToGrid w:val="0"/>
                      <w:color w:val="auto"/>
                      <w:spacing w:val="-2"/>
                      <w:szCs w:val="21"/>
                      <w:lang w:val="en-US" w:eastAsia="zh-CN"/>
                    </w:rPr>
                    <w:t>颗粒物</w:t>
                  </w:r>
                </w:p>
              </w:tc>
              <w:tc>
                <w:tcPr>
                  <w:tcW w:w="760" w:type="pct"/>
                  <w:tcBorders>
                    <w:tl2br w:val="nil"/>
                    <w:tr2bl w:val="nil"/>
                  </w:tcBorders>
                  <w:vAlign w:val="center"/>
                </w:tcPr>
                <w:p w14:paraId="0BFA5464">
                  <w:pPr>
                    <w:adjustRightInd w:val="0"/>
                    <w:snapToGrid w:val="0"/>
                    <w:jc w:val="center"/>
                    <w:rPr>
                      <w:rFonts w:hint="default"/>
                      <w:snapToGrid w:val="0"/>
                      <w:color w:val="auto"/>
                      <w:szCs w:val="21"/>
                      <w:lang w:val="en-US"/>
                    </w:rPr>
                  </w:pPr>
                  <w:r>
                    <w:rPr>
                      <w:rFonts w:hint="eastAsia"/>
                      <w:snapToGrid w:val="0"/>
                      <w:color w:val="auto"/>
                      <w:szCs w:val="21"/>
                      <w:lang w:val="en-US" w:eastAsia="zh-CN"/>
                    </w:rPr>
                    <w:t>0.5</w:t>
                  </w:r>
                </w:p>
              </w:tc>
              <w:tc>
                <w:tcPr>
                  <w:tcW w:w="1093" w:type="pct"/>
                  <w:tcBorders>
                    <w:tl2br w:val="nil"/>
                    <w:tr2bl w:val="nil"/>
                  </w:tcBorders>
                  <w:vAlign w:val="center"/>
                </w:tcPr>
                <w:p w14:paraId="72BEA346">
                  <w:pPr>
                    <w:adjustRightInd w:val="0"/>
                    <w:snapToGrid w:val="0"/>
                    <w:jc w:val="center"/>
                    <w:rPr>
                      <w:rFonts w:hint="default"/>
                      <w:snapToGrid w:val="0"/>
                      <w:color w:val="auto"/>
                      <w:szCs w:val="21"/>
                      <w:lang w:val="en-US"/>
                    </w:rPr>
                  </w:pPr>
                  <w:r>
                    <w:rPr>
                      <w:rFonts w:hint="default"/>
                      <w:snapToGrid w:val="0"/>
                      <w:color w:val="auto"/>
                      <w:szCs w:val="21"/>
                      <w:lang w:val="en-US"/>
                    </w:rPr>
                    <w:t>厂界外20m处上风向设参照点，下风向设监控点</w:t>
                  </w:r>
                </w:p>
              </w:tc>
              <w:tc>
                <w:tcPr>
                  <w:tcW w:w="2051" w:type="pct"/>
                  <w:tcBorders>
                    <w:tl2br w:val="nil"/>
                    <w:tr2bl w:val="nil"/>
                  </w:tcBorders>
                  <w:vAlign w:val="center"/>
                </w:tcPr>
                <w:p w14:paraId="168AAB92">
                  <w:pPr>
                    <w:adjustRightInd w:val="0"/>
                    <w:snapToGrid w:val="0"/>
                    <w:jc w:val="center"/>
                    <w:rPr>
                      <w:snapToGrid w:val="0"/>
                      <w:color w:val="002DC7"/>
                      <w:szCs w:val="21"/>
                    </w:rPr>
                  </w:pPr>
                  <w:r>
                    <w:rPr>
                      <w:color w:val="auto"/>
                      <w:szCs w:val="21"/>
                    </w:rPr>
                    <w:t>《水泥工业大气污染物排放标准》（DB34/3576-2020）</w:t>
                  </w:r>
                </w:p>
              </w:tc>
            </w:tr>
          </w:tbl>
          <w:p w14:paraId="28CEF4B3">
            <w:pPr>
              <w:pStyle w:val="18"/>
              <w:widowControl/>
              <w:spacing w:line="360" w:lineRule="auto"/>
              <w:ind w:firstLine="482"/>
              <w:rPr>
                <w:b/>
                <w:color w:val="auto"/>
                <w:sz w:val="24"/>
                <w:szCs w:val="24"/>
              </w:rPr>
            </w:pPr>
            <w:r>
              <w:rPr>
                <w:rFonts w:hint="eastAsia"/>
                <w:b/>
                <w:color w:val="auto"/>
                <w:sz w:val="24"/>
                <w:szCs w:val="24"/>
              </w:rPr>
              <w:t>2、水污染物</w:t>
            </w:r>
          </w:p>
          <w:p w14:paraId="268E47BA">
            <w:pPr>
              <w:pStyle w:val="245"/>
              <w:bidi w:val="0"/>
              <w:spacing w:line="360" w:lineRule="auto"/>
              <w:rPr>
                <w:rFonts w:hint="eastAsia" w:ascii="宋体" w:hAnsi="宋体" w:cs="宋体"/>
                <w:color w:val="auto"/>
                <w:kern w:val="0"/>
                <w:sz w:val="24"/>
                <w:szCs w:val="24"/>
              </w:rPr>
            </w:pPr>
            <w:r>
              <w:rPr>
                <w:rFonts w:hint="default" w:ascii="Times New Roman" w:hAnsi="Times New Roman" w:cs="Times New Roman"/>
                <w:color w:val="auto"/>
                <w:kern w:val="0"/>
                <w:sz w:val="24"/>
                <w:szCs w:val="24"/>
              </w:rPr>
              <w:t>拟建项目产生的废水主要为生活污水，</w:t>
            </w:r>
            <w:r>
              <w:rPr>
                <w:rFonts w:hint="eastAsia" w:cs="Times New Roman"/>
                <w:color w:val="auto"/>
                <w:kern w:val="0"/>
                <w:sz w:val="24"/>
                <w:szCs w:val="24"/>
                <w:lang w:val="en-US" w:eastAsia="zh-CN"/>
              </w:rPr>
              <w:t>生活污水</w:t>
            </w:r>
            <w:r>
              <w:rPr>
                <w:rFonts w:hint="default" w:ascii="Times New Roman" w:hAnsi="Times New Roman" w:cs="Times New Roman"/>
                <w:color w:val="auto"/>
                <w:sz w:val="24"/>
                <w:szCs w:val="24"/>
              </w:rPr>
              <w:t>化粪池预处理后</w:t>
            </w:r>
            <w:r>
              <w:rPr>
                <w:rFonts w:hint="default" w:ascii="Times New Roman" w:hAnsi="Times New Roman" w:cs="Times New Roman"/>
                <w:color w:val="auto"/>
                <w:sz w:val="24"/>
                <w:szCs w:val="24"/>
                <w:highlight w:val="none"/>
                <w:lang w:val="en-US" w:eastAsia="zh-CN"/>
              </w:rPr>
              <w:t>排</w:t>
            </w:r>
            <w:r>
              <w:rPr>
                <w:rFonts w:hint="default" w:ascii="Times New Roman" w:hAnsi="Times New Roman" w:cs="Times New Roman"/>
                <w:color w:val="auto"/>
                <w:sz w:val="24"/>
                <w:szCs w:val="24"/>
                <w:highlight w:val="none"/>
                <w:lang w:eastAsia="zh-CN"/>
              </w:rPr>
              <w:t>入</w:t>
            </w:r>
            <w:r>
              <w:rPr>
                <w:rFonts w:hint="default" w:ascii="Times New Roman" w:hAnsi="Times New Roman" w:cs="Times New Roman"/>
                <w:color w:val="auto"/>
                <w:sz w:val="24"/>
                <w:szCs w:val="24"/>
                <w:highlight w:val="none"/>
                <w:lang w:val="en-US" w:eastAsia="zh-CN"/>
              </w:rPr>
              <w:t>淮南经济</w:t>
            </w:r>
            <w:r>
              <w:rPr>
                <w:rFonts w:hint="default" w:ascii="Times New Roman" w:hAnsi="Times New Roman" w:cs="Times New Roman"/>
                <w:color w:val="auto"/>
                <w:sz w:val="24"/>
                <w:szCs w:val="24"/>
                <w:highlight w:val="none"/>
              </w:rPr>
              <w:t>开发区污水处理厂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执行淮南经济</w:t>
            </w:r>
            <w:r>
              <w:rPr>
                <w:rFonts w:hint="default" w:ascii="Times New Roman" w:hAnsi="Times New Roman" w:cs="Times New Roman"/>
                <w:color w:val="auto"/>
                <w:sz w:val="24"/>
                <w:szCs w:val="24"/>
                <w:highlight w:val="none"/>
              </w:rPr>
              <w:t>开发区污水处理厂接管</w:t>
            </w:r>
            <w:r>
              <w:rPr>
                <w:rFonts w:hint="default" w:ascii="Times New Roman" w:hAnsi="Times New Roman" w:cs="Times New Roman"/>
                <w:color w:val="auto"/>
                <w:sz w:val="24"/>
                <w:szCs w:val="24"/>
                <w:highlight w:val="none"/>
                <w:lang w:val="en-US" w:eastAsia="zh-CN"/>
              </w:rPr>
              <w:t>限值</w:t>
            </w:r>
            <w:r>
              <w:rPr>
                <w:rFonts w:hint="default" w:ascii="Times New Roman" w:hAnsi="Times New Roman" w:cs="Times New Roman"/>
                <w:color w:val="auto"/>
                <w:sz w:val="24"/>
                <w:szCs w:val="24"/>
              </w:rPr>
              <w:t>。淮南经济技术开发区工业污水处理厂尾水外排执行《城镇污水处理厂污染物排放标准》GB18918-2002)一级标准中的 A 标准</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具体</w:t>
            </w:r>
            <w:r>
              <w:rPr>
                <w:color w:val="auto"/>
                <w:kern w:val="0"/>
                <w:sz w:val="24"/>
                <w:szCs w:val="20"/>
              </w:rPr>
              <w:t>标准值见下表。</w:t>
            </w:r>
          </w:p>
          <w:p w14:paraId="3B627619">
            <w:pPr>
              <w:pStyle w:val="57"/>
              <w:jc w:val="center"/>
              <w:rPr>
                <w:b/>
                <w:color w:val="auto"/>
              </w:rPr>
            </w:pPr>
            <w:r>
              <w:rPr>
                <w:b/>
                <w:snapToGrid w:val="0"/>
                <w:color w:val="auto"/>
              </w:rPr>
              <w:t>表3-</w:t>
            </w:r>
            <w:r>
              <w:rPr>
                <w:rFonts w:hint="eastAsia"/>
                <w:b/>
                <w:snapToGrid w:val="0"/>
                <w:color w:val="auto"/>
                <w:lang w:val="en-US" w:eastAsia="zh-CN"/>
              </w:rPr>
              <w:t>8</w:t>
            </w:r>
            <w:r>
              <w:rPr>
                <w:rFonts w:hint="eastAsia"/>
                <w:b/>
                <w:snapToGrid w:val="0"/>
                <w:color w:val="auto"/>
              </w:rPr>
              <w:t xml:space="preserve"> </w:t>
            </w:r>
            <w:r>
              <w:rPr>
                <w:b/>
                <w:snapToGrid w:val="0"/>
                <w:color w:val="auto"/>
              </w:rPr>
              <w:t>本项目废水污染物排放标准</w:t>
            </w:r>
            <w:r>
              <w:rPr>
                <w:rFonts w:hint="eastAsia"/>
                <w:b/>
                <w:snapToGrid w:val="0"/>
                <w:color w:val="auto"/>
              </w:rPr>
              <w:t xml:space="preserve"> </w:t>
            </w:r>
            <w:r>
              <w:rPr>
                <w:b/>
                <w:snapToGrid w:val="0"/>
                <w:color w:val="auto"/>
              </w:rPr>
              <w:t>单位：mg/L（pH</w:t>
            </w:r>
            <w:r>
              <w:rPr>
                <w:rFonts w:hint="eastAsia"/>
                <w:b/>
                <w:snapToGrid w:val="0"/>
                <w:color w:val="auto"/>
              </w:rPr>
              <w:t>无量纲</w:t>
            </w:r>
            <w:r>
              <w:rPr>
                <w:b/>
                <w:snapToGrid w:val="0"/>
                <w:color w:val="auto"/>
              </w:rPr>
              <w:t>）</w:t>
            </w:r>
          </w:p>
          <w:tbl>
            <w:tblPr>
              <w:tblStyle w:val="40"/>
              <w:tblW w:w="4988" w:type="pct"/>
              <w:jc w:val="center"/>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787"/>
              <w:gridCol w:w="676"/>
              <w:gridCol w:w="730"/>
              <w:gridCol w:w="797"/>
              <w:gridCol w:w="626"/>
              <w:gridCol w:w="886"/>
              <w:gridCol w:w="690"/>
              <w:gridCol w:w="742"/>
            </w:tblGrid>
            <w:tr w14:paraId="3C417171">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tcBorders>
                    <w:tl2br w:val="nil"/>
                    <w:tr2bl w:val="nil"/>
                  </w:tcBorders>
                  <w:noWrap w:val="0"/>
                  <w:vAlign w:val="center"/>
                </w:tcPr>
                <w:p w14:paraId="4C9B91A5">
                  <w:pPr>
                    <w:pStyle w:val="242"/>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废水执行标准</w:t>
                  </w:r>
                </w:p>
              </w:tc>
              <w:tc>
                <w:tcPr>
                  <w:tcW w:w="426" w:type="pct"/>
                  <w:tcBorders>
                    <w:tl2br w:val="nil"/>
                    <w:tr2bl w:val="nil"/>
                  </w:tcBorders>
                  <w:noWrap w:val="0"/>
                  <w:vAlign w:val="center"/>
                </w:tcPr>
                <w:p w14:paraId="115B15EB">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pH</w:t>
                  </w:r>
                </w:p>
              </w:tc>
              <w:tc>
                <w:tcPr>
                  <w:tcW w:w="460" w:type="pct"/>
                  <w:tcBorders>
                    <w:tl2br w:val="nil"/>
                    <w:tr2bl w:val="nil"/>
                  </w:tcBorders>
                  <w:noWrap w:val="0"/>
                  <w:vAlign w:val="center"/>
                </w:tcPr>
                <w:p w14:paraId="2A71F8F3">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COD</w:t>
                  </w:r>
                </w:p>
              </w:tc>
              <w:tc>
                <w:tcPr>
                  <w:tcW w:w="502" w:type="pct"/>
                  <w:tcBorders>
                    <w:tl2br w:val="nil"/>
                    <w:tr2bl w:val="nil"/>
                  </w:tcBorders>
                  <w:noWrap w:val="0"/>
                  <w:vAlign w:val="center"/>
                </w:tcPr>
                <w:p w14:paraId="1AFCD000">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BOD</w:t>
                  </w:r>
                  <w:r>
                    <w:rPr>
                      <w:rFonts w:hint="default" w:ascii="Times New Roman" w:hAnsi="Times New Roman" w:cs="Times New Roman"/>
                      <w:b/>
                      <w:bCs/>
                      <w:color w:val="auto"/>
                      <w:vertAlign w:val="subscript"/>
                    </w:rPr>
                    <w:t>5</w:t>
                  </w:r>
                </w:p>
              </w:tc>
              <w:tc>
                <w:tcPr>
                  <w:tcW w:w="395" w:type="pct"/>
                  <w:tcBorders>
                    <w:tl2br w:val="nil"/>
                    <w:tr2bl w:val="nil"/>
                  </w:tcBorders>
                  <w:noWrap w:val="0"/>
                  <w:vAlign w:val="center"/>
                </w:tcPr>
                <w:p w14:paraId="159BF9C2">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SS</w:t>
                  </w:r>
                </w:p>
              </w:tc>
              <w:tc>
                <w:tcPr>
                  <w:tcW w:w="558" w:type="pct"/>
                  <w:tcBorders>
                    <w:tl2br w:val="nil"/>
                    <w:tr2bl w:val="nil"/>
                  </w:tcBorders>
                  <w:noWrap w:val="0"/>
                  <w:vAlign w:val="center"/>
                </w:tcPr>
                <w:p w14:paraId="273EC4B7">
                  <w:pPr>
                    <w:pStyle w:val="240"/>
                    <w:bidi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NH</w:t>
                  </w:r>
                  <w:r>
                    <w:rPr>
                      <w:rFonts w:hint="default" w:ascii="Times New Roman" w:hAnsi="Times New Roman" w:cs="Times New Roman"/>
                      <w:b/>
                      <w:bCs/>
                      <w:color w:val="auto"/>
                      <w:vertAlign w:val="subscript"/>
                    </w:rPr>
                    <w:t>3</w:t>
                  </w:r>
                  <w:r>
                    <w:rPr>
                      <w:rFonts w:hint="default" w:ascii="Times New Roman" w:hAnsi="Times New Roman" w:cs="Times New Roman"/>
                      <w:b/>
                      <w:bCs/>
                      <w:color w:val="auto"/>
                    </w:rPr>
                    <w:t>-N</w:t>
                  </w:r>
                </w:p>
              </w:tc>
              <w:tc>
                <w:tcPr>
                  <w:tcW w:w="435" w:type="pct"/>
                  <w:tcBorders>
                    <w:tl2br w:val="nil"/>
                    <w:tr2bl w:val="nil"/>
                  </w:tcBorders>
                  <w:noWrap w:val="0"/>
                  <w:vAlign w:val="center"/>
                </w:tcPr>
                <w:p w14:paraId="7B0864B8">
                  <w:pPr>
                    <w:pStyle w:val="240"/>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TP</w:t>
                  </w:r>
                </w:p>
              </w:tc>
              <w:tc>
                <w:tcPr>
                  <w:tcW w:w="465" w:type="pct"/>
                  <w:tcBorders>
                    <w:tl2br w:val="nil"/>
                    <w:tr2bl w:val="nil"/>
                  </w:tcBorders>
                  <w:noWrap w:val="0"/>
                  <w:vAlign w:val="center"/>
                </w:tcPr>
                <w:p w14:paraId="4435368A">
                  <w:pPr>
                    <w:pStyle w:val="240"/>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TN</w:t>
                  </w:r>
                </w:p>
              </w:tc>
            </w:tr>
            <w:tr w14:paraId="2D3DBFF0">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tcBorders>
                    <w:tl2br w:val="nil"/>
                    <w:tr2bl w:val="nil"/>
                  </w:tcBorders>
                  <w:noWrap w:val="0"/>
                  <w:vAlign w:val="center"/>
                </w:tcPr>
                <w:p w14:paraId="19C97336">
                  <w:pPr>
                    <w:pStyle w:val="242"/>
                    <w:bidi w:val="0"/>
                    <w:spacing w:line="240" w:lineRule="auto"/>
                    <w:jc w:val="center"/>
                    <w:rPr>
                      <w:rFonts w:hint="default" w:ascii="Times New Roman" w:hAnsi="Times New Roman" w:cs="Times New Roman"/>
                      <w:color w:val="auto"/>
                      <w:lang w:eastAsia="zh-CN"/>
                    </w:rPr>
                  </w:pPr>
                  <w:r>
                    <w:rPr>
                      <w:rFonts w:hint="default" w:ascii="Times New Roman" w:hAnsi="Times New Roman" w:cs="Times New Roman"/>
                      <w:color w:val="auto"/>
                      <w:highlight w:val="none"/>
                      <w:lang w:val="en-US" w:eastAsia="zh-CN"/>
                    </w:rPr>
                    <w:t>淮南经济</w:t>
                  </w:r>
                  <w:r>
                    <w:rPr>
                      <w:rFonts w:hint="default" w:ascii="Times New Roman" w:hAnsi="Times New Roman" w:cs="Times New Roman"/>
                      <w:color w:val="auto"/>
                      <w:highlight w:val="none"/>
                    </w:rPr>
                    <w:t>开发区污水处理厂接管</w:t>
                  </w:r>
                  <w:r>
                    <w:rPr>
                      <w:rFonts w:hint="default" w:ascii="Times New Roman" w:hAnsi="Times New Roman" w:cs="Times New Roman"/>
                      <w:color w:val="auto"/>
                      <w:highlight w:val="none"/>
                      <w:lang w:val="en-US" w:eastAsia="zh-CN"/>
                    </w:rPr>
                    <w:t>限值</w:t>
                  </w:r>
                </w:p>
              </w:tc>
              <w:tc>
                <w:tcPr>
                  <w:tcW w:w="426" w:type="pct"/>
                  <w:tcBorders>
                    <w:tl2br w:val="nil"/>
                    <w:tr2bl w:val="nil"/>
                  </w:tcBorders>
                  <w:noWrap w:val="0"/>
                  <w:vAlign w:val="center"/>
                </w:tcPr>
                <w:p w14:paraId="19164668">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6~9</w:t>
                  </w:r>
                </w:p>
              </w:tc>
              <w:tc>
                <w:tcPr>
                  <w:tcW w:w="460" w:type="pct"/>
                  <w:tcBorders>
                    <w:tl2br w:val="nil"/>
                    <w:tr2bl w:val="nil"/>
                  </w:tcBorders>
                  <w:noWrap w:val="0"/>
                  <w:vAlign w:val="center"/>
                </w:tcPr>
                <w:p w14:paraId="49B2285C">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360</w:t>
                  </w:r>
                </w:p>
              </w:tc>
              <w:tc>
                <w:tcPr>
                  <w:tcW w:w="502" w:type="pct"/>
                  <w:tcBorders>
                    <w:tl2br w:val="nil"/>
                    <w:tr2bl w:val="nil"/>
                  </w:tcBorders>
                  <w:noWrap w:val="0"/>
                  <w:vAlign w:val="center"/>
                </w:tcPr>
                <w:p w14:paraId="45DD2318">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395" w:type="pct"/>
                  <w:tcBorders>
                    <w:tl2br w:val="nil"/>
                    <w:tr2bl w:val="nil"/>
                  </w:tcBorders>
                  <w:noWrap w:val="0"/>
                  <w:vAlign w:val="center"/>
                </w:tcPr>
                <w:p w14:paraId="3152525A">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558" w:type="pct"/>
                  <w:tcBorders>
                    <w:tl2br w:val="nil"/>
                    <w:tr2bl w:val="nil"/>
                  </w:tcBorders>
                  <w:noWrap w:val="0"/>
                  <w:vAlign w:val="center"/>
                </w:tcPr>
                <w:p w14:paraId="7A5A23C8">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435" w:type="pct"/>
                  <w:tcBorders>
                    <w:tl2br w:val="nil"/>
                    <w:tr2bl w:val="nil"/>
                  </w:tcBorders>
                  <w:noWrap w:val="0"/>
                  <w:vAlign w:val="center"/>
                </w:tcPr>
                <w:p w14:paraId="080766A3">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4.5</w:t>
                  </w:r>
                </w:p>
              </w:tc>
              <w:tc>
                <w:tcPr>
                  <w:tcW w:w="465" w:type="pct"/>
                  <w:tcBorders>
                    <w:tl2br w:val="nil"/>
                    <w:tr2bl w:val="nil"/>
                  </w:tcBorders>
                  <w:noWrap w:val="0"/>
                  <w:vAlign w:val="center"/>
                </w:tcPr>
                <w:p w14:paraId="2738135F">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r>
            <w:tr w14:paraId="014A1E52">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56" w:type="pct"/>
                  <w:tcBorders>
                    <w:tl2br w:val="nil"/>
                    <w:tr2bl w:val="nil"/>
                  </w:tcBorders>
                  <w:noWrap w:val="0"/>
                  <w:vAlign w:val="center"/>
                </w:tcPr>
                <w:p w14:paraId="28A81416">
                  <w:pPr>
                    <w:pStyle w:val="240"/>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rPr>
                    <w:t>《城镇污水处理厂污染物排放标准》</w:t>
                  </w:r>
                  <w:r>
                    <w:rPr>
                      <w:rFonts w:hint="eastAsia" w:ascii="Times New Roman" w:hAnsi="Times New Roman" w:cs="Times New Roman"/>
                      <w:color w:val="auto"/>
                      <w:lang w:eastAsia="zh-CN"/>
                    </w:rPr>
                    <w:t>（</w:t>
                  </w:r>
                  <w:r>
                    <w:rPr>
                      <w:rFonts w:hint="default" w:ascii="Times New Roman" w:hAnsi="Times New Roman" w:cs="Times New Roman"/>
                      <w:color w:val="auto"/>
                    </w:rPr>
                    <w:t>GB18918-2002</w:t>
                  </w:r>
                  <w:r>
                    <w:rPr>
                      <w:rFonts w:hint="eastAsia" w:ascii="Times New Roman" w:hAnsi="Times New Roman" w:cs="Times New Roman"/>
                      <w:color w:val="auto"/>
                      <w:lang w:eastAsia="zh-CN"/>
                    </w:rPr>
                    <w:t>）</w:t>
                  </w:r>
                  <w:r>
                    <w:rPr>
                      <w:rFonts w:hint="default" w:ascii="Times New Roman" w:hAnsi="Times New Roman" w:cs="Times New Roman"/>
                      <w:color w:val="auto"/>
                    </w:rPr>
                    <w:t>一级标准中的 A 标准</w:t>
                  </w:r>
                </w:p>
              </w:tc>
              <w:tc>
                <w:tcPr>
                  <w:tcW w:w="426" w:type="pct"/>
                  <w:tcBorders>
                    <w:tl2br w:val="nil"/>
                    <w:tr2bl w:val="nil"/>
                  </w:tcBorders>
                  <w:noWrap w:val="0"/>
                  <w:vAlign w:val="center"/>
                </w:tcPr>
                <w:p w14:paraId="275C7F7E">
                  <w:pPr>
                    <w:pStyle w:val="240"/>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6~9</w:t>
                  </w:r>
                </w:p>
              </w:tc>
              <w:tc>
                <w:tcPr>
                  <w:tcW w:w="460" w:type="pct"/>
                  <w:tcBorders>
                    <w:tl2br w:val="nil"/>
                    <w:tr2bl w:val="nil"/>
                  </w:tcBorders>
                  <w:noWrap w:val="0"/>
                  <w:vAlign w:val="center"/>
                </w:tcPr>
                <w:p w14:paraId="2AFB866F">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502" w:type="pct"/>
                  <w:tcBorders>
                    <w:tl2br w:val="nil"/>
                    <w:tr2bl w:val="nil"/>
                  </w:tcBorders>
                  <w:noWrap w:val="0"/>
                  <w:vAlign w:val="center"/>
                </w:tcPr>
                <w:p w14:paraId="38E513B2">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395" w:type="pct"/>
                  <w:tcBorders>
                    <w:tl2br w:val="nil"/>
                    <w:tr2bl w:val="nil"/>
                  </w:tcBorders>
                  <w:noWrap w:val="0"/>
                  <w:vAlign w:val="center"/>
                </w:tcPr>
                <w:p w14:paraId="2165909F">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558" w:type="pct"/>
                  <w:tcBorders>
                    <w:tl2br w:val="nil"/>
                    <w:tr2bl w:val="nil"/>
                  </w:tcBorders>
                  <w:noWrap w:val="0"/>
                  <w:vAlign w:val="center"/>
                </w:tcPr>
                <w:p w14:paraId="540BFACF">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5（8）</w:t>
                  </w:r>
                </w:p>
              </w:tc>
              <w:tc>
                <w:tcPr>
                  <w:tcW w:w="435" w:type="pct"/>
                  <w:tcBorders>
                    <w:tl2br w:val="nil"/>
                    <w:tr2bl w:val="nil"/>
                  </w:tcBorders>
                  <w:noWrap w:val="0"/>
                  <w:vAlign w:val="center"/>
                </w:tcPr>
                <w:p w14:paraId="5845D0A2">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465" w:type="pct"/>
                  <w:tcBorders>
                    <w:tl2br w:val="nil"/>
                    <w:tr2bl w:val="nil"/>
                  </w:tcBorders>
                  <w:noWrap w:val="0"/>
                  <w:vAlign w:val="center"/>
                </w:tcPr>
                <w:p w14:paraId="0ED98C7F">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r>
            <w:tr w14:paraId="0A2E7266">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14:paraId="3778C8B7">
                  <w:pPr>
                    <w:pStyle w:val="240"/>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注；括号外数值为水温&gt;12℃时的控制指标，括号内数值为水温&lt;12℃的控制指标。</w:t>
                  </w:r>
                </w:p>
              </w:tc>
            </w:tr>
          </w:tbl>
          <w:p w14:paraId="58C94885">
            <w:pPr>
              <w:pStyle w:val="18"/>
              <w:widowControl/>
              <w:spacing w:line="360" w:lineRule="auto"/>
              <w:ind w:firstLine="482"/>
              <w:rPr>
                <w:b/>
                <w:color w:val="auto"/>
                <w:sz w:val="24"/>
                <w:szCs w:val="24"/>
              </w:rPr>
            </w:pPr>
            <w:r>
              <w:rPr>
                <w:rFonts w:hint="eastAsia"/>
                <w:b/>
                <w:color w:val="auto"/>
                <w:sz w:val="24"/>
                <w:szCs w:val="24"/>
              </w:rPr>
              <w:t>3、噪声</w:t>
            </w:r>
          </w:p>
          <w:p w14:paraId="3CF00C54">
            <w:pPr>
              <w:pStyle w:val="207"/>
              <w:spacing w:line="360" w:lineRule="auto"/>
              <w:ind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项目</w:t>
            </w:r>
            <w:r>
              <w:rPr>
                <w:rFonts w:hint="eastAsia" w:eastAsia="宋体"/>
                <w:color w:val="auto"/>
                <w:sz w:val="24"/>
                <w:lang w:eastAsia="zh-CN"/>
              </w:rPr>
              <w:t>运营期</w:t>
            </w:r>
            <w:r>
              <w:rPr>
                <w:rFonts w:hint="eastAsia" w:ascii="宋体" w:hAnsi="宋体" w:eastAsia="宋体" w:cs="宋体"/>
                <w:color w:val="auto"/>
                <w:sz w:val="24"/>
                <w:lang w:eastAsia="zh-CN"/>
              </w:rPr>
              <w:t>厂界噪声执行《工业企业厂界环境噪声排放标准》（</w:t>
            </w:r>
            <w:r>
              <w:rPr>
                <w:rFonts w:ascii="Times New Roman" w:hAnsi="Times New Roman" w:cs="Times New Roman"/>
                <w:color w:val="auto"/>
                <w:sz w:val="24"/>
                <w:lang w:eastAsia="zh-CN"/>
              </w:rPr>
              <w:t>GB12348-2008</w:t>
            </w:r>
            <w:r>
              <w:rPr>
                <w:rFonts w:hint="eastAsia" w:ascii="Times New Roman" w:hAnsi="Times New Roman" w:eastAsia="宋体" w:cs="Times New Roman"/>
                <w:color w:val="auto"/>
                <w:sz w:val="24"/>
                <w:lang w:eastAsia="zh-CN"/>
              </w:rPr>
              <w:t>）</w:t>
            </w:r>
            <w:r>
              <w:rPr>
                <w:rFonts w:hint="eastAsia" w:ascii="宋体" w:hAnsi="宋体" w:eastAsia="宋体" w:cs="宋体"/>
                <w:color w:val="auto"/>
                <w:sz w:val="24"/>
                <w:lang w:eastAsia="zh-CN"/>
              </w:rPr>
              <w:t>中</w:t>
            </w:r>
            <w:r>
              <w:rPr>
                <w:rFonts w:hint="eastAsia" w:ascii="Times New Roman" w:hAnsi="Times New Roman" w:eastAsia="宋体" w:cs="Times New Roman"/>
                <w:color w:val="auto"/>
                <w:sz w:val="24"/>
                <w:lang w:eastAsia="zh-CN"/>
              </w:rPr>
              <w:t>3</w:t>
            </w:r>
            <w:r>
              <w:rPr>
                <w:rFonts w:hint="eastAsia" w:ascii="宋体" w:hAnsi="宋体" w:eastAsia="宋体" w:cs="宋体"/>
                <w:color w:val="auto"/>
                <w:sz w:val="24"/>
                <w:lang w:eastAsia="zh-CN"/>
              </w:rPr>
              <w:t>类标准。</w:t>
            </w:r>
            <w:r>
              <w:rPr>
                <w:rFonts w:hint="eastAsia" w:ascii="宋体" w:hAnsi="宋体" w:eastAsia="宋体" w:cs="宋体"/>
                <w:color w:val="auto"/>
                <w:sz w:val="24"/>
                <w:szCs w:val="24"/>
                <w:lang w:eastAsia="zh-CN"/>
              </w:rPr>
              <w:t>具体详见下表。</w:t>
            </w:r>
          </w:p>
          <w:p w14:paraId="48FC0012">
            <w:pPr>
              <w:spacing w:line="360" w:lineRule="auto"/>
              <w:jc w:val="center"/>
              <w:rPr>
                <w:b/>
                <w:bCs/>
                <w:color w:val="auto"/>
                <w:sz w:val="24"/>
                <w:szCs w:val="24"/>
              </w:rPr>
            </w:pPr>
            <w:r>
              <w:rPr>
                <w:b/>
                <w:bCs/>
                <w:color w:val="auto"/>
                <w:sz w:val="24"/>
                <w:szCs w:val="24"/>
              </w:rPr>
              <w:t>表3-</w:t>
            </w:r>
            <w:r>
              <w:rPr>
                <w:rFonts w:hint="eastAsia"/>
                <w:b/>
                <w:bCs/>
                <w:color w:val="auto"/>
                <w:sz w:val="24"/>
                <w:szCs w:val="24"/>
                <w:lang w:val="en-US" w:eastAsia="zh-CN"/>
              </w:rPr>
              <w:t>9</w:t>
            </w:r>
            <w:r>
              <w:rPr>
                <w:rFonts w:hint="eastAsia"/>
                <w:b/>
                <w:bCs/>
                <w:color w:val="auto"/>
                <w:sz w:val="24"/>
                <w:szCs w:val="24"/>
              </w:rPr>
              <w:t xml:space="preserve"> </w:t>
            </w:r>
            <w:r>
              <w:rPr>
                <w:b/>
                <w:bCs/>
                <w:color w:val="auto"/>
                <w:sz w:val="24"/>
                <w:szCs w:val="24"/>
              </w:rPr>
              <w:t>工业企业厂界环境噪声排放标准</w:t>
            </w:r>
            <w:r>
              <w:rPr>
                <w:rFonts w:hint="eastAsia"/>
                <w:b/>
                <w:bCs/>
                <w:color w:val="auto"/>
                <w:sz w:val="24"/>
                <w:szCs w:val="24"/>
              </w:rPr>
              <w:t xml:space="preserve"> </w:t>
            </w:r>
            <w:r>
              <w:rPr>
                <w:b/>
                <w:bCs/>
                <w:color w:val="auto"/>
                <w:sz w:val="24"/>
                <w:szCs w:val="24"/>
              </w:rPr>
              <w:t>单位：dB(A)</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085"/>
              <w:gridCol w:w="2691"/>
              <w:gridCol w:w="2359"/>
            </w:tblGrid>
            <w:tr w14:paraId="03F8F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085" w:type="dxa"/>
                  <w:vAlign w:val="center"/>
                </w:tcPr>
                <w:p w14:paraId="069B96B9">
                  <w:pPr>
                    <w:widowControl/>
                    <w:spacing w:line="276" w:lineRule="auto"/>
                    <w:jc w:val="center"/>
                    <w:rPr>
                      <w:b/>
                      <w:color w:val="auto"/>
                      <w:kern w:val="0"/>
                      <w:szCs w:val="21"/>
                    </w:rPr>
                  </w:pPr>
                  <w:r>
                    <w:rPr>
                      <w:b/>
                      <w:color w:val="auto"/>
                      <w:kern w:val="0"/>
                      <w:szCs w:val="21"/>
                    </w:rPr>
                    <w:t>标准</w:t>
                  </w:r>
                </w:p>
              </w:tc>
              <w:tc>
                <w:tcPr>
                  <w:tcW w:w="2691" w:type="dxa"/>
                  <w:vAlign w:val="center"/>
                </w:tcPr>
                <w:p w14:paraId="19F1E511">
                  <w:pPr>
                    <w:widowControl/>
                    <w:spacing w:line="276" w:lineRule="auto"/>
                    <w:jc w:val="center"/>
                    <w:rPr>
                      <w:b/>
                      <w:color w:val="auto"/>
                      <w:kern w:val="0"/>
                      <w:szCs w:val="21"/>
                    </w:rPr>
                  </w:pPr>
                  <w:r>
                    <w:rPr>
                      <w:b/>
                      <w:color w:val="auto"/>
                      <w:kern w:val="0"/>
                      <w:szCs w:val="21"/>
                    </w:rPr>
                    <w:t>昼间</w:t>
                  </w:r>
                </w:p>
              </w:tc>
              <w:tc>
                <w:tcPr>
                  <w:tcW w:w="2359" w:type="dxa"/>
                  <w:vAlign w:val="center"/>
                </w:tcPr>
                <w:p w14:paraId="6FED76F1">
                  <w:pPr>
                    <w:widowControl/>
                    <w:spacing w:line="276" w:lineRule="auto"/>
                    <w:jc w:val="center"/>
                    <w:rPr>
                      <w:b/>
                      <w:color w:val="auto"/>
                      <w:kern w:val="0"/>
                      <w:szCs w:val="21"/>
                    </w:rPr>
                  </w:pPr>
                  <w:r>
                    <w:rPr>
                      <w:b/>
                      <w:color w:val="auto"/>
                      <w:kern w:val="0"/>
                      <w:szCs w:val="21"/>
                    </w:rPr>
                    <w:t>夜间</w:t>
                  </w:r>
                </w:p>
              </w:tc>
            </w:tr>
            <w:tr w14:paraId="1B908F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085" w:type="dxa"/>
                  <w:vAlign w:val="center"/>
                </w:tcPr>
                <w:p w14:paraId="022109F7">
                  <w:pPr>
                    <w:widowControl/>
                    <w:spacing w:line="276" w:lineRule="auto"/>
                    <w:jc w:val="center"/>
                    <w:rPr>
                      <w:color w:val="auto"/>
                      <w:kern w:val="0"/>
                      <w:szCs w:val="21"/>
                    </w:rPr>
                  </w:pPr>
                  <w:r>
                    <w:rPr>
                      <w:rFonts w:hint="eastAsia" w:ascii="宋体" w:hAnsi="宋体" w:cs="宋体"/>
                      <w:color w:val="auto"/>
                      <w:szCs w:val="21"/>
                    </w:rPr>
                    <w:t>（</w:t>
                  </w:r>
                  <w:r>
                    <w:rPr>
                      <w:color w:val="auto"/>
                      <w:szCs w:val="21"/>
                    </w:rPr>
                    <w:t>GB12348-2008</w:t>
                  </w:r>
                  <w:r>
                    <w:rPr>
                      <w:rFonts w:hint="eastAsia"/>
                      <w:color w:val="auto"/>
                      <w:szCs w:val="21"/>
                    </w:rPr>
                    <w:t>）中</w:t>
                  </w:r>
                  <w:r>
                    <w:rPr>
                      <w:rFonts w:hint="eastAsia"/>
                      <w:color w:val="auto"/>
                      <w:kern w:val="0"/>
                      <w:szCs w:val="21"/>
                    </w:rPr>
                    <w:t>3</w:t>
                  </w:r>
                  <w:r>
                    <w:rPr>
                      <w:color w:val="auto"/>
                      <w:kern w:val="0"/>
                      <w:szCs w:val="21"/>
                    </w:rPr>
                    <w:t>类标准</w:t>
                  </w:r>
                </w:p>
              </w:tc>
              <w:tc>
                <w:tcPr>
                  <w:tcW w:w="2691" w:type="dxa"/>
                  <w:vAlign w:val="center"/>
                </w:tcPr>
                <w:p w14:paraId="4887F7A3">
                  <w:pPr>
                    <w:widowControl/>
                    <w:spacing w:line="276" w:lineRule="auto"/>
                    <w:jc w:val="center"/>
                    <w:rPr>
                      <w:color w:val="auto"/>
                      <w:kern w:val="0"/>
                      <w:szCs w:val="21"/>
                    </w:rPr>
                  </w:pPr>
                  <w:r>
                    <w:rPr>
                      <w:rFonts w:hint="eastAsia"/>
                      <w:color w:val="auto"/>
                      <w:kern w:val="0"/>
                      <w:szCs w:val="21"/>
                    </w:rPr>
                    <w:t>65</w:t>
                  </w:r>
                </w:p>
              </w:tc>
              <w:tc>
                <w:tcPr>
                  <w:tcW w:w="2359" w:type="dxa"/>
                  <w:vAlign w:val="center"/>
                </w:tcPr>
                <w:p w14:paraId="2333F6D2">
                  <w:pPr>
                    <w:widowControl/>
                    <w:spacing w:line="276" w:lineRule="auto"/>
                    <w:jc w:val="center"/>
                    <w:rPr>
                      <w:color w:val="auto"/>
                      <w:kern w:val="0"/>
                      <w:szCs w:val="21"/>
                    </w:rPr>
                  </w:pPr>
                  <w:r>
                    <w:rPr>
                      <w:rFonts w:hint="eastAsia"/>
                      <w:color w:val="auto"/>
                      <w:kern w:val="0"/>
                      <w:szCs w:val="21"/>
                    </w:rPr>
                    <w:t>55</w:t>
                  </w:r>
                </w:p>
              </w:tc>
            </w:tr>
          </w:tbl>
          <w:p w14:paraId="13D0EC91">
            <w:pPr>
              <w:widowControl/>
              <w:spacing w:line="360" w:lineRule="auto"/>
              <w:ind w:firstLine="482" w:firstLineChars="200"/>
              <w:rPr>
                <w:b/>
                <w:bCs/>
                <w:color w:val="auto"/>
                <w:kern w:val="0"/>
                <w:sz w:val="24"/>
                <w:szCs w:val="24"/>
              </w:rPr>
            </w:pPr>
            <w:r>
              <w:rPr>
                <w:rFonts w:hint="eastAsia"/>
                <w:b/>
                <w:bCs/>
                <w:color w:val="auto"/>
                <w:kern w:val="0"/>
                <w:sz w:val="24"/>
                <w:szCs w:val="24"/>
              </w:rPr>
              <w:t>4</w:t>
            </w:r>
            <w:r>
              <w:rPr>
                <w:b/>
                <w:bCs/>
                <w:color w:val="auto"/>
                <w:kern w:val="0"/>
                <w:sz w:val="24"/>
                <w:szCs w:val="24"/>
              </w:rPr>
              <w:t>、固体废物</w:t>
            </w:r>
          </w:p>
          <w:p w14:paraId="511033E4">
            <w:pPr>
              <w:pStyle w:val="18"/>
              <w:widowControl/>
              <w:spacing w:line="360" w:lineRule="auto"/>
              <w:ind w:firstLine="480"/>
              <w:rPr>
                <w:color w:val="002DC7"/>
                <w:kern w:val="0"/>
                <w:sz w:val="24"/>
                <w:szCs w:val="24"/>
              </w:rPr>
            </w:pPr>
            <w:r>
              <w:rPr>
                <w:rFonts w:hint="eastAsia"/>
                <w:color w:val="auto"/>
                <w:kern w:val="0"/>
                <w:sz w:val="24"/>
                <w:szCs w:val="24"/>
              </w:rPr>
              <w:t>一般工业固体废物参照《一般工业固体废物贮存和填埋污染控制标准》（GB18599-2020）中的贮存过程要求，应满足相应防渗漏、防雨淋、防扬尘等环境保护要求进行贮存。危险废物贮存执行《危险废物贮存污染控制标准》（GB18597-2023）中有关规定，贮存设施应根据危险废物的形态、物理化学性质、包装形式和污染物迁移途径，采取必要的防风、</w:t>
            </w:r>
            <w:r>
              <w:rPr>
                <w:rFonts w:hint="eastAsia"/>
                <w:color w:val="auto"/>
                <w:kern w:val="0"/>
                <w:sz w:val="24"/>
                <w:szCs w:val="24"/>
                <w:lang w:val="en-US" w:eastAsia="zh-CN"/>
              </w:rPr>
              <w:t>防晒、</w:t>
            </w:r>
            <w:r>
              <w:rPr>
                <w:rFonts w:hint="eastAsia"/>
                <w:color w:val="auto"/>
                <w:kern w:val="0"/>
                <w:sz w:val="24"/>
                <w:szCs w:val="24"/>
              </w:rPr>
              <w:t>防雨、防漏、防渗、防腐以及其他环境污染防治措施。</w:t>
            </w:r>
          </w:p>
        </w:tc>
      </w:tr>
      <w:tr w14:paraId="511F1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1" w:type="dxa"/>
            <w:vAlign w:val="center"/>
          </w:tcPr>
          <w:p w14:paraId="207F3649">
            <w:pPr>
              <w:pStyle w:val="18"/>
              <w:widowControl/>
              <w:spacing w:line="360" w:lineRule="auto"/>
              <w:ind w:firstLineChars="175"/>
              <w:jc w:val="center"/>
              <w:rPr>
                <w:rFonts w:hint="eastAsia" w:hAnsi="宋体"/>
                <w:color w:val="002DC7"/>
                <w:kern w:val="0"/>
                <w:sz w:val="24"/>
              </w:rPr>
            </w:pPr>
            <w:r>
              <w:rPr>
                <w:rFonts w:hint="eastAsia" w:hAnsi="宋体"/>
                <w:color w:val="auto"/>
                <w:kern w:val="0"/>
                <w:sz w:val="24"/>
              </w:rPr>
              <w:t>总总量控制指标</w:t>
            </w:r>
          </w:p>
        </w:tc>
        <w:tc>
          <w:tcPr>
            <w:tcW w:w="8170" w:type="dxa"/>
          </w:tcPr>
          <w:p w14:paraId="4B5240CC">
            <w:pPr>
              <w:pStyle w:val="57"/>
              <w:spacing w:line="360" w:lineRule="auto"/>
              <w:ind w:firstLine="480" w:firstLineChars="200"/>
              <w:jc w:val="both"/>
              <w:rPr>
                <w:rFonts w:hint="eastAsia" w:hAnsi="宋体"/>
                <w:b w:val="0"/>
                <w:bCs w:val="0"/>
                <w:color w:val="002DC7"/>
              </w:rPr>
            </w:pPr>
            <w:r>
              <w:rPr>
                <w:rFonts w:hint="eastAsia" w:hAnsi="宋体"/>
                <w:b w:val="0"/>
                <w:bCs w:val="0"/>
                <w:color w:val="auto"/>
              </w:rPr>
              <w:t>根据国家对污染物排放总量控制指标和《安徽省环保厅关于进一步加强建设项目新增大气主要污染物总量指标管理工作的通知》（皖环发【2017】19 号）的要求，规定总量控制因子为 COD</w:t>
            </w:r>
            <w:r>
              <w:rPr>
                <w:rFonts w:hint="eastAsia" w:hAnsi="宋体"/>
                <w:b w:val="0"/>
                <w:bCs w:val="0"/>
                <w:color w:val="auto"/>
                <w:vertAlign w:val="subscript"/>
              </w:rPr>
              <w:t>Cr</w:t>
            </w:r>
            <w:r>
              <w:rPr>
                <w:rFonts w:hint="eastAsia" w:hAnsi="宋体"/>
                <w:b w:val="0"/>
                <w:bCs w:val="0"/>
                <w:color w:val="auto"/>
              </w:rPr>
              <w:t>、氨氮和</w:t>
            </w:r>
            <w:r>
              <w:rPr>
                <w:rFonts w:hint="eastAsia" w:hAnsi="宋体"/>
                <w:b w:val="0"/>
                <w:bCs w:val="0"/>
                <w:color w:val="auto"/>
                <w:lang w:val="en-US" w:eastAsia="zh-CN"/>
              </w:rPr>
              <w:t>颗粒物</w:t>
            </w:r>
            <w:r>
              <w:rPr>
                <w:rFonts w:hint="eastAsia" w:hAnsi="宋体"/>
                <w:b w:val="0"/>
                <w:bCs w:val="0"/>
                <w:color w:val="auto"/>
              </w:rPr>
              <w:t>。</w:t>
            </w:r>
          </w:p>
          <w:p w14:paraId="2D8CA761">
            <w:pPr>
              <w:pStyle w:val="57"/>
              <w:spacing w:line="360" w:lineRule="auto"/>
              <w:ind w:firstLine="480" w:firstLineChars="200"/>
              <w:jc w:val="both"/>
              <w:rPr>
                <w:rFonts w:hint="eastAsia" w:hAnsi="宋体"/>
                <w:b w:val="0"/>
                <w:bCs w:val="0"/>
                <w:color w:val="auto"/>
              </w:rPr>
            </w:pPr>
            <w:r>
              <w:rPr>
                <w:rFonts w:hint="eastAsia" w:hAnsi="宋体"/>
                <w:b w:val="0"/>
                <w:bCs w:val="0"/>
                <w:color w:val="auto"/>
              </w:rPr>
              <w:t>根据生态环境部和安徽省生态环境厅要求对建设项目排放污染物实施总量控制的要求，针对本项目的具体排污情况，结合本项目排污特征，确定总量控制因子为：</w:t>
            </w:r>
          </w:p>
          <w:p w14:paraId="07FE02D8">
            <w:pPr>
              <w:pStyle w:val="57"/>
              <w:spacing w:line="360" w:lineRule="auto"/>
              <w:ind w:firstLine="480" w:firstLineChars="200"/>
              <w:jc w:val="both"/>
              <w:rPr>
                <w:rFonts w:hint="eastAsia" w:hAnsi="宋体"/>
                <w:b w:val="0"/>
                <w:bCs w:val="0"/>
                <w:color w:val="auto"/>
              </w:rPr>
            </w:pPr>
            <w:r>
              <w:rPr>
                <w:rFonts w:hint="eastAsia" w:hAnsi="宋体"/>
                <w:b w:val="0"/>
                <w:bCs w:val="0"/>
                <w:color w:val="auto"/>
              </w:rPr>
              <w:t>废水污染物指标：COD、氨氮。</w:t>
            </w:r>
          </w:p>
          <w:p w14:paraId="36BFBA56">
            <w:pPr>
              <w:pStyle w:val="57"/>
              <w:spacing w:line="360" w:lineRule="auto"/>
              <w:ind w:firstLine="480" w:firstLineChars="200"/>
              <w:jc w:val="both"/>
              <w:rPr>
                <w:rFonts w:hint="eastAsia" w:hAnsi="宋体" w:eastAsia="宋体"/>
                <w:b w:val="0"/>
                <w:bCs w:val="0"/>
                <w:color w:val="auto"/>
                <w:lang w:eastAsia="zh-CN"/>
              </w:rPr>
            </w:pPr>
            <w:r>
              <w:rPr>
                <w:rFonts w:hint="eastAsia" w:hAnsi="宋体"/>
                <w:b w:val="0"/>
                <w:bCs w:val="0"/>
                <w:color w:val="auto"/>
              </w:rPr>
              <w:t>废气污染物指标：</w:t>
            </w:r>
            <w:r>
              <w:rPr>
                <w:rFonts w:hint="eastAsia" w:hAnsi="宋体"/>
                <w:b w:val="0"/>
                <w:bCs w:val="0"/>
                <w:color w:val="auto"/>
                <w:lang w:val="en-US" w:eastAsia="zh-CN"/>
              </w:rPr>
              <w:t>颗粒物。</w:t>
            </w:r>
          </w:p>
          <w:p w14:paraId="745C52FA">
            <w:pPr>
              <w:pStyle w:val="57"/>
              <w:spacing w:line="360" w:lineRule="auto"/>
              <w:ind w:firstLine="482" w:firstLineChars="200"/>
              <w:rPr>
                <w:rFonts w:hint="eastAsia" w:hAnsi="宋体"/>
                <w:color w:val="auto"/>
              </w:rPr>
            </w:pPr>
            <w:r>
              <w:rPr>
                <w:rFonts w:hint="eastAsia" w:hAnsi="宋体"/>
                <w:color w:val="auto"/>
              </w:rPr>
              <w:t>（1）废水</w:t>
            </w:r>
          </w:p>
          <w:p w14:paraId="14E82394">
            <w:pPr>
              <w:pStyle w:val="57"/>
              <w:spacing w:line="360" w:lineRule="auto"/>
              <w:ind w:firstLine="480" w:firstLineChars="200"/>
              <w:jc w:val="both"/>
              <w:rPr>
                <w:rFonts w:hint="eastAsia" w:hAnsi="宋体"/>
                <w:b w:val="0"/>
                <w:bCs w:val="0"/>
                <w:color w:val="auto"/>
              </w:rPr>
            </w:pPr>
            <w:r>
              <w:rPr>
                <w:rFonts w:hint="eastAsia" w:hAnsi="宋体"/>
                <w:b w:val="0"/>
                <w:bCs w:val="0"/>
                <w:color w:val="auto"/>
              </w:rPr>
              <w:t>本项目污水接管</w:t>
            </w:r>
            <w:r>
              <w:rPr>
                <w:rFonts w:hint="default" w:ascii="Times New Roman" w:hAnsi="Times New Roman" w:cs="Times New Roman"/>
                <w:b w:val="0"/>
                <w:bCs w:val="0"/>
                <w:color w:val="auto"/>
                <w:highlight w:val="none"/>
                <w:lang w:val="en-US" w:eastAsia="zh-CN"/>
              </w:rPr>
              <w:t>淮南经济</w:t>
            </w:r>
            <w:r>
              <w:rPr>
                <w:rFonts w:hint="default" w:ascii="Times New Roman" w:hAnsi="Times New Roman" w:cs="Times New Roman"/>
                <w:b w:val="0"/>
                <w:bCs w:val="0"/>
                <w:color w:val="auto"/>
                <w:highlight w:val="none"/>
              </w:rPr>
              <w:t>开发区污水处理厂</w:t>
            </w:r>
            <w:r>
              <w:rPr>
                <w:rFonts w:hint="eastAsia" w:hAnsi="宋体"/>
                <w:b w:val="0"/>
                <w:bCs w:val="0"/>
                <w:color w:val="auto"/>
              </w:rPr>
              <w:t>集中处理达标后排放，COD接管量为0.</w:t>
            </w:r>
            <w:r>
              <w:rPr>
                <w:rFonts w:hint="eastAsia" w:hAnsi="宋体"/>
                <w:b w:val="0"/>
                <w:bCs w:val="0"/>
                <w:color w:val="auto"/>
                <w:lang w:val="en-US" w:eastAsia="zh-CN"/>
              </w:rPr>
              <w:t>259</w:t>
            </w:r>
            <w:r>
              <w:rPr>
                <w:rFonts w:hint="eastAsia" w:hAnsi="宋体"/>
                <w:b w:val="0"/>
                <w:bCs w:val="0"/>
                <w:color w:val="auto"/>
              </w:rPr>
              <w:t>t/a，氨氮为0.0</w:t>
            </w:r>
            <w:r>
              <w:rPr>
                <w:rFonts w:hint="eastAsia" w:hAnsi="宋体"/>
                <w:b w:val="0"/>
                <w:bCs w:val="0"/>
                <w:color w:val="auto"/>
                <w:lang w:val="en-US" w:eastAsia="zh-CN"/>
              </w:rPr>
              <w:t>252</w:t>
            </w:r>
            <w:r>
              <w:rPr>
                <w:rFonts w:hint="eastAsia" w:hAnsi="宋体"/>
                <w:b w:val="0"/>
                <w:bCs w:val="0"/>
                <w:color w:val="auto"/>
              </w:rPr>
              <w:t>t/a；排入外环境量COD为0.0</w:t>
            </w:r>
            <w:r>
              <w:rPr>
                <w:rFonts w:hint="eastAsia" w:hAnsi="宋体"/>
                <w:b w:val="0"/>
                <w:bCs w:val="0"/>
                <w:color w:val="auto"/>
                <w:lang w:val="en-US" w:eastAsia="zh-CN"/>
              </w:rPr>
              <w:t>36</w:t>
            </w:r>
            <w:r>
              <w:rPr>
                <w:rFonts w:hint="eastAsia" w:hAnsi="宋体"/>
                <w:b w:val="0"/>
                <w:bCs w:val="0"/>
                <w:color w:val="auto"/>
              </w:rPr>
              <w:t>t/a，氨氮为0.00</w:t>
            </w:r>
            <w:r>
              <w:rPr>
                <w:rFonts w:hint="eastAsia" w:hAnsi="宋体"/>
                <w:b w:val="0"/>
                <w:bCs w:val="0"/>
                <w:color w:val="auto"/>
                <w:lang w:val="en-US" w:eastAsia="zh-CN"/>
              </w:rPr>
              <w:t>36</w:t>
            </w:r>
            <w:r>
              <w:rPr>
                <w:rFonts w:hint="eastAsia" w:hAnsi="宋体"/>
                <w:b w:val="0"/>
                <w:bCs w:val="0"/>
                <w:color w:val="auto"/>
              </w:rPr>
              <w:t>t/a。废水污染物COD、氨氮总量纳入</w:t>
            </w:r>
            <w:r>
              <w:rPr>
                <w:rFonts w:hint="default" w:ascii="Times New Roman" w:hAnsi="Times New Roman" w:cs="Times New Roman"/>
                <w:b w:val="0"/>
                <w:bCs w:val="0"/>
                <w:color w:val="auto"/>
                <w:highlight w:val="none"/>
                <w:lang w:val="en-US" w:eastAsia="zh-CN"/>
              </w:rPr>
              <w:t>淮南经济</w:t>
            </w:r>
            <w:r>
              <w:rPr>
                <w:rFonts w:hint="default" w:ascii="Times New Roman" w:hAnsi="Times New Roman" w:cs="Times New Roman"/>
                <w:b w:val="0"/>
                <w:bCs w:val="0"/>
                <w:color w:val="auto"/>
                <w:highlight w:val="none"/>
              </w:rPr>
              <w:t>开发区污水处理厂</w:t>
            </w:r>
            <w:r>
              <w:rPr>
                <w:rFonts w:hint="eastAsia" w:hAnsi="宋体"/>
                <w:b w:val="0"/>
                <w:bCs w:val="0"/>
                <w:color w:val="auto"/>
              </w:rPr>
              <w:t>总量控制指标统一考核。</w:t>
            </w:r>
          </w:p>
          <w:p w14:paraId="28A9A7D4">
            <w:pPr>
              <w:pStyle w:val="57"/>
              <w:spacing w:line="360" w:lineRule="auto"/>
              <w:ind w:firstLine="482" w:firstLineChars="200"/>
              <w:jc w:val="both"/>
              <w:rPr>
                <w:rFonts w:hint="eastAsia" w:hAnsi="宋体"/>
                <w:color w:val="auto"/>
              </w:rPr>
            </w:pPr>
            <w:r>
              <w:rPr>
                <w:rFonts w:hint="eastAsia" w:hAnsi="宋体"/>
                <w:color w:val="auto"/>
              </w:rPr>
              <w:t>（2）废气</w:t>
            </w:r>
          </w:p>
          <w:p w14:paraId="0F98394C">
            <w:pPr>
              <w:pStyle w:val="57"/>
              <w:spacing w:line="360" w:lineRule="auto"/>
              <w:ind w:firstLine="480" w:firstLineChars="200"/>
              <w:jc w:val="both"/>
              <w:rPr>
                <w:rFonts w:hint="eastAsia" w:hAnsi="宋体"/>
                <w:b w:val="0"/>
                <w:bCs w:val="0"/>
                <w:color w:val="auto"/>
              </w:rPr>
            </w:pPr>
            <w:r>
              <w:rPr>
                <w:rFonts w:hint="eastAsia" w:hAnsi="宋体"/>
                <w:b w:val="0"/>
                <w:bCs w:val="0"/>
                <w:color w:val="auto"/>
              </w:rPr>
              <w:t>本项目废气污染物排放总量控制指标如下：</w:t>
            </w:r>
          </w:p>
          <w:p w14:paraId="0A1E8D4A">
            <w:pPr>
              <w:pStyle w:val="57"/>
              <w:spacing w:line="360" w:lineRule="auto"/>
              <w:ind w:firstLine="480" w:firstLineChars="200"/>
              <w:jc w:val="both"/>
              <w:rPr>
                <w:b/>
                <w:color w:val="002DC7"/>
                <w:sz w:val="24"/>
                <w:szCs w:val="24"/>
              </w:rPr>
            </w:pPr>
            <w:r>
              <w:rPr>
                <w:rFonts w:hint="eastAsia" w:hAnsi="宋体"/>
                <w:b w:val="0"/>
                <w:bCs w:val="0"/>
                <w:color w:val="auto"/>
                <w:lang w:val="en-US" w:eastAsia="zh-CN"/>
              </w:rPr>
              <w:t>颗粒物</w:t>
            </w:r>
            <w:r>
              <w:rPr>
                <w:rFonts w:hint="eastAsia" w:hAnsi="宋体"/>
                <w:b w:val="0"/>
                <w:bCs w:val="0"/>
                <w:color w:val="auto"/>
              </w:rPr>
              <w:t>：</w:t>
            </w:r>
            <w:r>
              <w:rPr>
                <w:rFonts w:hint="eastAsia" w:hAnsi="宋体"/>
                <w:b w:val="0"/>
                <w:bCs w:val="0"/>
                <w:color w:val="auto"/>
                <w:lang w:val="en-US" w:eastAsia="zh-CN"/>
              </w:rPr>
              <w:t>0.54</w:t>
            </w:r>
            <w:r>
              <w:rPr>
                <w:rFonts w:hint="eastAsia" w:hAnsi="宋体"/>
                <w:b w:val="0"/>
                <w:bCs w:val="0"/>
                <w:color w:val="auto"/>
              </w:rPr>
              <w:t>t/a。</w:t>
            </w:r>
          </w:p>
        </w:tc>
      </w:tr>
    </w:tbl>
    <w:p w14:paraId="5E656664">
      <w:pPr>
        <w:widowControl/>
        <w:outlineLvl w:val="0"/>
        <w:rPr>
          <w:rFonts w:hint="eastAsia" w:ascii="宋体" w:hAnsi="宋体"/>
          <w:b/>
          <w:bCs/>
          <w:color w:val="002DC7"/>
          <w:kern w:val="0"/>
          <w:sz w:val="30"/>
          <w:szCs w:val="30"/>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76A98C99">
      <w:pPr>
        <w:widowControl/>
        <w:jc w:val="center"/>
        <w:outlineLvl w:val="0"/>
        <w:rPr>
          <w:rFonts w:hint="eastAsia" w:ascii="宋体" w:hAnsi="宋体"/>
          <w:b/>
          <w:bCs/>
          <w:color w:val="002DC7"/>
          <w:kern w:val="0"/>
          <w:sz w:val="30"/>
          <w:szCs w:val="30"/>
        </w:rPr>
      </w:pPr>
      <w:r>
        <w:rPr>
          <w:rFonts w:hint="eastAsia" w:ascii="宋体" w:hAnsi="宋体"/>
          <w:b/>
          <w:bCs/>
          <w:color w:val="auto"/>
          <w:kern w:val="0"/>
          <w:sz w:val="30"/>
          <w:szCs w:val="30"/>
        </w:rPr>
        <w:t>四、</w:t>
      </w:r>
      <w:bookmarkEnd w:id="11"/>
      <w:r>
        <w:rPr>
          <w:rFonts w:hint="eastAsia" w:ascii="宋体" w:hAnsi="宋体"/>
          <w:b/>
          <w:bCs/>
          <w:color w:val="auto"/>
          <w:kern w:val="0"/>
          <w:sz w:val="30"/>
          <w:szCs w:val="30"/>
        </w:rPr>
        <w:t>主要</w:t>
      </w:r>
      <w:r>
        <w:rPr>
          <w:rFonts w:ascii="宋体" w:hAnsi="宋体"/>
          <w:b/>
          <w:bCs/>
          <w:color w:val="auto"/>
          <w:kern w:val="0"/>
          <w:sz w:val="30"/>
          <w:szCs w:val="30"/>
        </w:rPr>
        <w:t>环境影响和保护措施</w:t>
      </w:r>
    </w:p>
    <w:tbl>
      <w:tblPr>
        <w:tblStyle w:val="40"/>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
        <w:gridCol w:w="8361"/>
      </w:tblGrid>
      <w:tr w14:paraId="18DD0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445" w:type="dxa"/>
            <w:vAlign w:val="center"/>
          </w:tcPr>
          <w:p w14:paraId="6183BA33">
            <w:pPr>
              <w:widowControl/>
              <w:spacing w:line="360" w:lineRule="auto"/>
              <w:jc w:val="center"/>
              <w:rPr>
                <w:b/>
                <w:bCs/>
                <w:color w:val="002DC7"/>
                <w:kern w:val="0"/>
                <w:sz w:val="25"/>
                <w:szCs w:val="25"/>
              </w:rPr>
            </w:pPr>
            <w:r>
              <w:rPr>
                <w:rFonts w:hint="eastAsia" w:hAnsi="宋体"/>
                <w:color w:val="auto"/>
                <w:kern w:val="0"/>
                <w:sz w:val="24"/>
              </w:rPr>
              <w:t>施工期环境保护措施</w:t>
            </w:r>
          </w:p>
        </w:tc>
        <w:tc>
          <w:tcPr>
            <w:tcW w:w="8372" w:type="dxa"/>
          </w:tcPr>
          <w:p w14:paraId="158B10AB">
            <w:pPr>
              <w:pStyle w:val="57"/>
              <w:spacing w:line="360" w:lineRule="auto"/>
              <w:ind w:firstLine="482" w:firstLineChars="200"/>
              <w:rPr>
                <w:b/>
                <w:bCs/>
                <w:color w:val="auto"/>
              </w:rPr>
            </w:pPr>
            <w:r>
              <w:rPr>
                <w:rFonts w:hint="eastAsia"/>
                <w:b/>
                <w:bCs/>
                <w:color w:val="auto"/>
              </w:rPr>
              <w:t>施工期环境保护措施</w:t>
            </w:r>
          </w:p>
          <w:p w14:paraId="30C1BA2B">
            <w:pPr>
              <w:pStyle w:val="57"/>
              <w:spacing w:line="360" w:lineRule="auto"/>
              <w:ind w:firstLine="480" w:firstLineChars="200"/>
              <w:jc w:val="both"/>
              <w:rPr>
                <w:rFonts w:hint="default"/>
                <w:b w:val="0"/>
                <w:bCs w:val="0"/>
                <w:color w:val="auto"/>
                <w:lang w:val="en-US"/>
              </w:rPr>
            </w:pPr>
            <w:r>
              <w:rPr>
                <w:rFonts w:hint="eastAsia"/>
                <w:b w:val="0"/>
                <w:bCs w:val="0"/>
                <w:color w:val="auto"/>
                <w:kern w:val="0"/>
                <w:sz w:val="24"/>
                <w:szCs w:val="24"/>
                <w:lang w:val="en-US" w:eastAsia="zh-CN"/>
              </w:rPr>
              <w:t>项目</w:t>
            </w:r>
            <w:r>
              <w:rPr>
                <w:rFonts w:hint="eastAsia" w:cs="Times New Roman"/>
                <w:b w:val="0"/>
                <w:bCs w:val="0"/>
                <w:color w:val="auto"/>
                <w:sz w:val="24"/>
                <w:lang w:val="en-US" w:eastAsia="zh-CN"/>
              </w:rPr>
              <w:t>在</w:t>
            </w:r>
            <w:r>
              <w:rPr>
                <w:rFonts w:hint="default" w:ascii="Times New Roman" w:hAnsi="Times New Roman" w:cs="Times New Roman"/>
                <w:b w:val="0"/>
                <w:bCs w:val="0"/>
                <w:color w:val="auto"/>
                <w:sz w:val="24"/>
              </w:rPr>
              <w:t>安徽中志轨道交通装备制造有限公司</w:t>
            </w:r>
            <w:r>
              <w:rPr>
                <w:rFonts w:hint="default" w:ascii="Times New Roman" w:hAnsi="Times New Roman" w:cs="Times New Roman"/>
                <w:b w:val="0"/>
                <w:bCs w:val="0"/>
                <w:color w:val="auto"/>
                <w:sz w:val="24"/>
                <w:lang w:val="en-US" w:eastAsia="zh-CN"/>
              </w:rPr>
              <w:t>东南侧空地，</w:t>
            </w:r>
            <w:r>
              <w:rPr>
                <w:rFonts w:hint="eastAsia" w:cs="Times New Roman"/>
                <w:b w:val="0"/>
                <w:bCs w:val="0"/>
                <w:color w:val="auto"/>
                <w:sz w:val="24"/>
                <w:lang w:val="en-US" w:eastAsia="zh-CN"/>
              </w:rPr>
              <w:t>项目</w:t>
            </w:r>
            <w:r>
              <w:rPr>
                <w:rFonts w:hint="default" w:ascii="Times New Roman" w:hAnsi="Times New Roman" w:cs="Times New Roman"/>
                <w:b w:val="0"/>
                <w:bCs w:val="0"/>
                <w:color w:val="auto"/>
                <w:sz w:val="24"/>
                <w:lang w:val="en-US" w:eastAsia="zh-CN"/>
              </w:rPr>
              <w:t>占地面积约20亩</w:t>
            </w:r>
            <w:r>
              <w:rPr>
                <w:rFonts w:hint="eastAsia" w:cs="Times New Roman"/>
                <w:b w:val="0"/>
                <w:bCs w:val="0"/>
                <w:color w:val="auto"/>
                <w:sz w:val="24"/>
                <w:lang w:val="en-US" w:eastAsia="zh-CN"/>
              </w:rPr>
              <w:t>，新建</w:t>
            </w:r>
            <w:r>
              <w:rPr>
                <w:rFonts w:hint="default" w:ascii="Times New Roman" w:hAnsi="Times New Roman" w:cs="Times New Roman"/>
                <w:b w:val="0"/>
                <w:bCs w:val="0"/>
                <w:color w:val="auto"/>
                <w:sz w:val="24"/>
                <w:lang w:val="en-US" w:eastAsia="zh-CN"/>
              </w:rPr>
              <w:t>一栋钢结构厂房，</w:t>
            </w:r>
            <w:r>
              <w:rPr>
                <w:rFonts w:hint="eastAsia" w:cs="Times New Roman"/>
                <w:b w:val="0"/>
                <w:bCs w:val="0"/>
                <w:color w:val="auto"/>
                <w:sz w:val="24"/>
                <w:highlight w:val="none"/>
                <w:lang w:val="en-US" w:eastAsia="zh-CN"/>
              </w:rPr>
              <w:t>新建</w:t>
            </w:r>
            <w:r>
              <w:rPr>
                <w:rFonts w:hint="default" w:ascii="Times New Roman" w:hAnsi="Times New Roman" w:cs="Times New Roman"/>
                <w:b w:val="0"/>
                <w:bCs w:val="0"/>
                <w:color w:val="auto"/>
                <w:sz w:val="24"/>
                <w:highlight w:val="none"/>
                <w:lang w:val="en-US" w:eastAsia="zh-CN"/>
              </w:rPr>
              <w:t>一条</w:t>
            </w:r>
            <w:r>
              <w:rPr>
                <w:rFonts w:hint="default" w:ascii="Times New Roman" w:hAnsi="Times New Roman" w:cs="Times New Roman"/>
                <w:b w:val="0"/>
                <w:bCs w:val="0"/>
                <w:color w:val="000000"/>
                <w:sz w:val="24"/>
                <w:szCs w:val="24"/>
                <w:highlight w:val="none"/>
                <w:lang w:val="en-US" w:eastAsia="zh-CN"/>
              </w:rPr>
              <w:t>统型砼岔枕生产线。项目建成后可达年产50万根统型砼岔枕</w:t>
            </w:r>
            <w:r>
              <w:rPr>
                <w:rFonts w:hint="eastAsia" w:cs="Times New Roman"/>
                <w:b w:val="0"/>
                <w:bCs w:val="0"/>
                <w:color w:val="auto"/>
                <w:sz w:val="24"/>
                <w:highlight w:val="none"/>
                <w:vertAlign w:val="baseline"/>
                <w:lang w:val="en-US" w:eastAsia="zh-CN"/>
              </w:rPr>
              <w:t>。</w:t>
            </w:r>
          </w:p>
          <w:p w14:paraId="1AA14801">
            <w:pPr>
              <w:spacing w:line="360" w:lineRule="auto"/>
              <w:ind w:firstLine="480" w:firstLineChars="200"/>
              <w:rPr>
                <w:rFonts w:hint="eastAsia"/>
                <w:color w:val="auto"/>
                <w:kern w:val="0"/>
                <w:sz w:val="24"/>
                <w:szCs w:val="24"/>
                <w:lang w:eastAsia="zh-CN"/>
              </w:rPr>
            </w:pPr>
            <w:r>
              <w:rPr>
                <w:rFonts w:hint="eastAsia"/>
                <w:color w:val="auto"/>
                <w:kern w:val="0"/>
                <w:sz w:val="24"/>
                <w:szCs w:val="24"/>
              </w:rPr>
              <w:t>施工期对环境的主要影响为设备安装引起的噪声、工人产生的生活垃圾、废水。项目施工的时间较短，且施工区域集中在现有车间内部，对区域环境影响较小</w:t>
            </w:r>
            <w:r>
              <w:rPr>
                <w:rFonts w:hint="eastAsia"/>
                <w:color w:val="auto"/>
                <w:kern w:val="0"/>
                <w:sz w:val="24"/>
                <w:szCs w:val="24"/>
                <w:lang w:eastAsia="zh-CN"/>
              </w:rPr>
              <w:t>。</w:t>
            </w:r>
          </w:p>
          <w:p w14:paraId="75AA83B5">
            <w:pPr>
              <w:pStyle w:val="57"/>
              <w:spacing w:line="360" w:lineRule="auto"/>
              <w:ind w:firstLine="480" w:firstLineChars="200"/>
              <w:jc w:val="both"/>
              <w:rPr>
                <w:rFonts w:hint="eastAsia"/>
                <w:b w:val="0"/>
                <w:bCs w:val="0"/>
                <w:color w:val="auto"/>
              </w:rPr>
            </w:pPr>
            <w:r>
              <w:rPr>
                <w:rFonts w:hint="eastAsia"/>
                <w:b w:val="0"/>
                <w:bCs w:val="0"/>
                <w:color w:val="auto"/>
              </w:rPr>
              <w:t>1、施工期废气防治措施</w:t>
            </w:r>
          </w:p>
          <w:p w14:paraId="2FA500FD">
            <w:pPr>
              <w:pStyle w:val="57"/>
              <w:spacing w:line="360" w:lineRule="auto"/>
              <w:ind w:firstLine="480" w:firstLineChars="200"/>
              <w:jc w:val="both"/>
              <w:rPr>
                <w:rFonts w:hint="eastAsia"/>
                <w:b w:val="0"/>
                <w:bCs w:val="0"/>
                <w:color w:val="auto"/>
              </w:rPr>
            </w:pPr>
            <w:r>
              <w:rPr>
                <w:rFonts w:hint="eastAsia"/>
                <w:b w:val="0"/>
                <w:bCs w:val="0"/>
                <w:color w:val="auto"/>
              </w:rPr>
              <w:t>本项目施工期的大气污染物主要是扬尘、一般由土地平整、土方填挖、物料装卸、水泥搅拌和车辆运输造成的。</w:t>
            </w:r>
          </w:p>
          <w:p w14:paraId="72B84B8E">
            <w:pPr>
              <w:pStyle w:val="57"/>
              <w:spacing w:line="360" w:lineRule="auto"/>
              <w:ind w:firstLine="480" w:firstLineChars="200"/>
              <w:jc w:val="both"/>
              <w:rPr>
                <w:rFonts w:hint="eastAsia"/>
                <w:b w:val="0"/>
                <w:bCs w:val="0"/>
                <w:color w:val="auto"/>
                <w:lang w:eastAsia="zh-CN"/>
              </w:rPr>
            </w:pPr>
            <w:r>
              <w:rPr>
                <w:rFonts w:hint="eastAsia"/>
                <w:b w:val="0"/>
                <w:bCs w:val="0"/>
                <w:color w:val="auto"/>
              </w:rPr>
              <w:t>对于整个施工期而言，施工产生的扬尘主要集中在土建施工阶段。按起坐的原因可分为风力起尘和动力起生，其中风力起尘主要是由于露天堆放的建材(如黄沙、水泥等)及裸露的施工区表层浮沉因天气千燥及风大，产生风力扬尘:而动力起生，主要是在建材的装卸、搅拌的过程中，由于外力而造成的尘粒悬浮物，其中施工及装卸车辆造成的扬尘最为严重，据有关文献资料介绍，车辆行驶产生的烟尘占总扬尘的60%以上。车辆行驶产生的扬尘，在完全干燥的情况下，可按下列经验公式计算</w:t>
            </w:r>
            <w:r>
              <w:rPr>
                <w:rFonts w:hint="eastAsia"/>
                <w:b w:val="0"/>
                <w:bCs w:val="0"/>
                <w:color w:val="auto"/>
                <w:lang w:eastAsia="zh-CN"/>
              </w:rPr>
              <w:t>：</w:t>
            </w:r>
          </w:p>
          <w:p w14:paraId="6129B399">
            <w:pPr>
              <w:pStyle w:val="57"/>
              <w:spacing w:line="360" w:lineRule="auto"/>
              <w:jc w:val="center"/>
              <w:rPr>
                <w:rFonts w:hint="eastAsia"/>
                <w:b w:val="0"/>
                <w:bCs w:val="0"/>
                <w:color w:val="auto"/>
                <w:lang w:eastAsia="zh-CN"/>
              </w:rPr>
            </w:pPr>
            <w:r>
              <w:rPr>
                <w:rFonts w:hint="eastAsia"/>
                <w:b w:val="0"/>
                <w:bCs w:val="0"/>
                <w:color w:val="auto"/>
                <w:lang w:eastAsia="zh-CN"/>
              </w:rPr>
              <w:drawing>
                <wp:inline distT="0" distB="0" distL="114300" distR="114300">
                  <wp:extent cx="2628900" cy="638175"/>
                  <wp:effectExtent l="0" t="0" r="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22"/>
                          <a:stretch>
                            <a:fillRect/>
                          </a:stretch>
                        </pic:blipFill>
                        <pic:spPr>
                          <a:xfrm>
                            <a:off x="0" y="0"/>
                            <a:ext cx="2628900" cy="638175"/>
                          </a:xfrm>
                          <a:prstGeom prst="rect">
                            <a:avLst/>
                          </a:prstGeom>
                        </pic:spPr>
                      </pic:pic>
                    </a:graphicData>
                  </a:graphic>
                </wp:inline>
              </w:drawing>
            </w:r>
          </w:p>
          <w:p w14:paraId="635C1219">
            <w:pPr>
              <w:pStyle w:val="57"/>
              <w:spacing w:line="360" w:lineRule="auto"/>
              <w:ind w:firstLine="480" w:firstLineChars="200"/>
              <w:jc w:val="both"/>
              <w:rPr>
                <w:rFonts w:hint="eastAsia" w:ascii="宋体" w:hAnsi="宋体" w:eastAsia="宋体" w:cs="宋体"/>
                <w:b w:val="0"/>
                <w:bCs w:val="0"/>
                <w:color w:val="auto"/>
                <w:lang w:val="en-US" w:eastAsia="zh-CN"/>
              </w:rPr>
            </w:pPr>
            <w:r>
              <w:rPr>
                <w:rFonts w:hint="eastAsia"/>
                <w:b w:val="0"/>
                <w:bCs w:val="0"/>
                <w:color w:val="auto"/>
                <w:lang w:val="en-US" w:eastAsia="zh-CN"/>
              </w:rPr>
              <w:t>式中：Q-汽车行驶的烟尘，kg/km</w:t>
            </w:r>
            <w:r>
              <w:rPr>
                <w:rFonts w:hint="eastAsia" w:ascii="宋体" w:hAnsi="宋体" w:eastAsia="宋体" w:cs="宋体"/>
                <w:b w:val="0"/>
                <w:bCs w:val="0"/>
                <w:color w:val="auto"/>
                <w:lang w:val="en-US" w:eastAsia="zh-CN"/>
              </w:rPr>
              <w:t>/辆；</w:t>
            </w:r>
          </w:p>
          <w:p w14:paraId="4B577CE4">
            <w:pPr>
              <w:pStyle w:val="57"/>
              <w:spacing w:line="360" w:lineRule="auto"/>
              <w:ind w:firstLine="1200" w:firstLineChars="500"/>
              <w:jc w:val="both"/>
              <w:rPr>
                <w:rFonts w:hint="eastAsia"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V</w:t>
            </w:r>
            <w:r>
              <w:rPr>
                <w:rFonts w:hint="eastAsia" w:ascii="Times New Roman" w:hAnsi="Times New Roman" w:eastAsia="宋体" w:cs="Times New Roman"/>
                <w:b w:val="0"/>
                <w:bCs w:val="0"/>
                <w:color w:val="auto"/>
                <w:lang w:val="en-US" w:eastAsia="zh-CN"/>
              </w:rPr>
              <w:t>-汽车速度，km/hr；</w:t>
            </w:r>
          </w:p>
          <w:p w14:paraId="55A8A82F">
            <w:pPr>
              <w:pStyle w:val="57"/>
              <w:spacing w:line="360" w:lineRule="auto"/>
              <w:ind w:firstLine="1200" w:firstLineChars="500"/>
              <w:jc w:val="both"/>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W-汽车载重量，t；</w:t>
            </w:r>
          </w:p>
          <w:p w14:paraId="19ACBA21">
            <w:pPr>
              <w:pStyle w:val="57"/>
              <w:spacing w:line="360" w:lineRule="auto"/>
              <w:ind w:firstLine="1200" w:firstLineChars="500"/>
              <w:jc w:val="both"/>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P-道路表面粉尘量。</w:t>
            </w:r>
          </w:p>
          <w:p w14:paraId="3D3FA469">
            <w:pPr>
              <w:pStyle w:val="57"/>
              <w:spacing w:line="360" w:lineRule="auto"/>
              <w:ind w:firstLine="480"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由此可见，在同样的路面清洁程度条件下，车速越快，路面越脏，扬尘越大。因此限速行驶及保持路面清洁是减少汽车扬尘的有效手段。</w:t>
            </w:r>
          </w:p>
          <w:p w14:paraId="10D4A59A">
            <w:pPr>
              <w:pStyle w:val="57"/>
              <w:spacing w:line="360" w:lineRule="auto"/>
              <w:ind w:firstLine="480" w:firstLineChars="200"/>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施工期烟尘的另一个主要原因是露天堆场和裸露场地的风力扬尘，为减轻施工期各类扬尘对项目区域大气环境的污染和对周围居民等敏感点的影响，建设单位应采取下列控制措施</w:t>
            </w:r>
            <w:r>
              <w:rPr>
                <w:rFonts w:hint="eastAsia" w:ascii="Times New Roman" w:hAnsi="Times New Roman" w:eastAsia="宋体" w:cs="Times New Roman"/>
                <w:b w:val="0"/>
                <w:bCs w:val="0"/>
                <w:color w:val="auto"/>
                <w:lang w:val="en-US" w:eastAsia="zh-CN"/>
              </w:rPr>
              <w:t>：</w:t>
            </w:r>
          </w:p>
          <w:p w14:paraId="217A503A">
            <w:pPr>
              <w:pStyle w:val="57"/>
              <w:numPr>
                <w:ilvl w:val="0"/>
                <w:numId w:val="0"/>
              </w:numPr>
              <w:spacing w:line="360" w:lineRule="auto"/>
              <w:ind w:left="0" w:leftChars="0" w:firstLine="480" w:firstLineChars="200"/>
              <w:jc w:val="both"/>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sz w:val="24"/>
                <w:szCs w:val="24"/>
                <w:lang w:val="en-US" w:eastAsia="zh-CN" w:bidi="ar-SA"/>
              </w:rPr>
              <w:t>①</w:t>
            </w:r>
            <w:r>
              <w:rPr>
                <w:rFonts w:hint="default" w:ascii="Times New Roman" w:hAnsi="Times New Roman" w:eastAsia="宋体" w:cs="Times New Roman"/>
                <w:b w:val="0"/>
                <w:bCs w:val="0"/>
                <w:color w:val="auto"/>
                <w:lang w:val="en-US" w:eastAsia="zh-CN"/>
              </w:rPr>
              <w:t>对道路、施工场地及物料堆放区定时酒水抑尘</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每天5</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6次</w:t>
            </w:r>
            <w:r>
              <w:rPr>
                <w:rFonts w:hint="eastAsia"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lang w:val="en-US" w:eastAsia="zh-CN"/>
              </w:rPr>
              <w:t>；</w:t>
            </w:r>
          </w:p>
          <w:p w14:paraId="2F1BF236">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②</w:t>
            </w:r>
            <w:r>
              <w:rPr>
                <w:rFonts w:hint="eastAsia"/>
                <w:b w:val="0"/>
                <w:bCs w:val="0"/>
                <w:color w:val="auto"/>
                <w:lang w:eastAsia="zh-CN"/>
              </w:rPr>
              <w:t>对施工现场实行合理化管理，使砂石料统一堆放，水泥应在专门库房堆放，对没有包装的散装建材应安排在仓库堆放，或设置简易料棚、加盖帆布。尽量减少搬运环节，卸料时尽量降低高度，做到轻举轻放并减少沿途抛酒、掉落；</w:t>
            </w:r>
          </w:p>
          <w:p w14:paraId="75DAD335">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③</w:t>
            </w:r>
            <w:r>
              <w:rPr>
                <w:rFonts w:hint="eastAsia"/>
                <w:b w:val="0"/>
                <w:bCs w:val="0"/>
                <w:color w:val="auto"/>
                <w:lang w:eastAsia="zh-CN"/>
              </w:rPr>
              <w:t>控制进入施工区域的车辆行驶速度不超过5km</w:t>
            </w:r>
            <w:r>
              <w:rPr>
                <w:rFonts w:hint="eastAsia"/>
                <w:b w:val="0"/>
                <w:bCs w:val="0"/>
                <w:color w:val="auto"/>
                <w:lang w:val="en-US" w:eastAsia="zh-CN"/>
              </w:rPr>
              <w:t>/</w:t>
            </w:r>
            <w:r>
              <w:rPr>
                <w:rFonts w:hint="eastAsia"/>
                <w:b w:val="0"/>
                <w:bCs w:val="0"/>
                <w:color w:val="auto"/>
                <w:lang w:eastAsia="zh-CN"/>
              </w:rPr>
              <w:t>h，防止道路扬尘。运输车辆应完好，不应装在过满，并尽量采取遮盖，密闭措施，减少沿途抛酒，并及时清扫散落在路面上的泥土和建材材料；</w:t>
            </w:r>
          </w:p>
          <w:p w14:paraId="4AF6A4C8">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④</w:t>
            </w:r>
            <w:r>
              <w:rPr>
                <w:rFonts w:hint="eastAsia"/>
                <w:b w:val="0"/>
                <w:bCs w:val="0"/>
                <w:color w:val="auto"/>
                <w:lang w:eastAsia="zh-CN"/>
              </w:rPr>
              <w:t>应首选使用商品混凝士，因需要必须进行现场搅拌砂浆，混凝士时，应尽量做到不</w:t>
            </w:r>
            <w:r>
              <w:rPr>
                <w:rFonts w:hint="eastAsia"/>
                <w:b w:val="0"/>
                <w:bCs w:val="0"/>
                <w:color w:val="auto"/>
                <w:lang w:val="en-US" w:eastAsia="zh-CN"/>
              </w:rPr>
              <w:t>洒</w:t>
            </w:r>
            <w:r>
              <w:rPr>
                <w:rFonts w:hint="eastAsia"/>
                <w:b w:val="0"/>
                <w:bCs w:val="0"/>
                <w:color w:val="auto"/>
                <w:lang w:eastAsia="zh-CN"/>
              </w:rPr>
              <w:t>、不漏、不剩、不倒；混凝土搅拌应设置在棚内，并设喷雾降生装置；</w:t>
            </w:r>
          </w:p>
          <w:p w14:paraId="17582D0E">
            <w:pPr>
              <w:pStyle w:val="57"/>
              <w:numPr>
                <w:ilvl w:val="0"/>
                <w:numId w:val="0"/>
              </w:numPr>
              <w:spacing w:line="360" w:lineRule="auto"/>
              <w:ind w:left="0" w:leftChars="0" w:firstLine="480" w:firstLineChars="200"/>
              <w:jc w:val="both"/>
              <w:rPr>
                <w:rFonts w:hint="eastAsia" w:eastAsia="宋体"/>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⑤</w:t>
            </w:r>
            <w:r>
              <w:rPr>
                <w:rFonts w:hint="eastAsia"/>
                <w:b w:val="0"/>
                <w:bCs w:val="0"/>
                <w:color w:val="auto"/>
                <w:lang w:eastAsia="zh-CN"/>
              </w:rPr>
              <w:t>施工现场要设围栏或部分围栏，缩小施工扬尘护散范围：当风速过大时，应停止施工作业；</w:t>
            </w:r>
          </w:p>
          <w:p w14:paraId="7EDFDADF">
            <w:pPr>
              <w:pStyle w:val="57"/>
              <w:numPr>
                <w:ilvl w:val="0"/>
                <w:numId w:val="0"/>
              </w:numPr>
              <w:spacing w:line="360" w:lineRule="auto"/>
              <w:ind w:left="0" w:leftChars="0" w:firstLine="480" w:firstLineChars="200"/>
              <w:jc w:val="both"/>
              <w:rPr>
                <w:rFonts w:hint="eastAsia"/>
                <w:b w:val="0"/>
                <w:bCs w:val="0"/>
                <w:color w:val="auto"/>
                <w:lang w:val="en-US" w:eastAsia="zh-CN"/>
              </w:rPr>
            </w:pPr>
            <w:r>
              <w:rPr>
                <w:rFonts w:hint="eastAsia" w:ascii="Times New Roman" w:hAnsi="Times New Roman" w:eastAsia="宋体" w:cs="Times New Roman"/>
                <w:b w:val="0"/>
                <w:bCs w:val="0"/>
                <w:color w:val="auto"/>
                <w:sz w:val="24"/>
                <w:szCs w:val="24"/>
                <w:lang w:val="en-US" w:eastAsia="zh-CN" w:bidi="ar-SA"/>
              </w:rPr>
              <w:t>⑥</w:t>
            </w:r>
            <w:r>
              <w:rPr>
                <w:rFonts w:hint="eastAsia"/>
                <w:b w:val="0"/>
                <w:bCs w:val="0"/>
                <w:color w:val="auto"/>
                <w:lang w:val="en-US" w:eastAsia="zh-CN"/>
              </w:rPr>
              <w:t>及时进行绿化建设，恢复地表植被覆盖情况。</w:t>
            </w:r>
          </w:p>
          <w:p w14:paraId="3C74037C">
            <w:pPr>
              <w:pStyle w:val="57"/>
              <w:numPr>
                <w:ilvl w:val="0"/>
                <w:numId w:val="0"/>
              </w:numPr>
              <w:spacing w:line="360" w:lineRule="auto"/>
              <w:ind w:left="0" w:leftChars="0" w:firstLine="480" w:firstLineChars="200"/>
              <w:jc w:val="both"/>
              <w:rPr>
                <w:rFonts w:hint="default"/>
                <w:b w:val="0"/>
                <w:bCs w:val="0"/>
                <w:color w:val="auto"/>
                <w:lang w:val="en-US" w:eastAsia="zh-CN"/>
              </w:rPr>
            </w:pPr>
            <w:r>
              <w:rPr>
                <w:rFonts w:hint="eastAsia"/>
                <w:b w:val="0"/>
                <w:bCs w:val="0"/>
                <w:color w:val="auto"/>
                <w:lang w:val="en-US" w:eastAsia="zh-CN"/>
              </w:rPr>
              <w:t>2、施工期废水防治措施</w:t>
            </w:r>
          </w:p>
          <w:p w14:paraId="17268624">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b w:val="0"/>
                <w:bCs w:val="0"/>
                <w:color w:val="auto"/>
                <w:lang w:eastAsia="zh-CN"/>
              </w:rPr>
              <w:t>施工期的水污染源主要来自施工人员的日常生活，主要是</w:t>
            </w:r>
            <w:r>
              <w:rPr>
                <w:rFonts w:hint="eastAsia"/>
                <w:b w:val="0"/>
                <w:bCs w:val="0"/>
                <w:color w:val="auto"/>
                <w:lang w:val="en-US" w:eastAsia="zh-CN"/>
              </w:rPr>
              <w:t>生活</w:t>
            </w:r>
            <w:r>
              <w:rPr>
                <w:rFonts w:hint="eastAsia"/>
                <w:b w:val="0"/>
                <w:bCs w:val="0"/>
                <w:color w:val="auto"/>
                <w:lang w:eastAsia="zh-CN"/>
              </w:rPr>
              <w:t>污水，主要污染物是COD和SS等。本项目施工人员约为</w:t>
            </w:r>
            <w:r>
              <w:rPr>
                <w:rFonts w:hint="eastAsia"/>
                <w:b w:val="0"/>
                <w:bCs w:val="0"/>
                <w:color w:val="auto"/>
                <w:lang w:val="en-US" w:eastAsia="zh-CN"/>
              </w:rPr>
              <w:t>20</w:t>
            </w:r>
            <w:r>
              <w:rPr>
                <w:rFonts w:hint="eastAsia"/>
                <w:b w:val="0"/>
                <w:bCs w:val="0"/>
                <w:color w:val="auto"/>
                <w:lang w:eastAsia="zh-CN"/>
              </w:rPr>
              <w:t>人，施工人员每天生活用水以60L/人计，生活污水按用量的80%计，则生活污水的排放量为1.92m</w:t>
            </w:r>
            <w:r>
              <w:rPr>
                <w:rFonts w:hint="eastAsia"/>
                <w:b w:val="0"/>
                <w:bCs w:val="0"/>
                <w:color w:val="auto"/>
                <w:vertAlign w:val="superscript"/>
                <w:lang w:val="en-US" w:eastAsia="zh-CN"/>
              </w:rPr>
              <w:t>3</w:t>
            </w:r>
            <w:r>
              <w:rPr>
                <w:rFonts w:hint="eastAsia"/>
                <w:b w:val="0"/>
                <w:bCs w:val="0"/>
                <w:color w:val="auto"/>
                <w:lang w:val="en-US" w:eastAsia="zh-CN"/>
              </w:rPr>
              <w:t>/</w:t>
            </w:r>
            <w:r>
              <w:rPr>
                <w:rFonts w:hint="eastAsia"/>
                <w:b w:val="0"/>
                <w:bCs w:val="0"/>
                <w:color w:val="auto"/>
                <w:lang w:eastAsia="zh-CN"/>
              </w:rPr>
              <w:t>d，施工期约为</w:t>
            </w:r>
            <w:r>
              <w:rPr>
                <w:rFonts w:hint="eastAsia"/>
                <w:b w:val="0"/>
                <w:bCs w:val="0"/>
                <w:color w:val="auto"/>
                <w:lang w:val="en-US" w:eastAsia="zh-CN"/>
              </w:rPr>
              <w:t>3</w:t>
            </w:r>
            <w:r>
              <w:rPr>
                <w:rFonts w:hint="eastAsia"/>
                <w:b w:val="0"/>
                <w:bCs w:val="0"/>
                <w:color w:val="auto"/>
                <w:lang w:eastAsia="zh-CN"/>
              </w:rPr>
              <w:t>个月，以</w:t>
            </w:r>
            <w:r>
              <w:rPr>
                <w:rFonts w:hint="eastAsia"/>
                <w:b w:val="0"/>
                <w:bCs w:val="0"/>
                <w:color w:val="auto"/>
                <w:lang w:val="en-US" w:eastAsia="zh-CN"/>
              </w:rPr>
              <w:t>9</w:t>
            </w:r>
            <w:r>
              <w:rPr>
                <w:rFonts w:hint="eastAsia"/>
                <w:b w:val="0"/>
                <w:bCs w:val="0"/>
                <w:color w:val="auto"/>
                <w:lang w:eastAsia="zh-CN"/>
              </w:rPr>
              <w:t>0天计，则施工期排放的生活污水</w:t>
            </w:r>
            <w:r>
              <w:rPr>
                <w:rFonts w:hint="eastAsia"/>
                <w:b w:val="0"/>
                <w:bCs w:val="0"/>
                <w:color w:val="auto"/>
                <w:lang w:val="en-US" w:eastAsia="zh-CN"/>
              </w:rPr>
              <w:t>86.4</w:t>
            </w:r>
            <w:r>
              <w:rPr>
                <w:rFonts w:hint="eastAsia"/>
                <w:b w:val="0"/>
                <w:bCs w:val="0"/>
                <w:color w:val="auto"/>
                <w:lang w:eastAsia="zh-CN"/>
              </w:rPr>
              <w:t>m</w:t>
            </w:r>
            <w:r>
              <w:rPr>
                <w:rFonts w:hint="eastAsia"/>
                <w:b w:val="0"/>
                <w:bCs w:val="0"/>
                <w:color w:val="auto"/>
                <w:vertAlign w:val="superscript"/>
                <w:lang w:val="en-US" w:eastAsia="zh-CN"/>
              </w:rPr>
              <w:t>3</w:t>
            </w:r>
            <w:r>
              <w:rPr>
                <w:rFonts w:hint="eastAsia"/>
                <w:b w:val="0"/>
                <w:bCs w:val="0"/>
                <w:color w:val="auto"/>
                <w:lang w:eastAsia="zh-CN"/>
              </w:rPr>
              <w:t>，经化粪池处理</w:t>
            </w:r>
            <w:r>
              <w:rPr>
                <w:rFonts w:hint="eastAsia"/>
                <w:b w:val="0"/>
                <w:bCs w:val="0"/>
                <w:color w:val="auto"/>
                <w:lang w:val="en-US" w:eastAsia="zh-CN"/>
              </w:rPr>
              <w:t>后接管至</w:t>
            </w:r>
            <w:r>
              <w:rPr>
                <w:rFonts w:hint="default" w:ascii="Times New Roman" w:hAnsi="Times New Roman" w:cs="Times New Roman"/>
                <w:b w:val="0"/>
                <w:bCs w:val="0"/>
                <w:color w:val="auto"/>
                <w:highlight w:val="none"/>
                <w:lang w:val="en-US" w:eastAsia="zh-CN"/>
              </w:rPr>
              <w:t>淮南经济</w:t>
            </w:r>
            <w:r>
              <w:rPr>
                <w:rFonts w:hint="default" w:ascii="Times New Roman" w:hAnsi="Times New Roman" w:cs="Times New Roman"/>
                <w:b w:val="0"/>
                <w:bCs w:val="0"/>
                <w:color w:val="auto"/>
                <w:highlight w:val="none"/>
              </w:rPr>
              <w:t>开发区污水处理厂</w:t>
            </w:r>
            <w:r>
              <w:rPr>
                <w:rFonts w:hint="eastAsia"/>
                <w:b w:val="0"/>
                <w:bCs w:val="0"/>
                <w:color w:val="auto"/>
                <w:lang w:eastAsia="zh-CN"/>
              </w:rPr>
              <w:t>。</w:t>
            </w:r>
          </w:p>
          <w:p w14:paraId="75B6F816">
            <w:pPr>
              <w:pStyle w:val="57"/>
              <w:numPr>
                <w:ilvl w:val="0"/>
                <w:numId w:val="0"/>
              </w:numPr>
              <w:spacing w:line="360" w:lineRule="auto"/>
              <w:ind w:left="0" w:leftChars="0" w:firstLine="480" w:firstLineChars="200"/>
              <w:jc w:val="both"/>
              <w:rPr>
                <w:rFonts w:hint="eastAsia"/>
                <w:b w:val="0"/>
                <w:bCs w:val="0"/>
                <w:color w:val="auto"/>
                <w:lang w:val="en-US" w:eastAsia="zh-CN"/>
              </w:rPr>
            </w:pPr>
            <w:r>
              <w:rPr>
                <w:rFonts w:hint="eastAsia"/>
                <w:b w:val="0"/>
                <w:bCs w:val="0"/>
                <w:color w:val="auto"/>
                <w:lang w:val="en-US" w:eastAsia="zh-CN"/>
              </w:rPr>
              <w:t>3、施工期噪声污染防治措施</w:t>
            </w:r>
          </w:p>
          <w:p w14:paraId="434130EB">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b w:val="0"/>
                <w:bCs w:val="0"/>
                <w:color w:val="auto"/>
                <w:lang w:eastAsia="zh-CN"/>
              </w:rPr>
              <w:t>施工期噪声主要来自施工机械噪声、施工作业噪声和运输车辆噪声。施工机械噪声有施工机械所造成，入挖士机械、打桩机械、混凝士搅拌机、升降机等，多为点声源；施工作业噪声主要是指一些零星的敲打声、装卸建材的撞击声、施工人员的吆喝声、拆装模板的撞击声等，多为瞬间噪声；运输车辆的噪声属于交通噪声。这些施工噪声中对声环境影响最大的是施工机械噪声。</w:t>
            </w:r>
          </w:p>
          <w:p w14:paraId="6347DFEB">
            <w:pPr>
              <w:pStyle w:val="57"/>
              <w:numPr>
                <w:ilvl w:val="0"/>
                <w:numId w:val="0"/>
              </w:numPr>
              <w:spacing w:line="360" w:lineRule="auto"/>
              <w:ind w:left="0" w:leftChars="0" w:firstLine="480" w:firstLineChars="200"/>
              <w:jc w:val="both"/>
              <w:rPr>
                <w:rFonts w:hint="eastAsia"/>
                <w:b w:val="0"/>
                <w:bCs w:val="0"/>
                <w:color w:val="auto"/>
                <w:lang w:val="en-US" w:eastAsia="zh-CN"/>
              </w:rPr>
            </w:pPr>
            <w:r>
              <w:rPr>
                <w:rFonts w:hint="eastAsia"/>
                <w:b w:val="0"/>
                <w:bCs w:val="0"/>
                <w:color w:val="auto"/>
                <w:lang w:val="en-US" w:eastAsia="zh-CN"/>
              </w:rPr>
              <w:t>建筑施工期间噪声排放必须严格按照《中华人民共和国环境噪声污染防治法》中的规定，严格按照《建筑施工场界环境噪声排放标准》（GB12523-2011）中的要求进行控制，从而减少施工期噪声对周围环境及敏感点影响。施工噪声的防治主要是通过合理安排施工时间、距离防护、使用低噪声机械设备等措施来实施的。</w:t>
            </w:r>
          </w:p>
          <w:p w14:paraId="340CEFAA">
            <w:pPr>
              <w:pStyle w:val="57"/>
              <w:numPr>
                <w:ilvl w:val="0"/>
                <w:numId w:val="0"/>
              </w:numPr>
              <w:spacing w:line="360" w:lineRule="auto"/>
              <w:ind w:left="0" w:leftChars="0" w:firstLine="480" w:firstLineChars="200"/>
              <w:jc w:val="both"/>
              <w:rPr>
                <w:rFonts w:hint="eastAsia" w:eastAsia="宋体"/>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①</w:t>
            </w:r>
            <w:r>
              <w:rPr>
                <w:rFonts w:hint="eastAsia"/>
                <w:b w:val="0"/>
                <w:bCs w:val="0"/>
                <w:color w:val="auto"/>
                <w:lang w:eastAsia="zh-CN"/>
              </w:rPr>
              <w:t>从声源上控制。建设单位在与施工单位签订合同时，应要求其使用的主要机械设备为低噪声机械设备，例如选液压机械取代燃油机械。同时在施工过程中施工单位应设专人对设备进行定期保养和维护，并负责对现场工作人员进行培训，严格按照探作规范使用各类机械设备；</w:t>
            </w:r>
          </w:p>
          <w:p w14:paraId="4A7D0F80">
            <w:pPr>
              <w:pStyle w:val="57"/>
              <w:numPr>
                <w:ilvl w:val="0"/>
                <w:numId w:val="0"/>
              </w:numPr>
              <w:spacing w:line="360" w:lineRule="auto"/>
              <w:ind w:left="0" w:leftChars="0" w:firstLine="480" w:firstLineChars="200"/>
              <w:jc w:val="both"/>
              <w:rPr>
                <w:rFonts w:hint="eastAsia" w:eastAsia="宋体"/>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②</w:t>
            </w:r>
            <w:r>
              <w:rPr>
                <w:rFonts w:hint="eastAsia"/>
                <w:b w:val="0"/>
                <w:bCs w:val="0"/>
                <w:color w:val="auto"/>
                <w:lang w:eastAsia="zh-CN"/>
              </w:rPr>
              <w:t>合理安排作业时间，严格按照施工噪声管理的有关规定，夜间不得进行打桩</w:t>
            </w:r>
            <w:r>
              <w:rPr>
                <w:rFonts w:hint="eastAsia"/>
                <w:b w:val="0"/>
                <w:bCs w:val="0"/>
                <w:color w:val="auto"/>
                <w:lang w:val="en-US" w:eastAsia="zh-CN"/>
              </w:rPr>
              <w:t>作业；</w:t>
            </w:r>
          </w:p>
          <w:p w14:paraId="7831C7C2">
            <w:pPr>
              <w:pStyle w:val="57"/>
              <w:numPr>
                <w:ilvl w:val="0"/>
                <w:numId w:val="0"/>
              </w:numPr>
              <w:spacing w:line="360" w:lineRule="auto"/>
              <w:ind w:left="0" w:leftChars="0" w:firstLine="480" w:firstLineChars="200"/>
              <w:jc w:val="both"/>
              <w:rPr>
                <w:rFonts w:hint="eastAsia"/>
                <w:b w:val="0"/>
                <w:bCs w:val="0"/>
                <w:color w:val="auto"/>
                <w:lang w:val="en-US" w:eastAsia="zh-CN"/>
              </w:rPr>
            </w:pPr>
            <w:r>
              <w:rPr>
                <w:rFonts w:hint="eastAsia"/>
                <w:b w:val="0"/>
                <w:bCs w:val="0"/>
                <w:color w:val="auto"/>
                <w:lang w:val="en-US" w:eastAsia="zh-CN"/>
              </w:rPr>
              <w:t>4、施工期固废污染防治措施</w:t>
            </w:r>
          </w:p>
          <w:p w14:paraId="7F96A63E">
            <w:pPr>
              <w:pStyle w:val="57"/>
              <w:numPr>
                <w:ilvl w:val="0"/>
                <w:numId w:val="0"/>
              </w:numPr>
              <w:spacing w:line="360" w:lineRule="auto"/>
              <w:ind w:left="0" w:leftChars="0" w:firstLine="480" w:firstLineChars="200"/>
              <w:jc w:val="both"/>
              <w:rPr>
                <w:rFonts w:hint="eastAsia"/>
                <w:b w:val="0"/>
                <w:bCs w:val="0"/>
                <w:color w:val="auto"/>
                <w:lang w:eastAsia="zh-CN"/>
              </w:rPr>
            </w:pPr>
            <w:r>
              <w:rPr>
                <w:rFonts w:hint="eastAsia"/>
                <w:b w:val="0"/>
                <w:bCs w:val="0"/>
                <w:color w:val="auto"/>
                <w:lang w:eastAsia="zh-CN"/>
              </w:rPr>
              <w:t>本项目施工期的固废主要有施工人员产生的生活垃圾和各种建筑垃圾等。建筑垃圾主要有开挖土地产生的土石方、建材耗损产生的垃圾、装修产生的建筑垃圾等。</w:t>
            </w:r>
          </w:p>
          <w:p w14:paraId="3C2F5D29">
            <w:pPr>
              <w:pStyle w:val="57"/>
              <w:numPr>
                <w:ilvl w:val="0"/>
                <w:numId w:val="0"/>
              </w:numPr>
              <w:spacing w:line="360" w:lineRule="auto"/>
              <w:ind w:left="0" w:leftChars="0" w:firstLine="480" w:firstLineChars="200"/>
              <w:jc w:val="both"/>
              <w:rPr>
                <w:rFonts w:hint="eastAsia" w:eastAsia="宋体"/>
                <w:b w:val="0"/>
                <w:bCs w:val="0"/>
                <w:color w:val="auto"/>
                <w:lang w:eastAsia="zh-CN"/>
              </w:rPr>
            </w:pPr>
            <w:r>
              <w:rPr>
                <w:rFonts w:hint="eastAsia" w:ascii="Times New Roman" w:hAnsi="Times New Roman" w:eastAsia="宋体" w:cs="Times New Roman"/>
                <w:b w:val="0"/>
                <w:bCs w:val="0"/>
                <w:color w:val="auto"/>
                <w:sz w:val="24"/>
                <w:szCs w:val="24"/>
                <w:lang w:val="en-US" w:eastAsia="zh-CN" w:bidi="ar-SA"/>
              </w:rPr>
              <w:t>①</w:t>
            </w:r>
            <w:r>
              <w:rPr>
                <w:rFonts w:hint="eastAsia"/>
                <w:b w:val="0"/>
                <w:bCs w:val="0"/>
                <w:color w:val="auto"/>
                <w:lang w:val="en-US" w:eastAsia="zh-CN"/>
              </w:rPr>
              <w:t>生活垃圾</w:t>
            </w:r>
          </w:p>
          <w:p w14:paraId="5266D6E4">
            <w:pPr>
              <w:pStyle w:val="57"/>
              <w:numPr>
                <w:ilvl w:val="0"/>
                <w:numId w:val="0"/>
              </w:numPr>
              <w:spacing w:line="360" w:lineRule="auto"/>
              <w:ind w:firstLine="480" w:firstLineChars="200"/>
              <w:jc w:val="both"/>
              <w:rPr>
                <w:rFonts w:hint="eastAsia" w:eastAsia="宋体"/>
                <w:b w:val="0"/>
                <w:bCs w:val="0"/>
                <w:color w:val="auto"/>
                <w:lang w:eastAsia="zh-CN"/>
              </w:rPr>
            </w:pPr>
            <w:r>
              <w:rPr>
                <w:rFonts w:hint="eastAsia"/>
                <w:b w:val="0"/>
                <w:bCs w:val="0"/>
                <w:color w:val="auto"/>
                <w:lang w:val="en-US" w:eastAsia="zh-CN"/>
              </w:rPr>
              <w:t>施工期工作人员产生的生活垃圾以人均每天产生1kg计，施工期人数约20人，则施工期产生的生活垃圾约为1.8t，统一收集后由环卫部门统一清运</w:t>
            </w:r>
            <w:r>
              <w:rPr>
                <w:rFonts w:hint="eastAsia"/>
                <w:b w:val="0"/>
                <w:bCs w:val="0"/>
                <w:color w:val="auto"/>
                <w:lang w:eastAsia="zh-CN"/>
              </w:rPr>
              <w:t>。</w:t>
            </w:r>
          </w:p>
          <w:p w14:paraId="228957F8">
            <w:pPr>
              <w:pStyle w:val="57"/>
              <w:numPr>
                <w:ilvl w:val="0"/>
                <w:numId w:val="0"/>
              </w:numPr>
              <w:spacing w:line="360" w:lineRule="auto"/>
              <w:ind w:left="0" w:leftChars="0" w:firstLine="400" w:firstLineChars="0"/>
              <w:jc w:val="both"/>
              <w:rPr>
                <w:b w:val="0"/>
                <w:bCs w:val="0"/>
                <w:color w:val="auto"/>
              </w:rPr>
            </w:pPr>
            <w:r>
              <w:rPr>
                <w:rFonts w:hint="eastAsia" w:ascii="Times New Roman" w:hAnsi="Times New Roman" w:eastAsia="宋体" w:cs="Times New Roman"/>
                <w:b w:val="0"/>
                <w:bCs w:val="0"/>
                <w:color w:val="auto"/>
                <w:sz w:val="24"/>
                <w:szCs w:val="24"/>
                <w:lang w:val="en-US" w:eastAsia="zh-CN" w:bidi="ar-SA"/>
              </w:rPr>
              <w:t>②</w:t>
            </w:r>
            <w:r>
              <w:rPr>
                <w:rFonts w:hint="eastAsia"/>
                <w:b w:val="0"/>
                <w:bCs w:val="0"/>
                <w:color w:val="auto"/>
                <w:lang w:val="en-US" w:eastAsia="zh-CN"/>
              </w:rPr>
              <w:t>其他建筑垃圾</w:t>
            </w:r>
          </w:p>
          <w:p w14:paraId="0E9C2FA8">
            <w:pPr>
              <w:pStyle w:val="57"/>
              <w:numPr>
                <w:ilvl w:val="0"/>
                <w:numId w:val="0"/>
              </w:numPr>
              <w:spacing w:line="360" w:lineRule="auto"/>
              <w:ind w:firstLine="480" w:firstLineChars="200"/>
              <w:jc w:val="both"/>
              <w:rPr>
                <w:color w:val="002DC7"/>
              </w:rPr>
            </w:pPr>
            <w:r>
              <w:rPr>
                <w:rFonts w:hint="eastAsia"/>
                <w:b w:val="0"/>
                <w:bCs w:val="0"/>
                <w:color w:val="auto"/>
                <w:lang w:val="en-US" w:eastAsia="zh-CN"/>
              </w:rPr>
              <w:t>其他建筑垃圾，包括沙土、石块、水泥、碎木料、锯木眉、钢筋、铁丝等杂物。建材损耗产生的垃圾和装修产生的垃圾，其产生量按建材损耗率计算，因设计尚未进行，工程量难以准确计算，损耗率按定额去2%，预计产生量近50t，部分可用于填路材料，部分可以回收利用其他的统一收集后由环卫部门清理。</w:t>
            </w:r>
          </w:p>
        </w:tc>
      </w:tr>
      <w:tr w14:paraId="6AB41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12" w:hRule="atLeast"/>
        </w:trPr>
        <w:tc>
          <w:tcPr>
            <w:tcW w:w="445" w:type="dxa"/>
            <w:vAlign w:val="center"/>
          </w:tcPr>
          <w:p w14:paraId="71A43ACE">
            <w:pPr>
              <w:widowControl/>
              <w:spacing w:line="360" w:lineRule="auto"/>
              <w:jc w:val="center"/>
              <w:rPr>
                <w:bCs/>
                <w:color w:val="002DC7"/>
                <w:kern w:val="0"/>
                <w:sz w:val="24"/>
                <w:szCs w:val="24"/>
              </w:rPr>
            </w:pPr>
            <w:r>
              <w:rPr>
                <w:rFonts w:hint="eastAsia" w:hAnsi="宋体"/>
                <w:color w:val="auto"/>
                <w:kern w:val="0"/>
                <w:sz w:val="24"/>
              </w:rPr>
              <w:t>运营期环境影响和保护措施</w:t>
            </w:r>
          </w:p>
        </w:tc>
        <w:tc>
          <w:tcPr>
            <w:tcW w:w="8372" w:type="dxa"/>
            <w:vAlign w:val="center"/>
          </w:tcPr>
          <w:p w14:paraId="4470F6BC">
            <w:pPr>
              <w:spacing w:line="360" w:lineRule="auto"/>
              <w:ind w:firstLine="482" w:firstLineChars="200"/>
              <w:rPr>
                <w:b/>
                <w:bCs/>
                <w:color w:val="auto"/>
                <w:sz w:val="24"/>
                <w:szCs w:val="28"/>
              </w:rPr>
            </w:pPr>
            <w:r>
              <w:rPr>
                <w:rFonts w:hint="eastAsia"/>
                <w:b/>
                <w:bCs/>
                <w:color w:val="auto"/>
                <w:sz w:val="24"/>
                <w:szCs w:val="28"/>
              </w:rPr>
              <w:t>一、大气污染源强及环境影响和保护措施</w:t>
            </w:r>
          </w:p>
          <w:p w14:paraId="3CB6548D">
            <w:pPr>
              <w:spacing w:line="360" w:lineRule="auto"/>
              <w:ind w:firstLine="482" w:firstLineChars="200"/>
              <w:rPr>
                <w:b/>
                <w:bCs/>
                <w:color w:val="auto"/>
                <w:sz w:val="24"/>
                <w:szCs w:val="28"/>
              </w:rPr>
            </w:pPr>
            <w:r>
              <w:rPr>
                <w:rFonts w:hint="eastAsia"/>
                <w:b/>
                <w:bCs/>
                <w:color w:val="auto"/>
                <w:sz w:val="24"/>
                <w:szCs w:val="28"/>
              </w:rPr>
              <w:t>1、废气源强分析</w:t>
            </w:r>
          </w:p>
          <w:p w14:paraId="3F3809C8">
            <w:pPr>
              <w:spacing w:line="360" w:lineRule="auto"/>
              <w:ind w:firstLine="480" w:firstLineChars="200"/>
              <w:jc w:val="left"/>
              <w:rPr>
                <w:rFonts w:hint="default" w:hAnsi="宋体" w:eastAsia="宋体"/>
                <w:color w:val="auto"/>
                <w:sz w:val="24"/>
                <w:lang w:val="en-US" w:eastAsia="zh-CN"/>
              </w:rPr>
            </w:pPr>
            <w:r>
              <w:rPr>
                <w:rFonts w:hint="eastAsia" w:hAnsi="宋体"/>
                <w:color w:val="auto"/>
                <w:sz w:val="24"/>
                <w:lang w:val="en-US" w:eastAsia="zh-CN"/>
              </w:rPr>
              <w:t>（1）G1车辆运输废气</w:t>
            </w:r>
          </w:p>
          <w:p w14:paraId="5AD2EDA1">
            <w:pPr>
              <w:spacing w:line="360" w:lineRule="auto"/>
              <w:ind w:firstLine="480" w:firstLineChars="200"/>
              <w:jc w:val="left"/>
              <w:rPr>
                <w:rFonts w:hint="eastAsia" w:hAnsi="宋体"/>
                <w:color w:val="auto"/>
                <w:sz w:val="24"/>
              </w:rPr>
            </w:pPr>
            <w:r>
              <w:rPr>
                <w:rFonts w:hint="eastAsia" w:ascii="Times New Roman" w:hAnsi="Times New Roman" w:eastAsia="宋体" w:cs="Times New Roman"/>
                <w:color w:val="000000" w:themeColor="text1"/>
                <w:sz w:val="24"/>
                <w:szCs w:val="24"/>
                <w14:textFill>
                  <w14:solidFill>
                    <w14:schemeClr w14:val="tx1"/>
                  </w14:solidFill>
                </w14:textFill>
              </w:rPr>
              <w:t>车辆扬尘量的大小与车流量、道路状況、气候条件、车辆行驶速度等均有关系。根据车辆道路扬尘拉散规律，当风速小于4m/s时，风速对载料车车辆在道路上行驶时引起的扬尘量几平无影响；当风速大于4m/s时，风速对汽车扬尘量明显影响。在大气干燥和地面风速低于4m/s条件下，汽车行驶时引起的路面扬尘量与汽车速度成正比，与车辆质量成正比，与道路表面扬尘量成正比，其汽车扬尘量预测经验公式为：</w:t>
            </w:r>
          </w:p>
          <w:p w14:paraId="20DB9581">
            <w:pPr>
              <w:spacing w:line="360" w:lineRule="auto"/>
              <w:ind w:firstLine="560" w:firstLineChars="200"/>
              <w:jc w:val="left"/>
              <w:rPr>
                <w:rFonts w:hint="eastAsia" w:hAnsi="宋体"/>
                <w:color w:val="auto"/>
                <w:sz w:val="24"/>
              </w:rPr>
            </w:pPr>
            <m:oMathPara>
              <m:oMath>
                <m:r>
                  <m:rPr>
                    <m:sty m:val="p"/>
                  </m:rPr>
                  <w:rPr>
                    <w:rFonts w:hint="eastAsia" w:ascii="Cambria Math" w:hAnsi="Cambria Math" w:eastAsia="宋体" w:cs="宋体"/>
                    <w:color w:val="000000" w:themeColor="text1"/>
                    <w:sz w:val="28"/>
                    <w:szCs w:val="28"/>
                    <w14:textFill>
                      <w14:solidFill>
                        <w14:schemeClr w14:val="tx1"/>
                      </w14:solidFill>
                    </w14:textFill>
                  </w:rPr>
                  <m:t>Q=0.123（</m:t>
                </m:r>
                <m:f>
                  <m:fPr>
                    <m:ctrlPr>
                      <w:rPr>
                        <w:rFonts w:hint="eastAsia" w:ascii="Cambria Math" w:hAnsi="Cambria Math" w:eastAsia="宋体" w:cs="宋体"/>
                        <w:color w:val="000000" w:themeColor="text1"/>
                        <w:sz w:val="28"/>
                        <w:szCs w:val="28"/>
                        <w14:textFill>
                          <w14:solidFill>
                            <w14:schemeClr w14:val="tx1"/>
                          </w14:solidFill>
                        </w14:textFill>
                      </w:rPr>
                    </m:ctrlPr>
                  </m:fPr>
                  <m:num>
                    <m:r>
                      <m:rPr>
                        <m:sty m:val="p"/>
                      </m:rPr>
                      <w:rPr>
                        <w:rFonts w:hint="eastAsia" w:ascii="Cambria Math" w:hAnsi="Cambria Math" w:eastAsia="宋体" w:cs="宋体"/>
                        <w:color w:val="000000" w:themeColor="text1"/>
                        <w:sz w:val="28"/>
                        <w:szCs w:val="28"/>
                        <w14:textFill>
                          <w14:solidFill>
                            <w14:schemeClr w14:val="tx1"/>
                          </w14:solidFill>
                        </w14:textFill>
                      </w:rPr>
                      <m:t>V</m:t>
                    </m:r>
                    <m:ctrlPr>
                      <w:rPr>
                        <w:rFonts w:hint="eastAsia" w:ascii="Cambria Math" w:hAnsi="Cambria Math" w:eastAsia="宋体" w:cs="宋体"/>
                        <w:color w:val="000000" w:themeColor="text1"/>
                        <w:sz w:val="28"/>
                        <w:szCs w:val="28"/>
                        <w14:textFill>
                          <w14:solidFill>
                            <w14:schemeClr w14:val="tx1"/>
                          </w14:solidFill>
                        </w14:textFill>
                      </w:rPr>
                    </m:ctrlPr>
                  </m:num>
                  <m:den>
                    <m:r>
                      <m:rPr>
                        <m:sty m:val="p"/>
                      </m:rPr>
                      <w:rPr>
                        <w:rFonts w:hint="eastAsia" w:ascii="Cambria Math" w:hAnsi="Cambria Math" w:eastAsia="宋体" w:cs="宋体"/>
                        <w:color w:val="000000" w:themeColor="text1"/>
                        <w:sz w:val="28"/>
                        <w:szCs w:val="28"/>
                        <w14:textFill>
                          <w14:solidFill>
                            <w14:schemeClr w14:val="tx1"/>
                          </w14:solidFill>
                        </w14:textFill>
                      </w:rPr>
                      <m:t>5</m:t>
                    </m:r>
                    <m:ctrlPr>
                      <w:rPr>
                        <w:rFonts w:hint="eastAsia" w:ascii="Cambria Math" w:hAnsi="Cambria Math" w:eastAsia="宋体" w:cs="宋体"/>
                        <w:color w:val="000000" w:themeColor="text1"/>
                        <w:sz w:val="28"/>
                        <w:szCs w:val="28"/>
                        <w14:textFill>
                          <w14:solidFill>
                            <w14:schemeClr w14:val="tx1"/>
                          </w14:solidFill>
                        </w14:textFill>
                      </w:rPr>
                    </m:ctrlPr>
                  </m:den>
                </m:f>
                <m:r>
                  <m:rPr>
                    <m:sty m:val="p"/>
                  </m:rPr>
                  <w:rPr>
                    <w:rFonts w:hint="eastAsia" w:ascii="Cambria Math" w:hAnsi="Cambria Math" w:eastAsia="宋体" w:cs="宋体"/>
                    <w:color w:val="000000" w:themeColor="text1"/>
                    <w:sz w:val="28"/>
                    <w:szCs w:val="28"/>
                    <w14:textFill>
                      <w14:solidFill>
                        <w14:schemeClr w14:val="tx1"/>
                      </w14:solidFill>
                    </w14:textFill>
                  </w:rPr>
                  <m:t>）</m:t>
                </m:r>
                <m:sSup>
                  <m:sSupPr>
                    <m:ctrlPr>
                      <w:rPr>
                        <w:rFonts w:hint="eastAsia" w:ascii="Cambria Math" w:hAnsi="Cambria Math" w:eastAsia="宋体" w:cs="宋体"/>
                        <w:color w:val="000000" w:themeColor="text1"/>
                        <w:sz w:val="28"/>
                        <w:szCs w:val="28"/>
                        <w14:textFill>
                          <w14:solidFill>
                            <w14:schemeClr w14:val="tx1"/>
                          </w14:solidFill>
                        </w14:textFill>
                      </w:rPr>
                    </m:ctrlPr>
                  </m:sSupPr>
                  <m:e>
                    <m:d>
                      <m:dPr>
                        <m:ctrlPr>
                          <w:rPr>
                            <w:rFonts w:hint="eastAsia" w:ascii="Cambria Math" w:hAnsi="Cambria Math" w:eastAsia="宋体" w:cs="宋体"/>
                            <w:color w:val="000000" w:themeColor="text1"/>
                            <w:sz w:val="28"/>
                            <w:szCs w:val="28"/>
                            <w14:textFill>
                              <w14:solidFill>
                                <w14:schemeClr w14:val="tx1"/>
                              </w14:solidFill>
                            </w14:textFill>
                          </w:rPr>
                        </m:ctrlPr>
                      </m:dPr>
                      <m:e>
                        <m:f>
                          <m:fPr>
                            <m:ctrlPr>
                              <w:rPr>
                                <w:rFonts w:hint="eastAsia" w:ascii="Cambria Math" w:hAnsi="Cambria Math" w:eastAsia="宋体" w:cs="宋体"/>
                                <w:color w:val="000000" w:themeColor="text1"/>
                                <w:sz w:val="28"/>
                                <w:szCs w:val="28"/>
                                <w14:textFill>
                                  <w14:solidFill>
                                    <w14:schemeClr w14:val="tx1"/>
                                  </w14:solidFill>
                                </w14:textFill>
                              </w:rPr>
                            </m:ctrlPr>
                          </m:fPr>
                          <m:num>
                            <m:r>
                              <m:rPr>
                                <m:sty m:val="p"/>
                              </m:rPr>
                              <w:rPr>
                                <w:rFonts w:hint="eastAsia" w:ascii="Cambria Math" w:hAnsi="Cambria Math" w:eastAsia="宋体" w:cs="宋体"/>
                                <w:color w:val="000000" w:themeColor="text1"/>
                                <w:sz w:val="28"/>
                                <w:szCs w:val="28"/>
                                <w14:textFill>
                                  <w14:solidFill>
                                    <w14:schemeClr w14:val="tx1"/>
                                  </w14:solidFill>
                                </w14:textFill>
                              </w:rPr>
                              <m:t>W</m:t>
                            </m:r>
                            <m:ctrlPr>
                              <w:rPr>
                                <w:rFonts w:hint="eastAsia" w:ascii="Cambria Math" w:hAnsi="Cambria Math" w:eastAsia="宋体" w:cs="宋体"/>
                                <w:color w:val="000000" w:themeColor="text1"/>
                                <w:sz w:val="28"/>
                                <w:szCs w:val="28"/>
                                <w14:textFill>
                                  <w14:solidFill>
                                    <w14:schemeClr w14:val="tx1"/>
                                  </w14:solidFill>
                                </w14:textFill>
                              </w:rPr>
                            </m:ctrlPr>
                          </m:num>
                          <m:den>
                            <m:r>
                              <m:rPr>
                                <m:sty m:val="p"/>
                              </m:rPr>
                              <w:rPr>
                                <w:rFonts w:hint="eastAsia" w:ascii="Cambria Math" w:hAnsi="Cambria Math" w:eastAsia="宋体" w:cs="宋体"/>
                                <w:color w:val="000000" w:themeColor="text1"/>
                                <w:sz w:val="28"/>
                                <w:szCs w:val="28"/>
                                <w14:textFill>
                                  <w14:solidFill>
                                    <w14:schemeClr w14:val="tx1"/>
                                  </w14:solidFill>
                                </w14:textFill>
                              </w:rPr>
                              <m:t>6.8</m:t>
                            </m:r>
                            <m:ctrlPr>
                              <w:rPr>
                                <w:rFonts w:hint="eastAsia" w:ascii="Cambria Math" w:hAnsi="Cambria Math" w:eastAsia="宋体" w:cs="宋体"/>
                                <w:color w:val="000000" w:themeColor="text1"/>
                                <w:sz w:val="28"/>
                                <w:szCs w:val="28"/>
                                <w14:textFill>
                                  <w14:solidFill>
                                    <w14:schemeClr w14:val="tx1"/>
                                  </w14:solidFill>
                                </w14:textFill>
                              </w:rPr>
                            </m:ctrlPr>
                          </m:den>
                        </m:f>
                        <m:ctrlPr>
                          <w:rPr>
                            <w:rFonts w:hint="eastAsia" w:ascii="Cambria Math" w:hAnsi="Cambria Math" w:eastAsia="宋体" w:cs="宋体"/>
                            <w:color w:val="000000" w:themeColor="text1"/>
                            <w:sz w:val="28"/>
                            <w:szCs w:val="28"/>
                            <w14:textFill>
                              <w14:solidFill>
                                <w14:schemeClr w14:val="tx1"/>
                              </w14:solidFill>
                            </w14:textFill>
                          </w:rPr>
                        </m:ctrlPr>
                      </m:e>
                    </m:d>
                    <m:ctrlPr>
                      <w:rPr>
                        <w:rFonts w:hint="eastAsia" w:ascii="Cambria Math" w:hAnsi="Cambria Math" w:eastAsia="宋体" w:cs="宋体"/>
                        <w:color w:val="000000" w:themeColor="text1"/>
                        <w:sz w:val="28"/>
                        <w:szCs w:val="28"/>
                        <w14:textFill>
                          <w14:solidFill>
                            <w14:schemeClr w14:val="tx1"/>
                          </w14:solidFill>
                        </w14:textFill>
                      </w:rPr>
                    </m:ctrlPr>
                  </m:e>
                  <m:sup>
                    <m:r>
                      <m:rPr>
                        <m:sty m:val="p"/>
                      </m:rPr>
                      <w:rPr>
                        <w:rFonts w:hint="eastAsia" w:ascii="Cambria Math" w:hAnsi="Cambria Math" w:eastAsia="宋体" w:cs="宋体"/>
                        <w:color w:val="000000" w:themeColor="text1"/>
                        <w:sz w:val="28"/>
                        <w:szCs w:val="28"/>
                        <w14:textFill>
                          <w14:solidFill>
                            <w14:schemeClr w14:val="tx1"/>
                          </w14:solidFill>
                        </w14:textFill>
                      </w:rPr>
                      <m:t>0.85</m:t>
                    </m:r>
                    <m:ctrlPr>
                      <w:rPr>
                        <w:rFonts w:hint="eastAsia" w:ascii="Cambria Math" w:hAnsi="Cambria Math" w:eastAsia="宋体" w:cs="宋体"/>
                        <w:color w:val="000000" w:themeColor="text1"/>
                        <w:sz w:val="28"/>
                        <w:szCs w:val="28"/>
                        <w14:textFill>
                          <w14:solidFill>
                            <w14:schemeClr w14:val="tx1"/>
                          </w14:solidFill>
                        </w14:textFill>
                      </w:rPr>
                    </m:ctrlPr>
                  </m:sup>
                </m:sSup>
                <m:sSup>
                  <m:sSupPr>
                    <m:ctrlPr>
                      <w:rPr>
                        <w:rFonts w:hint="eastAsia" w:ascii="Cambria Math" w:hAnsi="Cambria Math" w:eastAsia="宋体" w:cs="宋体"/>
                        <w:color w:val="000000" w:themeColor="text1"/>
                        <w:sz w:val="28"/>
                        <w:szCs w:val="28"/>
                        <w14:textFill>
                          <w14:solidFill>
                            <w14:schemeClr w14:val="tx1"/>
                          </w14:solidFill>
                        </w14:textFill>
                      </w:rPr>
                    </m:ctrlPr>
                  </m:sSupPr>
                  <m:e>
                    <m:d>
                      <m:dPr>
                        <m:ctrlPr>
                          <w:rPr>
                            <w:rFonts w:hint="eastAsia" w:ascii="Cambria Math" w:hAnsi="Cambria Math" w:eastAsia="宋体" w:cs="宋体"/>
                            <w:color w:val="000000" w:themeColor="text1"/>
                            <w:sz w:val="28"/>
                            <w:szCs w:val="28"/>
                            <w14:textFill>
                              <w14:solidFill>
                                <w14:schemeClr w14:val="tx1"/>
                              </w14:solidFill>
                            </w14:textFill>
                          </w:rPr>
                        </m:ctrlPr>
                      </m:dPr>
                      <m:e>
                        <m:f>
                          <m:fPr>
                            <m:ctrlPr>
                              <w:rPr>
                                <w:rFonts w:hint="eastAsia" w:ascii="Cambria Math" w:hAnsi="Cambria Math" w:eastAsia="宋体" w:cs="宋体"/>
                                <w:color w:val="000000" w:themeColor="text1"/>
                                <w:sz w:val="28"/>
                                <w:szCs w:val="28"/>
                                <w14:textFill>
                                  <w14:solidFill>
                                    <w14:schemeClr w14:val="tx1"/>
                                  </w14:solidFill>
                                </w14:textFill>
                              </w:rPr>
                            </m:ctrlPr>
                          </m:fPr>
                          <m:num>
                            <m:r>
                              <m:rPr>
                                <m:sty m:val="p"/>
                              </m:rPr>
                              <w:rPr>
                                <w:rFonts w:hint="eastAsia" w:ascii="Cambria Math" w:hAnsi="Cambria Math" w:eastAsia="宋体" w:cs="宋体"/>
                                <w:color w:val="000000" w:themeColor="text1"/>
                                <w:sz w:val="28"/>
                                <w:szCs w:val="28"/>
                                <w14:textFill>
                                  <w14:solidFill>
                                    <w14:schemeClr w14:val="tx1"/>
                                  </w14:solidFill>
                                </w14:textFill>
                              </w:rPr>
                              <m:t>P</m:t>
                            </m:r>
                            <m:ctrlPr>
                              <w:rPr>
                                <w:rFonts w:hint="eastAsia" w:ascii="Cambria Math" w:hAnsi="Cambria Math" w:eastAsia="宋体" w:cs="宋体"/>
                                <w:color w:val="000000" w:themeColor="text1"/>
                                <w:sz w:val="28"/>
                                <w:szCs w:val="28"/>
                                <w14:textFill>
                                  <w14:solidFill>
                                    <w14:schemeClr w14:val="tx1"/>
                                  </w14:solidFill>
                                </w14:textFill>
                              </w:rPr>
                            </m:ctrlPr>
                          </m:num>
                          <m:den>
                            <m:r>
                              <m:rPr>
                                <m:sty m:val="p"/>
                              </m:rPr>
                              <w:rPr>
                                <w:rFonts w:hint="eastAsia" w:ascii="Cambria Math" w:hAnsi="Cambria Math" w:eastAsia="宋体" w:cs="宋体"/>
                                <w:color w:val="000000" w:themeColor="text1"/>
                                <w:sz w:val="28"/>
                                <w:szCs w:val="28"/>
                                <w14:textFill>
                                  <w14:solidFill>
                                    <w14:schemeClr w14:val="tx1"/>
                                  </w14:solidFill>
                                </w14:textFill>
                              </w:rPr>
                              <m:t>0.5</m:t>
                            </m:r>
                            <m:ctrlPr>
                              <w:rPr>
                                <w:rFonts w:hint="eastAsia" w:ascii="Cambria Math" w:hAnsi="Cambria Math" w:eastAsia="宋体" w:cs="宋体"/>
                                <w:color w:val="000000" w:themeColor="text1"/>
                                <w:sz w:val="28"/>
                                <w:szCs w:val="28"/>
                                <w14:textFill>
                                  <w14:solidFill>
                                    <w14:schemeClr w14:val="tx1"/>
                                  </w14:solidFill>
                                </w14:textFill>
                              </w:rPr>
                            </m:ctrlPr>
                          </m:den>
                        </m:f>
                        <m:ctrlPr>
                          <w:rPr>
                            <w:rFonts w:hint="eastAsia" w:ascii="Cambria Math" w:hAnsi="Cambria Math" w:eastAsia="宋体" w:cs="宋体"/>
                            <w:color w:val="000000" w:themeColor="text1"/>
                            <w:sz w:val="28"/>
                            <w:szCs w:val="28"/>
                            <w14:textFill>
                              <w14:solidFill>
                                <w14:schemeClr w14:val="tx1"/>
                              </w14:solidFill>
                            </w14:textFill>
                          </w:rPr>
                        </m:ctrlPr>
                      </m:e>
                    </m:d>
                    <m:ctrlPr>
                      <w:rPr>
                        <w:rFonts w:hint="eastAsia" w:ascii="Cambria Math" w:hAnsi="Cambria Math" w:eastAsia="宋体" w:cs="宋体"/>
                        <w:color w:val="000000" w:themeColor="text1"/>
                        <w:sz w:val="28"/>
                        <w:szCs w:val="28"/>
                        <w14:textFill>
                          <w14:solidFill>
                            <w14:schemeClr w14:val="tx1"/>
                          </w14:solidFill>
                        </w14:textFill>
                      </w:rPr>
                    </m:ctrlPr>
                  </m:e>
                  <m:sup>
                    <m:r>
                      <m:rPr>
                        <m:sty m:val="p"/>
                      </m:rPr>
                      <w:rPr>
                        <w:rFonts w:hint="eastAsia" w:ascii="Cambria Math" w:hAnsi="Cambria Math" w:eastAsia="宋体" w:cs="宋体"/>
                        <w:color w:val="000000" w:themeColor="text1"/>
                        <w:sz w:val="28"/>
                        <w:szCs w:val="28"/>
                        <w14:textFill>
                          <w14:solidFill>
                            <w14:schemeClr w14:val="tx1"/>
                          </w14:solidFill>
                        </w14:textFill>
                      </w:rPr>
                      <m:t>0.75</m:t>
                    </m:r>
                    <m:ctrlPr>
                      <w:rPr>
                        <w:rFonts w:hint="eastAsia" w:ascii="Cambria Math" w:hAnsi="Cambria Math" w:eastAsia="宋体" w:cs="宋体"/>
                        <w:color w:val="000000" w:themeColor="text1"/>
                        <w:sz w:val="28"/>
                        <w:szCs w:val="28"/>
                        <w14:textFill>
                          <w14:solidFill>
                            <w14:schemeClr w14:val="tx1"/>
                          </w14:solidFill>
                        </w14:textFill>
                      </w:rPr>
                    </m:ctrlPr>
                  </m:sup>
                </m:sSup>
              </m:oMath>
            </m:oMathPara>
          </w:p>
          <w:p w14:paraId="150AD40A">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式中：Q——汽车行驶的扬尘，kg/km·辆；</w:t>
            </w:r>
          </w:p>
          <w:p w14:paraId="5B754964">
            <w:pPr>
              <w:adjustRightInd w:val="0"/>
              <w:snapToGrid w:val="0"/>
              <w:spacing w:line="360" w:lineRule="auto"/>
              <w:ind w:firstLine="1200" w:firstLineChars="5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V——汽车速度，</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km/h；</w:t>
            </w:r>
          </w:p>
          <w:p w14:paraId="3D8D5F4A">
            <w:pPr>
              <w:adjustRightInd w:val="0"/>
              <w:snapToGrid w:val="0"/>
              <w:spacing w:line="360" w:lineRule="auto"/>
              <w:ind w:firstLine="1200" w:firstLineChars="5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W——汽车载重量，</w:t>
            </w:r>
            <w:r>
              <w:rPr>
                <w:rFonts w:hint="eastAsia" w:ascii="Times New Roman" w:hAnsi="Times New Roman" w:eastAsia="宋体" w:cs="Times New Roman"/>
                <w:color w:val="000000" w:themeColor="text1"/>
                <w:sz w:val="24"/>
                <w14:textFill>
                  <w14:solidFill>
                    <w14:schemeClr w14:val="tx1"/>
                  </w14:solidFill>
                </w14:textFill>
              </w:rPr>
              <w:t>25</w:t>
            </w:r>
            <w:r>
              <w:rPr>
                <w:rFonts w:ascii="Times New Roman" w:hAnsi="Times New Roman" w:eastAsia="宋体" w:cs="Times New Roman"/>
                <w:color w:val="000000" w:themeColor="text1"/>
                <w:sz w:val="24"/>
                <w14:textFill>
                  <w14:solidFill>
                    <w14:schemeClr w14:val="tx1"/>
                  </w14:solidFill>
                </w14:textFill>
              </w:rPr>
              <w:t>t</w:t>
            </w:r>
          </w:p>
          <w:p w14:paraId="738D6B2D">
            <w:pPr>
              <w:adjustRightInd w:val="0"/>
              <w:snapToGrid w:val="0"/>
              <w:spacing w:line="360" w:lineRule="auto"/>
              <w:ind w:firstLine="1200" w:firstLineChars="5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P——道路表面粉尘量，</w:t>
            </w:r>
            <w:r>
              <w:rPr>
                <w:rFonts w:hint="eastAsia" w:ascii="Times New Roman" w:hAnsi="Times New Roman" w:eastAsia="宋体" w:cs="Times New Roman"/>
                <w:color w:val="000000" w:themeColor="text1"/>
                <w:sz w:val="24"/>
                <w14:textFill>
                  <w14:solidFill>
                    <w14:schemeClr w14:val="tx1"/>
                  </w14:solidFill>
                </w14:textFill>
              </w:rPr>
              <w:t>0.2</w:t>
            </w:r>
            <w:r>
              <w:rPr>
                <w:rFonts w:ascii="Times New Roman" w:hAnsi="Times New Roman" w:eastAsia="宋体" w:cs="Times New Roman"/>
                <w:color w:val="000000" w:themeColor="text1"/>
                <w:sz w:val="24"/>
                <w14:textFill>
                  <w14:solidFill>
                    <w14:schemeClr w14:val="tx1"/>
                  </w14:solidFill>
                </w14:textFill>
              </w:rPr>
              <w:t>kg/m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w:t>
            </w:r>
          </w:p>
          <w:p w14:paraId="433DAAFE">
            <w:pPr>
              <w:spacing w:line="360" w:lineRule="auto"/>
              <w:ind w:firstLine="480" w:firstLineChars="200"/>
              <w:jc w:val="left"/>
              <w:rPr>
                <w:rFonts w:hint="eastAsia" w:hAnsi="宋体"/>
                <w:color w:val="auto"/>
                <w:sz w:val="24"/>
              </w:rPr>
            </w:pPr>
            <w:r>
              <w:rPr>
                <w:rFonts w:hint="eastAsia" w:ascii="Times New Roman" w:hAnsi="Times New Roman" w:eastAsia="宋体" w:cs="Times New Roman"/>
                <w:color w:val="000000" w:themeColor="text1"/>
                <w:sz w:val="24"/>
                <w14:textFill>
                  <w14:solidFill>
                    <w14:schemeClr w14:val="tx1"/>
                  </w14:solidFill>
                </w14:textFill>
              </w:rPr>
              <w:t>根据计算，Q=0.</w:t>
            </w:r>
            <w:r>
              <w:rPr>
                <w:rFonts w:hint="eastAsia" w:ascii="Times New Roman" w:hAnsi="Times New Roman" w:eastAsia="宋体" w:cs="Times New Roman"/>
                <w:color w:val="000000" w:themeColor="text1"/>
                <w:sz w:val="24"/>
                <w:lang w:val="en-US" w:eastAsia="zh-CN"/>
                <w14:textFill>
                  <w14:solidFill>
                    <w14:schemeClr w14:val="tx1"/>
                  </w14:solidFill>
                </w14:textFill>
              </w:rPr>
              <w:t>186</w:t>
            </w:r>
            <w:r>
              <w:rPr>
                <w:rFonts w:hint="eastAsia" w:ascii="Times New Roman" w:hAnsi="Times New Roman" w:eastAsia="宋体" w:cs="Times New Roman"/>
                <w:color w:val="000000" w:themeColor="text1"/>
                <w:sz w:val="24"/>
                <w14:textFill>
                  <w14:solidFill>
                    <w14:schemeClr w14:val="tx1"/>
                  </w14:solidFill>
                </w14:textFill>
              </w:rPr>
              <w:t>kg/km·辆，</w:t>
            </w:r>
            <w:bookmarkStart w:id="14" w:name="_Hlk198887689"/>
            <w:r>
              <w:rPr>
                <w:rFonts w:hint="eastAsia" w:ascii="Times New Roman" w:hAnsi="Times New Roman" w:eastAsia="宋体" w:cs="Times New Roman"/>
                <w:color w:val="000000" w:themeColor="text1"/>
                <w:sz w:val="24"/>
                <w14:textFill>
                  <w14:solidFill>
                    <w14:schemeClr w14:val="tx1"/>
                  </w14:solidFill>
                </w14:textFill>
              </w:rPr>
              <w:t>车辆在厂区内来回行驶距离约为</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14:textFill>
                  <w14:solidFill>
                    <w14:schemeClr w14:val="tx1"/>
                  </w14:solidFill>
                </w14:textFill>
              </w:rPr>
              <w:t>00m，每天运输次数为</w:t>
            </w:r>
            <w:r>
              <w:rPr>
                <w:rFonts w:hint="eastAsia" w:ascii="Times New Roman" w:hAnsi="Times New Roman" w:eastAsia="宋体" w:cs="Times New Roman"/>
                <w:color w:val="000000" w:themeColor="text1"/>
                <w:sz w:val="24"/>
                <w:lang w:val="en-US" w:eastAsia="zh-CN"/>
                <w14:textFill>
                  <w14:solidFill>
                    <w14:schemeClr w14:val="tx1"/>
                  </w14:solidFill>
                </w14:textFill>
              </w:rPr>
              <w:t>21</w:t>
            </w:r>
            <w:r>
              <w:rPr>
                <w:rFonts w:hint="eastAsia" w:ascii="Times New Roman" w:hAnsi="Times New Roman" w:eastAsia="宋体" w:cs="Times New Roman"/>
                <w:color w:val="000000" w:themeColor="text1"/>
                <w:sz w:val="24"/>
                <w14:textFill>
                  <w14:solidFill>
                    <w14:schemeClr w14:val="tx1"/>
                  </w14:solidFill>
                </w14:textFill>
              </w:rPr>
              <w:t>次（含原料和产品），则车辆运输废气产生量为1.</w:t>
            </w:r>
            <w:r>
              <w:rPr>
                <w:rFonts w:hint="eastAsia" w:ascii="Times New Roman" w:hAnsi="Times New Roman" w:eastAsia="宋体" w:cs="Times New Roman"/>
                <w:color w:val="000000" w:themeColor="text1"/>
                <w:sz w:val="24"/>
                <w:lang w:val="en-US" w:eastAsia="zh-CN"/>
                <w14:textFill>
                  <w14:solidFill>
                    <w14:schemeClr w14:val="tx1"/>
                  </w14:solidFill>
                </w14:textFill>
              </w:rPr>
              <w:t>172</w:t>
            </w:r>
            <w:r>
              <w:rPr>
                <w:rFonts w:hint="eastAsia" w:ascii="Times New Roman" w:hAnsi="Times New Roman" w:eastAsia="宋体" w:cs="Times New Roman"/>
                <w:color w:val="000000" w:themeColor="text1"/>
                <w:sz w:val="24"/>
                <w14:textFill>
                  <w14:solidFill>
                    <w14:schemeClr w14:val="tx1"/>
                  </w14:solidFill>
                </w14:textFill>
              </w:rPr>
              <w:t>t/a</w:t>
            </w:r>
            <w:bookmarkEnd w:id="14"/>
            <w:r>
              <w:rPr>
                <w:rFonts w:hint="eastAsia" w:ascii="Times New Roman" w:hAnsi="Times New Roman" w:eastAsia="宋体" w:cs="Times New Roman"/>
                <w:color w:val="000000" w:themeColor="text1"/>
                <w:sz w:val="24"/>
                <w14:textFill>
                  <w14:solidFill>
                    <w14:schemeClr w14:val="tx1"/>
                  </w14:solidFill>
                </w14:textFill>
              </w:rPr>
              <w:t>。</w:t>
            </w:r>
          </w:p>
          <w:p w14:paraId="56DA99CC">
            <w:pPr>
              <w:spacing w:line="360" w:lineRule="auto"/>
              <w:ind w:firstLine="480" w:firstLineChars="200"/>
              <w:jc w:val="left"/>
              <w:rPr>
                <w:rFonts w:hint="default" w:hAnsi="宋体" w:eastAsia="宋体"/>
                <w:color w:val="auto"/>
                <w:sz w:val="24"/>
                <w:lang w:val="en-US" w:eastAsia="zh-CN"/>
              </w:rPr>
            </w:pPr>
            <w:r>
              <w:rPr>
                <w:rFonts w:hint="eastAsia" w:hAnsi="宋体"/>
                <w:color w:val="auto"/>
                <w:sz w:val="24"/>
                <w:lang w:eastAsia="zh-CN"/>
              </w:rPr>
              <w:t>（</w:t>
            </w:r>
            <w:r>
              <w:rPr>
                <w:rFonts w:hint="eastAsia" w:hAnsi="宋体"/>
                <w:color w:val="auto"/>
                <w:sz w:val="24"/>
                <w:lang w:val="en-US" w:eastAsia="zh-CN"/>
              </w:rPr>
              <w:t>2</w:t>
            </w:r>
            <w:r>
              <w:rPr>
                <w:rFonts w:hint="eastAsia" w:hAnsi="宋体"/>
                <w:color w:val="auto"/>
                <w:sz w:val="24"/>
                <w:lang w:eastAsia="zh-CN"/>
              </w:rPr>
              <w:t>）</w:t>
            </w:r>
            <w:r>
              <w:rPr>
                <w:rFonts w:hint="eastAsia" w:hAnsi="宋体"/>
                <w:color w:val="auto"/>
                <w:sz w:val="24"/>
                <w:lang w:val="en-US" w:eastAsia="zh-CN"/>
              </w:rPr>
              <w:t>G2原料装卸废气</w:t>
            </w:r>
          </w:p>
          <w:p w14:paraId="041A4847">
            <w:pPr>
              <w:spacing w:line="360" w:lineRule="auto"/>
              <w:ind w:firstLine="480" w:firstLineChars="200"/>
              <w:jc w:val="left"/>
              <w:rPr>
                <w:rFonts w:hint="eastAsia" w:hAnsi="宋体"/>
                <w:color w:val="auto"/>
                <w:sz w:val="24"/>
              </w:rPr>
            </w:pPr>
            <w:r>
              <w:rPr>
                <w:rFonts w:hint="eastAsia" w:hAnsi="宋体"/>
                <w:color w:val="auto"/>
                <w:sz w:val="24"/>
              </w:rPr>
              <w:t>项目原料</w:t>
            </w:r>
            <w:r>
              <w:rPr>
                <w:rFonts w:hint="eastAsia" w:hAnsi="宋体"/>
                <w:color w:val="auto"/>
                <w:sz w:val="24"/>
                <w:lang w:val="en-US" w:eastAsia="zh-CN"/>
              </w:rPr>
              <w:t>砂子</w:t>
            </w:r>
            <w:r>
              <w:rPr>
                <w:rFonts w:hint="eastAsia" w:hAnsi="宋体"/>
                <w:color w:val="auto"/>
                <w:sz w:val="24"/>
              </w:rPr>
              <w:t>、</w:t>
            </w:r>
            <w:r>
              <w:rPr>
                <w:rFonts w:hint="eastAsia" w:hAnsi="宋体"/>
                <w:color w:val="auto"/>
                <w:sz w:val="24"/>
                <w:lang w:val="en-US" w:eastAsia="zh-CN"/>
              </w:rPr>
              <w:t>碎石</w:t>
            </w:r>
            <w:r>
              <w:rPr>
                <w:rFonts w:hint="eastAsia" w:hAnsi="宋体"/>
                <w:color w:val="auto"/>
                <w:sz w:val="24"/>
              </w:rPr>
              <w:t>等采用车辆卸料到原料</w:t>
            </w:r>
            <w:r>
              <w:rPr>
                <w:rFonts w:hint="eastAsia" w:hAnsi="宋体"/>
                <w:color w:val="auto"/>
                <w:sz w:val="24"/>
                <w:lang w:val="en-US" w:eastAsia="zh-CN"/>
              </w:rPr>
              <w:t>堆放区</w:t>
            </w:r>
            <w:r>
              <w:rPr>
                <w:rFonts w:hint="eastAsia" w:hAnsi="宋体"/>
                <w:color w:val="auto"/>
                <w:sz w:val="24"/>
              </w:rPr>
              <w:t>内，卸料过程中由于落差而产生粉尘。项目原料</w:t>
            </w:r>
            <w:r>
              <w:rPr>
                <w:rFonts w:hint="eastAsia" w:hAnsi="宋体"/>
                <w:color w:val="auto"/>
                <w:sz w:val="24"/>
                <w:lang w:val="en-US" w:eastAsia="zh-CN"/>
              </w:rPr>
              <w:t>堆放区</w:t>
            </w:r>
            <w:r>
              <w:rPr>
                <w:rFonts w:hint="eastAsia" w:hAnsi="宋体"/>
                <w:color w:val="auto"/>
                <w:sz w:val="24"/>
              </w:rPr>
              <w:t>封闭，且设有喷淋洒水装置，可最大限度的减少粉尘的产生量。</w:t>
            </w:r>
          </w:p>
          <w:p w14:paraId="1F587A5A">
            <w:pPr>
              <w:spacing w:line="360" w:lineRule="auto"/>
              <w:ind w:firstLine="480" w:firstLineChars="200"/>
              <w:jc w:val="left"/>
              <w:rPr>
                <w:rFonts w:hint="eastAsia" w:hAnsi="宋体"/>
                <w:color w:val="auto"/>
                <w:sz w:val="24"/>
              </w:rPr>
            </w:pPr>
            <w:r>
              <w:rPr>
                <w:rFonts w:hint="eastAsia" w:hAnsi="宋体"/>
                <w:color w:val="auto"/>
                <w:sz w:val="24"/>
              </w:rPr>
              <w:t>原料卸料粉尘产生量采用“秦皇岛港口装卸起尘及其扩散规律的研究”得出的经验公示进行估算，公示如下：</w:t>
            </w:r>
          </w:p>
          <w:p w14:paraId="60BA1223">
            <w:pPr>
              <w:spacing w:line="360" w:lineRule="auto"/>
              <w:jc w:val="center"/>
              <w:rPr>
                <w:rFonts w:hint="eastAsia" w:hAnsi="宋体"/>
                <w:color w:val="auto"/>
                <w:sz w:val="24"/>
              </w:rPr>
            </w:pPr>
            <w:bookmarkStart w:id="15" w:name="_Hlk198888278"/>
            <w:r>
              <w:rPr>
                <w:rFonts w:hint="eastAsia" w:hAnsi="宋体"/>
                <w:color w:val="auto"/>
                <w:sz w:val="24"/>
              </w:rPr>
              <w:t>Q=0.03×0.245×V1.6H1.23e-AW</w:t>
            </w:r>
          </w:p>
          <w:p w14:paraId="170719C8">
            <w:pPr>
              <w:spacing w:line="360" w:lineRule="auto"/>
              <w:ind w:firstLine="480" w:firstLineChars="200"/>
              <w:jc w:val="left"/>
              <w:rPr>
                <w:rFonts w:hint="eastAsia" w:hAnsi="宋体"/>
                <w:color w:val="auto"/>
                <w:sz w:val="24"/>
              </w:rPr>
            </w:pPr>
            <w:r>
              <w:rPr>
                <w:rFonts w:hint="eastAsia" w:hAnsi="宋体"/>
                <w:color w:val="auto"/>
                <w:sz w:val="24"/>
              </w:rPr>
              <w:t>式中：Q——装卸起尘量，kg/t；</w:t>
            </w:r>
          </w:p>
          <w:p w14:paraId="798345D8">
            <w:pPr>
              <w:spacing w:line="360" w:lineRule="auto"/>
              <w:ind w:firstLine="1200" w:firstLineChars="500"/>
              <w:jc w:val="left"/>
              <w:rPr>
                <w:rFonts w:hint="eastAsia" w:hAnsi="宋体"/>
                <w:color w:val="auto"/>
                <w:sz w:val="24"/>
              </w:rPr>
            </w:pPr>
            <w:r>
              <w:rPr>
                <w:rFonts w:hint="eastAsia" w:hAnsi="宋体"/>
                <w:color w:val="auto"/>
                <w:sz w:val="24"/>
              </w:rPr>
              <w:t>V——风速，2m/s；</w:t>
            </w:r>
          </w:p>
          <w:p w14:paraId="1759C489">
            <w:pPr>
              <w:spacing w:line="360" w:lineRule="auto"/>
              <w:ind w:firstLine="1200" w:firstLineChars="500"/>
              <w:jc w:val="left"/>
              <w:rPr>
                <w:rFonts w:hint="eastAsia" w:hAnsi="宋体"/>
                <w:color w:val="auto"/>
                <w:sz w:val="24"/>
              </w:rPr>
            </w:pPr>
            <w:r>
              <w:rPr>
                <w:rFonts w:hint="eastAsia" w:hAnsi="宋体"/>
                <w:color w:val="auto"/>
                <w:sz w:val="24"/>
              </w:rPr>
              <w:t>W——含水率，8%；</w:t>
            </w:r>
          </w:p>
          <w:p w14:paraId="61CF8B25">
            <w:pPr>
              <w:spacing w:line="360" w:lineRule="auto"/>
              <w:ind w:firstLine="1200" w:firstLineChars="500"/>
              <w:jc w:val="left"/>
              <w:rPr>
                <w:rFonts w:hint="eastAsia" w:hAnsi="宋体"/>
                <w:color w:val="auto"/>
                <w:sz w:val="24"/>
              </w:rPr>
            </w:pPr>
            <w:r>
              <w:rPr>
                <w:rFonts w:hint="eastAsia" w:hAnsi="宋体"/>
                <w:color w:val="auto"/>
                <w:sz w:val="24"/>
              </w:rPr>
              <w:t>H——装卸高度，取1.5m；</w:t>
            </w:r>
          </w:p>
          <w:p w14:paraId="7D6B34EF">
            <w:pPr>
              <w:spacing w:line="360" w:lineRule="auto"/>
              <w:ind w:firstLine="1200" w:firstLineChars="500"/>
              <w:jc w:val="left"/>
              <w:rPr>
                <w:rFonts w:hint="eastAsia" w:hAnsi="宋体"/>
                <w:color w:val="auto"/>
                <w:sz w:val="24"/>
              </w:rPr>
            </w:pPr>
            <w:r>
              <w:rPr>
                <w:rFonts w:hint="eastAsia" w:hAnsi="宋体"/>
                <w:color w:val="auto"/>
                <w:sz w:val="24"/>
              </w:rPr>
              <w:t>A——经验系数，取0.64；</w:t>
            </w:r>
          </w:p>
          <w:bookmarkEnd w:id="15"/>
          <w:p w14:paraId="3802B5EA">
            <w:pPr>
              <w:spacing w:line="360" w:lineRule="auto"/>
              <w:ind w:firstLine="480" w:firstLineChars="200"/>
              <w:jc w:val="left"/>
              <w:rPr>
                <w:rFonts w:hint="eastAsia" w:hAnsi="宋体"/>
                <w:color w:val="auto"/>
                <w:sz w:val="24"/>
              </w:rPr>
            </w:pPr>
            <w:r>
              <w:rPr>
                <w:rFonts w:hint="eastAsia" w:hAnsi="宋体"/>
                <w:color w:val="auto"/>
                <w:sz w:val="24"/>
              </w:rPr>
              <w:t>根据计算，Q=0.035kg/t，</w:t>
            </w:r>
            <w:bookmarkStart w:id="16" w:name="_Hlk198888836"/>
            <w:r>
              <w:rPr>
                <w:rFonts w:hint="eastAsia" w:hAnsi="宋体"/>
                <w:color w:val="auto"/>
                <w:sz w:val="24"/>
              </w:rPr>
              <w:t>本项目</w:t>
            </w:r>
            <w:r>
              <w:rPr>
                <w:rFonts w:hint="eastAsia" w:hAnsi="宋体"/>
                <w:color w:val="auto"/>
                <w:sz w:val="24"/>
                <w:lang w:val="en-US" w:eastAsia="zh-CN"/>
              </w:rPr>
              <w:t>砂子、碎石</w:t>
            </w:r>
            <w:r>
              <w:rPr>
                <w:rFonts w:hint="eastAsia" w:hAnsi="宋体"/>
                <w:color w:val="auto"/>
                <w:sz w:val="24"/>
              </w:rPr>
              <w:t>等用量约为</w:t>
            </w:r>
            <w:r>
              <w:rPr>
                <w:rFonts w:hint="eastAsia" w:hAnsi="宋体"/>
                <w:color w:val="auto"/>
                <w:sz w:val="24"/>
                <w:lang w:val="en-US" w:eastAsia="zh-CN"/>
              </w:rPr>
              <w:t>5.56</w:t>
            </w:r>
            <w:r>
              <w:rPr>
                <w:rFonts w:hint="eastAsia" w:hAnsi="宋体"/>
                <w:color w:val="auto"/>
                <w:sz w:val="24"/>
              </w:rPr>
              <w:t>万t</w:t>
            </w:r>
            <w:bookmarkEnd w:id="16"/>
            <w:r>
              <w:rPr>
                <w:rFonts w:hint="eastAsia" w:hAnsi="宋体"/>
                <w:color w:val="auto"/>
                <w:sz w:val="24"/>
              </w:rPr>
              <w:t>，原料卸料废气产生量为2t/a。</w:t>
            </w:r>
          </w:p>
          <w:p w14:paraId="3DD8EF96">
            <w:pPr>
              <w:spacing w:line="360" w:lineRule="auto"/>
              <w:ind w:firstLine="480" w:firstLineChars="200"/>
              <w:jc w:val="left"/>
              <w:rPr>
                <w:rFonts w:hint="eastAsia" w:hAnsi="宋体" w:eastAsia="宋体"/>
                <w:color w:val="auto"/>
                <w:sz w:val="24"/>
                <w:lang w:eastAsia="zh-CN"/>
              </w:rPr>
            </w:pPr>
            <w:r>
              <w:rPr>
                <w:rFonts w:hint="eastAsia" w:hAnsi="宋体"/>
                <w:color w:val="auto"/>
                <w:sz w:val="24"/>
                <w:lang w:eastAsia="zh-CN"/>
              </w:rPr>
              <w:t>（</w:t>
            </w:r>
            <w:r>
              <w:rPr>
                <w:rFonts w:hint="eastAsia" w:hAnsi="宋体"/>
                <w:color w:val="auto"/>
                <w:sz w:val="24"/>
                <w:lang w:val="en-US" w:eastAsia="zh-CN"/>
              </w:rPr>
              <w:t>3</w:t>
            </w:r>
            <w:r>
              <w:rPr>
                <w:rFonts w:hint="eastAsia" w:hAnsi="宋体"/>
                <w:color w:val="auto"/>
                <w:sz w:val="24"/>
                <w:lang w:eastAsia="zh-CN"/>
              </w:rPr>
              <w:t>）G3</w:t>
            </w:r>
            <w:r>
              <w:rPr>
                <w:rFonts w:hint="eastAsia" w:hAnsi="宋体"/>
                <w:color w:val="auto"/>
                <w:sz w:val="24"/>
                <w:lang w:val="en-US" w:eastAsia="zh-CN"/>
              </w:rPr>
              <w:t>水泥筒仓呼吸废气、G4粉煤灰筒仓呼吸废气</w:t>
            </w:r>
          </w:p>
          <w:p w14:paraId="3E0B6321">
            <w:pPr>
              <w:spacing w:line="360" w:lineRule="auto"/>
              <w:ind w:firstLine="480" w:firstLineChars="200"/>
              <w:jc w:val="left"/>
              <w:rPr>
                <w:rFonts w:hint="eastAsia" w:hAnsi="宋体" w:eastAsia="宋体"/>
                <w:color w:val="auto"/>
                <w:sz w:val="24"/>
                <w:lang w:val="en-US" w:eastAsia="zh-CN"/>
              </w:rPr>
            </w:pPr>
            <w:r>
              <w:rPr>
                <w:rFonts w:hint="eastAsia" w:hAnsi="宋体"/>
                <w:color w:val="auto"/>
                <w:sz w:val="24"/>
                <w:lang w:val="en-US" w:eastAsia="zh-CN"/>
              </w:rPr>
              <w:t>项目设置3个100t水泥筒仓和1个100t粉煤灰筒仓，水泥由罐车通过气泵过程中仓底、仓顶会产生外逸粉尘，</w:t>
            </w:r>
            <w:r>
              <w:rPr>
                <w:rFonts w:hint="eastAsia" w:ascii="Times New Roman" w:hAnsi="Times New Roman" w:eastAsia="宋体" w:cs="Times New Roman"/>
                <w:color w:val="000000" w:themeColor="text1"/>
                <w:sz w:val="24"/>
                <w:szCs w:val="24"/>
                <w14:textFill>
                  <w14:solidFill>
                    <w14:schemeClr w14:val="tx1"/>
                  </w14:solidFill>
                </w14:textFill>
              </w:rPr>
              <w:t>筒仓呼吸废气参照</w:t>
            </w:r>
            <w:bookmarkStart w:id="17" w:name="_Hlk198889959"/>
            <w:r>
              <w:rPr>
                <w:rFonts w:hint="eastAsia" w:ascii="Times New Roman" w:hAnsi="Times New Roman" w:eastAsia="宋体" w:cs="Times New Roman"/>
                <w:color w:val="000000" w:themeColor="text1"/>
                <w:sz w:val="24"/>
                <w:szCs w:val="24"/>
                <w14:textFill>
                  <w14:solidFill>
                    <w14:schemeClr w14:val="tx1"/>
                  </w14:solidFill>
                </w14:textFill>
              </w:rPr>
              <w:t>《排放源统计调查产排污核算方法和系数手册》“3021、3022、3029水泥制品制造行业系数手册中-各种水泥制品</w:t>
            </w:r>
            <w:bookmarkEnd w:id="17"/>
            <w:r>
              <w:rPr>
                <w:rFonts w:hint="eastAsia" w:ascii="Times New Roman" w:hAnsi="Times New Roman" w:eastAsia="宋体" w:cs="Times New Roman"/>
                <w:color w:val="000000" w:themeColor="text1"/>
                <w:sz w:val="24"/>
                <w:szCs w:val="24"/>
                <w14:textFill>
                  <w14:solidFill>
                    <w14:schemeClr w14:val="tx1"/>
                  </w14:solidFill>
                </w14:textFill>
              </w:rPr>
              <w:t>，</w:t>
            </w:r>
            <w:bookmarkStart w:id="18" w:name="_Hlk198889994"/>
            <w:r>
              <w:rPr>
                <w:rFonts w:hint="eastAsia" w:ascii="Times New Roman" w:hAnsi="Times New Roman" w:eastAsia="宋体" w:cs="Times New Roman"/>
                <w:color w:val="000000" w:themeColor="text1"/>
                <w:sz w:val="24"/>
                <w:szCs w:val="24"/>
                <w14:textFill>
                  <w14:solidFill>
                    <w14:schemeClr w14:val="tx1"/>
                  </w14:solidFill>
                </w14:textFill>
              </w:rPr>
              <w:t>水泥储存过程中颗粒物产污系数为</w:t>
            </w:r>
            <w:bookmarkEnd w:id="18"/>
            <w:r>
              <w:rPr>
                <w:rFonts w:hint="eastAsia" w:ascii="Times New Roman" w:hAnsi="Times New Roman" w:eastAsia="宋体" w:cs="Times New Roman"/>
                <w:color w:val="000000" w:themeColor="text1"/>
                <w:sz w:val="24"/>
                <w:szCs w:val="24"/>
                <w14:textFill>
                  <w14:solidFill>
                    <w14:schemeClr w14:val="tx1"/>
                  </w14:solidFill>
                </w14:textFill>
              </w:rPr>
              <w:t>0.19kg/t-产品”，</w:t>
            </w:r>
            <w:bookmarkStart w:id="19" w:name="_Hlk198890013"/>
            <w:r>
              <w:rPr>
                <w:rFonts w:hint="eastAsia" w:ascii="Times New Roman" w:hAnsi="Times New Roman" w:eastAsia="宋体" w:cs="Times New Roman"/>
                <w:color w:val="000000" w:themeColor="text1"/>
                <w:sz w:val="24"/>
                <w:szCs w:val="24"/>
                <w14:textFill>
                  <w14:solidFill>
                    <w14:schemeClr w14:val="tx1"/>
                  </w14:solidFill>
                </w14:textFill>
              </w:rPr>
              <w:t>本项目水泥用量为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eastAsia" w:ascii="Times New Roman" w:hAnsi="Times New Roman" w:eastAsia="宋体" w:cs="Times New Roman"/>
                <w:color w:val="000000" w:themeColor="text1"/>
                <w:sz w:val="24"/>
                <w:szCs w:val="24"/>
                <w14:textFill>
                  <w14:solidFill>
                    <w14:schemeClr w14:val="tx1"/>
                  </w14:solidFill>
                </w14:textFill>
              </w:rPr>
              <w:t>万吨</w:t>
            </w: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粉煤灰</w:t>
            </w:r>
            <w:r>
              <w:rPr>
                <w:rFonts w:hint="eastAsia" w:ascii="Times New Roman" w:hAnsi="Times New Roman" w:eastAsia="宋体" w:cs="Times New Roman"/>
                <w:color w:val="000000" w:themeColor="text1"/>
                <w:sz w:val="24"/>
                <w:szCs w:val="24"/>
                <w14:textFill>
                  <w14:solidFill>
                    <w14:schemeClr w14:val="tx1"/>
                  </w14:solidFill>
                </w14:textFill>
              </w:rPr>
              <w:t>用量为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r>
              <w:rPr>
                <w:rFonts w:hint="eastAsia" w:ascii="Times New Roman" w:hAnsi="Times New Roman" w:eastAsia="宋体" w:cs="Times New Roman"/>
                <w:color w:val="000000" w:themeColor="text1"/>
                <w:sz w:val="24"/>
                <w:szCs w:val="24"/>
                <w14:textFill>
                  <w14:solidFill>
                    <w14:schemeClr w14:val="tx1"/>
                  </w14:solidFill>
                </w14:textFill>
              </w:rPr>
              <w:t>万吨，故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水泥筒仓</w:t>
            </w:r>
            <w:r>
              <w:rPr>
                <w:rFonts w:hint="eastAsia" w:ascii="Times New Roman" w:hAnsi="Times New Roman" w:eastAsia="宋体" w:cs="Times New Roman"/>
                <w:color w:val="000000" w:themeColor="text1"/>
                <w:sz w:val="24"/>
                <w:szCs w:val="24"/>
                <w14:textFill>
                  <w14:solidFill>
                    <w14:schemeClr w14:val="tx1"/>
                  </w14:solidFill>
                </w14:textFill>
              </w:rPr>
              <w:t>呼吸粉尘产生量为3.2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t/a</w:t>
            </w:r>
            <w:bookmarkEnd w:id="19"/>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粉煤灰筒仓呼吸粉尘产生量为0.57</w:t>
            </w:r>
            <w:r>
              <w:rPr>
                <w:rFonts w:hint="eastAsia"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，各个筒仓产生的粉尘经顶端配套的脉冲式布袋除尘器处理后无组织排放，除尘效率为99%，则</w:t>
            </w:r>
            <w:r>
              <w:rPr>
                <w:rFonts w:hint="eastAsia" w:hAnsi="宋体"/>
                <w:color w:val="auto"/>
                <w:sz w:val="24"/>
                <w:lang w:val="en-US" w:eastAsia="zh-CN"/>
              </w:rPr>
              <w:t>水泥筒仓呼吸废气和粉煤灰筒仓呼吸废气粉尘年排放量为0.038</w:t>
            </w:r>
            <w:r>
              <w:rPr>
                <w:rFonts w:hint="eastAsia" w:ascii="Times New Roman" w:hAnsi="Times New Roman" w:eastAsia="宋体" w:cs="Times New Roman"/>
                <w:color w:val="000000" w:themeColor="text1"/>
                <w:sz w:val="24"/>
                <w:szCs w:val="24"/>
                <w14:textFill>
                  <w14:solidFill>
                    <w14:schemeClr w14:val="tx1"/>
                  </w14:solidFill>
                </w14:textFill>
              </w:rPr>
              <w:t>t/a</w:t>
            </w:r>
            <w:r>
              <w:rPr>
                <w:rFonts w:hint="eastAsia" w:eastAsia="宋体" w:cs="Times New Roman"/>
                <w:color w:val="000000" w:themeColor="text1"/>
                <w:sz w:val="24"/>
                <w:szCs w:val="24"/>
                <w:lang w:eastAsia="zh-CN"/>
                <w14:textFill>
                  <w14:solidFill>
                    <w14:schemeClr w14:val="tx1"/>
                  </w14:solidFill>
                </w14:textFill>
              </w:rPr>
              <w:t>。</w:t>
            </w:r>
          </w:p>
          <w:p w14:paraId="786DBB6B">
            <w:pPr>
              <w:spacing w:line="360" w:lineRule="auto"/>
              <w:ind w:firstLine="480" w:firstLineChars="200"/>
              <w:jc w:val="left"/>
              <w:rPr>
                <w:rFonts w:hint="default" w:hAnsi="宋体" w:eastAsia="宋体"/>
                <w:color w:val="auto"/>
                <w:sz w:val="24"/>
                <w:lang w:val="en-US" w:eastAsia="zh-CN"/>
              </w:rPr>
            </w:pPr>
            <w:r>
              <w:rPr>
                <w:rFonts w:hint="eastAsia" w:hAnsi="宋体"/>
                <w:color w:val="auto"/>
                <w:sz w:val="24"/>
                <w:lang w:eastAsia="zh-CN"/>
              </w:rPr>
              <w:t>（</w:t>
            </w:r>
            <w:r>
              <w:rPr>
                <w:rFonts w:hint="eastAsia" w:hAnsi="宋体"/>
                <w:color w:val="auto"/>
                <w:sz w:val="24"/>
                <w:lang w:val="en-US" w:eastAsia="zh-CN"/>
              </w:rPr>
              <w:t>4</w:t>
            </w:r>
            <w:r>
              <w:rPr>
                <w:rFonts w:hint="eastAsia" w:hAnsi="宋体"/>
                <w:color w:val="auto"/>
                <w:sz w:val="24"/>
                <w:lang w:eastAsia="zh-CN"/>
              </w:rPr>
              <w:t>）</w:t>
            </w:r>
            <w:r>
              <w:rPr>
                <w:rFonts w:hint="eastAsia" w:hAnsi="宋体"/>
                <w:color w:val="auto"/>
                <w:sz w:val="24"/>
                <w:lang w:val="en-US" w:eastAsia="zh-CN"/>
              </w:rPr>
              <w:t>G5配料废气</w:t>
            </w:r>
          </w:p>
          <w:p w14:paraId="6CC13EC6">
            <w:pPr>
              <w:spacing w:line="360" w:lineRule="auto"/>
              <w:ind w:firstLine="480" w:firstLineChars="200"/>
              <w:jc w:val="left"/>
              <w:rPr>
                <w:rFonts w:hint="eastAsia" w:ascii="Times New Roman" w:hAnsi="Times New Roman" w:eastAsia="宋体" w:cs="Times New Roman"/>
                <w:color w:val="auto"/>
                <w:sz w:val="24"/>
                <w:szCs w:val="21"/>
                <w:lang w:val="en-US" w:eastAsia="zh-CN"/>
              </w:rPr>
            </w:pPr>
            <w:r>
              <w:rPr>
                <w:rFonts w:hint="eastAsia"/>
                <w:color w:val="auto"/>
                <w:sz w:val="24"/>
                <w:szCs w:val="21"/>
                <w:lang w:val="en-US" w:eastAsia="zh-CN"/>
              </w:rPr>
              <w:t>本项目利用铲车将外购来的砂子和碎石投入到料斗内，该工序会产生上料粉尘。</w:t>
            </w:r>
            <w:r>
              <w:rPr>
                <w:rFonts w:hint="eastAsia" w:ascii="Times New Roman" w:hAnsi="Times New Roman" w:eastAsia="宋体" w:cs="Times New Roman"/>
                <w:color w:val="000000" w:themeColor="text1"/>
                <w:sz w:val="24"/>
                <w:szCs w:val="24"/>
                <w14:textFill>
                  <w14:solidFill>
                    <w14:schemeClr w14:val="tx1"/>
                  </w14:solidFill>
                </w14:textFill>
              </w:rPr>
              <w:t>本项产品产量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eastAsia"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7.8</w:t>
            </w:r>
            <w:r>
              <w:rPr>
                <w:rFonts w:hint="eastAsia" w:ascii="Times New Roman" w:hAnsi="Times New Roman" w:eastAsia="宋体" w:cs="Times New Roman"/>
                <w:color w:val="000000" w:themeColor="text1"/>
                <w:sz w:val="24"/>
                <w:szCs w:val="24"/>
                <w14:textFill>
                  <w14:solidFill>
                    <w14:schemeClr w14:val="tx1"/>
                  </w14:solidFill>
                </w14:textFill>
              </w:rPr>
              <w:t>万吨</w:t>
            </w:r>
            <w:r>
              <w:rPr>
                <w:rFonts w:hint="eastAsia"/>
                <w:color w:val="auto"/>
                <w:sz w:val="24"/>
                <w:szCs w:val="21"/>
                <w:lang w:val="en-US" w:eastAsia="zh-CN"/>
              </w:rPr>
              <w:t>，</w:t>
            </w:r>
            <w:r>
              <w:rPr>
                <w:rFonts w:hint="eastAsia" w:ascii="Times New Roman" w:hAnsi="Times New Roman" w:eastAsia="宋体" w:cs="Times New Roman"/>
                <w:color w:val="000000" w:themeColor="text1"/>
                <w:sz w:val="24"/>
                <w:szCs w:val="24"/>
                <w14:textFill>
                  <w14:solidFill>
                    <w14:schemeClr w14:val="tx1"/>
                  </w14:solidFill>
                </w14:textFill>
              </w:rPr>
              <w:t>原料</w:t>
            </w:r>
            <w:r>
              <w:rPr>
                <w:rFonts w:hint="eastAsia" w:cs="Times New Roman"/>
                <w:color w:val="000000" w:themeColor="text1"/>
                <w:sz w:val="24"/>
                <w:szCs w:val="24"/>
                <w:lang w:val="en-US" w:eastAsia="zh-CN"/>
                <w14:textFill>
                  <w14:solidFill>
                    <w14:schemeClr w14:val="tx1"/>
                  </w14:solidFill>
                </w14:textFill>
              </w:rPr>
              <w:t>砂子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、碎石</w:t>
            </w:r>
            <w:r>
              <w:rPr>
                <w:rFonts w:hint="eastAsia" w:ascii="Times New Roman" w:hAnsi="Times New Roman" w:eastAsia="宋体" w:cs="Times New Roman"/>
                <w:color w:val="000000" w:themeColor="text1"/>
                <w:sz w:val="24"/>
                <w:szCs w:val="24"/>
                <w14:textFill>
                  <w14:solidFill>
                    <w14:schemeClr w14:val="tx1"/>
                  </w14:solidFill>
                </w14:textFill>
              </w:rPr>
              <w:t>等材料配料粉尘产污系数参照</w:t>
            </w:r>
            <w:bookmarkStart w:id="20" w:name="_Hlk198890564"/>
            <w:r>
              <w:rPr>
                <w:rFonts w:hint="eastAsia" w:ascii="Times New Roman" w:hAnsi="Times New Roman" w:eastAsia="宋体" w:cs="Times New Roman"/>
                <w:color w:val="000000" w:themeColor="text1"/>
                <w:sz w:val="24"/>
                <w:szCs w:val="24"/>
                <w14:textFill>
                  <w14:solidFill>
                    <w14:schemeClr w14:val="tx1"/>
                  </w14:solidFill>
                </w14:textFill>
              </w:rPr>
              <w:t>《排放源统计调查产排污核算方法和系数手册》“3021、3022、3029水泥制品制造行业系数手册中-各种水泥制品，</w:t>
            </w:r>
            <w:bookmarkEnd w:id="20"/>
            <w:r>
              <w:rPr>
                <w:rFonts w:hint="eastAsia" w:ascii="Times New Roman" w:hAnsi="Times New Roman" w:eastAsia="宋体" w:cs="Times New Roman"/>
                <w:color w:val="000000" w:themeColor="text1"/>
                <w:sz w:val="24"/>
                <w:szCs w:val="24"/>
                <w14:textFill>
                  <w14:solidFill>
                    <w14:schemeClr w14:val="tx1"/>
                  </w14:solidFill>
                </w14:textFill>
              </w:rPr>
              <w:t>颗粒物产污系数为0.19kg/t-产品”</w:t>
            </w:r>
            <w:r>
              <w:rPr>
                <w:rFonts w:hint="eastAsia"/>
                <w:color w:val="auto"/>
                <w:sz w:val="24"/>
                <w:szCs w:val="21"/>
                <w:lang w:val="en-US" w:eastAsia="zh-CN"/>
              </w:rPr>
              <w:t>，则上料粉尘产生量约为14.82t/a</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color w:val="auto"/>
                <w:sz w:val="24"/>
                <w:szCs w:val="21"/>
                <w:lang w:val="en-US" w:eastAsia="zh-CN"/>
              </w:rPr>
              <w:t>建设单位拟在配料机上方设置集气罩进行收集，收集效率为90%，收集后经布袋除尘器处理后于1根15m高排气筒DA001排放，处理效率为99%。未收集的粉尘通过车间顶部的洒水喷淋装置进行洒</w:t>
            </w:r>
            <w:r>
              <w:rPr>
                <w:rFonts w:hint="eastAsia" w:ascii="Times New Roman" w:hAnsi="Times New Roman" w:eastAsia="宋体" w:cs="Times New Roman"/>
                <w:color w:val="auto"/>
                <w:sz w:val="24"/>
                <w:szCs w:val="21"/>
                <w:lang w:val="en-US" w:eastAsia="zh-CN"/>
              </w:rPr>
              <w:t>水抑尘，该措施可使无组织粉尘排放量减少90%。</w:t>
            </w:r>
          </w:p>
          <w:p w14:paraId="31E16D96">
            <w:pPr>
              <w:adjustRightInd w:val="0"/>
              <w:snapToGrid w:val="0"/>
              <w:spacing w:line="360" w:lineRule="auto"/>
              <w:ind w:firstLine="480" w:firstLineChars="200"/>
              <w:rPr>
                <w:rFonts w:hint="default" w:cs="Times New Roman"/>
                <w:color w:val="auto"/>
                <w:sz w:val="24"/>
                <w:szCs w:val="21"/>
                <w:lang w:val="en-US" w:eastAsia="zh-CN"/>
              </w:rPr>
            </w:pPr>
            <w:r>
              <w:rPr>
                <w:rFonts w:hint="eastAsia" w:cs="Times New Roman"/>
                <w:color w:val="auto"/>
                <w:sz w:val="24"/>
                <w:szCs w:val="21"/>
                <w:lang w:val="en-US" w:eastAsia="zh-CN"/>
              </w:rPr>
              <w:t>（5）G6搅拌废气</w:t>
            </w:r>
          </w:p>
          <w:p w14:paraId="21B09D20">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本项目原料</w:t>
            </w:r>
            <w:r>
              <w:rPr>
                <w:rFonts w:hint="eastAsia" w:cs="Times New Roman"/>
                <w:color w:val="000000" w:themeColor="text1"/>
                <w:sz w:val="24"/>
                <w:szCs w:val="24"/>
                <w:lang w:val="en-US" w:eastAsia="zh-CN"/>
                <w14:textFill>
                  <w14:solidFill>
                    <w14:schemeClr w14:val="tx1"/>
                  </w14:solidFill>
                </w14:textFill>
              </w:rPr>
              <w:t>砂子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、碎石</w:t>
            </w:r>
            <w:r>
              <w:rPr>
                <w:rFonts w:hint="eastAsia" w:ascii="Times New Roman" w:hAnsi="Times New Roman" w:eastAsia="宋体" w:cs="Times New Roman"/>
                <w:color w:val="000000" w:themeColor="text1"/>
                <w:sz w:val="24"/>
                <w:szCs w:val="24"/>
                <w14:textFill>
                  <w14:solidFill>
                    <w14:schemeClr w14:val="tx1"/>
                  </w14:solidFill>
                </w14:textFill>
              </w:rPr>
              <w:t>、水泥、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粉煤灰</w:t>
            </w:r>
            <w:r>
              <w:rPr>
                <w:rFonts w:hint="eastAsia" w:ascii="Times New Roman" w:hAnsi="Times New Roman" w:eastAsia="宋体" w:cs="Times New Roman"/>
                <w:color w:val="000000" w:themeColor="text1"/>
                <w:sz w:val="24"/>
                <w:szCs w:val="24"/>
                <w14:textFill>
                  <w14:solidFill>
                    <w14:schemeClr w14:val="tx1"/>
                  </w14:solidFill>
                </w14:textFill>
              </w:rPr>
              <w:t>等材料搅拌粉尘产污系数参照《排放源统计调查产排污核算方法和系数手册》“3021、3022、3029水泥制品制造行业系数手册中-各种水泥制品，颗粒物产污系数为0.523kg/t-产品”，本项产品产量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eastAsia"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7.8</w:t>
            </w:r>
            <w:r>
              <w:rPr>
                <w:rFonts w:hint="eastAsia" w:ascii="Times New Roman" w:hAnsi="Times New Roman" w:eastAsia="宋体" w:cs="Times New Roman"/>
                <w:color w:val="000000" w:themeColor="text1"/>
                <w:sz w:val="24"/>
                <w:szCs w:val="24"/>
                <w14:textFill>
                  <w14:solidFill>
                    <w14:schemeClr w14:val="tx1"/>
                  </w14:solidFill>
                </w14:textFill>
              </w:rPr>
              <w:t>万吨，故搅拌粉尘产生量为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40.794</w:t>
            </w:r>
            <w:r>
              <w:rPr>
                <w:rFonts w:hint="eastAsia" w:ascii="Times New Roman" w:hAnsi="Times New Roman" w:eastAsia="宋体" w:cs="Times New Roman"/>
                <w:color w:val="000000" w:themeColor="text1"/>
                <w:sz w:val="24"/>
                <w:szCs w:val="24"/>
                <w14:textFill>
                  <w14:solidFill>
                    <w14:schemeClr w14:val="tx1"/>
                  </w14:solidFill>
                </w14:textFill>
              </w:rPr>
              <w:t>t/a。项目搅拌过程中搅拌机密闭，搅拌废气通过</w:t>
            </w:r>
            <w:r>
              <w:rPr>
                <w:rFonts w:hint="eastAsia" w:cs="Times New Roman"/>
                <w:color w:val="000000" w:themeColor="text1"/>
                <w:sz w:val="24"/>
                <w:szCs w:val="24"/>
                <w:lang w:eastAsia="zh-CN"/>
                <w14:textFill>
                  <w14:solidFill>
                    <w14:schemeClr w14:val="tx1"/>
                  </w14:solidFill>
                </w14:textFill>
              </w:rPr>
              <w:t>密闭收集</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color w:val="auto"/>
                <w:sz w:val="24"/>
                <w:szCs w:val="21"/>
                <w:lang w:val="en-US" w:eastAsia="zh-CN"/>
              </w:rPr>
              <w:t>经布袋除尘器处理后于1根15m高排气筒DA001排放，处理效率为99%。</w:t>
            </w:r>
          </w:p>
          <w:p w14:paraId="42E01AB3">
            <w:pPr>
              <w:pStyle w:val="57"/>
              <w:ind w:firstLine="482" w:firstLineChars="200"/>
              <w:rPr>
                <w:b/>
                <w:bCs/>
                <w:color w:val="auto"/>
              </w:rPr>
            </w:pPr>
            <w:r>
              <w:rPr>
                <w:rFonts w:hint="eastAsia"/>
                <w:b/>
                <w:bCs/>
                <w:color w:val="auto"/>
              </w:rPr>
              <w:t>2、风量核算</w:t>
            </w:r>
          </w:p>
          <w:p w14:paraId="2A6D1953">
            <w:pPr>
              <w:pStyle w:val="57"/>
              <w:spacing w:line="360" w:lineRule="auto"/>
              <w:ind w:firstLine="482" w:firstLineChars="200"/>
              <w:jc w:val="both"/>
              <w:rPr>
                <w:color w:val="auto"/>
              </w:rPr>
            </w:pPr>
            <w:r>
              <w:rPr>
                <w:color w:val="auto"/>
              </w:rPr>
              <w:t>风量计算方法根据《排风罩的</w:t>
            </w:r>
            <w:r>
              <w:rPr>
                <w:rFonts w:hint="eastAsia"/>
                <w:color w:val="auto"/>
              </w:rPr>
              <w:t>分类及技术条件</w:t>
            </w:r>
            <w:r>
              <w:rPr>
                <w:color w:val="auto"/>
              </w:rPr>
              <w:t>》（</w:t>
            </w:r>
            <w:r>
              <w:rPr>
                <w:rFonts w:hint="eastAsia"/>
                <w:color w:val="auto"/>
              </w:rPr>
              <w:t>GB/T 16758-2008</w:t>
            </w:r>
            <w:r>
              <w:rPr>
                <w:color w:val="auto"/>
              </w:rPr>
              <w:t>）中的</w:t>
            </w:r>
            <w:r>
              <w:rPr>
                <w:rFonts w:hint="eastAsia"/>
                <w:color w:val="auto"/>
              </w:rPr>
              <w:t>排风量计算公式</w:t>
            </w:r>
            <w:r>
              <w:rPr>
                <w:color w:val="auto"/>
              </w:rPr>
              <w:t>计算。计算公式如下：</w:t>
            </w:r>
          </w:p>
          <w:p w14:paraId="367145E4">
            <w:pPr>
              <w:pStyle w:val="57"/>
              <w:spacing w:line="360" w:lineRule="auto"/>
              <w:ind w:firstLine="482" w:firstLineChars="200"/>
              <w:jc w:val="center"/>
              <w:rPr>
                <w:color w:val="auto"/>
              </w:rPr>
            </w:pPr>
            <m:oMathPara>
              <m:oMath>
                <m:r>
                  <m:rPr/>
                  <w:rPr>
                    <w:rFonts w:ascii="Cambria Math" w:hAnsi="Cambria Math"/>
                    <w:color w:val="auto"/>
                  </w:rPr>
                  <m:t>Q=F×</m:t>
                </m:r>
                <m:acc>
                  <m:accPr>
                    <m:chr m:val="̅"/>
                    <m:ctrlPr>
                      <w:rPr>
                        <w:rFonts w:ascii="Cambria Math" w:hAnsi="Cambria Math"/>
                        <w:i/>
                        <w:color w:val="auto"/>
                      </w:rPr>
                    </m:ctrlPr>
                  </m:accPr>
                  <m:e>
                    <m:r>
                      <m:rPr/>
                      <w:rPr>
                        <w:rFonts w:ascii="Cambria Math" w:hAnsi="Cambria Math"/>
                        <w:color w:val="auto"/>
                      </w:rPr>
                      <m:t>v</m:t>
                    </m:r>
                    <m:ctrlPr>
                      <w:rPr>
                        <w:rFonts w:ascii="Cambria Math" w:hAnsi="Cambria Math"/>
                        <w:i/>
                        <w:color w:val="auto"/>
                      </w:rPr>
                    </m:ctrlPr>
                  </m:e>
                </m:acc>
              </m:oMath>
            </m:oMathPara>
          </w:p>
          <w:p w14:paraId="32931345">
            <w:pPr>
              <w:pStyle w:val="57"/>
              <w:spacing w:line="360" w:lineRule="auto"/>
              <w:ind w:firstLine="482" w:firstLineChars="200"/>
              <w:rPr>
                <w:color w:val="auto"/>
              </w:rPr>
            </w:pPr>
            <w:r>
              <w:rPr>
                <w:color w:val="auto"/>
              </w:rPr>
              <w:t>式中：Q——</w:t>
            </w:r>
            <w:r>
              <w:rPr>
                <w:rFonts w:hint="eastAsia"/>
                <w:color w:val="auto"/>
              </w:rPr>
              <w:t>排气罩的排</w:t>
            </w:r>
            <w:r>
              <w:rPr>
                <w:color w:val="auto"/>
              </w:rPr>
              <w:t>风量</w:t>
            </w:r>
            <w:r>
              <w:rPr>
                <w:rFonts w:hint="eastAsia"/>
                <w:color w:val="auto"/>
              </w:rPr>
              <w:t>，</w:t>
            </w:r>
            <w:r>
              <w:rPr>
                <w:color w:val="auto"/>
              </w:rPr>
              <w:t>m</w:t>
            </w:r>
            <w:r>
              <w:rPr>
                <w:color w:val="auto"/>
                <w:vertAlign w:val="superscript"/>
              </w:rPr>
              <w:t>3</w:t>
            </w:r>
            <w:r>
              <w:rPr>
                <w:color w:val="auto"/>
              </w:rPr>
              <w:t xml:space="preserve">/s </w:t>
            </w:r>
          </w:p>
          <w:p w14:paraId="4F5716EE">
            <w:pPr>
              <w:pStyle w:val="57"/>
              <w:spacing w:line="360" w:lineRule="auto"/>
              <w:ind w:firstLine="1205" w:firstLineChars="500"/>
              <w:rPr>
                <w:color w:val="auto"/>
              </w:rPr>
            </w:pPr>
            <w:r>
              <w:rPr>
                <w:rFonts w:hint="eastAsia"/>
                <w:color w:val="auto"/>
              </w:rPr>
              <w:t>F</w:t>
            </w:r>
            <w:r>
              <w:rPr>
                <w:color w:val="auto"/>
              </w:rPr>
              <w:t>——</w:t>
            </w:r>
            <w:r>
              <w:rPr>
                <w:rFonts w:hint="eastAsia"/>
                <w:color w:val="auto"/>
              </w:rPr>
              <w:t>排气罩罩口面积</w:t>
            </w:r>
            <w:r>
              <w:rPr>
                <w:color w:val="auto"/>
              </w:rPr>
              <w:t>，m</w:t>
            </w:r>
            <w:r>
              <w:rPr>
                <w:color w:val="auto"/>
                <w:vertAlign w:val="superscript"/>
              </w:rPr>
              <w:t xml:space="preserve"> </w:t>
            </w:r>
            <w:r>
              <w:rPr>
                <w:rFonts w:hint="eastAsia"/>
                <w:color w:val="auto"/>
                <w:vertAlign w:val="superscript"/>
              </w:rPr>
              <w:t>2</w:t>
            </w:r>
          </w:p>
          <w:p w14:paraId="5B1792A2">
            <w:pPr>
              <w:pStyle w:val="57"/>
              <w:spacing w:line="360" w:lineRule="auto"/>
              <w:ind w:firstLine="1205" w:firstLineChars="500"/>
              <w:rPr>
                <w:color w:val="auto"/>
              </w:rPr>
            </w:pPr>
            <m:oMath>
              <m:acc>
                <m:accPr>
                  <m:chr m:val="̅"/>
                  <m:ctrlPr>
                    <w:rPr>
                      <w:rFonts w:ascii="Cambria Math" w:hAnsi="Cambria Math"/>
                      <w:i/>
                      <w:color w:val="auto"/>
                    </w:rPr>
                  </m:ctrlPr>
                </m:accPr>
                <m:e>
                  <m:r>
                    <m:rPr/>
                    <w:rPr>
                      <w:rFonts w:ascii="Cambria Math" w:hAnsi="Cambria Math"/>
                      <w:color w:val="auto"/>
                    </w:rPr>
                    <m:t>v</m:t>
                  </m:r>
                  <m:ctrlPr>
                    <w:rPr>
                      <w:rFonts w:ascii="Cambria Math" w:hAnsi="Cambria Math"/>
                      <w:i/>
                      <w:color w:val="auto"/>
                    </w:rPr>
                  </m:ctrlPr>
                </m:e>
              </m:acc>
            </m:oMath>
            <w:r>
              <w:rPr>
                <w:color w:val="auto"/>
              </w:rPr>
              <w:t>——</w:t>
            </w:r>
            <w:r>
              <w:rPr>
                <w:rFonts w:hint="eastAsia"/>
                <w:color w:val="auto"/>
              </w:rPr>
              <w:t>排气罩罩口平均风速</w:t>
            </w:r>
            <w:r>
              <w:rPr>
                <w:color w:val="auto"/>
              </w:rPr>
              <w:t>，m</w:t>
            </w:r>
            <w:r>
              <w:rPr>
                <w:rFonts w:hint="eastAsia"/>
                <w:color w:val="auto"/>
              </w:rPr>
              <w:t>/s</w:t>
            </w:r>
          </w:p>
          <w:p w14:paraId="32613974">
            <w:pPr>
              <w:pStyle w:val="57"/>
              <w:spacing w:line="360" w:lineRule="auto"/>
              <w:ind w:firstLine="482" w:firstLineChars="200"/>
              <w:jc w:val="both"/>
              <w:rPr>
                <w:color w:val="auto"/>
              </w:rPr>
            </w:pPr>
            <w:r>
              <w:rPr>
                <w:color w:val="auto"/>
              </w:rPr>
              <w:t>根据《</w:t>
            </w:r>
            <w:r>
              <w:rPr>
                <w:rFonts w:hint="eastAsia"/>
                <w:color w:val="auto"/>
              </w:rPr>
              <w:t>局部排风设施控制风速检测与评估技术规范</w:t>
            </w:r>
            <w:r>
              <w:rPr>
                <w:color w:val="auto"/>
              </w:rPr>
              <w:t>》（</w:t>
            </w:r>
            <w:r>
              <w:rPr>
                <w:rFonts w:hint="eastAsia"/>
                <w:color w:val="auto"/>
              </w:rPr>
              <w:t>AQ/T 4274-2016</w:t>
            </w:r>
            <w:r>
              <w:rPr>
                <w:color w:val="auto"/>
              </w:rPr>
              <w:t>）中表</w:t>
            </w:r>
            <w:r>
              <w:rPr>
                <w:rFonts w:hint="eastAsia"/>
                <w:color w:val="auto"/>
              </w:rPr>
              <w:t>1</w:t>
            </w:r>
            <w:r>
              <w:rPr>
                <w:color w:val="auto"/>
              </w:rPr>
              <w:t>可</w:t>
            </w:r>
            <w:r>
              <w:rPr>
                <w:rFonts w:hint="eastAsia"/>
                <w:color w:val="auto"/>
              </w:rPr>
              <w:t>知</w:t>
            </w:r>
            <w:r>
              <w:rPr>
                <w:color w:val="auto"/>
              </w:rPr>
              <w:t>，</w:t>
            </w:r>
            <w:r>
              <w:rPr>
                <w:rFonts w:hint="eastAsia"/>
                <w:color w:val="auto"/>
              </w:rPr>
              <w:t>上吸式外部排风罩的有毒气体控制风速为1</w:t>
            </w:r>
            <w:r>
              <w:rPr>
                <w:color w:val="auto"/>
              </w:rPr>
              <w:t>.</w:t>
            </w:r>
            <w:r>
              <w:rPr>
                <w:rFonts w:hint="eastAsia"/>
                <w:color w:val="auto"/>
              </w:rPr>
              <w:t>0</w:t>
            </w:r>
            <w:r>
              <w:rPr>
                <w:color w:val="auto"/>
              </w:rPr>
              <w:t>m/s，本项目取</w:t>
            </w:r>
            <w:r>
              <w:rPr>
                <w:rFonts w:hint="eastAsia"/>
                <w:color w:val="auto"/>
              </w:rPr>
              <w:t>1.</w:t>
            </w:r>
            <w:r>
              <w:rPr>
                <w:rFonts w:hint="eastAsia"/>
                <w:color w:val="auto"/>
                <w:lang w:val="en-US" w:eastAsia="zh-CN"/>
              </w:rPr>
              <w:t>2</w:t>
            </w:r>
            <w:r>
              <w:rPr>
                <w:color w:val="auto"/>
              </w:rPr>
              <w:t>m/s，即</w:t>
            </w:r>
            <m:oMath>
              <m:acc>
                <m:accPr>
                  <m:chr m:val="̅"/>
                  <m:ctrlPr>
                    <w:rPr>
                      <w:rFonts w:ascii="Cambria Math" w:hAnsi="Cambria Math"/>
                      <w:i/>
                      <w:color w:val="auto"/>
                    </w:rPr>
                  </m:ctrlPr>
                </m:accPr>
                <m:e>
                  <m:r>
                    <m:rPr/>
                    <w:rPr>
                      <w:rFonts w:ascii="Cambria Math" w:hAnsi="Cambria Math"/>
                      <w:color w:val="auto"/>
                    </w:rPr>
                    <m:t>v</m:t>
                  </m:r>
                  <m:ctrlPr>
                    <w:rPr>
                      <w:rFonts w:ascii="Cambria Math" w:hAnsi="Cambria Math"/>
                      <w:i/>
                      <w:color w:val="auto"/>
                    </w:rPr>
                  </m:ctrlPr>
                </m:e>
              </m:acc>
            </m:oMath>
            <w:r>
              <w:rPr>
                <w:color w:val="auto"/>
              </w:rPr>
              <w:t>=</w:t>
            </w:r>
            <w:r>
              <w:rPr>
                <w:rFonts w:hint="eastAsia"/>
                <w:color w:val="auto"/>
              </w:rPr>
              <w:t>1.</w:t>
            </w:r>
            <w:r>
              <w:rPr>
                <w:rFonts w:hint="eastAsia"/>
                <w:color w:val="auto"/>
                <w:lang w:val="en-US" w:eastAsia="zh-CN"/>
              </w:rPr>
              <w:t>2</w:t>
            </w:r>
            <w:r>
              <w:rPr>
                <w:color w:val="auto"/>
              </w:rPr>
              <w:t>m/s；</w:t>
            </w:r>
          </w:p>
          <w:p w14:paraId="60D7B7D6">
            <w:pPr>
              <w:jc w:val="center"/>
              <w:rPr>
                <w:b/>
                <w:bCs/>
                <w:color w:val="002DC7"/>
                <w:sz w:val="24"/>
                <w:szCs w:val="24"/>
              </w:rPr>
            </w:pPr>
          </w:p>
          <w:p w14:paraId="7C679291">
            <w:pPr>
              <w:jc w:val="center"/>
              <w:rPr>
                <w:b/>
                <w:bCs/>
                <w:color w:val="002DC7"/>
                <w:sz w:val="24"/>
                <w:szCs w:val="24"/>
              </w:rPr>
            </w:pPr>
          </w:p>
          <w:p w14:paraId="56E5E07F">
            <w:pPr>
              <w:jc w:val="center"/>
              <w:rPr>
                <w:b/>
                <w:bCs/>
                <w:color w:val="002DC7"/>
                <w:sz w:val="24"/>
                <w:szCs w:val="24"/>
              </w:rPr>
            </w:pPr>
            <w:r>
              <w:rPr>
                <w:b/>
                <w:bCs/>
                <w:color w:val="auto"/>
                <w:sz w:val="24"/>
                <w:szCs w:val="24"/>
              </w:rPr>
              <w:t>表</w:t>
            </w:r>
            <w:r>
              <w:rPr>
                <w:rFonts w:hint="eastAsia"/>
                <w:b/>
                <w:bCs/>
                <w:color w:val="auto"/>
                <w:sz w:val="24"/>
                <w:szCs w:val="24"/>
              </w:rPr>
              <w:t>4-1</w:t>
            </w:r>
            <w:r>
              <w:rPr>
                <w:b/>
                <w:bCs/>
                <w:color w:val="auto"/>
                <w:sz w:val="24"/>
                <w:szCs w:val="24"/>
              </w:rPr>
              <w:t xml:space="preserve">  </w:t>
            </w:r>
            <w:r>
              <w:rPr>
                <w:rFonts w:hint="eastAsia"/>
                <w:b/>
                <w:bCs/>
                <w:color w:val="auto"/>
                <w:sz w:val="24"/>
                <w:szCs w:val="24"/>
              </w:rPr>
              <w:t>风量核算表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9"/>
              <w:gridCol w:w="1491"/>
              <w:gridCol w:w="750"/>
              <w:gridCol w:w="634"/>
              <w:gridCol w:w="636"/>
              <w:gridCol w:w="584"/>
              <w:gridCol w:w="567"/>
              <w:gridCol w:w="1234"/>
              <w:gridCol w:w="1250"/>
            </w:tblGrid>
            <w:tr w14:paraId="404DFC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13" w:type="pct"/>
                  <w:vMerge w:val="restart"/>
                  <w:vAlign w:val="center"/>
                </w:tcPr>
                <w:p w14:paraId="5E4366A7">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排气筒</w:t>
                  </w:r>
                </w:p>
              </w:tc>
              <w:tc>
                <w:tcPr>
                  <w:tcW w:w="915" w:type="pct"/>
                  <w:vMerge w:val="restart"/>
                  <w:vAlign w:val="center"/>
                </w:tcPr>
                <w:p w14:paraId="5AC60E6D">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装置</w:t>
                  </w:r>
                </w:p>
              </w:tc>
              <w:tc>
                <w:tcPr>
                  <w:tcW w:w="460" w:type="pct"/>
                  <w:vMerge w:val="restart"/>
                  <w:vAlign w:val="center"/>
                </w:tcPr>
                <w:p w14:paraId="7B244BCD">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数量</w:t>
                  </w:r>
                </w:p>
              </w:tc>
              <w:tc>
                <w:tcPr>
                  <w:tcW w:w="779" w:type="pct"/>
                  <w:gridSpan w:val="2"/>
                  <w:vAlign w:val="center"/>
                </w:tcPr>
                <w:p w14:paraId="3A7D005E">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集气罩m</w:t>
                  </w:r>
                </w:p>
              </w:tc>
              <w:tc>
                <w:tcPr>
                  <w:tcW w:w="358" w:type="pct"/>
                  <w:vMerge w:val="restart"/>
                  <w:vAlign w:val="center"/>
                </w:tcPr>
                <w:p w14:paraId="6883EA97">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F</w:t>
                  </w:r>
                </w:p>
              </w:tc>
              <w:tc>
                <w:tcPr>
                  <w:tcW w:w="347" w:type="pct"/>
                  <w:vMerge w:val="restart"/>
                  <w:vAlign w:val="center"/>
                </w:tcPr>
                <w:p w14:paraId="27CB97E5">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V</w:t>
                  </w:r>
                </w:p>
              </w:tc>
              <w:tc>
                <w:tcPr>
                  <w:tcW w:w="757" w:type="pct"/>
                  <w:vMerge w:val="restart"/>
                  <w:vAlign w:val="center"/>
                </w:tcPr>
                <w:p w14:paraId="488EFB64">
                  <w:pPr>
                    <w:adjustRightInd w:val="0"/>
                    <w:snapToGrid w:val="0"/>
                    <w:jc w:val="center"/>
                    <w:rPr>
                      <w:rFonts w:ascii="Times New Roman" w:hAnsi="Times New Roman" w:eastAsia="宋体" w:cs="Times New Roman"/>
                      <w:b/>
                      <w:bCs/>
                      <w:color w:val="000000" w:themeColor="text1"/>
                      <w:spacing w:val="-2"/>
                      <w:lang w:bidi="ar"/>
                      <w14:textFill>
                        <w14:solidFill>
                          <w14:schemeClr w14:val="tx1"/>
                        </w14:solidFill>
                      </w14:textFill>
                    </w:rPr>
                  </w:pPr>
                  <w:r>
                    <w:rPr>
                      <w:rFonts w:ascii="Times New Roman" w:hAnsi="Times New Roman" w:eastAsia="宋体" w:cs="Times New Roman"/>
                      <w:b/>
                      <w:bCs/>
                      <w:color w:val="000000" w:themeColor="text1"/>
                      <w:spacing w:val="-2"/>
                      <w:lang w:bidi="ar"/>
                      <w14:textFill>
                        <w14:solidFill>
                          <w14:schemeClr w14:val="tx1"/>
                        </w14:solidFill>
                      </w14:textFill>
                    </w:rPr>
                    <w:t>Q</w:t>
                  </w:r>
                </w:p>
                <w:p w14:paraId="304F04F2">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2"/>
                      <w:lang w:bidi="ar"/>
                      <w14:textFill>
                        <w14:solidFill>
                          <w14:schemeClr w14:val="tx1"/>
                        </w14:solidFill>
                      </w14:textFill>
                    </w:rPr>
                    <w:t>（m</w:t>
                  </w:r>
                  <w:r>
                    <w:rPr>
                      <w:rFonts w:ascii="Times New Roman" w:hAnsi="Times New Roman" w:eastAsia="宋体" w:cs="Times New Roman"/>
                      <w:b/>
                      <w:bCs/>
                      <w:color w:val="000000" w:themeColor="text1"/>
                      <w:spacing w:val="-2"/>
                      <w:vertAlign w:val="superscript"/>
                      <w:lang w:bidi="ar"/>
                      <w14:textFill>
                        <w14:solidFill>
                          <w14:schemeClr w14:val="tx1"/>
                        </w14:solidFill>
                      </w14:textFill>
                    </w:rPr>
                    <w:t>3</w:t>
                  </w:r>
                  <w:r>
                    <w:rPr>
                      <w:rFonts w:ascii="Times New Roman" w:hAnsi="Times New Roman" w:eastAsia="宋体" w:cs="Times New Roman"/>
                      <w:b/>
                      <w:bCs/>
                      <w:color w:val="000000" w:themeColor="text1"/>
                      <w:spacing w:val="-2"/>
                      <w:lang w:bidi="ar"/>
                      <w14:textFill>
                        <w14:solidFill>
                          <w14:schemeClr w14:val="tx1"/>
                        </w14:solidFill>
                      </w14:textFill>
                    </w:rPr>
                    <w:t>/h）</w:t>
                  </w:r>
                </w:p>
              </w:tc>
              <w:tc>
                <w:tcPr>
                  <w:tcW w:w="767" w:type="pct"/>
                  <w:vMerge w:val="restart"/>
                  <w:vAlign w:val="center"/>
                </w:tcPr>
                <w:p w14:paraId="627D74AE">
                  <w:pPr>
                    <w:adjustRightInd w:val="0"/>
                    <w:snapToGrid w:val="0"/>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设计风量</w:t>
                  </w:r>
                </w:p>
                <w:p w14:paraId="01F21CF8">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m</w:t>
                  </w:r>
                  <w:r>
                    <w:rPr>
                      <w:rFonts w:ascii="Times New Roman" w:hAnsi="Times New Roman" w:eastAsia="宋体" w:cs="Times New Roman"/>
                      <w:b/>
                      <w:bCs/>
                      <w:color w:val="000000" w:themeColor="text1"/>
                      <w:vertAlign w:val="superscript"/>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/h</w:t>
                  </w:r>
                </w:p>
              </w:tc>
            </w:tr>
            <w:tr w14:paraId="0BB94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13" w:type="pct"/>
                  <w:vMerge w:val="continue"/>
                  <w:vAlign w:val="center"/>
                </w:tcPr>
                <w:p w14:paraId="0AE94DB4">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915" w:type="pct"/>
                  <w:vMerge w:val="continue"/>
                  <w:vAlign w:val="center"/>
                </w:tcPr>
                <w:p w14:paraId="3356A019">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460" w:type="pct"/>
                  <w:vMerge w:val="continue"/>
                  <w:vAlign w:val="center"/>
                </w:tcPr>
                <w:p w14:paraId="1D48B148">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389" w:type="pct"/>
                  <w:vAlign w:val="center"/>
                </w:tcPr>
                <w:p w14:paraId="08C5D49A">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长</w:t>
                  </w:r>
                </w:p>
              </w:tc>
              <w:tc>
                <w:tcPr>
                  <w:tcW w:w="390" w:type="pct"/>
                  <w:vAlign w:val="center"/>
                </w:tcPr>
                <w:p w14:paraId="2879C953">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宽</w:t>
                  </w:r>
                </w:p>
              </w:tc>
              <w:tc>
                <w:tcPr>
                  <w:tcW w:w="358" w:type="pct"/>
                  <w:vMerge w:val="continue"/>
                  <w:vAlign w:val="center"/>
                </w:tcPr>
                <w:p w14:paraId="632D438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47" w:type="pct"/>
                  <w:vMerge w:val="continue"/>
                  <w:vAlign w:val="center"/>
                </w:tcPr>
                <w:p w14:paraId="5A846BB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757" w:type="pct"/>
                  <w:vMerge w:val="continue"/>
                  <w:vAlign w:val="center"/>
                </w:tcPr>
                <w:p w14:paraId="2525CF0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767" w:type="pct"/>
                  <w:vMerge w:val="continue"/>
                  <w:vAlign w:val="center"/>
                </w:tcPr>
                <w:p w14:paraId="3684478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7D245E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13" w:type="pct"/>
                  <w:vMerge w:val="restart"/>
                  <w:vAlign w:val="center"/>
                </w:tcPr>
                <w:p w14:paraId="5DD6A17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DA003</w:t>
                  </w:r>
                </w:p>
              </w:tc>
              <w:tc>
                <w:tcPr>
                  <w:tcW w:w="915" w:type="pct"/>
                  <w:vAlign w:val="center"/>
                </w:tcPr>
                <w:p w14:paraId="0DFD476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搅拌机</w:t>
                  </w:r>
                </w:p>
              </w:tc>
              <w:tc>
                <w:tcPr>
                  <w:tcW w:w="460" w:type="pct"/>
                  <w:vAlign w:val="center"/>
                </w:tcPr>
                <w:p w14:paraId="48A9B102">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485" w:type="pct"/>
                  <w:gridSpan w:val="4"/>
                  <w:vAlign w:val="center"/>
                </w:tcPr>
                <w:p w14:paraId="30F86B1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w:t>
                  </w:r>
                  <w:r>
                    <w:rPr>
                      <w:rFonts w:hint="eastAsia" w:ascii="Times New Roman" w:hAnsi="Times New Roman" w:eastAsia="宋体" w:cs="Times New Roman"/>
                      <w:color w:val="000000" w:themeColor="text1"/>
                      <w:szCs w:val="21"/>
                      <w14:textFill>
                        <w14:solidFill>
                          <w14:schemeClr w14:val="tx1"/>
                        </w14:solidFill>
                      </w14:textFill>
                    </w:rPr>
                    <w:t>000</w:t>
                  </w:r>
                  <w:r>
                    <w:rPr>
                      <w:rFonts w:ascii="Times New Roman" w:hAnsi="Times New Roman" w:eastAsia="宋体" w:cs="Times New Roman"/>
                      <w:color w:val="000000" w:themeColor="text1"/>
                      <w:spacing w:val="-2"/>
                      <w:lang w:bidi="ar"/>
                      <w14:textFill>
                        <w14:solidFill>
                          <w14:schemeClr w14:val="tx1"/>
                        </w14:solidFill>
                      </w14:textFill>
                    </w:rPr>
                    <w:t xml:space="preserve"> m</w:t>
                  </w:r>
                  <w:r>
                    <w:rPr>
                      <w:rFonts w:ascii="Times New Roman" w:hAnsi="Times New Roman" w:eastAsia="宋体" w:cs="Times New Roman"/>
                      <w:color w:val="000000" w:themeColor="text1"/>
                      <w:spacing w:val="-2"/>
                      <w:vertAlign w:val="superscript"/>
                      <w:lang w:bidi="ar"/>
                      <w14:textFill>
                        <w14:solidFill>
                          <w14:schemeClr w14:val="tx1"/>
                        </w14:solidFill>
                      </w14:textFill>
                    </w:rPr>
                    <w:t>3</w:t>
                  </w:r>
                  <w:r>
                    <w:rPr>
                      <w:rFonts w:ascii="Times New Roman" w:hAnsi="Times New Roman" w:eastAsia="宋体" w:cs="Times New Roman"/>
                      <w:color w:val="000000" w:themeColor="text1"/>
                      <w:spacing w:val="-2"/>
                      <w:lang w:bidi="ar"/>
                      <w14:textFill>
                        <w14:solidFill>
                          <w14:schemeClr w14:val="tx1"/>
                        </w14:solidFill>
                      </w14:textFill>
                    </w:rPr>
                    <w:t>/h</w:t>
                  </w:r>
                </w:p>
              </w:tc>
              <w:tc>
                <w:tcPr>
                  <w:tcW w:w="757" w:type="pct"/>
                  <w:vAlign w:val="center"/>
                </w:tcPr>
                <w:p w14:paraId="453181F6">
                  <w:pPr>
                    <w:adjustRightInd w:val="0"/>
                    <w:snapToGrid w:val="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10000</w:t>
                  </w:r>
                </w:p>
              </w:tc>
              <w:tc>
                <w:tcPr>
                  <w:tcW w:w="767" w:type="pct"/>
                  <w:vMerge w:val="restart"/>
                  <w:vAlign w:val="center"/>
                </w:tcPr>
                <w:p w14:paraId="17539914">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r>
                    <w:rPr>
                      <w:rFonts w:hint="eastAsia" w:ascii="Times New Roman" w:hAnsi="Times New Roman" w:eastAsia="宋体" w:cs="Times New Roman"/>
                      <w:color w:val="000000" w:themeColor="text1"/>
                      <w:szCs w:val="21"/>
                      <w14:textFill>
                        <w14:solidFill>
                          <w14:schemeClr w14:val="tx1"/>
                        </w14:solidFill>
                      </w14:textFill>
                    </w:rPr>
                    <w:t>000</w:t>
                  </w:r>
                </w:p>
              </w:tc>
            </w:tr>
            <w:tr w14:paraId="6E2C11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13" w:type="pct"/>
                  <w:vMerge w:val="continue"/>
                  <w:vAlign w:val="center"/>
                </w:tcPr>
                <w:p w14:paraId="17DB35D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915" w:type="pct"/>
                  <w:vAlign w:val="center"/>
                </w:tcPr>
                <w:p w14:paraId="4FADFDD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配料机</w:t>
                  </w:r>
                </w:p>
              </w:tc>
              <w:tc>
                <w:tcPr>
                  <w:tcW w:w="460" w:type="pct"/>
                  <w:vAlign w:val="center"/>
                </w:tcPr>
                <w:p w14:paraId="60F09898">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389" w:type="pct"/>
                  <w:vAlign w:val="center"/>
                </w:tcPr>
                <w:p w14:paraId="091AD77D">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390" w:type="pct"/>
                  <w:vAlign w:val="center"/>
                </w:tcPr>
                <w:p w14:paraId="65C988D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1.6</w:t>
                  </w:r>
                </w:p>
              </w:tc>
              <w:tc>
                <w:tcPr>
                  <w:tcW w:w="358" w:type="pct"/>
                  <w:vAlign w:val="center"/>
                </w:tcPr>
                <w:p w14:paraId="7F935CF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3.2</w:t>
                  </w:r>
                </w:p>
              </w:tc>
              <w:tc>
                <w:tcPr>
                  <w:tcW w:w="347" w:type="pct"/>
                </w:tcPr>
                <w:p w14:paraId="53619CA2">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757" w:type="pct"/>
                  <w:vAlign w:val="center"/>
                </w:tcPr>
                <w:p w14:paraId="62C2E245">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13824</w:t>
                  </w:r>
                </w:p>
              </w:tc>
              <w:tc>
                <w:tcPr>
                  <w:tcW w:w="767" w:type="pct"/>
                  <w:vMerge w:val="continue"/>
                  <w:vAlign w:val="center"/>
                </w:tcPr>
                <w:p w14:paraId="696F4EB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bl>
          <w:p w14:paraId="7AB77297">
            <w:pPr>
              <w:pStyle w:val="57"/>
              <w:adjustRightInd/>
              <w:spacing w:line="360" w:lineRule="auto"/>
              <w:ind w:firstLine="482" w:firstLineChars="200"/>
              <w:rPr>
                <w:color w:val="002DC7"/>
              </w:rPr>
            </w:pPr>
            <w:r>
              <w:rPr>
                <w:rFonts w:hint="eastAsia"/>
                <w:color w:val="auto"/>
              </w:rPr>
              <w:t>则</w:t>
            </w:r>
            <w:r>
              <w:rPr>
                <w:color w:val="auto"/>
              </w:rPr>
              <w:t>本项目废气产生及排放情况汇总表如下表所示：</w:t>
            </w:r>
          </w:p>
        </w:tc>
      </w:tr>
    </w:tbl>
    <w:p w14:paraId="364E872E">
      <w:pPr>
        <w:widowControl/>
        <w:outlineLvl w:val="0"/>
        <w:rPr>
          <w:rFonts w:hint="eastAsia" w:ascii="宋体" w:hAnsi="宋体"/>
          <w:b/>
          <w:bCs/>
          <w:color w:val="002DC7"/>
          <w:kern w:val="0"/>
          <w:sz w:val="30"/>
          <w:szCs w:val="30"/>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bookmarkStart w:id="21" w:name="_Toc354926677"/>
    </w:p>
    <w:tbl>
      <w:tblPr>
        <w:tblStyle w:val="4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4"/>
      </w:tblGrid>
      <w:tr w14:paraId="17BD6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4" w:type="dxa"/>
          </w:tcPr>
          <w:p w14:paraId="78B7928E">
            <w:pPr>
              <w:pStyle w:val="197"/>
              <w:adjustRightInd/>
              <w:spacing w:line="360" w:lineRule="auto"/>
              <w:ind w:left="0" w:right="0" w:firstLine="0"/>
              <w:jc w:val="center"/>
              <w:rPr>
                <w:b/>
                <w:color w:val="auto"/>
              </w:rPr>
            </w:pPr>
            <w:r>
              <w:rPr>
                <w:b/>
                <w:color w:val="auto"/>
              </w:rPr>
              <w:t>表4-2  项目有组织废气产生及排放源强一览表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922"/>
              <w:gridCol w:w="866"/>
              <w:gridCol w:w="894"/>
              <w:gridCol w:w="894"/>
              <w:gridCol w:w="894"/>
              <w:gridCol w:w="900"/>
              <w:gridCol w:w="2090"/>
              <w:gridCol w:w="1252"/>
              <w:gridCol w:w="916"/>
              <w:gridCol w:w="785"/>
              <w:gridCol w:w="838"/>
              <w:gridCol w:w="799"/>
              <w:gridCol w:w="886"/>
            </w:tblGrid>
            <w:tr w14:paraId="2B63E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restart"/>
                  <w:tcBorders>
                    <w:tl2br w:val="nil"/>
                    <w:tr2bl w:val="nil"/>
                  </w:tcBorders>
                  <w:vAlign w:val="center"/>
                </w:tcPr>
                <w:p w14:paraId="721450AF">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bookmarkStart w:id="22" w:name="_Hlk198892333"/>
                  <w:r>
                    <w:rPr>
                      <w:rFonts w:hint="eastAsia" w:ascii="Times New Roman" w:hAnsi="Times New Roman" w:eastAsia="宋体" w:cs="Times New Roman"/>
                      <w:b/>
                      <w:color w:val="000000" w:themeColor="text1"/>
                      <w:szCs w:val="21"/>
                      <w14:textFill>
                        <w14:solidFill>
                          <w14:schemeClr w14:val="tx1"/>
                        </w14:solidFill>
                      </w14:textFill>
                    </w:rPr>
                    <w:t>装置</w:t>
                  </w:r>
                </w:p>
              </w:tc>
              <w:tc>
                <w:tcPr>
                  <w:tcW w:w="330" w:type="pct"/>
                  <w:vMerge w:val="restart"/>
                  <w:tcBorders>
                    <w:tl2br w:val="nil"/>
                    <w:tr2bl w:val="nil"/>
                  </w:tcBorders>
                  <w:vAlign w:val="center"/>
                </w:tcPr>
                <w:p w14:paraId="10682B5C">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污染源</w:t>
                  </w:r>
                </w:p>
              </w:tc>
              <w:tc>
                <w:tcPr>
                  <w:tcW w:w="310" w:type="pct"/>
                  <w:vMerge w:val="restart"/>
                  <w:tcBorders>
                    <w:tl2br w:val="nil"/>
                    <w:tr2bl w:val="nil"/>
                  </w:tcBorders>
                  <w:vAlign w:val="center"/>
                </w:tcPr>
                <w:p w14:paraId="07541D8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污染物</w:t>
                  </w:r>
                </w:p>
              </w:tc>
              <w:tc>
                <w:tcPr>
                  <w:tcW w:w="320" w:type="pct"/>
                  <w:vMerge w:val="restart"/>
                  <w:tcBorders>
                    <w:tl2br w:val="nil"/>
                    <w:tr2bl w:val="nil"/>
                  </w:tcBorders>
                  <w:vAlign w:val="center"/>
                </w:tcPr>
                <w:p w14:paraId="40FE556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年工作时间</w:t>
                  </w:r>
                </w:p>
              </w:tc>
              <w:tc>
                <w:tcPr>
                  <w:tcW w:w="962" w:type="pct"/>
                  <w:gridSpan w:val="3"/>
                  <w:tcBorders>
                    <w:tl2br w:val="nil"/>
                    <w:tr2bl w:val="nil"/>
                  </w:tcBorders>
                  <w:vAlign w:val="center"/>
                </w:tcPr>
                <w:p w14:paraId="781E5C0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污染物产生情况</w:t>
                  </w:r>
                </w:p>
              </w:tc>
              <w:tc>
                <w:tcPr>
                  <w:tcW w:w="748" w:type="pct"/>
                  <w:vMerge w:val="restart"/>
                  <w:tcBorders>
                    <w:tl2br w:val="nil"/>
                    <w:tr2bl w:val="nil"/>
                  </w:tcBorders>
                  <w:vAlign w:val="center"/>
                </w:tcPr>
                <w:p w14:paraId="7101606C">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收集方式</w:t>
                  </w:r>
                </w:p>
              </w:tc>
              <w:tc>
                <w:tcPr>
                  <w:tcW w:w="448" w:type="pct"/>
                  <w:vMerge w:val="restart"/>
                  <w:tcBorders>
                    <w:tl2br w:val="nil"/>
                    <w:tr2bl w:val="nil"/>
                  </w:tcBorders>
                  <w:vAlign w:val="center"/>
                </w:tcPr>
                <w:p w14:paraId="3FBE5B8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治理措施</w:t>
                  </w:r>
                </w:p>
              </w:tc>
              <w:tc>
                <w:tcPr>
                  <w:tcW w:w="328" w:type="pct"/>
                  <w:vMerge w:val="restart"/>
                  <w:tcBorders>
                    <w:tl2br w:val="nil"/>
                    <w:tr2bl w:val="nil"/>
                  </w:tcBorders>
                  <w:vAlign w:val="center"/>
                </w:tcPr>
                <w:p w14:paraId="04CB21B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排气筒编号</w:t>
                  </w:r>
                </w:p>
              </w:tc>
              <w:tc>
                <w:tcPr>
                  <w:tcW w:w="281" w:type="pct"/>
                  <w:vMerge w:val="restart"/>
                  <w:tcBorders>
                    <w:tl2br w:val="nil"/>
                    <w:tr2bl w:val="nil"/>
                  </w:tcBorders>
                  <w:vAlign w:val="center"/>
                </w:tcPr>
                <w:p w14:paraId="7FDA309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排气量m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/h</w:t>
                  </w:r>
                </w:p>
              </w:tc>
              <w:tc>
                <w:tcPr>
                  <w:tcW w:w="903" w:type="pct"/>
                  <w:gridSpan w:val="3"/>
                  <w:tcBorders>
                    <w:tl2br w:val="nil"/>
                    <w:tr2bl w:val="nil"/>
                  </w:tcBorders>
                  <w:vAlign w:val="center"/>
                </w:tcPr>
                <w:p w14:paraId="7087F8E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污染物排放情况</w:t>
                  </w:r>
                </w:p>
              </w:tc>
            </w:tr>
            <w:tr w14:paraId="3585B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tcBorders>
                    <w:tl2br w:val="nil"/>
                    <w:tr2bl w:val="nil"/>
                  </w:tcBorders>
                  <w:vAlign w:val="center"/>
                </w:tcPr>
                <w:p w14:paraId="33B0AE4F">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30" w:type="pct"/>
                  <w:vMerge w:val="continue"/>
                  <w:tcBorders>
                    <w:tl2br w:val="nil"/>
                    <w:tr2bl w:val="nil"/>
                  </w:tcBorders>
                  <w:vAlign w:val="center"/>
                </w:tcPr>
                <w:p w14:paraId="1C1BE60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10" w:type="pct"/>
                  <w:vMerge w:val="continue"/>
                  <w:tcBorders>
                    <w:tl2br w:val="nil"/>
                    <w:tr2bl w:val="nil"/>
                  </w:tcBorders>
                  <w:vAlign w:val="center"/>
                </w:tcPr>
                <w:p w14:paraId="7553EEB5">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20" w:type="pct"/>
                  <w:vMerge w:val="continue"/>
                  <w:tcBorders>
                    <w:tl2br w:val="nil"/>
                    <w:tr2bl w:val="nil"/>
                  </w:tcBorders>
                  <w:vAlign w:val="center"/>
                </w:tcPr>
                <w:p w14:paraId="2FF98BF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20" w:type="pct"/>
                  <w:tcBorders>
                    <w:tl2br w:val="nil"/>
                    <w:tr2bl w:val="nil"/>
                  </w:tcBorders>
                  <w:vAlign w:val="center"/>
                </w:tcPr>
                <w:p w14:paraId="137C5B07">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浓度 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320" w:type="pct"/>
                  <w:tcBorders>
                    <w:tl2br w:val="nil"/>
                    <w:tr2bl w:val="nil"/>
                  </w:tcBorders>
                  <w:vAlign w:val="center"/>
                </w:tcPr>
                <w:p w14:paraId="24BCE786">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速率kg/h</w:t>
                  </w:r>
                </w:p>
              </w:tc>
              <w:tc>
                <w:tcPr>
                  <w:tcW w:w="322" w:type="pct"/>
                  <w:tcBorders>
                    <w:tl2br w:val="nil"/>
                    <w:tr2bl w:val="nil"/>
                  </w:tcBorders>
                  <w:vAlign w:val="center"/>
                </w:tcPr>
                <w:p w14:paraId="7E0ABA3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产生量t/a</w:t>
                  </w:r>
                </w:p>
              </w:tc>
              <w:tc>
                <w:tcPr>
                  <w:tcW w:w="748" w:type="pct"/>
                  <w:vMerge w:val="continue"/>
                  <w:tcBorders>
                    <w:tl2br w:val="nil"/>
                    <w:tr2bl w:val="nil"/>
                  </w:tcBorders>
                  <w:vAlign w:val="center"/>
                </w:tcPr>
                <w:p w14:paraId="26167F56">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448" w:type="pct"/>
                  <w:vMerge w:val="continue"/>
                  <w:tcBorders>
                    <w:tl2br w:val="nil"/>
                    <w:tr2bl w:val="nil"/>
                  </w:tcBorders>
                  <w:vAlign w:val="center"/>
                </w:tcPr>
                <w:p w14:paraId="7C960B0B">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28" w:type="pct"/>
                  <w:vMerge w:val="continue"/>
                  <w:tcBorders>
                    <w:tl2br w:val="nil"/>
                    <w:tr2bl w:val="nil"/>
                  </w:tcBorders>
                  <w:vAlign w:val="center"/>
                </w:tcPr>
                <w:p w14:paraId="2332A101">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281" w:type="pct"/>
                  <w:vMerge w:val="continue"/>
                  <w:tcBorders>
                    <w:tl2br w:val="nil"/>
                    <w:tr2bl w:val="nil"/>
                  </w:tcBorders>
                  <w:vAlign w:val="center"/>
                </w:tcPr>
                <w:p w14:paraId="68576E8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300" w:type="pct"/>
                  <w:tcBorders>
                    <w:tl2br w:val="nil"/>
                    <w:tr2bl w:val="nil"/>
                  </w:tcBorders>
                  <w:vAlign w:val="center"/>
                </w:tcPr>
                <w:p w14:paraId="7D379EE8">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浓度mg/m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286" w:type="pct"/>
                  <w:tcBorders>
                    <w:tl2br w:val="nil"/>
                    <w:tr2bl w:val="nil"/>
                  </w:tcBorders>
                  <w:vAlign w:val="center"/>
                </w:tcPr>
                <w:p w14:paraId="59D82C21">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速率</w:t>
                  </w:r>
                </w:p>
                <w:p w14:paraId="5521E5F3">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kg/h</w:t>
                  </w:r>
                </w:p>
              </w:tc>
              <w:tc>
                <w:tcPr>
                  <w:tcW w:w="317" w:type="pct"/>
                  <w:tcBorders>
                    <w:tl2br w:val="nil"/>
                    <w:tr2bl w:val="nil"/>
                  </w:tcBorders>
                  <w:vAlign w:val="center"/>
                </w:tcPr>
                <w:p w14:paraId="107F6DB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排放量</w:t>
                  </w:r>
                </w:p>
                <w:p w14:paraId="03A03E61">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t/a</w:t>
                  </w:r>
                </w:p>
              </w:tc>
            </w:tr>
            <w:tr w14:paraId="6F08C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tcBorders>
                    <w:tl2br w:val="nil"/>
                    <w:tr2bl w:val="nil"/>
                  </w:tcBorders>
                  <w:vAlign w:val="center"/>
                </w:tcPr>
                <w:p w14:paraId="6560F11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配料机</w:t>
                  </w:r>
                </w:p>
              </w:tc>
              <w:tc>
                <w:tcPr>
                  <w:tcW w:w="330" w:type="pct"/>
                  <w:tcBorders>
                    <w:tl2br w:val="nil"/>
                    <w:tr2bl w:val="nil"/>
                  </w:tcBorders>
                  <w:vAlign w:val="center"/>
                </w:tcPr>
                <w:p w14:paraId="530EB4A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配料废气</w:t>
                  </w:r>
                </w:p>
              </w:tc>
              <w:tc>
                <w:tcPr>
                  <w:tcW w:w="310" w:type="pct"/>
                  <w:tcBorders>
                    <w:tl2br w:val="nil"/>
                    <w:tr2bl w:val="nil"/>
                  </w:tcBorders>
                  <w:vAlign w:val="center"/>
                </w:tcPr>
                <w:p w14:paraId="76358A0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320" w:type="pct"/>
                  <w:tcBorders>
                    <w:tl2br w:val="nil"/>
                    <w:tr2bl w:val="nil"/>
                  </w:tcBorders>
                  <w:vAlign w:val="center"/>
                </w:tcPr>
                <w:p w14:paraId="7EFD88E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24</w:t>
                  </w:r>
                  <w:r>
                    <w:rPr>
                      <w:rFonts w:hint="eastAsia" w:ascii="Times New Roman" w:hAnsi="Times New Roman" w:eastAsia="宋体" w:cs="Times New Roman"/>
                      <w:color w:val="000000" w:themeColor="text1"/>
                      <w:szCs w:val="21"/>
                      <w14:textFill>
                        <w14:solidFill>
                          <w14:schemeClr w14:val="tx1"/>
                        </w14:solidFill>
                      </w14:textFill>
                    </w:rPr>
                    <w:t>00h</w:t>
                  </w:r>
                </w:p>
              </w:tc>
              <w:tc>
                <w:tcPr>
                  <w:tcW w:w="320" w:type="pct"/>
                  <w:tcBorders>
                    <w:tl2br w:val="nil"/>
                    <w:tr2bl w:val="nil"/>
                  </w:tcBorders>
                  <w:vAlign w:val="center"/>
                </w:tcPr>
                <w:p w14:paraId="5F792BA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370.5</w:t>
                  </w:r>
                </w:p>
              </w:tc>
              <w:tc>
                <w:tcPr>
                  <w:tcW w:w="320" w:type="pct"/>
                  <w:tcBorders>
                    <w:tl2br w:val="nil"/>
                    <w:tr2bl w:val="nil"/>
                  </w:tcBorders>
                  <w:vAlign w:val="center"/>
                </w:tcPr>
                <w:p w14:paraId="468B9E1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eastAsia" w:cs="Times New Roman"/>
                      <w:color w:val="000000" w:themeColor="text1"/>
                      <w:szCs w:val="21"/>
                      <w:lang w:val="en-US" w:eastAsia="zh-CN"/>
                      <w14:textFill>
                        <w14:solidFill>
                          <w14:schemeClr w14:val="tx1"/>
                        </w14:solidFill>
                      </w14:textFill>
                    </w:rPr>
                    <w:t>56</w:t>
                  </w:r>
                </w:p>
              </w:tc>
              <w:tc>
                <w:tcPr>
                  <w:tcW w:w="322" w:type="pct"/>
                  <w:tcBorders>
                    <w:tl2br w:val="nil"/>
                    <w:tr2bl w:val="nil"/>
                  </w:tcBorders>
                  <w:vAlign w:val="center"/>
                </w:tcPr>
                <w:p w14:paraId="753DF4E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13.338</w:t>
                  </w:r>
                </w:p>
              </w:tc>
              <w:tc>
                <w:tcPr>
                  <w:tcW w:w="748" w:type="pct"/>
                  <w:tcBorders>
                    <w:tl2br w:val="nil"/>
                    <w:tr2bl w:val="nil"/>
                  </w:tcBorders>
                  <w:vAlign w:val="center"/>
                </w:tcPr>
                <w:p w14:paraId="096E7C9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集气罩收集，收集效率90%</w:t>
                  </w:r>
                </w:p>
              </w:tc>
              <w:tc>
                <w:tcPr>
                  <w:tcW w:w="448" w:type="pct"/>
                  <w:vMerge w:val="restart"/>
                  <w:tcBorders>
                    <w:tl2br w:val="nil"/>
                    <w:tr2bl w:val="nil"/>
                  </w:tcBorders>
                  <w:vAlign w:val="center"/>
                </w:tcPr>
                <w:p w14:paraId="64E96CD4">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脉冲袋式除尘器（处理效率99</w:t>
                  </w:r>
                  <w:r>
                    <w:rPr>
                      <w:rFonts w:hint="eastAsia" w:ascii="Times New Roman" w:hAnsi="Times New Roman" w:eastAsia="宋体" w:cs="Times New Roman"/>
                      <w:color w:val="000000" w:themeColor="text1"/>
                      <w:szCs w:val="21"/>
                      <w:lang w:val="en-US" w:eastAsia="zh-CN"/>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w:t>
                  </w:r>
                </w:p>
              </w:tc>
              <w:tc>
                <w:tcPr>
                  <w:tcW w:w="328" w:type="pct"/>
                  <w:vMerge w:val="restart"/>
                  <w:tcBorders>
                    <w:tl2br w:val="nil"/>
                    <w:tr2bl w:val="nil"/>
                  </w:tcBorders>
                  <w:vAlign w:val="center"/>
                </w:tcPr>
                <w:p w14:paraId="6A00E74A">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281" w:type="pct"/>
                  <w:vMerge w:val="restart"/>
                  <w:tcBorders>
                    <w:tl2br w:val="nil"/>
                    <w:tr2bl w:val="nil"/>
                  </w:tcBorders>
                  <w:vAlign w:val="center"/>
                </w:tcPr>
                <w:p w14:paraId="3FB5FFC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r>
                    <w:rPr>
                      <w:rFonts w:hint="eastAsia" w:ascii="Times New Roman" w:hAnsi="Times New Roman" w:eastAsia="宋体" w:cs="Times New Roman"/>
                      <w:color w:val="000000" w:themeColor="text1"/>
                      <w:szCs w:val="21"/>
                      <w14:textFill>
                        <w14:solidFill>
                          <w14:schemeClr w14:val="tx1"/>
                        </w14:solidFill>
                      </w14:textFill>
                    </w:rPr>
                    <w:t>000</w:t>
                  </w:r>
                </w:p>
              </w:tc>
              <w:tc>
                <w:tcPr>
                  <w:tcW w:w="838" w:type="dxa"/>
                  <w:vMerge w:val="restart"/>
                  <w:tcBorders>
                    <w:tl2br w:val="nil"/>
                    <w:tr2bl w:val="nil"/>
                  </w:tcBorders>
                  <w:vAlign w:val="center"/>
                </w:tcPr>
                <w:p w14:paraId="4421BBAC">
                  <w:pPr>
                    <w:keepNext w:val="0"/>
                    <w:keepLines w:val="0"/>
                    <w:widowControl/>
                    <w:suppressLineNumbers w:val="0"/>
                    <w:jc w:val="center"/>
                    <w:textAlignment w:val="center"/>
                    <w:rPr>
                      <w:rFonts w:hint="default" w:ascii="Times New Roman" w:hAnsi="Times New Roman" w:eastAsia="宋体" w:cs="Times New Roman"/>
                      <w:color w:val="000000" w:themeColor="text1"/>
                      <w:spacing w:val="-2"/>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799" w:type="dxa"/>
                  <w:vMerge w:val="restart"/>
                  <w:tcBorders>
                    <w:tl2br w:val="nil"/>
                    <w:tr2bl w:val="nil"/>
                  </w:tcBorders>
                  <w:vAlign w:val="center"/>
                </w:tcPr>
                <w:p w14:paraId="5D299B89">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0.225</w:t>
                  </w:r>
                </w:p>
              </w:tc>
              <w:tc>
                <w:tcPr>
                  <w:tcW w:w="886" w:type="dxa"/>
                  <w:vMerge w:val="restart"/>
                  <w:tcBorders>
                    <w:tl2br w:val="nil"/>
                    <w:tr2bl w:val="nil"/>
                  </w:tcBorders>
                  <w:vAlign w:val="center"/>
                </w:tcPr>
                <w:p w14:paraId="2040BFBF">
                  <w:pPr>
                    <w:keepNext w:val="0"/>
                    <w:keepLines w:val="0"/>
                    <w:widowControl/>
                    <w:suppressLineNumbers w:val="0"/>
                    <w:jc w:val="center"/>
                    <w:textAlignment w:val="center"/>
                    <w:rPr>
                      <w:rFonts w:hint="default" w:ascii="Times New Roman" w:hAnsi="Times New Roman" w:eastAsia="宋体" w:cs="Times New Roman"/>
                      <w:color w:val="000000" w:themeColor="text1"/>
                      <w:spacing w:val="-2"/>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0.54</w:t>
                  </w:r>
                </w:p>
              </w:tc>
            </w:tr>
            <w:tr w14:paraId="412C8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tcBorders>
                    <w:tl2br w:val="nil"/>
                    <w:tr2bl w:val="nil"/>
                  </w:tcBorders>
                  <w:vAlign w:val="center"/>
                </w:tcPr>
                <w:p w14:paraId="3EF5F146">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搅拌机</w:t>
                  </w:r>
                </w:p>
              </w:tc>
              <w:tc>
                <w:tcPr>
                  <w:tcW w:w="330" w:type="pct"/>
                  <w:tcBorders>
                    <w:tl2br w:val="nil"/>
                    <w:tr2bl w:val="nil"/>
                  </w:tcBorders>
                  <w:vAlign w:val="center"/>
                </w:tcPr>
                <w:p w14:paraId="7C35D7AD">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搅拌废气</w:t>
                  </w:r>
                </w:p>
              </w:tc>
              <w:tc>
                <w:tcPr>
                  <w:tcW w:w="310" w:type="pct"/>
                  <w:tcBorders>
                    <w:tl2br w:val="nil"/>
                    <w:tr2bl w:val="nil"/>
                  </w:tcBorders>
                  <w:vAlign w:val="center"/>
                </w:tcPr>
                <w:p w14:paraId="38A0127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320" w:type="pct"/>
                  <w:tcBorders>
                    <w:tl2br w:val="nil"/>
                    <w:tr2bl w:val="nil"/>
                  </w:tcBorders>
                  <w:vAlign w:val="center"/>
                </w:tcPr>
                <w:p w14:paraId="6FF13A9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00h</w:t>
                  </w:r>
                </w:p>
              </w:tc>
              <w:tc>
                <w:tcPr>
                  <w:tcW w:w="320" w:type="pct"/>
                  <w:tcBorders>
                    <w:tl2br w:val="nil"/>
                    <w:tr2bl w:val="nil"/>
                  </w:tcBorders>
                  <w:vAlign w:val="center"/>
                </w:tcPr>
                <w:p w14:paraId="1460B6A1">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1113.16</w:t>
                  </w:r>
                </w:p>
              </w:tc>
              <w:tc>
                <w:tcPr>
                  <w:tcW w:w="320" w:type="pct"/>
                  <w:tcBorders>
                    <w:tl2br w:val="nil"/>
                    <w:tr2bl w:val="nil"/>
                  </w:tcBorders>
                  <w:vAlign w:val="center"/>
                </w:tcPr>
                <w:p w14:paraId="5D4AEBF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16.99</w:t>
                  </w:r>
                </w:p>
              </w:tc>
              <w:tc>
                <w:tcPr>
                  <w:tcW w:w="322" w:type="pct"/>
                  <w:tcBorders>
                    <w:tl2br w:val="nil"/>
                    <w:tr2bl w:val="nil"/>
                  </w:tcBorders>
                  <w:vAlign w:val="center"/>
                </w:tcPr>
                <w:p w14:paraId="1E4B6CC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40.794</w:t>
                  </w:r>
                </w:p>
              </w:tc>
              <w:tc>
                <w:tcPr>
                  <w:tcW w:w="748" w:type="pct"/>
                  <w:tcBorders>
                    <w:tl2br w:val="nil"/>
                    <w:tr2bl w:val="nil"/>
                  </w:tcBorders>
                  <w:vAlign w:val="center"/>
                </w:tcPr>
                <w:p w14:paraId="1655FD2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密闭</w:t>
                  </w:r>
                  <w:r>
                    <w:rPr>
                      <w:rFonts w:hint="eastAsia" w:cs="Times New Roman"/>
                      <w:color w:val="000000" w:themeColor="text1"/>
                      <w:szCs w:val="21"/>
                      <w:lang w:eastAsia="zh-CN"/>
                      <w14:textFill>
                        <w14:solidFill>
                          <w14:schemeClr w14:val="tx1"/>
                        </w14:solidFill>
                      </w14:textFill>
                    </w:rPr>
                    <w:t>密闭收集</w:t>
                  </w:r>
                  <w:r>
                    <w:rPr>
                      <w:rFonts w:hint="eastAsia" w:ascii="Times New Roman" w:hAnsi="Times New Roman" w:eastAsia="宋体" w:cs="Times New Roman"/>
                      <w:color w:val="000000" w:themeColor="text1"/>
                      <w:szCs w:val="21"/>
                      <w14:textFill>
                        <w14:solidFill>
                          <w14:schemeClr w14:val="tx1"/>
                        </w14:solidFill>
                      </w14:textFill>
                    </w:rPr>
                    <w:t>，收集效率100%</w:t>
                  </w:r>
                </w:p>
              </w:tc>
              <w:tc>
                <w:tcPr>
                  <w:tcW w:w="448" w:type="pct"/>
                  <w:vMerge w:val="continue"/>
                  <w:tcBorders>
                    <w:tl2br w:val="nil"/>
                    <w:tr2bl w:val="nil"/>
                  </w:tcBorders>
                  <w:vAlign w:val="center"/>
                </w:tcPr>
                <w:p w14:paraId="4E97CB8E">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28" w:type="pct"/>
                  <w:vMerge w:val="continue"/>
                  <w:tcBorders>
                    <w:tl2br w:val="nil"/>
                    <w:tr2bl w:val="nil"/>
                  </w:tcBorders>
                  <w:vAlign w:val="center"/>
                </w:tcPr>
                <w:p w14:paraId="3068DD34">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81" w:type="pct"/>
                  <w:vMerge w:val="continue"/>
                  <w:tcBorders>
                    <w:tl2br w:val="nil"/>
                    <w:tr2bl w:val="nil"/>
                  </w:tcBorders>
                  <w:vAlign w:val="center"/>
                </w:tcPr>
                <w:p w14:paraId="41FAECD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00" w:type="pct"/>
                  <w:vMerge w:val="continue"/>
                  <w:tcBorders>
                    <w:tl2br w:val="nil"/>
                    <w:tr2bl w:val="nil"/>
                  </w:tcBorders>
                  <w:vAlign w:val="center"/>
                </w:tcPr>
                <w:p w14:paraId="525C722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286" w:type="pct"/>
                  <w:vMerge w:val="continue"/>
                  <w:tcBorders>
                    <w:tl2br w:val="nil"/>
                    <w:tr2bl w:val="nil"/>
                  </w:tcBorders>
                  <w:vAlign w:val="center"/>
                </w:tcPr>
                <w:p w14:paraId="3F944D0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317" w:type="pct"/>
                  <w:vMerge w:val="continue"/>
                  <w:tcBorders>
                    <w:tl2br w:val="nil"/>
                    <w:tr2bl w:val="nil"/>
                  </w:tcBorders>
                  <w:vAlign w:val="center"/>
                </w:tcPr>
                <w:p w14:paraId="375B35D2">
                  <w:pPr>
                    <w:adjustRightInd w:val="0"/>
                    <w:snapToGrid w:val="0"/>
                    <w:jc w:val="center"/>
                    <w:rPr>
                      <w:rFonts w:ascii="Times New Roman" w:hAnsi="Times New Roman" w:eastAsia="宋体" w:cs="Times New Roman"/>
                      <w:color w:val="000000" w:themeColor="text1"/>
                      <w:spacing w:val="-2"/>
                      <w:szCs w:val="21"/>
                      <w14:textFill>
                        <w14:solidFill>
                          <w14:schemeClr w14:val="tx1"/>
                        </w14:solidFill>
                      </w14:textFill>
                    </w:rPr>
                  </w:pPr>
                </w:p>
              </w:tc>
            </w:tr>
            <w:bookmarkEnd w:id="22"/>
          </w:tbl>
          <w:p w14:paraId="2CFF7D6C">
            <w:pPr>
              <w:pStyle w:val="57"/>
              <w:jc w:val="center"/>
              <w:rPr>
                <w:b/>
                <w:color w:val="auto"/>
              </w:rPr>
            </w:pPr>
            <w:r>
              <w:rPr>
                <w:b/>
                <w:color w:val="auto"/>
              </w:rPr>
              <w:t>表4-3  项目无组织废气产生及排放源强一览表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793"/>
              <w:gridCol w:w="1788"/>
              <w:gridCol w:w="1938"/>
              <w:gridCol w:w="3436"/>
              <w:gridCol w:w="1894"/>
              <w:gridCol w:w="1950"/>
            </w:tblGrid>
            <w:tr w14:paraId="517FC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5" w:type="pct"/>
                  <w:tcBorders>
                    <w:tl2br w:val="nil"/>
                    <w:tr2bl w:val="nil"/>
                  </w:tcBorders>
                  <w:vAlign w:val="center"/>
                </w:tcPr>
                <w:p w14:paraId="0B147F00">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区域</w:t>
                  </w:r>
                </w:p>
              </w:tc>
              <w:tc>
                <w:tcPr>
                  <w:tcW w:w="642" w:type="pct"/>
                  <w:tcBorders>
                    <w:tl2br w:val="nil"/>
                    <w:tr2bl w:val="nil"/>
                  </w:tcBorders>
                  <w:vAlign w:val="center"/>
                </w:tcPr>
                <w:p w14:paraId="2C58DC19">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污染源</w:t>
                  </w:r>
                </w:p>
              </w:tc>
              <w:tc>
                <w:tcPr>
                  <w:tcW w:w="640" w:type="pct"/>
                  <w:tcBorders>
                    <w:tl2br w:val="nil"/>
                    <w:tr2bl w:val="nil"/>
                  </w:tcBorders>
                  <w:vAlign w:val="center"/>
                </w:tcPr>
                <w:p w14:paraId="73940A76">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污染物种类</w:t>
                  </w:r>
                </w:p>
              </w:tc>
              <w:tc>
                <w:tcPr>
                  <w:tcW w:w="694" w:type="pct"/>
                  <w:tcBorders>
                    <w:tl2br w:val="nil"/>
                    <w:tr2bl w:val="nil"/>
                  </w:tcBorders>
                  <w:vAlign w:val="center"/>
                </w:tcPr>
                <w:p w14:paraId="7C2571C7">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污染物产生量t/a</w:t>
                  </w:r>
                </w:p>
              </w:tc>
              <w:tc>
                <w:tcPr>
                  <w:tcW w:w="1230" w:type="pct"/>
                  <w:tcBorders>
                    <w:tl2br w:val="nil"/>
                    <w:tr2bl w:val="nil"/>
                  </w:tcBorders>
                  <w:vAlign w:val="center"/>
                </w:tcPr>
                <w:p w14:paraId="02BEC2C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污染治理措施</w:t>
                  </w:r>
                </w:p>
              </w:tc>
              <w:tc>
                <w:tcPr>
                  <w:tcW w:w="678" w:type="pct"/>
                  <w:tcBorders>
                    <w:tl2br w:val="nil"/>
                    <w:tr2bl w:val="nil"/>
                  </w:tcBorders>
                  <w:vAlign w:val="center"/>
                </w:tcPr>
                <w:p w14:paraId="0085970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污染物排放量t/a</w:t>
                  </w:r>
                </w:p>
              </w:tc>
              <w:tc>
                <w:tcPr>
                  <w:tcW w:w="698" w:type="pct"/>
                  <w:tcBorders>
                    <w:tl2br w:val="nil"/>
                    <w:tr2bl w:val="nil"/>
                  </w:tcBorders>
                  <w:vAlign w:val="center"/>
                </w:tcPr>
                <w:p w14:paraId="200095C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面源参数</w:t>
                  </w:r>
                </w:p>
              </w:tc>
            </w:tr>
            <w:tr w14:paraId="39641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5" w:type="pct"/>
                  <w:vMerge w:val="restart"/>
                  <w:tcBorders>
                    <w:tl2br w:val="nil"/>
                    <w:tr2bl w:val="nil"/>
                  </w:tcBorders>
                  <w:vAlign w:val="center"/>
                </w:tcPr>
                <w:p w14:paraId="1CF57284">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生产车间</w:t>
                  </w:r>
                </w:p>
              </w:tc>
              <w:tc>
                <w:tcPr>
                  <w:tcW w:w="642" w:type="pct"/>
                  <w:tcBorders>
                    <w:tl2br w:val="nil"/>
                    <w:tr2bl w:val="nil"/>
                  </w:tcBorders>
                  <w:vAlign w:val="center"/>
                </w:tcPr>
                <w:p w14:paraId="632B722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原料装卸废气</w:t>
                  </w:r>
                </w:p>
              </w:tc>
              <w:tc>
                <w:tcPr>
                  <w:tcW w:w="640" w:type="pct"/>
                  <w:tcBorders>
                    <w:tl2br w:val="nil"/>
                    <w:tr2bl w:val="nil"/>
                  </w:tcBorders>
                  <w:vAlign w:val="center"/>
                </w:tcPr>
                <w:p w14:paraId="14C65E2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694" w:type="pct"/>
                  <w:tcBorders>
                    <w:tl2br w:val="nil"/>
                    <w:tr2bl w:val="nil"/>
                  </w:tcBorders>
                  <w:vAlign w:val="center"/>
                </w:tcPr>
                <w:p w14:paraId="1916521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1230" w:type="pct"/>
                  <w:tcBorders>
                    <w:tl2br w:val="nil"/>
                    <w:tr2bl w:val="nil"/>
                  </w:tcBorders>
                  <w:vAlign w:val="center"/>
                </w:tcPr>
                <w:p w14:paraId="0858DD8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密闭厂房（控制效率9</w:t>
                  </w:r>
                  <w:r>
                    <w:rPr>
                      <w:rFonts w:hint="eastAsia"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%）+喷淋降尘（控制效率</w:t>
                  </w:r>
                  <w:r>
                    <w:rPr>
                      <w:rFonts w:hint="eastAsia" w:cs="Times New Roman"/>
                      <w:color w:val="000000" w:themeColor="text1"/>
                      <w:szCs w:val="21"/>
                      <w:lang w:val="en-US" w:eastAsia="zh-CN"/>
                      <w14:textFill>
                        <w14:solidFill>
                          <w14:schemeClr w14:val="tx1"/>
                        </w14:solidFill>
                      </w14:textFill>
                    </w:rPr>
                    <w:t>80</w:t>
                  </w:r>
                  <w:r>
                    <w:rPr>
                      <w:rFonts w:hint="eastAsia" w:ascii="Times New Roman" w:hAnsi="Times New Roman" w:eastAsia="宋体" w:cs="Times New Roman"/>
                      <w:color w:val="000000" w:themeColor="text1"/>
                      <w:szCs w:val="21"/>
                      <w14:textFill>
                        <w14:solidFill>
                          <w14:schemeClr w14:val="tx1"/>
                        </w14:solidFill>
                      </w14:textFill>
                    </w:rPr>
                    <w:t>%）</w:t>
                  </w:r>
                </w:p>
              </w:tc>
              <w:tc>
                <w:tcPr>
                  <w:tcW w:w="678" w:type="pct"/>
                  <w:tcBorders>
                    <w:tl2br w:val="nil"/>
                    <w:tr2bl w:val="nil"/>
                  </w:tcBorders>
                  <w:vAlign w:val="center"/>
                </w:tcPr>
                <w:p w14:paraId="543675D4">
                  <w:pPr>
                    <w:adjustRightInd w:val="0"/>
                    <w:snapToGrid w:val="0"/>
                    <w:jc w:val="center"/>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4</w:t>
                  </w:r>
                </w:p>
              </w:tc>
              <w:tc>
                <w:tcPr>
                  <w:tcW w:w="698" w:type="pct"/>
                  <w:vMerge w:val="restart"/>
                  <w:tcBorders>
                    <w:tl2br w:val="nil"/>
                    <w:tr2bl w:val="nil"/>
                  </w:tcBorders>
                  <w:vAlign w:val="center"/>
                </w:tcPr>
                <w:p w14:paraId="4853294C">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150</w:t>
                  </w:r>
                  <w:r>
                    <w:rPr>
                      <w:rFonts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lang w:val="en-US" w:eastAsia="zh-CN"/>
                      <w14:textFill>
                        <w14:solidFill>
                          <w14:schemeClr w14:val="tx1"/>
                        </w14:solidFill>
                      </w14:textFill>
                    </w:rPr>
                    <w:t>71</w:t>
                  </w:r>
                  <w:r>
                    <w:rPr>
                      <w:rFonts w:ascii="Times New Roman" w:hAnsi="Times New Roman" w:eastAsia="宋体" w:cs="Times New Roman"/>
                      <w:color w:val="000000" w:themeColor="text1"/>
                      <w:szCs w:val="21"/>
                      <w14:textFill>
                        <w14:solidFill>
                          <w14:schemeClr w14:val="tx1"/>
                        </w14:solidFill>
                      </w14:textFill>
                    </w:rPr>
                    <w:t>m*1</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m</w:t>
                  </w:r>
                </w:p>
              </w:tc>
            </w:tr>
            <w:tr w14:paraId="50E62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5" w:type="pct"/>
                  <w:vMerge w:val="continue"/>
                  <w:tcBorders>
                    <w:tl2br w:val="nil"/>
                    <w:tr2bl w:val="nil"/>
                  </w:tcBorders>
                  <w:vAlign w:val="center"/>
                </w:tcPr>
                <w:p w14:paraId="5D57B9C8">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p>
              </w:tc>
              <w:tc>
                <w:tcPr>
                  <w:tcW w:w="642" w:type="pct"/>
                  <w:tcBorders>
                    <w:tl2br w:val="nil"/>
                    <w:tr2bl w:val="nil"/>
                  </w:tcBorders>
                  <w:vAlign w:val="center"/>
                </w:tcPr>
                <w:p w14:paraId="7FAEE10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水泥、粉煤灰筒仓呼吸废气</w:t>
                  </w:r>
                </w:p>
              </w:tc>
              <w:tc>
                <w:tcPr>
                  <w:tcW w:w="640" w:type="pct"/>
                  <w:tcBorders>
                    <w:tl2br w:val="nil"/>
                    <w:tr2bl w:val="nil"/>
                  </w:tcBorders>
                  <w:vAlign w:val="center"/>
                </w:tcPr>
                <w:p w14:paraId="1D1E0F6C">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颗粒物</w:t>
                  </w:r>
                </w:p>
              </w:tc>
              <w:tc>
                <w:tcPr>
                  <w:tcW w:w="694" w:type="pct"/>
                  <w:tcBorders>
                    <w:tl2br w:val="nil"/>
                    <w:tr2bl w:val="nil"/>
                  </w:tcBorders>
                  <w:vAlign w:val="center"/>
                </w:tcPr>
                <w:p w14:paraId="25168E5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w:t>
                  </w:r>
                </w:p>
              </w:tc>
              <w:tc>
                <w:tcPr>
                  <w:tcW w:w="1230" w:type="pct"/>
                  <w:tcBorders>
                    <w:tl2br w:val="nil"/>
                    <w:tr2bl w:val="nil"/>
                  </w:tcBorders>
                  <w:vAlign w:val="center"/>
                </w:tcPr>
                <w:p w14:paraId="0E24D30D">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脉冲式布袋除尘器</w:t>
                  </w:r>
                </w:p>
                <w:p w14:paraId="0F785A5F">
                  <w:pPr>
                    <w:adjustRightInd w:val="0"/>
                    <w:snapToGrid w:val="0"/>
                    <w:jc w:val="center"/>
                    <w:rPr>
                      <w:rFonts w:hint="eastAsia"/>
                    </w:rPr>
                  </w:pPr>
                  <w:r>
                    <w:rPr>
                      <w:rFonts w:hint="eastAsia" w:ascii="Times New Roman" w:hAnsi="Times New Roman" w:eastAsia="宋体" w:cs="Times New Roman"/>
                      <w:color w:val="000000" w:themeColor="text1"/>
                      <w:szCs w:val="21"/>
                      <w:lang w:val="en-US" w:eastAsia="zh-CN"/>
                      <w14:textFill>
                        <w14:solidFill>
                          <w14:schemeClr w14:val="tx1"/>
                        </w14:solidFill>
                      </w14:textFill>
                    </w:rPr>
                    <w:t>（处理效率99%）</w:t>
                  </w:r>
                </w:p>
              </w:tc>
              <w:tc>
                <w:tcPr>
                  <w:tcW w:w="678" w:type="pct"/>
                  <w:tcBorders>
                    <w:tl2br w:val="nil"/>
                    <w:tr2bl w:val="nil"/>
                  </w:tcBorders>
                  <w:vAlign w:val="center"/>
                </w:tcPr>
                <w:p w14:paraId="7C219A4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0.038</w:t>
                  </w:r>
                </w:p>
              </w:tc>
              <w:tc>
                <w:tcPr>
                  <w:tcW w:w="698" w:type="pct"/>
                  <w:vMerge w:val="continue"/>
                  <w:tcBorders>
                    <w:tl2br w:val="nil"/>
                    <w:tr2bl w:val="nil"/>
                  </w:tcBorders>
                  <w:vAlign w:val="center"/>
                </w:tcPr>
                <w:p w14:paraId="722A0F6E">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r>
            <w:tr w14:paraId="4F667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5" w:type="pct"/>
                  <w:vMerge w:val="continue"/>
                  <w:tcBorders>
                    <w:tl2br w:val="nil"/>
                    <w:tr2bl w:val="nil"/>
                  </w:tcBorders>
                  <w:vAlign w:val="center"/>
                </w:tcPr>
                <w:p w14:paraId="1787255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642" w:type="pct"/>
                  <w:tcBorders>
                    <w:tl2br w:val="nil"/>
                    <w:tr2bl w:val="nil"/>
                  </w:tcBorders>
                  <w:vAlign w:val="center"/>
                </w:tcPr>
                <w:p w14:paraId="68CCA986">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配料废气</w:t>
                  </w:r>
                </w:p>
              </w:tc>
              <w:tc>
                <w:tcPr>
                  <w:tcW w:w="640" w:type="pct"/>
                  <w:tcBorders>
                    <w:tl2br w:val="nil"/>
                    <w:tr2bl w:val="nil"/>
                  </w:tcBorders>
                  <w:vAlign w:val="center"/>
                </w:tcPr>
                <w:p w14:paraId="0E905D90">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694" w:type="pct"/>
                  <w:tcBorders>
                    <w:tl2br w:val="nil"/>
                    <w:tr2bl w:val="nil"/>
                  </w:tcBorders>
                  <w:vAlign w:val="center"/>
                </w:tcPr>
                <w:p w14:paraId="439866D8">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42</w:t>
                  </w:r>
                </w:p>
              </w:tc>
              <w:tc>
                <w:tcPr>
                  <w:tcW w:w="1230" w:type="pct"/>
                  <w:tcBorders>
                    <w:tl2br w:val="nil"/>
                    <w:tr2bl w:val="nil"/>
                  </w:tcBorders>
                  <w:vAlign w:val="center"/>
                </w:tcPr>
                <w:p w14:paraId="71CE4FE2">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密闭厂房（控制效率</w:t>
                  </w:r>
                  <w:r>
                    <w:rPr>
                      <w:rFonts w:hint="eastAsia" w:cs="Times New Roman"/>
                      <w:color w:val="000000" w:themeColor="text1"/>
                      <w:szCs w:val="21"/>
                      <w:lang w:val="en-US" w:eastAsia="zh-CN"/>
                      <w14:textFill>
                        <w14:solidFill>
                          <w14:schemeClr w14:val="tx1"/>
                        </w14:solidFill>
                      </w14:textFill>
                    </w:rPr>
                    <w:t>90</w:t>
                  </w:r>
                  <w:r>
                    <w:rPr>
                      <w:rFonts w:hint="eastAsia" w:ascii="Times New Roman" w:hAnsi="Times New Roman" w:eastAsia="宋体" w:cs="Times New Roman"/>
                      <w:color w:val="000000" w:themeColor="text1"/>
                      <w:szCs w:val="21"/>
                      <w14:textFill>
                        <w14:solidFill>
                          <w14:schemeClr w14:val="tx1"/>
                        </w14:solidFill>
                      </w14:textFill>
                    </w:rPr>
                    <w:t>%）+喷淋降尘（控制效率</w:t>
                  </w:r>
                  <w:r>
                    <w:rPr>
                      <w:rFonts w:hint="eastAsia" w:cs="Times New Roman"/>
                      <w:color w:val="000000" w:themeColor="text1"/>
                      <w:szCs w:val="21"/>
                      <w:lang w:val="en-US" w:eastAsia="zh-CN"/>
                      <w14:textFill>
                        <w14:solidFill>
                          <w14:schemeClr w14:val="tx1"/>
                        </w14:solidFill>
                      </w14:textFill>
                    </w:rPr>
                    <w:t>80</w:t>
                  </w:r>
                  <w:r>
                    <w:rPr>
                      <w:rFonts w:hint="eastAsia" w:ascii="Times New Roman" w:hAnsi="Times New Roman" w:eastAsia="宋体" w:cs="Times New Roman"/>
                      <w:color w:val="000000" w:themeColor="text1"/>
                      <w:szCs w:val="21"/>
                      <w14:textFill>
                        <w14:solidFill>
                          <w14:schemeClr w14:val="tx1"/>
                        </w14:solidFill>
                      </w14:textFill>
                    </w:rPr>
                    <w:t>%）</w:t>
                  </w:r>
                </w:p>
              </w:tc>
              <w:tc>
                <w:tcPr>
                  <w:tcW w:w="678" w:type="pct"/>
                  <w:tcBorders>
                    <w:tl2br w:val="nil"/>
                    <w:tr2bl w:val="nil"/>
                  </w:tcBorders>
                  <w:vAlign w:val="center"/>
                </w:tcPr>
                <w:p w14:paraId="4541B85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284</w:t>
                  </w:r>
                </w:p>
              </w:tc>
              <w:tc>
                <w:tcPr>
                  <w:tcW w:w="698" w:type="pct"/>
                  <w:vMerge w:val="continue"/>
                  <w:tcBorders>
                    <w:tl2br w:val="nil"/>
                    <w:tr2bl w:val="nil"/>
                  </w:tcBorders>
                  <w:vAlign w:val="center"/>
                </w:tcPr>
                <w:p w14:paraId="75DA366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14:paraId="10E49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7" w:type="pct"/>
                  <w:gridSpan w:val="2"/>
                  <w:tcBorders>
                    <w:tl2br w:val="nil"/>
                    <w:tr2bl w:val="nil"/>
                  </w:tcBorders>
                  <w:vAlign w:val="center"/>
                </w:tcPr>
                <w:p w14:paraId="578F6EC5">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合计</w:t>
                  </w:r>
                </w:p>
              </w:tc>
              <w:tc>
                <w:tcPr>
                  <w:tcW w:w="640" w:type="pct"/>
                  <w:tcBorders>
                    <w:tl2br w:val="nil"/>
                    <w:tr2bl w:val="nil"/>
                  </w:tcBorders>
                  <w:vAlign w:val="center"/>
                </w:tcPr>
                <w:p w14:paraId="3499563B">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c>
                <w:tcPr>
                  <w:tcW w:w="694" w:type="pct"/>
                  <w:tcBorders>
                    <w:tl2br w:val="nil"/>
                    <w:tr2bl w:val="nil"/>
                  </w:tcBorders>
                  <w:vAlign w:val="center"/>
                </w:tcPr>
                <w:p w14:paraId="1F6E128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8.36</w:t>
                  </w:r>
                </w:p>
              </w:tc>
              <w:tc>
                <w:tcPr>
                  <w:tcW w:w="1230" w:type="pct"/>
                  <w:tcBorders>
                    <w:tl2br w:val="nil"/>
                    <w:tr2bl w:val="nil"/>
                  </w:tcBorders>
                  <w:vAlign w:val="center"/>
                </w:tcPr>
                <w:p w14:paraId="44034EBE">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678" w:type="pct"/>
                  <w:tcBorders>
                    <w:tl2br w:val="nil"/>
                    <w:tr2bl w:val="nil"/>
                  </w:tcBorders>
                  <w:vAlign w:val="center"/>
                </w:tcPr>
                <w:p w14:paraId="798DE70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106</w:t>
                  </w:r>
                </w:p>
              </w:tc>
              <w:tc>
                <w:tcPr>
                  <w:tcW w:w="698" w:type="pct"/>
                  <w:tcBorders>
                    <w:tl2br w:val="nil"/>
                    <w:tr2bl w:val="nil"/>
                  </w:tcBorders>
                  <w:vAlign w:val="center"/>
                </w:tcPr>
                <w:p w14:paraId="53E4F054">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bl>
          <w:p w14:paraId="588B1A7D">
            <w:pPr>
              <w:pStyle w:val="57"/>
              <w:spacing w:line="240" w:lineRule="auto"/>
              <w:ind w:left="0" w:leftChars="0" w:firstLine="0" w:firstLineChars="0"/>
              <w:jc w:val="left"/>
              <w:rPr>
                <w:b w:val="0"/>
                <w:bCs/>
                <w:color w:val="auto"/>
                <w:sz w:val="21"/>
                <w:szCs w:val="21"/>
              </w:rPr>
            </w:pPr>
            <w:r>
              <w:rPr>
                <w:rFonts w:hint="eastAsia"/>
                <w:b w:val="0"/>
                <w:bCs/>
                <w:color w:val="auto"/>
                <w:sz w:val="21"/>
                <w:szCs w:val="21"/>
              </w:rPr>
              <w:t>注：</w:t>
            </w:r>
            <w:bookmarkStart w:id="23" w:name="_Hlk198887880"/>
            <w:bookmarkStart w:id="24" w:name="_Hlk198889282"/>
            <w:r>
              <w:rPr>
                <w:rFonts w:hint="eastAsia"/>
                <w:b w:val="0"/>
                <w:bCs/>
                <w:color w:val="auto"/>
                <w:sz w:val="21"/>
                <w:szCs w:val="21"/>
              </w:rPr>
              <w:t>参照《排放源统计调查产排污核算方法和系数手册》附表2，固体物料堆存颗粒物产排污核算系数手册，洒水对粉尘控制效率为74%，</w:t>
            </w:r>
            <w:bookmarkEnd w:id="23"/>
            <w:r>
              <w:rPr>
                <w:rFonts w:hint="eastAsia"/>
                <w:b w:val="0"/>
                <w:bCs/>
                <w:color w:val="auto"/>
                <w:sz w:val="21"/>
                <w:szCs w:val="21"/>
              </w:rPr>
              <w:t>密闭式厂房对堆场粉尘控制效率为99%</w:t>
            </w:r>
            <w:bookmarkEnd w:id="24"/>
            <w:r>
              <w:rPr>
                <w:rFonts w:hint="eastAsia"/>
                <w:b w:val="0"/>
                <w:bCs/>
                <w:color w:val="auto"/>
                <w:sz w:val="21"/>
                <w:szCs w:val="21"/>
              </w:rPr>
              <w:t>。</w:t>
            </w:r>
          </w:p>
          <w:p w14:paraId="16A46680">
            <w:pPr>
              <w:pStyle w:val="57"/>
              <w:jc w:val="center"/>
              <w:rPr>
                <w:b/>
                <w:color w:val="auto"/>
              </w:rPr>
            </w:pPr>
            <w:r>
              <w:rPr>
                <w:b/>
                <w:color w:val="auto"/>
              </w:rPr>
              <w:t>表4-</w:t>
            </w:r>
            <w:r>
              <w:rPr>
                <w:rFonts w:hint="eastAsia"/>
                <w:b/>
                <w:color w:val="auto"/>
              </w:rPr>
              <w:t>4</w:t>
            </w:r>
            <w:r>
              <w:rPr>
                <w:b/>
                <w:color w:val="auto"/>
              </w:rPr>
              <w:t xml:space="preserve">  </w:t>
            </w:r>
            <w:r>
              <w:rPr>
                <w:rFonts w:hint="eastAsia"/>
                <w:b/>
                <w:color w:val="auto"/>
              </w:rPr>
              <w:t>本项目排放口设置情况一览表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190"/>
              <w:gridCol w:w="1492"/>
              <w:gridCol w:w="1937"/>
              <w:gridCol w:w="746"/>
              <w:gridCol w:w="1042"/>
              <w:gridCol w:w="1042"/>
              <w:gridCol w:w="1051"/>
              <w:gridCol w:w="891"/>
              <w:gridCol w:w="903"/>
              <w:gridCol w:w="897"/>
              <w:gridCol w:w="1196"/>
              <w:gridCol w:w="1001"/>
            </w:tblGrid>
            <w:tr w14:paraId="11151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 w:type="pct"/>
                  <w:vMerge w:val="restart"/>
                  <w:tcBorders>
                    <w:tl2br w:val="nil"/>
                    <w:tr2bl w:val="nil"/>
                  </w:tcBorders>
                  <w:vAlign w:val="center"/>
                </w:tcPr>
                <w:p w14:paraId="51C4287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w:t>
                  </w:r>
                </w:p>
                <w:p w14:paraId="6D5074C7">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号</w:t>
                  </w:r>
                </w:p>
              </w:tc>
              <w:tc>
                <w:tcPr>
                  <w:tcW w:w="426" w:type="pct"/>
                  <w:vMerge w:val="restart"/>
                  <w:tcBorders>
                    <w:tl2br w:val="nil"/>
                    <w:tr2bl w:val="nil"/>
                  </w:tcBorders>
                  <w:vAlign w:val="center"/>
                </w:tcPr>
                <w:p w14:paraId="429CEE8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排放口编号</w:t>
                  </w:r>
                </w:p>
              </w:tc>
              <w:tc>
                <w:tcPr>
                  <w:tcW w:w="534" w:type="pct"/>
                  <w:vMerge w:val="restart"/>
                  <w:tcBorders>
                    <w:tl2br w:val="nil"/>
                    <w:tr2bl w:val="nil"/>
                  </w:tcBorders>
                  <w:vAlign w:val="center"/>
                </w:tcPr>
                <w:p w14:paraId="732B787A">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污染物种类</w:t>
                  </w:r>
                </w:p>
              </w:tc>
              <w:tc>
                <w:tcPr>
                  <w:tcW w:w="693" w:type="pct"/>
                  <w:tcBorders>
                    <w:tl2br w:val="nil"/>
                    <w:tr2bl w:val="nil"/>
                  </w:tcBorders>
                  <w:vAlign w:val="center"/>
                </w:tcPr>
                <w:p w14:paraId="65B9C878">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排放口地理坐标</w:t>
                  </w:r>
                </w:p>
              </w:tc>
              <w:tc>
                <w:tcPr>
                  <w:tcW w:w="1389" w:type="pct"/>
                  <w:gridSpan w:val="4"/>
                  <w:tcBorders>
                    <w:tl2br w:val="nil"/>
                    <w:tr2bl w:val="nil"/>
                  </w:tcBorders>
                  <w:vAlign w:val="center"/>
                </w:tcPr>
                <w:p w14:paraId="234C900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排气筒参数</w:t>
                  </w:r>
                </w:p>
              </w:tc>
              <w:tc>
                <w:tcPr>
                  <w:tcW w:w="963" w:type="pct"/>
                  <w:gridSpan w:val="3"/>
                  <w:tcBorders>
                    <w:tl2br w:val="nil"/>
                    <w:tr2bl w:val="nil"/>
                  </w:tcBorders>
                  <w:vAlign w:val="center"/>
                </w:tcPr>
                <w:p w14:paraId="4B3DBCEC">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污染物排放情况</w:t>
                  </w:r>
                </w:p>
              </w:tc>
              <w:tc>
                <w:tcPr>
                  <w:tcW w:w="786" w:type="pct"/>
                  <w:gridSpan w:val="2"/>
                  <w:tcBorders>
                    <w:tl2br w:val="nil"/>
                    <w:tr2bl w:val="nil"/>
                  </w:tcBorders>
                  <w:vAlign w:val="center"/>
                </w:tcPr>
                <w:p w14:paraId="1A8590EA">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污染物排放标准</w:t>
                  </w:r>
                </w:p>
              </w:tc>
            </w:tr>
            <w:tr w14:paraId="47146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 w:type="pct"/>
                  <w:vMerge w:val="continue"/>
                  <w:tcBorders>
                    <w:tl2br w:val="nil"/>
                    <w:tr2bl w:val="nil"/>
                  </w:tcBorders>
                  <w:vAlign w:val="center"/>
                </w:tcPr>
                <w:p w14:paraId="716F02D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426" w:type="pct"/>
                  <w:vMerge w:val="continue"/>
                  <w:tcBorders>
                    <w:tl2br w:val="nil"/>
                    <w:tr2bl w:val="nil"/>
                  </w:tcBorders>
                  <w:vAlign w:val="center"/>
                </w:tcPr>
                <w:p w14:paraId="4ACC6990">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534" w:type="pct"/>
                  <w:vMerge w:val="continue"/>
                  <w:tcBorders>
                    <w:tl2br w:val="nil"/>
                    <w:tr2bl w:val="nil"/>
                  </w:tcBorders>
                  <w:vAlign w:val="center"/>
                </w:tcPr>
                <w:p w14:paraId="0FA0FD30">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p>
              </w:tc>
              <w:tc>
                <w:tcPr>
                  <w:tcW w:w="693" w:type="pct"/>
                  <w:tcBorders>
                    <w:tl2br w:val="nil"/>
                    <w:tr2bl w:val="nil"/>
                  </w:tcBorders>
                  <w:vAlign w:val="center"/>
                </w:tcPr>
                <w:p w14:paraId="2E1DC0E1">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经纬度</w:t>
                  </w:r>
                </w:p>
              </w:tc>
              <w:tc>
                <w:tcPr>
                  <w:tcW w:w="267" w:type="pct"/>
                  <w:tcBorders>
                    <w:tl2br w:val="nil"/>
                    <w:tr2bl w:val="nil"/>
                  </w:tcBorders>
                  <w:vAlign w:val="center"/>
                </w:tcPr>
                <w:p w14:paraId="467D322F">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高度</w:t>
                  </w:r>
                </w:p>
                <w:p w14:paraId="4BFB02A0">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w:t>
                  </w:r>
                </w:p>
              </w:tc>
              <w:tc>
                <w:tcPr>
                  <w:tcW w:w="373" w:type="pct"/>
                  <w:tcBorders>
                    <w:tl2br w:val="nil"/>
                    <w:tr2bl w:val="nil"/>
                  </w:tcBorders>
                  <w:vAlign w:val="center"/>
                </w:tcPr>
                <w:p w14:paraId="50BBDDAC">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出口内</w:t>
                  </w:r>
                </w:p>
                <w:p w14:paraId="1BB5F4FF">
                  <w:pPr>
                    <w:adjustRightInd w:val="0"/>
                    <w:snapToGrid w:val="0"/>
                    <w:jc w:val="center"/>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径m</w:t>
                  </w:r>
                </w:p>
              </w:tc>
              <w:tc>
                <w:tcPr>
                  <w:tcW w:w="373" w:type="pct"/>
                  <w:tcBorders>
                    <w:tl2br w:val="nil"/>
                    <w:tr2bl w:val="nil"/>
                  </w:tcBorders>
                  <w:vAlign w:val="center"/>
                </w:tcPr>
                <w:p w14:paraId="4C268892">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排气温</w:t>
                  </w:r>
                </w:p>
                <w:p w14:paraId="7508D3F7">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度</w:t>
                  </w:r>
                  <w:r>
                    <w:rPr>
                      <w:rFonts w:ascii="Times New Roman" w:hAnsi="Times New Roman" w:eastAsia="宋体" w:cs="Times New Roman"/>
                      <w:color w:val="000000" w:themeColor="text1"/>
                      <w:szCs w:val="21"/>
                      <w14:textFill>
                        <w14:solidFill>
                          <w14:schemeClr w14:val="tx1"/>
                        </w14:solidFill>
                      </w14:textFill>
                    </w:rPr>
                    <w:t>℃</w:t>
                  </w:r>
                </w:p>
              </w:tc>
              <w:tc>
                <w:tcPr>
                  <w:tcW w:w="373" w:type="pct"/>
                  <w:tcBorders>
                    <w:tl2br w:val="nil"/>
                    <w:tr2bl w:val="nil"/>
                  </w:tcBorders>
                  <w:vAlign w:val="center"/>
                </w:tcPr>
                <w:p w14:paraId="6EB8AC94">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排气量</w:t>
                  </w:r>
                </w:p>
                <w:p w14:paraId="3DC1A1BA">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w:t>
                  </w:r>
                  <w:r>
                    <w:rPr>
                      <w:rFonts w:ascii="Times New Roman" w:hAnsi="Times New Roman" w:eastAsia="宋体" w:cs="Times New Roman"/>
                      <w:b/>
                      <w:color w:val="000000" w:themeColor="text1"/>
                      <w:szCs w:val="21"/>
                      <w:vertAlign w:val="superscript"/>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/h</w:t>
                  </w:r>
                </w:p>
              </w:tc>
              <w:tc>
                <w:tcPr>
                  <w:tcW w:w="319" w:type="pct"/>
                  <w:tcBorders>
                    <w:tl2br w:val="nil"/>
                    <w:tr2bl w:val="nil"/>
                  </w:tcBorders>
                  <w:vAlign w:val="center"/>
                </w:tcPr>
                <w:p w14:paraId="48662F11">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浓度mg/m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323" w:type="pct"/>
                  <w:tcBorders>
                    <w:tl2br w:val="nil"/>
                    <w:tr2bl w:val="nil"/>
                  </w:tcBorders>
                  <w:vAlign w:val="center"/>
                </w:tcPr>
                <w:p w14:paraId="1328787E">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速率</w:t>
                  </w:r>
                </w:p>
                <w:p w14:paraId="12A34109">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kg/h</w:t>
                  </w:r>
                </w:p>
              </w:tc>
              <w:tc>
                <w:tcPr>
                  <w:tcW w:w="319" w:type="pct"/>
                  <w:tcBorders>
                    <w:tl2br w:val="nil"/>
                    <w:tr2bl w:val="nil"/>
                  </w:tcBorders>
                  <w:vAlign w:val="center"/>
                </w:tcPr>
                <w:p w14:paraId="1C029FC8">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排放量</w:t>
                  </w:r>
                </w:p>
                <w:p w14:paraId="2BB88743">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t/a</w:t>
                  </w:r>
                </w:p>
              </w:tc>
              <w:tc>
                <w:tcPr>
                  <w:tcW w:w="428" w:type="pct"/>
                  <w:tcBorders>
                    <w:tl2br w:val="nil"/>
                    <w:tr2bl w:val="nil"/>
                  </w:tcBorders>
                  <w:vAlign w:val="center"/>
                </w:tcPr>
                <w:p w14:paraId="1C9F195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浓度限值</w:t>
                  </w:r>
                </w:p>
                <w:p w14:paraId="1E9CD88F">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mg/m</w:t>
                  </w:r>
                  <w:r>
                    <w:rPr>
                      <w:rFonts w:ascii="Times New Roman" w:hAnsi="Times New Roman" w:eastAsia="宋体" w:cs="Times New Roman"/>
                      <w:b/>
                      <w:color w:val="000000" w:themeColor="text1"/>
                      <w:szCs w:val="21"/>
                      <w:vertAlign w:val="superscript"/>
                      <w14:textFill>
                        <w14:solidFill>
                          <w14:schemeClr w14:val="tx1"/>
                        </w14:solidFill>
                      </w14:textFill>
                    </w:rPr>
                    <w:t>3</w:t>
                  </w:r>
                </w:p>
              </w:tc>
              <w:tc>
                <w:tcPr>
                  <w:tcW w:w="358" w:type="pct"/>
                  <w:tcBorders>
                    <w:tl2br w:val="nil"/>
                    <w:tr2bl w:val="nil"/>
                  </w:tcBorders>
                  <w:vAlign w:val="center"/>
                </w:tcPr>
                <w:p w14:paraId="6FE5344D">
                  <w:pPr>
                    <w:adjustRightInd w:val="0"/>
                    <w:snapToGrid w:val="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速率限值kg/h</w:t>
                  </w:r>
                </w:p>
              </w:tc>
            </w:tr>
            <w:tr w14:paraId="3D390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 w:type="pct"/>
                  <w:tcBorders>
                    <w:tl2br w:val="nil"/>
                    <w:tr2bl w:val="nil"/>
                  </w:tcBorders>
                  <w:vAlign w:val="center"/>
                </w:tcPr>
                <w:p w14:paraId="73EA801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426" w:type="pct"/>
                  <w:tcBorders>
                    <w:tl2br w:val="nil"/>
                    <w:tr2bl w:val="nil"/>
                  </w:tcBorders>
                  <w:vAlign w:val="center"/>
                </w:tcPr>
                <w:p w14:paraId="063FF47B">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534" w:type="pct"/>
                  <w:tcBorders>
                    <w:tl2br w:val="nil"/>
                    <w:tr2bl w:val="nil"/>
                  </w:tcBorders>
                  <w:vAlign w:val="center"/>
                </w:tcPr>
                <w:p w14:paraId="11CD122F">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693" w:type="pct"/>
                  <w:tcBorders>
                    <w:tl2br w:val="nil"/>
                    <w:tr2bl w:val="nil"/>
                  </w:tcBorders>
                  <w:vAlign w:val="center"/>
                </w:tcPr>
                <w:p w14:paraId="17E598C5">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117.075785424</w:t>
                  </w:r>
                </w:p>
                <w:p w14:paraId="51FAA5E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32.639470734</w:t>
                  </w:r>
                </w:p>
              </w:tc>
              <w:tc>
                <w:tcPr>
                  <w:tcW w:w="267" w:type="pct"/>
                  <w:tcBorders>
                    <w:tl2br w:val="nil"/>
                    <w:tr2bl w:val="nil"/>
                  </w:tcBorders>
                  <w:vAlign w:val="center"/>
                </w:tcPr>
                <w:p w14:paraId="17BB22ED">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15</w:t>
                  </w:r>
                </w:p>
              </w:tc>
              <w:tc>
                <w:tcPr>
                  <w:tcW w:w="373" w:type="pct"/>
                  <w:tcBorders>
                    <w:tl2br w:val="nil"/>
                    <w:tr2bl w:val="nil"/>
                  </w:tcBorders>
                  <w:vAlign w:val="center"/>
                </w:tcPr>
                <w:p w14:paraId="0137A4AF">
                  <w:pPr>
                    <w:adjustRightInd w:val="0"/>
                    <w:snapToGri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7</w:t>
                  </w:r>
                </w:p>
              </w:tc>
              <w:tc>
                <w:tcPr>
                  <w:tcW w:w="373" w:type="pct"/>
                  <w:tcBorders>
                    <w:tl2br w:val="nil"/>
                    <w:tr2bl w:val="nil"/>
                  </w:tcBorders>
                  <w:vAlign w:val="center"/>
                </w:tcPr>
                <w:p w14:paraId="4EB5851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25</w:t>
                  </w:r>
                </w:p>
              </w:tc>
              <w:tc>
                <w:tcPr>
                  <w:tcW w:w="373" w:type="pct"/>
                  <w:tcBorders>
                    <w:tl2br w:val="nil"/>
                    <w:tr2bl w:val="nil"/>
                  </w:tcBorders>
                  <w:vAlign w:val="center"/>
                </w:tcPr>
                <w:p w14:paraId="24BFDA6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r>
                    <w:rPr>
                      <w:rFonts w:hint="eastAsia" w:ascii="Times New Roman" w:hAnsi="Times New Roman" w:eastAsia="宋体" w:cs="Times New Roman"/>
                      <w:color w:val="000000" w:themeColor="text1"/>
                      <w:szCs w:val="21"/>
                      <w14:textFill>
                        <w14:solidFill>
                          <w14:schemeClr w14:val="tx1"/>
                        </w14:solidFill>
                      </w14:textFill>
                    </w:rPr>
                    <w:t>000</w:t>
                  </w:r>
                </w:p>
              </w:tc>
              <w:tc>
                <w:tcPr>
                  <w:tcW w:w="891" w:type="dxa"/>
                  <w:tcBorders>
                    <w:tl2br w:val="nil"/>
                    <w:tr2bl w:val="nil"/>
                  </w:tcBorders>
                  <w:vAlign w:val="center"/>
                </w:tcPr>
                <w:p w14:paraId="6F2ADAA3">
                  <w:pPr>
                    <w:keepNext w:val="0"/>
                    <w:keepLines w:val="0"/>
                    <w:widowControl/>
                    <w:suppressLineNumbers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903" w:type="dxa"/>
                  <w:tcBorders>
                    <w:tl2br w:val="nil"/>
                    <w:tr2bl w:val="nil"/>
                  </w:tcBorders>
                  <w:vAlign w:val="center"/>
                </w:tcPr>
                <w:p w14:paraId="5A12A004">
                  <w:pPr>
                    <w:keepNext w:val="0"/>
                    <w:keepLines w:val="0"/>
                    <w:widowControl/>
                    <w:suppressLineNumbers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0.225</w:t>
                  </w:r>
                </w:p>
              </w:tc>
              <w:tc>
                <w:tcPr>
                  <w:tcW w:w="897" w:type="dxa"/>
                  <w:tcBorders>
                    <w:tl2br w:val="nil"/>
                    <w:tr2bl w:val="nil"/>
                  </w:tcBorders>
                  <w:vAlign w:val="center"/>
                </w:tcPr>
                <w:p w14:paraId="17919C96">
                  <w:pPr>
                    <w:keepNext w:val="0"/>
                    <w:keepLines w:val="0"/>
                    <w:widowControl/>
                    <w:suppressLineNumbers w:val="0"/>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0.54</w:t>
                  </w:r>
                </w:p>
              </w:tc>
              <w:tc>
                <w:tcPr>
                  <w:tcW w:w="428" w:type="pct"/>
                  <w:tcBorders>
                    <w:tl2br w:val="nil"/>
                    <w:tr2bl w:val="nil"/>
                  </w:tcBorders>
                  <w:vAlign w:val="center"/>
                </w:tcPr>
                <w:p w14:paraId="16EFDC3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p>
              </w:tc>
              <w:tc>
                <w:tcPr>
                  <w:tcW w:w="358" w:type="pct"/>
                  <w:tcBorders>
                    <w:tl2br w:val="nil"/>
                    <w:tr2bl w:val="nil"/>
                  </w:tcBorders>
                  <w:vAlign w:val="center"/>
                </w:tcPr>
                <w:p w14:paraId="0ADF8D36">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bl>
          <w:p w14:paraId="0DDB6D08">
            <w:pPr>
              <w:pStyle w:val="57"/>
              <w:adjustRightInd/>
              <w:spacing w:line="360" w:lineRule="auto"/>
              <w:ind w:firstLine="482" w:firstLineChars="200"/>
              <w:rPr>
                <w:color w:val="002DC7"/>
              </w:rPr>
            </w:pPr>
            <w:r>
              <w:rPr>
                <w:rFonts w:hint="eastAsia"/>
                <w:color w:val="002DC7"/>
              </w:rPr>
              <w:t xml:space="preserve">   </w:t>
            </w:r>
            <w:r>
              <w:rPr>
                <w:rFonts w:hint="eastAsia"/>
                <w:color w:val="auto"/>
              </w:rPr>
              <w:t xml:space="preserve"> 项目废气处理流程如下图所示：</w:t>
            </w:r>
          </w:p>
          <w:p w14:paraId="35F27EEF">
            <w:pPr>
              <w:pStyle w:val="57"/>
              <w:adjustRightInd/>
              <w:spacing w:line="360" w:lineRule="auto"/>
              <w:rPr>
                <w:color w:val="002DC7"/>
              </w:rPr>
            </w:pPr>
            <w:bookmarkStart w:id="25" w:name="_MON_1794037469"/>
            <w:bookmarkEnd w:id="25"/>
            <w:bookmarkStart w:id="26" w:name="_1790249171"/>
            <w:bookmarkEnd w:id="26"/>
            <w:r>
              <w:rPr>
                <w:color w:val="002DC7"/>
              </w:rPr>
              <w:object>
                <v:shape id="_x0000_i1027" o:spt="75" type="#_x0000_t75" style="height:165.95pt;width:614.05pt;" o:ole="t" filled="f" o:preferrelative="t" stroked="f" coordsize="21600,21600">
                  <v:path/>
                  <v:fill on="f" focussize="0,0"/>
                  <v:stroke on="f"/>
                  <v:imagedata r:id="rId24" o:title=""/>
                  <o:lock v:ext="edit" aspectratio="t"/>
                  <w10:wrap type="none"/>
                  <w10:anchorlock/>
                </v:shape>
                <o:OLEObject Type="Embed" ProgID="RFFlow4" ShapeID="_x0000_i1027" DrawAspect="Content" ObjectID="_1468075727" r:id="rId23">
                  <o:LockedField>false</o:LockedField>
                </o:OLEObject>
              </w:object>
            </w:r>
          </w:p>
          <w:p w14:paraId="32FC650D">
            <w:pPr>
              <w:pStyle w:val="57"/>
              <w:adjustRightInd/>
              <w:spacing w:line="360" w:lineRule="auto"/>
              <w:jc w:val="center"/>
              <w:rPr>
                <w:b/>
                <w:bCs/>
                <w:color w:val="002DC7"/>
              </w:rPr>
            </w:pPr>
            <w:bookmarkStart w:id="27" w:name="OLE_LINK13"/>
            <w:r>
              <w:rPr>
                <w:rFonts w:hint="eastAsia"/>
                <w:b/>
                <w:bCs/>
                <w:color w:val="auto"/>
              </w:rPr>
              <w:t>图4-1  废气收集处理流程图</w:t>
            </w:r>
            <w:bookmarkEnd w:id="27"/>
          </w:p>
        </w:tc>
      </w:tr>
    </w:tbl>
    <w:p w14:paraId="01CF6FDB">
      <w:pPr>
        <w:widowControl/>
        <w:outlineLvl w:val="0"/>
        <w:rPr>
          <w:rFonts w:hint="eastAsia" w:ascii="宋体" w:hAnsi="宋体"/>
          <w:b/>
          <w:bCs/>
          <w:color w:val="002DC7"/>
          <w:kern w:val="0"/>
          <w:sz w:val="30"/>
          <w:szCs w:val="30"/>
        </w:rPr>
        <w:sectPr>
          <w:footerReference r:id="rId7" w:type="default"/>
          <w:pgSz w:w="16838" w:h="11906" w:orient="landscape"/>
          <w:pgMar w:top="1508"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40"/>
        <w:tblW w:w="88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8487"/>
      </w:tblGrid>
      <w:tr w14:paraId="70CA5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92" w:type="dxa"/>
            <w:vAlign w:val="center"/>
          </w:tcPr>
          <w:p w14:paraId="6209AF7D">
            <w:pPr>
              <w:spacing w:line="360" w:lineRule="auto"/>
              <w:jc w:val="center"/>
              <w:rPr>
                <w:color w:val="002DC7"/>
                <w:sz w:val="24"/>
              </w:rPr>
            </w:pPr>
            <w:r>
              <w:rPr>
                <w:rFonts w:hint="eastAsia" w:hAnsi="宋体"/>
                <w:color w:val="auto"/>
                <w:kern w:val="0"/>
                <w:sz w:val="24"/>
              </w:rPr>
              <w:t>运营期环境影响和保护措施</w:t>
            </w:r>
          </w:p>
        </w:tc>
        <w:tc>
          <w:tcPr>
            <w:tcW w:w="8439" w:type="dxa"/>
          </w:tcPr>
          <w:p w14:paraId="0F7F1B00">
            <w:pPr>
              <w:pStyle w:val="57"/>
              <w:ind w:firstLine="482" w:firstLineChars="200"/>
              <w:rPr>
                <w:rFonts w:hint="default" w:eastAsia="宋体"/>
                <w:color w:val="auto"/>
                <w:lang w:val="en-US" w:eastAsia="zh-CN"/>
              </w:rPr>
            </w:pPr>
            <w:r>
              <w:rPr>
                <w:rFonts w:hint="eastAsia"/>
                <w:color w:val="auto"/>
                <w:lang w:val="en-US" w:eastAsia="zh-CN"/>
              </w:rPr>
              <w:t>3、防护距离</w:t>
            </w:r>
          </w:p>
          <w:p w14:paraId="5B6E97E3">
            <w:pPr>
              <w:pStyle w:val="57"/>
              <w:ind w:firstLine="482" w:firstLineChars="200"/>
              <w:rPr>
                <w:color w:val="auto"/>
              </w:rPr>
            </w:pPr>
            <w:r>
              <w:rPr>
                <w:rFonts w:hint="eastAsia"/>
                <w:color w:val="auto"/>
              </w:rPr>
              <w:t>（1）大气环境防护距离</w:t>
            </w:r>
          </w:p>
          <w:p w14:paraId="3CC5D0E8">
            <w:pPr>
              <w:pStyle w:val="57"/>
              <w:spacing w:line="360" w:lineRule="auto"/>
              <w:ind w:firstLine="480" w:firstLineChars="200"/>
              <w:jc w:val="both"/>
              <w:rPr>
                <w:b w:val="0"/>
                <w:bCs w:val="0"/>
                <w:color w:val="auto"/>
              </w:rPr>
            </w:pPr>
            <w:r>
              <w:rPr>
                <w:rFonts w:hint="eastAsia"/>
                <w:b w:val="0"/>
                <w:bCs w:val="0"/>
                <w:color w:val="auto"/>
              </w:rPr>
              <w:t>大气环境防护距离是为了保护人群健康，减少正常排放条件下大气污染物</w:t>
            </w:r>
          </w:p>
          <w:p w14:paraId="0BEC2E46">
            <w:pPr>
              <w:pStyle w:val="57"/>
              <w:spacing w:line="360" w:lineRule="auto"/>
              <w:jc w:val="both"/>
              <w:rPr>
                <w:b w:val="0"/>
                <w:bCs w:val="0"/>
                <w:color w:val="auto"/>
              </w:rPr>
            </w:pPr>
            <w:r>
              <w:rPr>
                <w:rFonts w:hint="eastAsia"/>
                <w:b w:val="0"/>
                <w:bCs w:val="0"/>
                <w:color w:val="auto"/>
              </w:rPr>
              <w:t>对居住区的环境影响，在项目厂界以外设置的环境防护距离。本项目厂界浓度无超标点，厂界外大气污染物短期贡献浓度低于环境质量浓度限值，不需设置大气环境防护距离。</w:t>
            </w:r>
          </w:p>
          <w:p w14:paraId="7EB7ECAC">
            <w:pPr>
              <w:pStyle w:val="57"/>
              <w:ind w:firstLine="482" w:firstLineChars="200"/>
              <w:rPr>
                <w:color w:val="auto"/>
              </w:rPr>
            </w:pPr>
            <w:r>
              <w:rPr>
                <w:rFonts w:hint="eastAsia"/>
                <w:color w:val="auto"/>
              </w:rPr>
              <w:t>（2）卫生防护距离</w:t>
            </w:r>
          </w:p>
          <w:p w14:paraId="70FF79FE">
            <w:pPr>
              <w:spacing w:line="360" w:lineRule="auto"/>
              <w:ind w:firstLine="480" w:firstLineChars="200"/>
              <w:rPr>
                <w:color w:val="auto"/>
                <w:sz w:val="24"/>
              </w:rPr>
            </w:pPr>
            <w:r>
              <w:rPr>
                <w:rFonts w:hint="eastAsia" w:hAnsi="宋体"/>
                <w:color w:val="auto"/>
                <w:sz w:val="24"/>
              </w:rPr>
              <w:t>参照</w:t>
            </w:r>
            <w:r>
              <w:rPr>
                <w:rFonts w:hAnsi="宋体"/>
                <w:color w:val="auto"/>
                <w:sz w:val="24"/>
              </w:rPr>
              <w:t>《大气</w:t>
            </w:r>
            <w:r>
              <w:rPr>
                <w:rFonts w:hint="eastAsia" w:hAnsi="宋体"/>
                <w:color w:val="auto"/>
                <w:sz w:val="24"/>
              </w:rPr>
              <w:t>有害物质无组织排放卫生防护距离推导技术导则</w:t>
            </w:r>
            <w:r>
              <w:rPr>
                <w:rFonts w:hAnsi="宋体"/>
                <w:color w:val="auto"/>
                <w:sz w:val="24"/>
              </w:rPr>
              <w:t>》</w:t>
            </w:r>
            <w:r>
              <w:rPr>
                <w:color w:val="auto"/>
                <w:sz w:val="24"/>
              </w:rPr>
              <w:t>(GB/T 3</w:t>
            </w:r>
            <w:r>
              <w:rPr>
                <w:rFonts w:hint="eastAsia"/>
                <w:color w:val="auto"/>
                <w:sz w:val="24"/>
              </w:rPr>
              <w:t>9499</w:t>
            </w:r>
            <w:r>
              <w:rPr>
                <w:color w:val="auto"/>
                <w:sz w:val="24"/>
              </w:rPr>
              <w:t>-</w:t>
            </w:r>
            <w:r>
              <w:rPr>
                <w:rFonts w:hint="eastAsia"/>
                <w:color w:val="auto"/>
                <w:sz w:val="24"/>
              </w:rPr>
              <w:t>2020</w:t>
            </w:r>
            <w:r>
              <w:rPr>
                <w:color w:val="auto"/>
                <w:sz w:val="24"/>
              </w:rPr>
              <w:t>)</w:t>
            </w:r>
            <w:r>
              <w:rPr>
                <w:rFonts w:hAnsi="宋体"/>
                <w:color w:val="auto"/>
                <w:sz w:val="24"/>
              </w:rPr>
              <w:t>中的卫生防护距离计算。</w:t>
            </w:r>
          </w:p>
          <w:p w14:paraId="13F7FAB0">
            <w:pPr>
              <w:spacing w:line="360" w:lineRule="auto"/>
              <w:ind w:firstLine="480" w:firstLineChars="200"/>
              <w:rPr>
                <w:rFonts w:hint="eastAsia" w:hAnsi="宋体"/>
                <w:color w:val="auto"/>
                <w:sz w:val="24"/>
              </w:rPr>
            </w:pPr>
            <w:r>
              <w:rPr>
                <w:rFonts w:hAnsi="宋体"/>
                <w:color w:val="auto"/>
                <w:sz w:val="24"/>
              </w:rPr>
              <w:t>计算公式、计算参数及结果如下：</w:t>
            </w:r>
          </w:p>
          <w:p w14:paraId="2B58FDB1">
            <w:pPr>
              <w:spacing w:line="360" w:lineRule="auto"/>
              <w:ind w:firstLine="480" w:firstLineChars="200"/>
              <w:rPr>
                <w:color w:val="auto"/>
                <w:sz w:val="24"/>
              </w:rPr>
            </w:pPr>
            <m:oMathPara>
              <m:oMath>
                <m:f>
                  <m:fPr>
                    <m:ctrlPr>
                      <w:rPr>
                        <w:rFonts w:ascii="Cambria Math" w:hAnsi="Cambria Math"/>
                        <w:i/>
                        <w:color w:val="auto"/>
                        <w:sz w:val="24"/>
                      </w:rPr>
                    </m:ctrlPr>
                  </m:fPr>
                  <m:num>
                    <m:sSup>
                      <m:sSupPr>
                        <m:ctrlPr>
                          <w:rPr>
                            <w:rFonts w:ascii="Cambria Math" w:hAnsi="Cambria Math"/>
                            <w:i/>
                            <w:color w:val="auto"/>
                            <w:sz w:val="24"/>
                          </w:rPr>
                        </m:ctrlPr>
                      </m:sSupPr>
                      <m:e>
                        <m:r>
                          <m:rPr/>
                          <w:rPr>
                            <w:rFonts w:ascii="Cambria Math" w:hAnsi="Cambria Math"/>
                            <w:color w:val="auto"/>
                            <w:sz w:val="24"/>
                          </w:rPr>
                          <m:t>Q</m:t>
                        </m:r>
                        <m:ctrlPr>
                          <w:rPr>
                            <w:rFonts w:ascii="Cambria Math" w:hAnsi="Cambria Math"/>
                            <w:i/>
                            <w:color w:val="auto"/>
                            <w:sz w:val="24"/>
                          </w:rPr>
                        </m:ctrlPr>
                      </m:e>
                      <m:sup>
                        <m:r>
                          <m:rPr/>
                          <w:rPr>
                            <w:rFonts w:ascii="Cambria Math" w:hAnsi="Cambria Math"/>
                            <w:color w:val="auto"/>
                            <w:sz w:val="24"/>
                          </w:rPr>
                          <m:t>c</m:t>
                        </m:r>
                        <m:ctrlPr>
                          <w:rPr>
                            <w:rFonts w:ascii="Cambria Math" w:hAnsi="Cambria Math"/>
                            <w:i/>
                            <w:color w:val="auto"/>
                            <w:sz w:val="24"/>
                          </w:rPr>
                        </m:ctrlPr>
                      </m:sup>
                    </m:sSup>
                    <m:ctrlPr>
                      <w:rPr>
                        <w:rFonts w:ascii="Cambria Math" w:hAnsi="Cambria Math"/>
                        <w:i/>
                        <w:color w:val="auto"/>
                        <w:sz w:val="24"/>
                      </w:rPr>
                    </m:ctrlPr>
                  </m:num>
                  <m:den>
                    <m:sSub>
                      <m:sSubPr>
                        <m:ctrlPr>
                          <w:rPr>
                            <w:rFonts w:ascii="Cambria Math" w:hAnsi="Cambria Math"/>
                            <w:i/>
                            <w:color w:val="auto"/>
                            <w:sz w:val="24"/>
                          </w:rPr>
                        </m:ctrlPr>
                      </m:sSubPr>
                      <m:e>
                        <m:r>
                          <m:rPr/>
                          <w:rPr>
                            <w:rFonts w:ascii="Cambria Math" w:hAnsi="Cambria Math"/>
                            <w:color w:val="auto"/>
                            <w:sz w:val="24"/>
                          </w:rPr>
                          <m:t>C</m:t>
                        </m:r>
                        <m:ctrlPr>
                          <w:rPr>
                            <w:rFonts w:ascii="Cambria Math" w:hAnsi="Cambria Math"/>
                            <w:i/>
                            <w:color w:val="auto"/>
                            <w:sz w:val="24"/>
                          </w:rPr>
                        </m:ctrlPr>
                      </m:e>
                      <m:sub>
                        <m:r>
                          <m:rPr/>
                          <w:rPr>
                            <w:rFonts w:ascii="Cambria Math" w:hAnsi="Cambria Math"/>
                            <w:color w:val="auto"/>
                            <w:sz w:val="24"/>
                          </w:rPr>
                          <m:t>m</m:t>
                        </m:r>
                        <m:ctrlPr>
                          <w:rPr>
                            <w:rFonts w:ascii="Cambria Math" w:hAnsi="Cambria Math"/>
                            <w:i/>
                            <w:color w:val="auto"/>
                            <w:sz w:val="24"/>
                          </w:rPr>
                        </m:ctrlPr>
                      </m:sub>
                    </m:sSub>
                    <m:ctrlPr>
                      <w:rPr>
                        <w:rFonts w:ascii="Cambria Math" w:hAnsi="Cambria Math"/>
                        <w:i/>
                        <w:color w:val="auto"/>
                        <w:sz w:val="24"/>
                      </w:rPr>
                    </m:ctrlPr>
                  </m:den>
                </m:f>
                <m:r>
                  <m:rPr/>
                  <w:rPr>
                    <w:rFonts w:ascii="Cambria Math" w:hAnsi="Cambria Math"/>
                    <w:color w:val="auto"/>
                    <w:sz w:val="24"/>
                  </w:rPr>
                  <m:t>=</m:t>
                </m:r>
                <m:sSup>
                  <m:sSupPr>
                    <m:ctrlPr>
                      <w:rPr>
                        <w:rFonts w:ascii="Cambria Math" w:hAnsi="Cambria Math"/>
                        <w:i/>
                        <w:color w:val="auto"/>
                        <w:sz w:val="24"/>
                      </w:rPr>
                    </m:ctrlPr>
                  </m:sSupPr>
                  <m:e>
                    <m:r>
                      <m:rPr/>
                      <w:rPr>
                        <w:rFonts w:ascii="Cambria Math" w:hAnsi="Cambria Math"/>
                        <w:color w:val="auto"/>
                        <w:sz w:val="24"/>
                      </w:rPr>
                      <m:t>(B</m:t>
                    </m:r>
                    <m:sSup>
                      <m:sSupPr>
                        <m:ctrlPr>
                          <w:rPr>
                            <w:rFonts w:ascii="Cambria Math" w:hAnsi="Cambria Math"/>
                            <w:i/>
                            <w:color w:val="auto"/>
                            <w:sz w:val="24"/>
                          </w:rPr>
                        </m:ctrlPr>
                      </m:sSupPr>
                      <m:e>
                        <m:r>
                          <m:rPr/>
                          <w:rPr>
                            <w:rFonts w:ascii="Cambria Math" w:hAnsi="Cambria Math"/>
                            <w:color w:val="auto"/>
                            <w:sz w:val="24"/>
                          </w:rPr>
                          <m:t>L</m:t>
                        </m:r>
                        <m:ctrlPr>
                          <w:rPr>
                            <w:rFonts w:ascii="Cambria Math" w:hAnsi="Cambria Math"/>
                            <w:i/>
                            <w:color w:val="auto"/>
                            <w:sz w:val="24"/>
                          </w:rPr>
                        </m:ctrlPr>
                      </m:e>
                      <m:sup>
                        <m:r>
                          <m:rPr/>
                          <w:rPr>
                            <w:rFonts w:ascii="Cambria Math" w:hAnsi="Cambria Math"/>
                            <w:color w:val="auto"/>
                            <w:sz w:val="24"/>
                          </w:rPr>
                          <m:t>c</m:t>
                        </m:r>
                        <m:ctrlPr>
                          <w:rPr>
                            <w:rFonts w:ascii="Cambria Math" w:hAnsi="Cambria Math"/>
                            <w:i/>
                            <w:color w:val="auto"/>
                            <w:sz w:val="24"/>
                          </w:rPr>
                        </m:ctrlPr>
                      </m:sup>
                    </m:sSup>
                    <m:r>
                      <m:rPr/>
                      <w:rPr>
                        <w:rFonts w:ascii="Cambria Math" w:hAnsi="Cambria Math"/>
                        <w:color w:val="auto"/>
                        <w:sz w:val="24"/>
                      </w:rPr>
                      <m:t>+0.25</m:t>
                    </m:r>
                    <m:sSup>
                      <m:sSupPr>
                        <m:ctrlPr>
                          <w:rPr>
                            <w:rFonts w:ascii="Cambria Math" w:hAnsi="Cambria Math"/>
                            <w:i/>
                            <w:color w:val="auto"/>
                            <w:sz w:val="24"/>
                          </w:rPr>
                        </m:ctrlPr>
                      </m:sSupPr>
                      <m:e>
                        <m:r>
                          <m:rPr/>
                          <w:rPr>
                            <w:rFonts w:hint="eastAsia" w:ascii="Cambria Math" w:hAnsi="Cambria Math"/>
                            <w:color w:val="auto"/>
                            <w:sz w:val="24"/>
                          </w:rPr>
                          <m:t>r</m:t>
                        </m:r>
                        <m:ctrlPr>
                          <w:rPr>
                            <w:rFonts w:ascii="Cambria Math" w:hAnsi="Cambria Math"/>
                            <w:i/>
                            <w:color w:val="auto"/>
                            <w:sz w:val="24"/>
                          </w:rPr>
                        </m:ctrlPr>
                      </m:e>
                      <m:sup>
                        <m:r>
                          <m:rPr/>
                          <w:rPr>
                            <w:rFonts w:ascii="Cambria Math" w:hAnsi="Cambria Math"/>
                            <w:color w:val="auto"/>
                            <w:sz w:val="24"/>
                          </w:rPr>
                          <m:t>2</m:t>
                        </m:r>
                        <m:ctrlPr>
                          <w:rPr>
                            <w:rFonts w:ascii="Cambria Math" w:hAnsi="Cambria Math"/>
                            <w:i/>
                            <w:color w:val="auto"/>
                            <w:sz w:val="24"/>
                          </w:rPr>
                        </m:ctrlPr>
                      </m:sup>
                    </m:sSup>
                    <m:r>
                      <m:rPr/>
                      <w:rPr>
                        <w:rFonts w:ascii="Cambria Math" w:hAnsi="Cambria Math"/>
                        <w:color w:val="auto"/>
                        <w:sz w:val="24"/>
                      </w:rPr>
                      <m:t>)</m:t>
                    </m:r>
                    <m:ctrlPr>
                      <w:rPr>
                        <w:rFonts w:ascii="Cambria Math" w:hAnsi="Cambria Math"/>
                        <w:i/>
                        <w:color w:val="auto"/>
                        <w:sz w:val="24"/>
                      </w:rPr>
                    </m:ctrlPr>
                  </m:e>
                  <m:sup>
                    <m:r>
                      <m:rPr/>
                      <w:rPr>
                        <w:rFonts w:ascii="Cambria Math" w:hAnsi="Cambria Math"/>
                        <w:color w:val="auto"/>
                        <w:sz w:val="24"/>
                      </w:rPr>
                      <m:t>0.5</m:t>
                    </m:r>
                    <m:ctrlPr>
                      <w:rPr>
                        <w:rFonts w:ascii="Cambria Math" w:hAnsi="Cambria Math"/>
                        <w:i/>
                        <w:color w:val="auto"/>
                        <w:sz w:val="24"/>
                      </w:rPr>
                    </m:ctrlPr>
                  </m:sup>
                </m:sSup>
                <m:sSup>
                  <m:sSupPr>
                    <m:ctrlPr>
                      <w:rPr>
                        <w:rFonts w:ascii="Cambria Math" w:hAnsi="Cambria Math"/>
                        <w:i/>
                        <w:color w:val="auto"/>
                        <w:sz w:val="24"/>
                      </w:rPr>
                    </m:ctrlPr>
                  </m:sSupPr>
                  <m:e>
                    <m:r>
                      <m:rPr/>
                      <w:rPr>
                        <w:rFonts w:ascii="Cambria Math" w:hAnsi="Cambria Math"/>
                        <w:color w:val="auto"/>
                        <w:sz w:val="24"/>
                      </w:rPr>
                      <m:t>L</m:t>
                    </m:r>
                    <m:ctrlPr>
                      <w:rPr>
                        <w:rFonts w:ascii="Cambria Math" w:hAnsi="Cambria Math"/>
                        <w:i/>
                        <w:color w:val="auto"/>
                        <w:sz w:val="24"/>
                      </w:rPr>
                    </m:ctrlPr>
                  </m:e>
                  <m:sup>
                    <m:r>
                      <m:rPr/>
                      <w:rPr>
                        <w:rFonts w:ascii="Cambria Math" w:hAnsi="Cambria Math"/>
                        <w:color w:val="auto"/>
                        <w:sz w:val="24"/>
                      </w:rPr>
                      <m:t>D</m:t>
                    </m:r>
                    <m:ctrlPr>
                      <w:rPr>
                        <w:rFonts w:ascii="Cambria Math" w:hAnsi="Cambria Math"/>
                        <w:i/>
                        <w:color w:val="auto"/>
                        <w:sz w:val="24"/>
                      </w:rPr>
                    </m:ctrlPr>
                  </m:sup>
                </m:sSup>
                <m:r>
                  <m:rPr/>
                  <w:rPr>
                    <w:rFonts w:ascii="Cambria Math" w:hAnsi="Cambria Math"/>
                    <w:color w:val="auto"/>
                    <w:sz w:val="24"/>
                  </w:rPr>
                  <m:t>/A</m:t>
                </m:r>
              </m:oMath>
            </m:oMathPara>
          </w:p>
          <w:p w14:paraId="10093B48">
            <w:pPr>
              <w:autoSpaceDE w:val="0"/>
              <w:autoSpaceDN w:val="0"/>
              <w:adjustRightInd w:val="0"/>
              <w:spacing w:line="360" w:lineRule="auto"/>
              <w:ind w:firstLine="480" w:firstLineChars="200"/>
              <w:rPr>
                <w:color w:val="auto"/>
                <w:sz w:val="24"/>
              </w:rPr>
            </w:pPr>
            <w:r>
              <w:rPr>
                <w:rFonts w:hint="eastAsia"/>
                <w:color w:val="auto"/>
                <w:sz w:val="24"/>
              </w:rPr>
              <w:t>式中：</w:t>
            </w:r>
            <w:r>
              <w:rPr>
                <w:color w:val="auto"/>
                <w:sz w:val="24"/>
              </w:rPr>
              <w:t>Q</w:t>
            </w:r>
            <w:r>
              <w:rPr>
                <w:color w:val="auto"/>
                <w:sz w:val="24"/>
                <w:vertAlign w:val="subscript"/>
              </w:rPr>
              <w:t>c</w:t>
            </w:r>
            <w:r>
              <w:rPr>
                <w:rFonts w:hint="eastAsia"/>
                <w:color w:val="auto"/>
                <w:sz w:val="24"/>
              </w:rPr>
              <w:t>—大气有害物质的无组织排放量，单位为千克每小时（</w:t>
            </w:r>
            <w:r>
              <w:rPr>
                <w:color w:val="auto"/>
                <w:sz w:val="24"/>
              </w:rPr>
              <w:t>kg/h</w:t>
            </w:r>
            <w:r>
              <w:rPr>
                <w:rFonts w:hint="eastAsia"/>
                <w:color w:val="auto"/>
                <w:sz w:val="24"/>
              </w:rPr>
              <w:t>）；</w:t>
            </w:r>
          </w:p>
          <w:p w14:paraId="4D33F3AD">
            <w:pPr>
              <w:autoSpaceDE w:val="0"/>
              <w:autoSpaceDN w:val="0"/>
              <w:adjustRightInd w:val="0"/>
              <w:spacing w:line="360" w:lineRule="auto"/>
              <w:ind w:firstLine="1200" w:firstLineChars="500"/>
              <w:rPr>
                <w:color w:val="auto"/>
                <w:sz w:val="24"/>
              </w:rPr>
            </w:pPr>
            <w:r>
              <w:rPr>
                <w:color w:val="auto"/>
                <w:sz w:val="24"/>
              </w:rPr>
              <w:t>C</w:t>
            </w:r>
            <w:r>
              <w:rPr>
                <w:color w:val="auto"/>
                <w:sz w:val="24"/>
                <w:vertAlign w:val="subscript"/>
              </w:rPr>
              <w:t>m</w:t>
            </w:r>
            <w:r>
              <w:rPr>
                <w:rFonts w:hint="eastAsia"/>
                <w:color w:val="auto"/>
                <w:sz w:val="24"/>
              </w:rPr>
              <w:t>—大气有害物质环境空气质量的标准限值，单位为毫克每立方米（</w:t>
            </w:r>
            <w:r>
              <w:rPr>
                <w:color w:val="auto"/>
                <w:sz w:val="24"/>
              </w:rPr>
              <w:t>mg/m</w:t>
            </w:r>
            <w:r>
              <w:rPr>
                <w:color w:val="auto"/>
                <w:sz w:val="24"/>
                <w:vertAlign w:val="superscript"/>
              </w:rPr>
              <w:t>3</w:t>
            </w:r>
            <w:r>
              <w:rPr>
                <w:rFonts w:hint="eastAsia"/>
                <w:color w:val="auto"/>
                <w:sz w:val="24"/>
              </w:rPr>
              <w:t>）；</w:t>
            </w:r>
          </w:p>
          <w:p w14:paraId="5D18085E">
            <w:pPr>
              <w:autoSpaceDE w:val="0"/>
              <w:autoSpaceDN w:val="0"/>
              <w:adjustRightInd w:val="0"/>
              <w:spacing w:line="360" w:lineRule="auto"/>
              <w:ind w:firstLine="1200" w:firstLineChars="500"/>
              <w:rPr>
                <w:color w:val="auto"/>
                <w:sz w:val="24"/>
              </w:rPr>
            </w:pPr>
            <w:r>
              <w:rPr>
                <w:color w:val="auto"/>
                <w:sz w:val="24"/>
              </w:rPr>
              <w:t>L</w:t>
            </w:r>
            <w:r>
              <w:rPr>
                <w:rFonts w:hint="eastAsia"/>
                <w:color w:val="auto"/>
                <w:sz w:val="24"/>
              </w:rPr>
              <w:t>—大气有害物质卫生防护距离初值，单位为米（</w:t>
            </w:r>
            <w:r>
              <w:rPr>
                <w:color w:val="auto"/>
                <w:sz w:val="24"/>
              </w:rPr>
              <w:t>m</w:t>
            </w:r>
            <w:r>
              <w:rPr>
                <w:rFonts w:hint="eastAsia"/>
                <w:color w:val="auto"/>
                <w:sz w:val="24"/>
              </w:rPr>
              <w:t>）；</w:t>
            </w:r>
          </w:p>
          <w:p w14:paraId="7E05D3CA">
            <w:pPr>
              <w:autoSpaceDE w:val="0"/>
              <w:autoSpaceDN w:val="0"/>
              <w:adjustRightInd w:val="0"/>
              <w:spacing w:line="360" w:lineRule="auto"/>
              <w:ind w:firstLine="1200" w:firstLineChars="500"/>
              <w:rPr>
                <w:color w:val="auto"/>
                <w:sz w:val="24"/>
              </w:rPr>
            </w:pPr>
            <w:r>
              <w:rPr>
                <w:color w:val="auto"/>
                <w:sz w:val="24"/>
              </w:rPr>
              <w:t>r</w:t>
            </w:r>
            <w:r>
              <w:rPr>
                <w:rFonts w:hint="eastAsia"/>
                <w:color w:val="auto"/>
                <w:sz w:val="24"/>
              </w:rPr>
              <w:t>—有害气体无组织排放源所在生产单元的等效半径</w:t>
            </w:r>
            <w:r>
              <w:rPr>
                <w:color w:val="auto"/>
                <w:sz w:val="24"/>
              </w:rPr>
              <w:t>m</w:t>
            </w:r>
            <w:r>
              <w:rPr>
                <w:rFonts w:hint="eastAsia"/>
                <w:color w:val="auto"/>
                <w:sz w:val="24"/>
              </w:rPr>
              <w:t>；</w:t>
            </w:r>
          </w:p>
          <w:p w14:paraId="409ADDD3">
            <w:pPr>
              <w:autoSpaceDE w:val="0"/>
              <w:autoSpaceDN w:val="0"/>
              <w:adjustRightInd w:val="0"/>
              <w:spacing w:line="360" w:lineRule="auto"/>
              <w:ind w:firstLine="1200" w:firstLineChars="500"/>
              <w:rPr>
                <w:color w:val="auto"/>
                <w:sz w:val="24"/>
              </w:rPr>
            </w:pPr>
            <w:r>
              <w:rPr>
                <w:color w:val="auto"/>
                <w:sz w:val="24"/>
              </w:rPr>
              <w:t>A</w:t>
            </w:r>
            <w:r>
              <w:rPr>
                <w:rFonts w:hint="eastAsia"/>
                <w:color w:val="auto"/>
                <w:sz w:val="24"/>
              </w:rPr>
              <w:t>、</w:t>
            </w:r>
            <w:r>
              <w:rPr>
                <w:color w:val="auto"/>
                <w:sz w:val="24"/>
              </w:rPr>
              <w:t>B</w:t>
            </w:r>
            <w:r>
              <w:rPr>
                <w:rFonts w:hint="eastAsia"/>
                <w:color w:val="auto"/>
                <w:sz w:val="24"/>
              </w:rPr>
              <w:t>、</w:t>
            </w:r>
            <w:r>
              <w:rPr>
                <w:color w:val="auto"/>
                <w:sz w:val="24"/>
              </w:rPr>
              <w:t>C</w:t>
            </w:r>
            <w:r>
              <w:rPr>
                <w:rFonts w:hint="eastAsia"/>
                <w:color w:val="auto"/>
                <w:sz w:val="24"/>
              </w:rPr>
              <w:t>、</w:t>
            </w:r>
            <w:r>
              <w:rPr>
                <w:color w:val="auto"/>
                <w:sz w:val="24"/>
              </w:rPr>
              <w:t>D</w:t>
            </w:r>
            <w:r>
              <w:rPr>
                <w:rFonts w:hint="eastAsia"/>
                <w:color w:val="auto"/>
                <w:sz w:val="24"/>
              </w:rPr>
              <w:t>—卫生防护距离计算系数，无因次，根据工业企业所在地区近五年平均风速及工业企业大气污染源构成类别从下表查取。</w:t>
            </w:r>
          </w:p>
          <w:p w14:paraId="103CC1CB">
            <w:pPr>
              <w:pStyle w:val="57"/>
              <w:spacing w:line="360" w:lineRule="auto"/>
              <w:ind w:firstLine="480" w:firstLineChars="200"/>
              <w:jc w:val="both"/>
              <w:rPr>
                <w:b w:val="0"/>
                <w:bCs w:val="0"/>
                <w:color w:val="002DC7"/>
              </w:rPr>
            </w:pPr>
            <w:r>
              <w:rPr>
                <w:rFonts w:hint="eastAsia"/>
                <w:b w:val="0"/>
                <w:bCs w:val="0"/>
                <w:color w:val="auto"/>
              </w:rPr>
              <w:t>根据《大气有害物质无组织排放卫生防护距离推导技术导则 GB/T 39499-2020》规定，本项目属于Ⅱ类污染源，项目所在地多年平均风速为2.7m/s和初步估算的卫生防护距离L≤1000，因此卫生防护距离计算参数选取A=470、B=0.021、C=1.85、D=0.84，见表4-4，计算结果见表4-5。</w:t>
            </w:r>
          </w:p>
          <w:p w14:paraId="05E34FEF">
            <w:pPr>
              <w:pStyle w:val="22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表4-5 卫生防护距离计算系数</w:t>
            </w:r>
          </w:p>
          <w:tbl>
            <w:tblPr>
              <w:tblStyle w:val="40"/>
              <w:tblW w:w="82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1"/>
              <w:gridCol w:w="1420"/>
              <w:gridCol w:w="617"/>
              <w:gridCol w:w="568"/>
              <w:gridCol w:w="570"/>
              <w:gridCol w:w="710"/>
              <w:gridCol w:w="710"/>
              <w:gridCol w:w="570"/>
              <w:gridCol w:w="710"/>
              <w:gridCol w:w="603"/>
              <w:gridCol w:w="812"/>
            </w:tblGrid>
            <w:tr w14:paraId="26F0A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981" w:type="dxa"/>
                  <w:vMerge w:val="restart"/>
                  <w:vAlign w:val="center"/>
                </w:tcPr>
                <w:p w14:paraId="7C7E265D">
                  <w:pPr>
                    <w:spacing w:line="276" w:lineRule="auto"/>
                    <w:jc w:val="center"/>
                    <w:rPr>
                      <w:b/>
                      <w:bCs/>
                      <w:color w:val="auto"/>
                      <w:szCs w:val="21"/>
                    </w:rPr>
                  </w:pPr>
                  <w:r>
                    <w:rPr>
                      <w:rFonts w:hint="eastAsia" w:hAnsi="宋体"/>
                      <w:b/>
                      <w:bCs/>
                      <w:color w:val="auto"/>
                      <w:szCs w:val="21"/>
                    </w:rPr>
                    <w:t>卫生防护距离初值计算系数</w:t>
                  </w:r>
                </w:p>
              </w:tc>
              <w:tc>
                <w:tcPr>
                  <w:tcW w:w="1420" w:type="dxa"/>
                  <w:vMerge w:val="restart"/>
                  <w:vAlign w:val="center"/>
                </w:tcPr>
                <w:p w14:paraId="0E92B3E0">
                  <w:pPr>
                    <w:spacing w:line="276" w:lineRule="auto"/>
                    <w:jc w:val="center"/>
                    <w:rPr>
                      <w:b/>
                      <w:bCs/>
                      <w:color w:val="auto"/>
                      <w:szCs w:val="21"/>
                    </w:rPr>
                  </w:pPr>
                  <w:r>
                    <w:rPr>
                      <w:rFonts w:hint="eastAsia" w:hAnsi="宋体"/>
                      <w:b/>
                      <w:bCs/>
                      <w:color w:val="auto"/>
                      <w:szCs w:val="21"/>
                    </w:rPr>
                    <w:t>工业企业所在地区近5年平均风速(m/s)</w:t>
                  </w:r>
                </w:p>
              </w:tc>
              <w:tc>
                <w:tcPr>
                  <w:tcW w:w="5870" w:type="dxa"/>
                  <w:gridSpan w:val="9"/>
                  <w:vAlign w:val="center"/>
                </w:tcPr>
                <w:p w14:paraId="2D0B560B">
                  <w:pPr>
                    <w:spacing w:line="276" w:lineRule="auto"/>
                    <w:jc w:val="center"/>
                    <w:rPr>
                      <w:b/>
                      <w:bCs/>
                      <w:color w:val="auto"/>
                      <w:szCs w:val="21"/>
                    </w:rPr>
                  </w:pPr>
                  <w:r>
                    <w:rPr>
                      <w:rFonts w:hint="eastAsia"/>
                      <w:b/>
                      <w:bCs/>
                      <w:color w:val="auto"/>
                      <w:szCs w:val="21"/>
                    </w:rPr>
                    <w:t>卫生防护距离L(m)</w:t>
                  </w:r>
                </w:p>
              </w:tc>
            </w:tr>
            <w:tr w14:paraId="3F998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981" w:type="dxa"/>
                  <w:vMerge w:val="continue"/>
                  <w:vAlign w:val="center"/>
                </w:tcPr>
                <w:p w14:paraId="79C14E2A">
                  <w:pPr>
                    <w:spacing w:line="276" w:lineRule="auto"/>
                    <w:jc w:val="center"/>
                    <w:rPr>
                      <w:rFonts w:hint="eastAsia" w:hAnsi="宋体"/>
                      <w:b/>
                      <w:bCs/>
                      <w:color w:val="auto"/>
                      <w:szCs w:val="21"/>
                    </w:rPr>
                  </w:pPr>
                </w:p>
              </w:tc>
              <w:tc>
                <w:tcPr>
                  <w:tcW w:w="1420" w:type="dxa"/>
                  <w:vMerge w:val="continue"/>
                  <w:vAlign w:val="center"/>
                </w:tcPr>
                <w:p w14:paraId="07E0A270">
                  <w:pPr>
                    <w:spacing w:line="276" w:lineRule="auto"/>
                    <w:jc w:val="center"/>
                    <w:rPr>
                      <w:rFonts w:hint="eastAsia" w:hAnsi="宋体"/>
                      <w:b/>
                      <w:bCs/>
                      <w:color w:val="auto"/>
                      <w:szCs w:val="21"/>
                    </w:rPr>
                  </w:pPr>
                </w:p>
              </w:tc>
              <w:tc>
                <w:tcPr>
                  <w:tcW w:w="1755" w:type="dxa"/>
                  <w:gridSpan w:val="3"/>
                  <w:vAlign w:val="center"/>
                </w:tcPr>
                <w:p w14:paraId="4FC45BDB">
                  <w:pPr>
                    <w:autoSpaceDE w:val="0"/>
                    <w:autoSpaceDN w:val="0"/>
                    <w:adjustRightInd w:val="0"/>
                    <w:spacing w:line="276" w:lineRule="auto"/>
                    <w:jc w:val="center"/>
                    <w:rPr>
                      <w:b/>
                      <w:color w:val="auto"/>
                      <w:spacing w:val="-2"/>
                      <w:szCs w:val="21"/>
                    </w:rPr>
                  </w:pPr>
                  <w:r>
                    <w:rPr>
                      <w:rFonts w:hint="eastAsia"/>
                      <w:b/>
                      <w:color w:val="auto"/>
                      <w:spacing w:val="-2"/>
                      <w:szCs w:val="21"/>
                    </w:rPr>
                    <w:t>L≤1000</w:t>
                  </w:r>
                </w:p>
              </w:tc>
              <w:tc>
                <w:tcPr>
                  <w:tcW w:w="1990" w:type="dxa"/>
                  <w:gridSpan w:val="3"/>
                  <w:vAlign w:val="center"/>
                </w:tcPr>
                <w:p w14:paraId="3B04D11A">
                  <w:pPr>
                    <w:autoSpaceDE w:val="0"/>
                    <w:autoSpaceDN w:val="0"/>
                    <w:adjustRightInd w:val="0"/>
                    <w:spacing w:line="276" w:lineRule="auto"/>
                    <w:jc w:val="center"/>
                    <w:rPr>
                      <w:b/>
                      <w:color w:val="auto"/>
                      <w:spacing w:val="-2"/>
                      <w:szCs w:val="21"/>
                    </w:rPr>
                  </w:pPr>
                  <w:r>
                    <w:rPr>
                      <w:rFonts w:hint="eastAsia"/>
                      <w:b/>
                      <w:color w:val="auto"/>
                      <w:spacing w:val="-2"/>
                      <w:szCs w:val="21"/>
                    </w:rPr>
                    <w:t>1000＜L≤2000</w:t>
                  </w:r>
                </w:p>
              </w:tc>
              <w:tc>
                <w:tcPr>
                  <w:tcW w:w="2125" w:type="dxa"/>
                  <w:gridSpan w:val="3"/>
                  <w:vAlign w:val="center"/>
                </w:tcPr>
                <w:p w14:paraId="42D6A58A">
                  <w:pPr>
                    <w:spacing w:line="276" w:lineRule="auto"/>
                    <w:jc w:val="center"/>
                    <w:rPr>
                      <w:b/>
                      <w:bCs/>
                      <w:color w:val="auto"/>
                      <w:szCs w:val="21"/>
                    </w:rPr>
                  </w:pPr>
                  <w:r>
                    <w:rPr>
                      <w:rFonts w:hint="eastAsia"/>
                      <w:b/>
                      <w:bCs/>
                      <w:color w:val="auto"/>
                      <w:szCs w:val="21"/>
                    </w:rPr>
                    <w:t xml:space="preserve">L＞2000      </w:t>
                  </w:r>
                </w:p>
              </w:tc>
            </w:tr>
            <w:tr w14:paraId="13499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981" w:type="dxa"/>
                  <w:vMerge w:val="continue"/>
                  <w:vAlign w:val="center"/>
                </w:tcPr>
                <w:p w14:paraId="00497D09">
                  <w:pPr>
                    <w:spacing w:line="276" w:lineRule="auto"/>
                    <w:jc w:val="center"/>
                    <w:rPr>
                      <w:rFonts w:hint="eastAsia" w:hAnsi="宋体"/>
                      <w:b/>
                      <w:bCs/>
                      <w:color w:val="auto"/>
                      <w:szCs w:val="21"/>
                    </w:rPr>
                  </w:pPr>
                </w:p>
              </w:tc>
              <w:tc>
                <w:tcPr>
                  <w:tcW w:w="1420" w:type="dxa"/>
                  <w:vMerge w:val="continue"/>
                  <w:vAlign w:val="center"/>
                </w:tcPr>
                <w:p w14:paraId="1E4E6EC8">
                  <w:pPr>
                    <w:spacing w:line="276" w:lineRule="auto"/>
                    <w:jc w:val="center"/>
                    <w:rPr>
                      <w:rFonts w:hint="eastAsia" w:hAnsi="宋体"/>
                      <w:b/>
                      <w:bCs/>
                      <w:color w:val="auto"/>
                      <w:szCs w:val="21"/>
                    </w:rPr>
                  </w:pPr>
                </w:p>
              </w:tc>
              <w:tc>
                <w:tcPr>
                  <w:tcW w:w="5870" w:type="dxa"/>
                  <w:gridSpan w:val="9"/>
                  <w:vAlign w:val="center"/>
                </w:tcPr>
                <w:p w14:paraId="41FC9E16">
                  <w:pPr>
                    <w:spacing w:line="276" w:lineRule="auto"/>
                    <w:jc w:val="center"/>
                    <w:rPr>
                      <w:b/>
                      <w:bCs/>
                      <w:color w:val="auto"/>
                      <w:szCs w:val="21"/>
                    </w:rPr>
                  </w:pPr>
                  <w:r>
                    <w:rPr>
                      <w:rFonts w:hint="eastAsia"/>
                      <w:b/>
                      <w:bCs/>
                      <w:color w:val="auto"/>
                      <w:szCs w:val="21"/>
                    </w:rPr>
                    <w:t>工业企业大气污染源构成类型</w:t>
                  </w:r>
                </w:p>
              </w:tc>
            </w:tr>
            <w:tr w14:paraId="088291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vAlign w:val="center"/>
                </w:tcPr>
                <w:p w14:paraId="098E84A5">
                  <w:pPr>
                    <w:spacing w:line="276" w:lineRule="auto"/>
                    <w:jc w:val="center"/>
                    <w:rPr>
                      <w:color w:val="auto"/>
                      <w:szCs w:val="21"/>
                    </w:rPr>
                  </w:pPr>
                </w:p>
              </w:tc>
              <w:tc>
                <w:tcPr>
                  <w:tcW w:w="1420" w:type="dxa"/>
                  <w:vMerge w:val="continue"/>
                  <w:vAlign w:val="center"/>
                </w:tcPr>
                <w:p w14:paraId="3B837653">
                  <w:pPr>
                    <w:spacing w:line="276" w:lineRule="auto"/>
                    <w:jc w:val="center"/>
                    <w:rPr>
                      <w:color w:val="auto"/>
                      <w:szCs w:val="21"/>
                    </w:rPr>
                  </w:pPr>
                </w:p>
              </w:tc>
              <w:tc>
                <w:tcPr>
                  <w:tcW w:w="617" w:type="dxa"/>
                  <w:vAlign w:val="center"/>
                </w:tcPr>
                <w:p w14:paraId="3D5F1376">
                  <w:pPr>
                    <w:spacing w:line="276" w:lineRule="auto"/>
                    <w:jc w:val="center"/>
                    <w:rPr>
                      <w:b/>
                      <w:bCs/>
                      <w:color w:val="auto"/>
                      <w:szCs w:val="21"/>
                    </w:rPr>
                  </w:pPr>
                  <w:r>
                    <w:rPr>
                      <w:rFonts w:hint="eastAsia"/>
                      <w:b/>
                      <w:bCs/>
                      <w:color w:val="auto"/>
                      <w:szCs w:val="21"/>
                    </w:rPr>
                    <w:t>Ⅰ</w:t>
                  </w:r>
                </w:p>
              </w:tc>
              <w:tc>
                <w:tcPr>
                  <w:tcW w:w="568" w:type="dxa"/>
                  <w:vAlign w:val="center"/>
                </w:tcPr>
                <w:p w14:paraId="037A7062">
                  <w:pPr>
                    <w:spacing w:line="276" w:lineRule="auto"/>
                    <w:jc w:val="center"/>
                    <w:rPr>
                      <w:b/>
                      <w:bCs/>
                      <w:color w:val="auto"/>
                      <w:szCs w:val="21"/>
                    </w:rPr>
                  </w:pPr>
                  <w:r>
                    <w:rPr>
                      <w:rFonts w:hint="eastAsia"/>
                      <w:b/>
                      <w:bCs/>
                      <w:color w:val="auto"/>
                      <w:szCs w:val="21"/>
                    </w:rPr>
                    <w:t>Ⅱ</w:t>
                  </w:r>
                </w:p>
              </w:tc>
              <w:tc>
                <w:tcPr>
                  <w:tcW w:w="570" w:type="dxa"/>
                  <w:vAlign w:val="center"/>
                </w:tcPr>
                <w:p w14:paraId="0B362344">
                  <w:pPr>
                    <w:spacing w:line="276" w:lineRule="auto"/>
                    <w:jc w:val="center"/>
                    <w:rPr>
                      <w:b/>
                      <w:bCs/>
                      <w:color w:val="auto"/>
                      <w:szCs w:val="21"/>
                    </w:rPr>
                  </w:pPr>
                  <w:r>
                    <w:rPr>
                      <w:rFonts w:hint="eastAsia"/>
                      <w:b/>
                      <w:bCs/>
                      <w:color w:val="auto"/>
                      <w:szCs w:val="21"/>
                    </w:rPr>
                    <w:t>Ⅲ</w:t>
                  </w:r>
                </w:p>
              </w:tc>
              <w:tc>
                <w:tcPr>
                  <w:tcW w:w="710" w:type="dxa"/>
                  <w:vAlign w:val="center"/>
                </w:tcPr>
                <w:p w14:paraId="36F39C01">
                  <w:pPr>
                    <w:spacing w:line="276" w:lineRule="auto"/>
                    <w:jc w:val="center"/>
                    <w:rPr>
                      <w:color w:val="auto"/>
                      <w:szCs w:val="21"/>
                    </w:rPr>
                  </w:pPr>
                  <w:r>
                    <w:rPr>
                      <w:rFonts w:hint="eastAsia"/>
                      <w:b/>
                      <w:bCs/>
                      <w:color w:val="auto"/>
                      <w:szCs w:val="21"/>
                    </w:rPr>
                    <w:t>Ⅰ</w:t>
                  </w:r>
                </w:p>
              </w:tc>
              <w:tc>
                <w:tcPr>
                  <w:tcW w:w="710" w:type="dxa"/>
                  <w:vAlign w:val="center"/>
                </w:tcPr>
                <w:p w14:paraId="3AB4A3F6">
                  <w:pPr>
                    <w:spacing w:line="276" w:lineRule="auto"/>
                    <w:jc w:val="center"/>
                    <w:rPr>
                      <w:color w:val="auto"/>
                      <w:szCs w:val="21"/>
                    </w:rPr>
                  </w:pPr>
                  <w:r>
                    <w:rPr>
                      <w:rFonts w:hint="eastAsia"/>
                      <w:b/>
                      <w:bCs/>
                      <w:color w:val="auto"/>
                      <w:szCs w:val="21"/>
                    </w:rPr>
                    <w:t>Ⅱ</w:t>
                  </w:r>
                </w:p>
              </w:tc>
              <w:tc>
                <w:tcPr>
                  <w:tcW w:w="570" w:type="dxa"/>
                  <w:vAlign w:val="center"/>
                </w:tcPr>
                <w:p w14:paraId="3F02E6CA">
                  <w:pPr>
                    <w:spacing w:line="276" w:lineRule="auto"/>
                    <w:jc w:val="center"/>
                    <w:rPr>
                      <w:color w:val="auto"/>
                      <w:szCs w:val="21"/>
                    </w:rPr>
                  </w:pPr>
                  <w:r>
                    <w:rPr>
                      <w:rFonts w:hint="eastAsia"/>
                      <w:b/>
                      <w:bCs/>
                      <w:color w:val="auto"/>
                      <w:szCs w:val="21"/>
                    </w:rPr>
                    <w:t>Ⅲ</w:t>
                  </w:r>
                </w:p>
              </w:tc>
              <w:tc>
                <w:tcPr>
                  <w:tcW w:w="710" w:type="dxa"/>
                  <w:vAlign w:val="center"/>
                </w:tcPr>
                <w:p w14:paraId="6D5CA5BA">
                  <w:pPr>
                    <w:spacing w:line="276" w:lineRule="auto"/>
                    <w:jc w:val="center"/>
                    <w:rPr>
                      <w:color w:val="auto"/>
                      <w:szCs w:val="21"/>
                    </w:rPr>
                  </w:pPr>
                  <w:r>
                    <w:rPr>
                      <w:rFonts w:hint="eastAsia"/>
                      <w:b/>
                      <w:bCs/>
                      <w:color w:val="auto"/>
                      <w:szCs w:val="21"/>
                    </w:rPr>
                    <w:t>Ⅰ</w:t>
                  </w:r>
                </w:p>
              </w:tc>
              <w:tc>
                <w:tcPr>
                  <w:tcW w:w="603" w:type="dxa"/>
                  <w:vAlign w:val="center"/>
                </w:tcPr>
                <w:p w14:paraId="164EC250">
                  <w:pPr>
                    <w:spacing w:line="276" w:lineRule="auto"/>
                    <w:jc w:val="center"/>
                    <w:rPr>
                      <w:color w:val="auto"/>
                      <w:szCs w:val="21"/>
                    </w:rPr>
                  </w:pPr>
                  <w:r>
                    <w:rPr>
                      <w:rFonts w:hint="eastAsia"/>
                      <w:b/>
                      <w:bCs/>
                      <w:color w:val="auto"/>
                      <w:szCs w:val="21"/>
                    </w:rPr>
                    <w:t>Ⅱ</w:t>
                  </w:r>
                </w:p>
              </w:tc>
              <w:tc>
                <w:tcPr>
                  <w:tcW w:w="812" w:type="dxa"/>
                  <w:vAlign w:val="center"/>
                </w:tcPr>
                <w:p w14:paraId="668146B6">
                  <w:pPr>
                    <w:spacing w:line="276" w:lineRule="auto"/>
                    <w:jc w:val="center"/>
                    <w:rPr>
                      <w:color w:val="auto"/>
                      <w:szCs w:val="21"/>
                    </w:rPr>
                  </w:pPr>
                  <w:r>
                    <w:rPr>
                      <w:rFonts w:hint="eastAsia"/>
                      <w:b/>
                      <w:bCs/>
                      <w:color w:val="auto"/>
                      <w:szCs w:val="21"/>
                    </w:rPr>
                    <w:t>Ⅲ</w:t>
                  </w:r>
                </w:p>
              </w:tc>
            </w:tr>
            <w:tr w14:paraId="39B41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restart"/>
                  <w:vAlign w:val="center"/>
                </w:tcPr>
                <w:p w14:paraId="14085C1E">
                  <w:pPr>
                    <w:spacing w:line="276" w:lineRule="auto"/>
                    <w:jc w:val="center"/>
                    <w:rPr>
                      <w:color w:val="auto"/>
                      <w:szCs w:val="21"/>
                    </w:rPr>
                  </w:pPr>
                  <w:r>
                    <w:rPr>
                      <w:rFonts w:hint="eastAsia"/>
                      <w:color w:val="auto"/>
                      <w:szCs w:val="21"/>
                    </w:rPr>
                    <w:t>A</w:t>
                  </w:r>
                </w:p>
              </w:tc>
              <w:tc>
                <w:tcPr>
                  <w:tcW w:w="1420" w:type="dxa"/>
                  <w:vAlign w:val="center"/>
                </w:tcPr>
                <w:p w14:paraId="1FC2AC8A">
                  <w:pPr>
                    <w:spacing w:line="276" w:lineRule="auto"/>
                    <w:jc w:val="center"/>
                    <w:rPr>
                      <w:color w:val="auto"/>
                      <w:szCs w:val="21"/>
                    </w:rPr>
                  </w:pPr>
                  <w:r>
                    <w:rPr>
                      <w:rFonts w:hint="eastAsia"/>
                      <w:color w:val="auto"/>
                      <w:szCs w:val="21"/>
                    </w:rPr>
                    <w:t>＜2</w:t>
                  </w:r>
                </w:p>
              </w:tc>
              <w:tc>
                <w:tcPr>
                  <w:tcW w:w="617" w:type="dxa"/>
                  <w:vAlign w:val="center"/>
                </w:tcPr>
                <w:p w14:paraId="0A61E21C">
                  <w:pPr>
                    <w:spacing w:line="276" w:lineRule="auto"/>
                    <w:jc w:val="center"/>
                    <w:rPr>
                      <w:color w:val="auto"/>
                      <w:szCs w:val="21"/>
                    </w:rPr>
                  </w:pPr>
                  <w:r>
                    <w:rPr>
                      <w:rFonts w:hint="eastAsia"/>
                      <w:color w:val="auto"/>
                      <w:szCs w:val="21"/>
                    </w:rPr>
                    <w:t>400</w:t>
                  </w:r>
                </w:p>
              </w:tc>
              <w:tc>
                <w:tcPr>
                  <w:tcW w:w="568" w:type="dxa"/>
                  <w:vAlign w:val="center"/>
                </w:tcPr>
                <w:p w14:paraId="682BF395">
                  <w:pPr>
                    <w:spacing w:line="276" w:lineRule="auto"/>
                    <w:jc w:val="center"/>
                    <w:rPr>
                      <w:color w:val="auto"/>
                      <w:szCs w:val="21"/>
                    </w:rPr>
                  </w:pPr>
                  <w:r>
                    <w:rPr>
                      <w:rFonts w:hint="eastAsia"/>
                      <w:color w:val="auto"/>
                      <w:szCs w:val="21"/>
                    </w:rPr>
                    <w:t>400</w:t>
                  </w:r>
                </w:p>
              </w:tc>
              <w:tc>
                <w:tcPr>
                  <w:tcW w:w="570" w:type="dxa"/>
                  <w:vAlign w:val="center"/>
                </w:tcPr>
                <w:p w14:paraId="792C89CB">
                  <w:pPr>
                    <w:spacing w:line="276" w:lineRule="auto"/>
                    <w:jc w:val="center"/>
                    <w:rPr>
                      <w:color w:val="auto"/>
                      <w:szCs w:val="21"/>
                    </w:rPr>
                  </w:pPr>
                  <w:r>
                    <w:rPr>
                      <w:rFonts w:hint="eastAsia"/>
                      <w:color w:val="auto"/>
                      <w:szCs w:val="21"/>
                    </w:rPr>
                    <w:t>400</w:t>
                  </w:r>
                </w:p>
              </w:tc>
              <w:tc>
                <w:tcPr>
                  <w:tcW w:w="710" w:type="dxa"/>
                  <w:vAlign w:val="center"/>
                </w:tcPr>
                <w:p w14:paraId="3CAF3BD0">
                  <w:pPr>
                    <w:spacing w:line="276" w:lineRule="auto"/>
                    <w:jc w:val="center"/>
                    <w:rPr>
                      <w:color w:val="auto"/>
                      <w:szCs w:val="21"/>
                    </w:rPr>
                  </w:pPr>
                  <w:r>
                    <w:rPr>
                      <w:rFonts w:hint="eastAsia"/>
                      <w:color w:val="auto"/>
                      <w:szCs w:val="21"/>
                    </w:rPr>
                    <w:t>400</w:t>
                  </w:r>
                </w:p>
              </w:tc>
              <w:tc>
                <w:tcPr>
                  <w:tcW w:w="710" w:type="dxa"/>
                  <w:vAlign w:val="center"/>
                </w:tcPr>
                <w:p w14:paraId="29967933">
                  <w:pPr>
                    <w:spacing w:line="276" w:lineRule="auto"/>
                    <w:jc w:val="center"/>
                    <w:rPr>
                      <w:color w:val="auto"/>
                      <w:szCs w:val="21"/>
                    </w:rPr>
                  </w:pPr>
                  <w:r>
                    <w:rPr>
                      <w:rFonts w:hint="eastAsia"/>
                      <w:color w:val="auto"/>
                      <w:szCs w:val="21"/>
                    </w:rPr>
                    <w:t>400</w:t>
                  </w:r>
                </w:p>
              </w:tc>
              <w:tc>
                <w:tcPr>
                  <w:tcW w:w="570" w:type="dxa"/>
                  <w:vAlign w:val="center"/>
                </w:tcPr>
                <w:p w14:paraId="0CB45CD1">
                  <w:pPr>
                    <w:spacing w:line="276" w:lineRule="auto"/>
                    <w:jc w:val="center"/>
                    <w:rPr>
                      <w:color w:val="auto"/>
                      <w:szCs w:val="21"/>
                    </w:rPr>
                  </w:pPr>
                  <w:r>
                    <w:rPr>
                      <w:rFonts w:hint="eastAsia"/>
                      <w:color w:val="auto"/>
                      <w:szCs w:val="21"/>
                    </w:rPr>
                    <w:t>400</w:t>
                  </w:r>
                </w:p>
              </w:tc>
              <w:tc>
                <w:tcPr>
                  <w:tcW w:w="710" w:type="dxa"/>
                  <w:vAlign w:val="center"/>
                </w:tcPr>
                <w:p w14:paraId="7E5975BE">
                  <w:pPr>
                    <w:spacing w:line="276" w:lineRule="auto"/>
                    <w:jc w:val="center"/>
                    <w:rPr>
                      <w:color w:val="auto"/>
                      <w:szCs w:val="21"/>
                    </w:rPr>
                  </w:pPr>
                  <w:r>
                    <w:rPr>
                      <w:rFonts w:hint="eastAsia"/>
                      <w:color w:val="auto"/>
                      <w:szCs w:val="21"/>
                    </w:rPr>
                    <w:t>80</w:t>
                  </w:r>
                </w:p>
              </w:tc>
              <w:tc>
                <w:tcPr>
                  <w:tcW w:w="603" w:type="dxa"/>
                  <w:vAlign w:val="center"/>
                </w:tcPr>
                <w:p w14:paraId="49070697">
                  <w:pPr>
                    <w:spacing w:line="276" w:lineRule="auto"/>
                    <w:jc w:val="center"/>
                    <w:rPr>
                      <w:color w:val="auto"/>
                      <w:szCs w:val="21"/>
                    </w:rPr>
                  </w:pPr>
                  <w:r>
                    <w:rPr>
                      <w:rFonts w:hint="eastAsia"/>
                      <w:color w:val="auto"/>
                      <w:szCs w:val="21"/>
                    </w:rPr>
                    <w:t>80</w:t>
                  </w:r>
                </w:p>
              </w:tc>
              <w:tc>
                <w:tcPr>
                  <w:tcW w:w="812" w:type="dxa"/>
                  <w:vAlign w:val="center"/>
                </w:tcPr>
                <w:p w14:paraId="2D949F68">
                  <w:pPr>
                    <w:spacing w:line="276" w:lineRule="auto"/>
                    <w:jc w:val="center"/>
                    <w:rPr>
                      <w:color w:val="auto"/>
                      <w:szCs w:val="21"/>
                    </w:rPr>
                  </w:pPr>
                  <w:r>
                    <w:rPr>
                      <w:rFonts w:hint="eastAsia"/>
                      <w:color w:val="auto"/>
                      <w:szCs w:val="21"/>
                    </w:rPr>
                    <w:t>80</w:t>
                  </w:r>
                </w:p>
              </w:tc>
            </w:tr>
            <w:tr w14:paraId="5752AA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shd w:val="clear" w:color="auto" w:fill="auto"/>
                  <w:vAlign w:val="center"/>
                </w:tcPr>
                <w:p w14:paraId="4CCB2030">
                  <w:pPr>
                    <w:spacing w:line="276" w:lineRule="auto"/>
                    <w:jc w:val="center"/>
                    <w:rPr>
                      <w:rFonts w:hint="eastAsia" w:hAnsi="宋体"/>
                      <w:color w:val="auto"/>
                      <w:kern w:val="0"/>
                      <w:szCs w:val="21"/>
                    </w:rPr>
                  </w:pPr>
                </w:p>
              </w:tc>
              <w:tc>
                <w:tcPr>
                  <w:tcW w:w="1420" w:type="dxa"/>
                  <w:shd w:val="clear" w:color="auto" w:fill="auto"/>
                  <w:vAlign w:val="center"/>
                </w:tcPr>
                <w:p w14:paraId="279EBDEF">
                  <w:pPr>
                    <w:spacing w:line="276" w:lineRule="auto"/>
                    <w:jc w:val="center"/>
                    <w:rPr>
                      <w:rFonts w:hint="eastAsia" w:hAnsi="宋体"/>
                      <w:color w:val="auto"/>
                      <w:szCs w:val="21"/>
                    </w:rPr>
                  </w:pPr>
                  <w:r>
                    <w:rPr>
                      <w:rFonts w:hint="eastAsia" w:hAnsi="宋体"/>
                      <w:color w:val="auto"/>
                      <w:szCs w:val="21"/>
                    </w:rPr>
                    <w:t>2～4</w:t>
                  </w:r>
                </w:p>
              </w:tc>
              <w:tc>
                <w:tcPr>
                  <w:tcW w:w="617" w:type="dxa"/>
                  <w:shd w:val="clear" w:color="auto" w:fill="auto"/>
                  <w:vAlign w:val="center"/>
                </w:tcPr>
                <w:p w14:paraId="0FE95444">
                  <w:pPr>
                    <w:spacing w:line="276" w:lineRule="auto"/>
                    <w:jc w:val="center"/>
                    <w:rPr>
                      <w:color w:val="auto"/>
                      <w:szCs w:val="21"/>
                    </w:rPr>
                  </w:pPr>
                  <w:r>
                    <w:rPr>
                      <w:rFonts w:hint="eastAsia"/>
                      <w:color w:val="auto"/>
                      <w:szCs w:val="21"/>
                    </w:rPr>
                    <w:t>700</w:t>
                  </w:r>
                </w:p>
              </w:tc>
              <w:tc>
                <w:tcPr>
                  <w:tcW w:w="568" w:type="dxa"/>
                  <w:shd w:val="clear" w:color="auto" w:fill="auto"/>
                  <w:vAlign w:val="center"/>
                </w:tcPr>
                <w:p w14:paraId="05527166">
                  <w:pPr>
                    <w:spacing w:line="276" w:lineRule="auto"/>
                    <w:jc w:val="center"/>
                    <w:rPr>
                      <w:color w:val="auto"/>
                      <w:szCs w:val="21"/>
                    </w:rPr>
                  </w:pPr>
                  <w:r>
                    <w:rPr>
                      <w:rFonts w:hint="eastAsia"/>
                      <w:color w:val="auto"/>
                      <w:szCs w:val="21"/>
                    </w:rPr>
                    <w:t>470</w:t>
                  </w:r>
                </w:p>
              </w:tc>
              <w:tc>
                <w:tcPr>
                  <w:tcW w:w="570" w:type="dxa"/>
                  <w:shd w:val="clear" w:color="auto" w:fill="auto"/>
                  <w:vAlign w:val="center"/>
                </w:tcPr>
                <w:p w14:paraId="46D50E7A">
                  <w:pPr>
                    <w:spacing w:line="276" w:lineRule="auto"/>
                    <w:jc w:val="center"/>
                    <w:rPr>
                      <w:color w:val="auto"/>
                      <w:szCs w:val="21"/>
                    </w:rPr>
                  </w:pPr>
                  <w:r>
                    <w:rPr>
                      <w:rFonts w:hint="eastAsia"/>
                      <w:color w:val="auto"/>
                      <w:szCs w:val="21"/>
                    </w:rPr>
                    <w:t>350</w:t>
                  </w:r>
                </w:p>
              </w:tc>
              <w:tc>
                <w:tcPr>
                  <w:tcW w:w="710" w:type="dxa"/>
                  <w:vAlign w:val="center"/>
                </w:tcPr>
                <w:p w14:paraId="76992F8A">
                  <w:pPr>
                    <w:spacing w:line="276" w:lineRule="auto"/>
                    <w:jc w:val="center"/>
                    <w:rPr>
                      <w:color w:val="auto"/>
                      <w:szCs w:val="21"/>
                    </w:rPr>
                  </w:pPr>
                  <w:r>
                    <w:rPr>
                      <w:rFonts w:hint="eastAsia"/>
                      <w:color w:val="auto"/>
                      <w:szCs w:val="21"/>
                    </w:rPr>
                    <w:t>700</w:t>
                  </w:r>
                </w:p>
              </w:tc>
              <w:tc>
                <w:tcPr>
                  <w:tcW w:w="710" w:type="dxa"/>
                  <w:vAlign w:val="center"/>
                </w:tcPr>
                <w:p w14:paraId="6DC1BD70">
                  <w:pPr>
                    <w:spacing w:line="276" w:lineRule="auto"/>
                    <w:jc w:val="center"/>
                    <w:rPr>
                      <w:color w:val="auto"/>
                      <w:szCs w:val="21"/>
                    </w:rPr>
                  </w:pPr>
                  <w:r>
                    <w:rPr>
                      <w:rFonts w:hint="eastAsia"/>
                      <w:color w:val="auto"/>
                      <w:szCs w:val="21"/>
                    </w:rPr>
                    <w:t>470</w:t>
                  </w:r>
                </w:p>
              </w:tc>
              <w:tc>
                <w:tcPr>
                  <w:tcW w:w="570" w:type="dxa"/>
                  <w:vAlign w:val="center"/>
                </w:tcPr>
                <w:p w14:paraId="3C8D58B7">
                  <w:pPr>
                    <w:spacing w:line="276" w:lineRule="auto"/>
                    <w:jc w:val="center"/>
                    <w:rPr>
                      <w:color w:val="auto"/>
                      <w:szCs w:val="21"/>
                    </w:rPr>
                  </w:pPr>
                  <w:r>
                    <w:rPr>
                      <w:rFonts w:hint="eastAsia"/>
                      <w:color w:val="auto"/>
                      <w:szCs w:val="21"/>
                    </w:rPr>
                    <w:t>350</w:t>
                  </w:r>
                </w:p>
              </w:tc>
              <w:tc>
                <w:tcPr>
                  <w:tcW w:w="710" w:type="dxa"/>
                  <w:vAlign w:val="center"/>
                </w:tcPr>
                <w:p w14:paraId="15913508">
                  <w:pPr>
                    <w:spacing w:line="276" w:lineRule="auto"/>
                    <w:jc w:val="center"/>
                    <w:rPr>
                      <w:color w:val="auto"/>
                      <w:szCs w:val="21"/>
                    </w:rPr>
                  </w:pPr>
                  <w:r>
                    <w:rPr>
                      <w:rFonts w:hint="eastAsia"/>
                      <w:color w:val="auto"/>
                      <w:szCs w:val="21"/>
                    </w:rPr>
                    <w:t>380</w:t>
                  </w:r>
                </w:p>
              </w:tc>
              <w:tc>
                <w:tcPr>
                  <w:tcW w:w="603" w:type="dxa"/>
                  <w:vAlign w:val="center"/>
                </w:tcPr>
                <w:p w14:paraId="7EAC317E">
                  <w:pPr>
                    <w:spacing w:line="276" w:lineRule="auto"/>
                    <w:jc w:val="center"/>
                    <w:rPr>
                      <w:color w:val="auto"/>
                      <w:szCs w:val="21"/>
                    </w:rPr>
                  </w:pPr>
                  <w:r>
                    <w:rPr>
                      <w:rFonts w:hint="eastAsia"/>
                      <w:color w:val="auto"/>
                      <w:szCs w:val="21"/>
                    </w:rPr>
                    <w:t>250</w:t>
                  </w:r>
                </w:p>
              </w:tc>
              <w:tc>
                <w:tcPr>
                  <w:tcW w:w="812" w:type="dxa"/>
                  <w:vAlign w:val="center"/>
                </w:tcPr>
                <w:p w14:paraId="2EF3BAD1">
                  <w:pPr>
                    <w:spacing w:line="276" w:lineRule="auto"/>
                    <w:jc w:val="center"/>
                    <w:rPr>
                      <w:color w:val="auto"/>
                      <w:szCs w:val="21"/>
                    </w:rPr>
                  </w:pPr>
                  <w:r>
                    <w:rPr>
                      <w:rFonts w:hint="eastAsia"/>
                      <w:color w:val="auto"/>
                      <w:szCs w:val="21"/>
                    </w:rPr>
                    <w:t>190</w:t>
                  </w:r>
                </w:p>
              </w:tc>
            </w:tr>
            <w:tr w14:paraId="524631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vAlign w:val="center"/>
                </w:tcPr>
                <w:p w14:paraId="1955BBC3">
                  <w:pPr>
                    <w:spacing w:line="276" w:lineRule="auto"/>
                    <w:jc w:val="center"/>
                    <w:rPr>
                      <w:rFonts w:hint="eastAsia" w:hAnsi="宋体"/>
                      <w:color w:val="auto"/>
                      <w:kern w:val="0"/>
                      <w:szCs w:val="21"/>
                    </w:rPr>
                  </w:pPr>
                </w:p>
              </w:tc>
              <w:tc>
                <w:tcPr>
                  <w:tcW w:w="1420" w:type="dxa"/>
                  <w:vAlign w:val="center"/>
                </w:tcPr>
                <w:p w14:paraId="0910E06A">
                  <w:pPr>
                    <w:spacing w:line="276" w:lineRule="auto"/>
                    <w:jc w:val="center"/>
                    <w:rPr>
                      <w:rFonts w:hint="eastAsia" w:hAnsi="宋体"/>
                      <w:color w:val="auto"/>
                      <w:szCs w:val="21"/>
                    </w:rPr>
                  </w:pPr>
                  <w:r>
                    <w:rPr>
                      <w:rFonts w:hint="eastAsia" w:hAnsi="宋体"/>
                      <w:color w:val="auto"/>
                      <w:szCs w:val="21"/>
                    </w:rPr>
                    <w:t>＞4</w:t>
                  </w:r>
                </w:p>
              </w:tc>
              <w:tc>
                <w:tcPr>
                  <w:tcW w:w="617" w:type="dxa"/>
                  <w:shd w:val="clear" w:color="auto" w:fill="auto"/>
                  <w:vAlign w:val="center"/>
                </w:tcPr>
                <w:p w14:paraId="677DFB4D">
                  <w:pPr>
                    <w:spacing w:line="276" w:lineRule="auto"/>
                    <w:jc w:val="center"/>
                    <w:rPr>
                      <w:color w:val="auto"/>
                      <w:szCs w:val="21"/>
                    </w:rPr>
                  </w:pPr>
                  <w:r>
                    <w:rPr>
                      <w:rFonts w:hint="eastAsia"/>
                      <w:color w:val="auto"/>
                      <w:szCs w:val="21"/>
                    </w:rPr>
                    <w:t>530</w:t>
                  </w:r>
                </w:p>
              </w:tc>
              <w:tc>
                <w:tcPr>
                  <w:tcW w:w="568" w:type="dxa"/>
                  <w:shd w:val="clear" w:color="auto" w:fill="auto"/>
                  <w:vAlign w:val="center"/>
                </w:tcPr>
                <w:p w14:paraId="671EAD09">
                  <w:pPr>
                    <w:spacing w:line="276" w:lineRule="auto"/>
                    <w:jc w:val="center"/>
                    <w:rPr>
                      <w:color w:val="auto"/>
                      <w:szCs w:val="21"/>
                    </w:rPr>
                  </w:pPr>
                  <w:r>
                    <w:rPr>
                      <w:rFonts w:hint="eastAsia"/>
                      <w:color w:val="auto"/>
                      <w:szCs w:val="21"/>
                    </w:rPr>
                    <w:t>350</w:t>
                  </w:r>
                </w:p>
              </w:tc>
              <w:tc>
                <w:tcPr>
                  <w:tcW w:w="570" w:type="dxa"/>
                  <w:shd w:val="clear" w:color="auto" w:fill="auto"/>
                  <w:vAlign w:val="center"/>
                </w:tcPr>
                <w:p w14:paraId="1EE119F9">
                  <w:pPr>
                    <w:spacing w:line="276" w:lineRule="auto"/>
                    <w:jc w:val="center"/>
                    <w:rPr>
                      <w:color w:val="auto"/>
                      <w:szCs w:val="21"/>
                    </w:rPr>
                  </w:pPr>
                  <w:r>
                    <w:rPr>
                      <w:rFonts w:hint="eastAsia"/>
                      <w:color w:val="auto"/>
                      <w:szCs w:val="21"/>
                    </w:rPr>
                    <w:t>260</w:t>
                  </w:r>
                </w:p>
              </w:tc>
              <w:tc>
                <w:tcPr>
                  <w:tcW w:w="710" w:type="dxa"/>
                  <w:vAlign w:val="center"/>
                </w:tcPr>
                <w:p w14:paraId="3CAE27EB">
                  <w:pPr>
                    <w:spacing w:line="276" w:lineRule="auto"/>
                    <w:jc w:val="center"/>
                    <w:rPr>
                      <w:color w:val="auto"/>
                      <w:szCs w:val="21"/>
                    </w:rPr>
                  </w:pPr>
                  <w:r>
                    <w:rPr>
                      <w:rFonts w:hint="eastAsia"/>
                      <w:color w:val="auto"/>
                      <w:szCs w:val="21"/>
                    </w:rPr>
                    <w:t>530</w:t>
                  </w:r>
                </w:p>
              </w:tc>
              <w:tc>
                <w:tcPr>
                  <w:tcW w:w="710" w:type="dxa"/>
                  <w:vAlign w:val="center"/>
                </w:tcPr>
                <w:p w14:paraId="003E40A3">
                  <w:pPr>
                    <w:spacing w:line="276" w:lineRule="auto"/>
                    <w:jc w:val="center"/>
                    <w:rPr>
                      <w:color w:val="auto"/>
                      <w:szCs w:val="21"/>
                    </w:rPr>
                  </w:pPr>
                  <w:r>
                    <w:rPr>
                      <w:rFonts w:hint="eastAsia"/>
                      <w:color w:val="auto"/>
                      <w:szCs w:val="21"/>
                    </w:rPr>
                    <w:t>350</w:t>
                  </w:r>
                </w:p>
              </w:tc>
              <w:tc>
                <w:tcPr>
                  <w:tcW w:w="570" w:type="dxa"/>
                  <w:vAlign w:val="center"/>
                </w:tcPr>
                <w:p w14:paraId="6F424DA8">
                  <w:pPr>
                    <w:spacing w:line="276" w:lineRule="auto"/>
                    <w:jc w:val="center"/>
                    <w:rPr>
                      <w:color w:val="auto"/>
                      <w:szCs w:val="21"/>
                    </w:rPr>
                  </w:pPr>
                  <w:r>
                    <w:rPr>
                      <w:rFonts w:hint="eastAsia"/>
                      <w:color w:val="auto"/>
                      <w:szCs w:val="21"/>
                    </w:rPr>
                    <w:t>260</w:t>
                  </w:r>
                </w:p>
              </w:tc>
              <w:tc>
                <w:tcPr>
                  <w:tcW w:w="710" w:type="dxa"/>
                  <w:vAlign w:val="center"/>
                </w:tcPr>
                <w:p w14:paraId="5DAA18D2">
                  <w:pPr>
                    <w:spacing w:line="276" w:lineRule="auto"/>
                    <w:jc w:val="center"/>
                    <w:rPr>
                      <w:color w:val="auto"/>
                      <w:szCs w:val="21"/>
                    </w:rPr>
                  </w:pPr>
                  <w:r>
                    <w:rPr>
                      <w:rFonts w:hint="eastAsia"/>
                      <w:color w:val="auto"/>
                      <w:szCs w:val="21"/>
                    </w:rPr>
                    <w:t>290</w:t>
                  </w:r>
                </w:p>
              </w:tc>
              <w:tc>
                <w:tcPr>
                  <w:tcW w:w="603" w:type="dxa"/>
                  <w:vAlign w:val="center"/>
                </w:tcPr>
                <w:p w14:paraId="61872301">
                  <w:pPr>
                    <w:spacing w:line="276" w:lineRule="auto"/>
                    <w:jc w:val="center"/>
                    <w:rPr>
                      <w:color w:val="auto"/>
                      <w:szCs w:val="21"/>
                    </w:rPr>
                  </w:pPr>
                  <w:r>
                    <w:rPr>
                      <w:rFonts w:hint="eastAsia"/>
                      <w:color w:val="auto"/>
                      <w:szCs w:val="21"/>
                    </w:rPr>
                    <w:t>190</w:t>
                  </w:r>
                </w:p>
              </w:tc>
              <w:tc>
                <w:tcPr>
                  <w:tcW w:w="812" w:type="dxa"/>
                  <w:vAlign w:val="center"/>
                </w:tcPr>
                <w:p w14:paraId="1856BABA">
                  <w:pPr>
                    <w:spacing w:line="276" w:lineRule="auto"/>
                    <w:jc w:val="center"/>
                    <w:rPr>
                      <w:color w:val="auto"/>
                      <w:szCs w:val="21"/>
                    </w:rPr>
                  </w:pPr>
                  <w:r>
                    <w:rPr>
                      <w:rFonts w:hint="eastAsia"/>
                      <w:color w:val="auto"/>
                      <w:szCs w:val="21"/>
                    </w:rPr>
                    <w:t>110</w:t>
                  </w:r>
                </w:p>
              </w:tc>
            </w:tr>
            <w:tr w14:paraId="5179DF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restart"/>
                  <w:vAlign w:val="center"/>
                </w:tcPr>
                <w:p w14:paraId="69E53990">
                  <w:pPr>
                    <w:spacing w:line="276" w:lineRule="auto"/>
                    <w:jc w:val="center"/>
                    <w:rPr>
                      <w:rFonts w:hint="eastAsia" w:hAnsi="宋体"/>
                      <w:color w:val="auto"/>
                      <w:kern w:val="0"/>
                      <w:szCs w:val="21"/>
                    </w:rPr>
                  </w:pPr>
                  <w:r>
                    <w:rPr>
                      <w:rFonts w:hint="eastAsia" w:hAnsi="宋体"/>
                      <w:color w:val="auto"/>
                      <w:kern w:val="0"/>
                      <w:szCs w:val="21"/>
                    </w:rPr>
                    <w:t>B</w:t>
                  </w:r>
                </w:p>
              </w:tc>
              <w:tc>
                <w:tcPr>
                  <w:tcW w:w="1420" w:type="dxa"/>
                  <w:vAlign w:val="center"/>
                </w:tcPr>
                <w:p w14:paraId="19DE2926">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7ADD567E">
                  <w:pPr>
                    <w:spacing w:line="276" w:lineRule="auto"/>
                    <w:jc w:val="center"/>
                    <w:rPr>
                      <w:color w:val="auto"/>
                      <w:szCs w:val="21"/>
                    </w:rPr>
                  </w:pPr>
                  <w:r>
                    <w:rPr>
                      <w:rFonts w:hint="eastAsia"/>
                      <w:color w:val="auto"/>
                      <w:szCs w:val="21"/>
                    </w:rPr>
                    <w:t>0.01</w:t>
                  </w:r>
                </w:p>
              </w:tc>
              <w:tc>
                <w:tcPr>
                  <w:tcW w:w="1990" w:type="dxa"/>
                  <w:gridSpan w:val="3"/>
                  <w:vAlign w:val="center"/>
                </w:tcPr>
                <w:p w14:paraId="184C08C0">
                  <w:pPr>
                    <w:spacing w:line="276" w:lineRule="auto"/>
                    <w:jc w:val="center"/>
                    <w:rPr>
                      <w:color w:val="auto"/>
                      <w:szCs w:val="21"/>
                    </w:rPr>
                  </w:pPr>
                  <w:r>
                    <w:rPr>
                      <w:rFonts w:hint="eastAsia"/>
                      <w:color w:val="auto"/>
                      <w:szCs w:val="21"/>
                    </w:rPr>
                    <w:t>0.015</w:t>
                  </w:r>
                </w:p>
              </w:tc>
              <w:tc>
                <w:tcPr>
                  <w:tcW w:w="2125" w:type="dxa"/>
                  <w:gridSpan w:val="3"/>
                  <w:vAlign w:val="center"/>
                </w:tcPr>
                <w:p w14:paraId="37F873A9">
                  <w:pPr>
                    <w:spacing w:line="276" w:lineRule="auto"/>
                    <w:jc w:val="center"/>
                    <w:rPr>
                      <w:color w:val="auto"/>
                      <w:szCs w:val="21"/>
                    </w:rPr>
                  </w:pPr>
                  <w:r>
                    <w:rPr>
                      <w:rFonts w:hint="eastAsia"/>
                      <w:color w:val="auto"/>
                      <w:szCs w:val="21"/>
                    </w:rPr>
                    <w:t>0.015</w:t>
                  </w:r>
                </w:p>
              </w:tc>
            </w:tr>
            <w:tr w14:paraId="21891F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shd w:val="clear" w:color="auto" w:fill="auto"/>
                  <w:vAlign w:val="center"/>
                </w:tcPr>
                <w:p w14:paraId="4B907684">
                  <w:pPr>
                    <w:spacing w:line="276" w:lineRule="auto"/>
                    <w:jc w:val="center"/>
                    <w:rPr>
                      <w:rFonts w:hint="eastAsia" w:hAnsi="宋体"/>
                      <w:color w:val="auto"/>
                      <w:kern w:val="0"/>
                      <w:szCs w:val="21"/>
                    </w:rPr>
                  </w:pPr>
                </w:p>
              </w:tc>
              <w:tc>
                <w:tcPr>
                  <w:tcW w:w="1420" w:type="dxa"/>
                  <w:shd w:val="clear" w:color="auto" w:fill="auto"/>
                  <w:vAlign w:val="center"/>
                </w:tcPr>
                <w:p w14:paraId="001F839E">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5408F9D2">
                  <w:pPr>
                    <w:spacing w:line="276" w:lineRule="auto"/>
                    <w:jc w:val="center"/>
                    <w:rPr>
                      <w:color w:val="auto"/>
                      <w:szCs w:val="21"/>
                    </w:rPr>
                  </w:pPr>
                  <w:r>
                    <w:rPr>
                      <w:rFonts w:hint="eastAsia"/>
                      <w:color w:val="auto"/>
                      <w:szCs w:val="21"/>
                    </w:rPr>
                    <w:t>0.021</w:t>
                  </w:r>
                </w:p>
              </w:tc>
              <w:tc>
                <w:tcPr>
                  <w:tcW w:w="1990" w:type="dxa"/>
                  <w:gridSpan w:val="3"/>
                  <w:vAlign w:val="center"/>
                </w:tcPr>
                <w:p w14:paraId="7764DAAF">
                  <w:pPr>
                    <w:spacing w:line="276" w:lineRule="auto"/>
                    <w:jc w:val="center"/>
                    <w:rPr>
                      <w:color w:val="auto"/>
                      <w:szCs w:val="21"/>
                    </w:rPr>
                  </w:pPr>
                  <w:r>
                    <w:rPr>
                      <w:rFonts w:hint="eastAsia"/>
                      <w:color w:val="auto"/>
                      <w:szCs w:val="21"/>
                    </w:rPr>
                    <w:t>0.036</w:t>
                  </w:r>
                </w:p>
              </w:tc>
              <w:tc>
                <w:tcPr>
                  <w:tcW w:w="2125" w:type="dxa"/>
                  <w:gridSpan w:val="3"/>
                  <w:vAlign w:val="center"/>
                </w:tcPr>
                <w:p w14:paraId="73265B4A">
                  <w:pPr>
                    <w:spacing w:line="276" w:lineRule="auto"/>
                    <w:jc w:val="center"/>
                    <w:rPr>
                      <w:color w:val="auto"/>
                      <w:szCs w:val="21"/>
                    </w:rPr>
                  </w:pPr>
                  <w:r>
                    <w:rPr>
                      <w:rFonts w:hint="eastAsia"/>
                      <w:color w:val="auto"/>
                      <w:szCs w:val="21"/>
                    </w:rPr>
                    <w:t>0.036</w:t>
                  </w:r>
                </w:p>
              </w:tc>
            </w:tr>
            <w:tr w14:paraId="2BDBD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restart"/>
                  <w:vAlign w:val="center"/>
                </w:tcPr>
                <w:p w14:paraId="2489F71F">
                  <w:pPr>
                    <w:spacing w:line="276" w:lineRule="auto"/>
                    <w:jc w:val="center"/>
                    <w:rPr>
                      <w:rFonts w:hint="eastAsia" w:hAnsi="宋体"/>
                      <w:color w:val="auto"/>
                      <w:kern w:val="0"/>
                      <w:szCs w:val="21"/>
                    </w:rPr>
                  </w:pPr>
                  <w:r>
                    <w:rPr>
                      <w:rFonts w:hint="eastAsia" w:hAnsi="宋体"/>
                      <w:color w:val="auto"/>
                      <w:kern w:val="0"/>
                      <w:szCs w:val="21"/>
                    </w:rPr>
                    <w:t>C</w:t>
                  </w:r>
                </w:p>
              </w:tc>
              <w:tc>
                <w:tcPr>
                  <w:tcW w:w="1420" w:type="dxa"/>
                  <w:vAlign w:val="center"/>
                </w:tcPr>
                <w:p w14:paraId="5BDA2BA3">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5BC90213">
                  <w:pPr>
                    <w:spacing w:line="276" w:lineRule="auto"/>
                    <w:jc w:val="center"/>
                    <w:rPr>
                      <w:color w:val="auto"/>
                      <w:szCs w:val="21"/>
                    </w:rPr>
                  </w:pPr>
                  <w:r>
                    <w:rPr>
                      <w:rFonts w:hint="eastAsia"/>
                      <w:color w:val="auto"/>
                      <w:szCs w:val="21"/>
                    </w:rPr>
                    <w:t>1.85</w:t>
                  </w:r>
                </w:p>
              </w:tc>
              <w:tc>
                <w:tcPr>
                  <w:tcW w:w="1990" w:type="dxa"/>
                  <w:gridSpan w:val="3"/>
                  <w:vAlign w:val="center"/>
                </w:tcPr>
                <w:p w14:paraId="49618864">
                  <w:pPr>
                    <w:spacing w:line="276" w:lineRule="auto"/>
                    <w:jc w:val="center"/>
                    <w:rPr>
                      <w:color w:val="auto"/>
                      <w:szCs w:val="21"/>
                    </w:rPr>
                  </w:pPr>
                  <w:r>
                    <w:rPr>
                      <w:rFonts w:hint="eastAsia"/>
                      <w:color w:val="auto"/>
                      <w:szCs w:val="21"/>
                    </w:rPr>
                    <w:t>1.79</w:t>
                  </w:r>
                </w:p>
              </w:tc>
              <w:tc>
                <w:tcPr>
                  <w:tcW w:w="2125" w:type="dxa"/>
                  <w:gridSpan w:val="3"/>
                  <w:vAlign w:val="center"/>
                </w:tcPr>
                <w:p w14:paraId="3DBA36F9">
                  <w:pPr>
                    <w:spacing w:line="276" w:lineRule="auto"/>
                    <w:jc w:val="center"/>
                    <w:rPr>
                      <w:color w:val="auto"/>
                      <w:szCs w:val="21"/>
                    </w:rPr>
                  </w:pPr>
                  <w:r>
                    <w:rPr>
                      <w:rFonts w:hint="eastAsia"/>
                      <w:color w:val="auto"/>
                      <w:szCs w:val="21"/>
                    </w:rPr>
                    <w:t>1.79</w:t>
                  </w:r>
                </w:p>
              </w:tc>
            </w:tr>
            <w:tr w14:paraId="3605B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shd w:val="clear" w:color="auto" w:fill="auto"/>
                  <w:vAlign w:val="center"/>
                </w:tcPr>
                <w:p w14:paraId="2BA26622">
                  <w:pPr>
                    <w:spacing w:line="276" w:lineRule="auto"/>
                    <w:jc w:val="center"/>
                    <w:rPr>
                      <w:rFonts w:hint="eastAsia" w:hAnsi="宋体"/>
                      <w:color w:val="auto"/>
                      <w:kern w:val="0"/>
                      <w:szCs w:val="21"/>
                    </w:rPr>
                  </w:pPr>
                </w:p>
              </w:tc>
              <w:tc>
                <w:tcPr>
                  <w:tcW w:w="1420" w:type="dxa"/>
                  <w:shd w:val="clear" w:color="auto" w:fill="auto"/>
                  <w:vAlign w:val="center"/>
                </w:tcPr>
                <w:p w14:paraId="1034F6FA">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5AF39961">
                  <w:pPr>
                    <w:spacing w:line="276" w:lineRule="auto"/>
                    <w:jc w:val="center"/>
                    <w:rPr>
                      <w:color w:val="auto"/>
                      <w:szCs w:val="21"/>
                    </w:rPr>
                  </w:pPr>
                  <w:r>
                    <w:rPr>
                      <w:rFonts w:hint="eastAsia"/>
                      <w:color w:val="auto"/>
                      <w:szCs w:val="21"/>
                    </w:rPr>
                    <w:t>1.85</w:t>
                  </w:r>
                </w:p>
              </w:tc>
              <w:tc>
                <w:tcPr>
                  <w:tcW w:w="1990" w:type="dxa"/>
                  <w:gridSpan w:val="3"/>
                  <w:vAlign w:val="center"/>
                </w:tcPr>
                <w:p w14:paraId="4E4FFFCB">
                  <w:pPr>
                    <w:spacing w:line="276" w:lineRule="auto"/>
                    <w:jc w:val="center"/>
                    <w:rPr>
                      <w:color w:val="auto"/>
                      <w:szCs w:val="21"/>
                    </w:rPr>
                  </w:pPr>
                  <w:r>
                    <w:rPr>
                      <w:rFonts w:hint="eastAsia"/>
                      <w:color w:val="auto"/>
                      <w:szCs w:val="21"/>
                    </w:rPr>
                    <w:t>1.77</w:t>
                  </w:r>
                </w:p>
              </w:tc>
              <w:tc>
                <w:tcPr>
                  <w:tcW w:w="2125" w:type="dxa"/>
                  <w:gridSpan w:val="3"/>
                  <w:vAlign w:val="center"/>
                </w:tcPr>
                <w:p w14:paraId="6E14FB9D">
                  <w:pPr>
                    <w:spacing w:line="276" w:lineRule="auto"/>
                    <w:jc w:val="center"/>
                    <w:rPr>
                      <w:color w:val="auto"/>
                      <w:szCs w:val="21"/>
                    </w:rPr>
                  </w:pPr>
                  <w:r>
                    <w:rPr>
                      <w:rFonts w:hint="eastAsia"/>
                      <w:color w:val="auto"/>
                      <w:szCs w:val="21"/>
                    </w:rPr>
                    <w:t>1.77</w:t>
                  </w:r>
                </w:p>
              </w:tc>
            </w:tr>
            <w:tr w14:paraId="1FFB1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restart"/>
                  <w:vAlign w:val="center"/>
                </w:tcPr>
                <w:p w14:paraId="13BCF8E1">
                  <w:pPr>
                    <w:spacing w:line="276" w:lineRule="auto"/>
                    <w:jc w:val="center"/>
                    <w:rPr>
                      <w:rFonts w:hint="eastAsia" w:hAnsi="宋体"/>
                      <w:color w:val="auto"/>
                      <w:kern w:val="0"/>
                      <w:szCs w:val="21"/>
                    </w:rPr>
                  </w:pPr>
                  <w:r>
                    <w:rPr>
                      <w:rFonts w:hint="eastAsia" w:hAnsi="宋体"/>
                      <w:color w:val="auto"/>
                      <w:kern w:val="0"/>
                      <w:szCs w:val="21"/>
                    </w:rPr>
                    <w:t>D</w:t>
                  </w:r>
                </w:p>
              </w:tc>
              <w:tc>
                <w:tcPr>
                  <w:tcW w:w="1420" w:type="dxa"/>
                  <w:vAlign w:val="center"/>
                </w:tcPr>
                <w:p w14:paraId="53A48A08">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6A503AE2">
                  <w:pPr>
                    <w:spacing w:line="276" w:lineRule="auto"/>
                    <w:jc w:val="center"/>
                    <w:rPr>
                      <w:color w:val="auto"/>
                      <w:szCs w:val="21"/>
                    </w:rPr>
                  </w:pPr>
                  <w:r>
                    <w:rPr>
                      <w:rFonts w:hint="eastAsia"/>
                      <w:color w:val="auto"/>
                      <w:szCs w:val="21"/>
                    </w:rPr>
                    <w:t>0.78</w:t>
                  </w:r>
                </w:p>
              </w:tc>
              <w:tc>
                <w:tcPr>
                  <w:tcW w:w="1990" w:type="dxa"/>
                  <w:gridSpan w:val="3"/>
                  <w:vAlign w:val="center"/>
                </w:tcPr>
                <w:p w14:paraId="22EFD21C">
                  <w:pPr>
                    <w:spacing w:line="276" w:lineRule="auto"/>
                    <w:jc w:val="center"/>
                    <w:rPr>
                      <w:color w:val="auto"/>
                      <w:szCs w:val="21"/>
                    </w:rPr>
                  </w:pPr>
                  <w:r>
                    <w:rPr>
                      <w:rFonts w:hint="eastAsia"/>
                      <w:color w:val="auto"/>
                      <w:szCs w:val="21"/>
                    </w:rPr>
                    <w:t>0.78</w:t>
                  </w:r>
                </w:p>
              </w:tc>
              <w:tc>
                <w:tcPr>
                  <w:tcW w:w="2125" w:type="dxa"/>
                  <w:gridSpan w:val="3"/>
                  <w:vAlign w:val="center"/>
                </w:tcPr>
                <w:p w14:paraId="655C4620">
                  <w:pPr>
                    <w:spacing w:line="276" w:lineRule="auto"/>
                    <w:jc w:val="center"/>
                    <w:rPr>
                      <w:color w:val="auto"/>
                      <w:szCs w:val="21"/>
                    </w:rPr>
                  </w:pPr>
                  <w:r>
                    <w:rPr>
                      <w:rFonts w:hint="eastAsia"/>
                      <w:color w:val="auto"/>
                      <w:szCs w:val="21"/>
                    </w:rPr>
                    <w:t>0.57</w:t>
                  </w:r>
                </w:p>
              </w:tc>
            </w:tr>
            <w:tr w14:paraId="7C92F4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981" w:type="dxa"/>
                  <w:vMerge w:val="continue"/>
                  <w:shd w:val="clear" w:color="auto" w:fill="auto"/>
                  <w:vAlign w:val="center"/>
                </w:tcPr>
                <w:p w14:paraId="7FC19B68">
                  <w:pPr>
                    <w:spacing w:line="276" w:lineRule="auto"/>
                    <w:jc w:val="center"/>
                    <w:rPr>
                      <w:rFonts w:hint="eastAsia" w:hAnsi="宋体"/>
                      <w:color w:val="auto"/>
                      <w:kern w:val="0"/>
                      <w:szCs w:val="21"/>
                    </w:rPr>
                  </w:pPr>
                </w:p>
              </w:tc>
              <w:tc>
                <w:tcPr>
                  <w:tcW w:w="1420" w:type="dxa"/>
                  <w:shd w:val="clear" w:color="auto" w:fill="auto"/>
                  <w:vAlign w:val="center"/>
                </w:tcPr>
                <w:p w14:paraId="4173D6AC">
                  <w:pPr>
                    <w:spacing w:line="276" w:lineRule="auto"/>
                    <w:jc w:val="center"/>
                    <w:rPr>
                      <w:rFonts w:hint="eastAsia" w:hAnsi="宋体"/>
                      <w:color w:val="auto"/>
                      <w:szCs w:val="21"/>
                    </w:rPr>
                  </w:pPr>
                  <w:r>
                    <w:rPr>
                      <w:rFonts w:hint="eastAsia" w:hAnsi="宋体"/>
                      <w:color w:val="auto"/>
                      <w:szCs w:val="21"/>
                    </w:rPr>
                    <w:t>＞2</w:t>
                  </w:r>
                </w:p>
              </w:tc>
              <w:tc>
                <w:tcPr>
                  <w:tcW w:w="1755" w:type="dxa"/>
                  <w:gridSpan w:val="3"/>
                  <w:shd w:val="clear" w:color="auto" w:fill="auto"/>
                  <w:vAlign w:val="center"/>
                </w:tcPr>
                <w:p w14:paraId="13FF61EC">
                  <w:pPr>
                    <w:spacing w:line="276" w:lineRule="auto"/>
                    <w:jc w:val="center"/>
                    <w:rPr>
                      <w:color w:val="auto"/>
                      <w:szCs w:val="21"/>
                    </w:rPr>
                  </w:pPr>
                  <w:r>
                    <w:rPr>
                      <w:rFonts w:hint="eastAsia"/>
                      <w:color w:val="auto"/>
                      <w:szCs w:val="21"/>
                    </w:rPr>
                    <w:t>0.84</w:t>
                  </w:r>
                </w:p>
              </w:tc>
              <w:tc>
                <w:tcPr>
                  <w:tcW w:w="1990" w:type="dxa"/>
                  <w:gridSpan w:val="3"/>
                  <w:vAlign w:val="center"/>
                </w:tcPr>
                <w:p w14:paraId="475C619E">
                  <w:pPr>
                    <w:spacing w:line="276" w:lineRule="auto"/>
                    <w:jc w:val="center"/>
                    <w:rPr>
                      <w:color w:val="auto"/>
                      <w:szCs w:val="21"/>
                    </w:rPr>
                  </w:pPr>
                  <w:r>
                    <w:rPr>
                      <w:rFonts w:hint="eastAsia"/>
                      <w:color w:val="auto"/>
                      <w:szCs w:val="21"/>
                    </w:rPr>
                    <w:t>0.84</w:t>
                  </w:r>
                </w:p>
              </w:tc>
              <w:tc>
                <w:tcPr>
                  <w:tcW w:w="2125" w:type="dxa"/>
                  <w:gridSpan w:val="3"/>
                  <w:vAlign w:val="center"/>
                </w:tcPr>
                <w:p w14:paraId="3E19BDCB">
                  <w:pPr>
                    <w:spacing w:line="276" w:lineRule="auto"/>
                    <w:jc w:val="center"/>
                    <w:rPr>
                      <w:color w:val="auto"/>
                      <w:szCs w:val="21"/>
                    </w:rPr>
                  </w:pPr>
                  <w:r>
                    <w:rPr>
                      <w:rFonts w:hint="eastAsia"/>
                      <w:color w:val="auto"/>
                      <w:szCs w:val="21"/>
                    </w:rPr>
                    <w:t>0.76</w:t>
                  </w:r>
                </w:p>
              </w:tc>
            </w:tr>
          </w:tbl>
          <w:p w14:paraId="2CCC172C">
            <w:pPr>
              <w:pStyle w:val="22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表4-6 卫生防护距离的计算结果</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7"/>
              <w:gridCol w:w="833"/>
              <w:gridCol w:w="859"/>
              <w:gridCol w:w="753"/>
              <w:gridCol w:w="531"/>
              <w:gridCol w:w="689"/>
              <w:gridCol w:w="584"/>
              <w:gridCol w:w="584"/>
              <w:gridCol w:w="955"/>
              <w:gridCol w:w="813"/>
              <w:gridCol w:w="813"/>
            </w:tblGrid>
            <w:tr w14:paraId="40962F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76" w:type="dxa"/>
                  <w:vAlign w:val="center"/>
                </w:tcPr>
                <w:p w14:paraId="2CA1C76E">
                  <w:pPr>
                    <w:spacing w:line="276" w:lineRule="auto"/>
                    <w:jc w:val="center"/>
                    <w:rPr>
                      <w:b/>
                      <w:bCs/>
                      <w:color w:val="auto"/>
                      <w:szCs w:val="21"/>
                    </w:rPr>
                  </w:pPr>
                  <w:r>
                    <w:rPr>
                      <w:rFonts w:hAnsi="宋体"/>
                      <w:b/>
                      <w:bCs/>
                      <w:color w:val="auto"/>
                      <w:szCs w:val="21"/>
                    </w:rPr>
                    <w:t>污染源</w:t>
                  </w:r>
                </w:p>
              </w:tc>
              <w:tc>
                <w:tcPr>
                  <w:tcW w:w="850" w:type="dxa"/>
                  <w:vAlign w:val="center"/>
                </w:tcPr>
                <w:p w14:paraId="556C95A2">
                  <w:pPr>
                    <w:spacing w:line="276" w:lineRule="auto"/>
                    <w:jc w:val="center"/>
                    <w:rPr>
                      <w:b/>
                      <w:bCs/>
                      <w:color w:val="auto"/>
                      <w:szCs w:val="21"/>
                    </w:rPr>
                  </w:pPr>
                  <w:r>
                    <w:rPr>
                      <w:rFonts w:hAnsi="宋体"/>
                      <w:b/>
                      <w:bCs/>
                      <w:color w:val="auto"/>
                      <w:szCs w:val="21"/>
                    </w:rPr>
                    <w:t>污染称名称</w:t>
                  </w:r>
                </w:p>
              </w:tc>
              <w:tc>
                <w:tcPr>
                  <w:tcW w:w="870" w:type="dxa"/>
                  <w:vAlign w:val="center"/>
                </w:tcPr>
                <w:p w14:paraId="41B55D6A">
                  <w:pPr>
                    <w:wordWrap w:val="0"/>
                    <w:autoSpaceDE w:val="0"/>
                    <w:autoSpaceDN w:val="0"/>
                    <w:adjustRightInd w:val="0"/>
                    <w:spacing w:line="276" w:lineRule="auto"/>
                    <w:jc w:val="center"/>
                    <w:rPr>
                      <w:b/>
                      <w:color w:val="auto"/>
                      <w:spacing w:val="-2"/>
                      <w:szCs w:val="21"/>
                    </w:rPr>
                  </w:pPr>
                  <w:r>
                    <w:rPr>
                      <w:b/>
                      <w:color w:val="auto"/>
                      <w:szCs w:val="21"/>
                    </w:rPr>
                    <w:t>Cm</w:t>
                  </w:r>
                  <w:r>
                    <w:rPr>
                      <w:rFonts w:hint="eastAsia"/>
                      <w:b/>
                      <w:color w:val="auto"/>
                      <w:szCs w:val="21"/>
                    </w:rPr>
                    <w:t>（</w:t>
                  </w:r>
                  <w:r>
                    <w:rPr>
                      <w:b/>
                      <w:color w:val="auto"/>
                      <w:szCs w:val="21"/>
                    </w:rPr>
                    <w:t>mg/m</w:t>
                  </w:r>
                  <w:r>
                    <w:rPr>
                      <w:b/>
                      <w:color w:val="auto"/>
                      <w:szCs w:val="21"/>
                      <w:vertAlign w:val="superscript"/>
                    </w:rPr>
                    <w:t>3</w:t>
                  </w:r>
                  <w:r>
                    <w:rPr>
                      <w:rFonts w:hint="eastAsia"/>
                      <w:b/>
                      <w:color w:val="auto"/>
                      <w:szCs w:val="21"/>
                    </w:rPr>
                    <w:t>）</w:t>
                  </w:r>
                </w:p>
              </w:tc>
              <w:tc>
                <w:tcPr>
                  <w:tcW w:w="760" w:type="dxa"/>
                  <w:vAlign w:val="center"/>
                </w:tcPr>
                <w:p w14:paraId="65CD851F">
                  <w:pPr>
                    <w:wordWrap w:val="0"/>
                    <w:autoSpaceDE w:val="0"/>
                    <w:autoSpaceDN w:val="0"/>
                    <w:adjustRightInd w:val="0"/>
                    <w:spacing w:line="276" w:lineRule="auto"/>
                    <w:jc w:val="center"/>
                    <w:rPr>
                      <w:b/>
                      <w:color w:val="auto"/>
                      <w:spacing w:val="-2"/>
                      <w:szCs w:val="21"/>
                    </w:rPr>
                  </w:pPr>
                  <w:r>
                    <w:rPr>
                      <w:b/>
                      <w:color w:val="auto"/>
                      <w:szCs w:val="21"/>
                    </w:rPr>
                    <w:t>Qc</w:t>
                  </w:r>
                  <w:r>
                    <w:rPr>
                      <w:rFonts w:hint="eastAsia"/>
                      <w:b/>
                      <w:color w:val="auto"/>
                      <w:szCs w:val="21"/>
                    </w:rPr>
                    <w:t>（</w:t>
                  </w:r>
                  <w:r>
                    <w:rPr>
                      <w:b/>
                      <w:color w:val="auto"/>
                      <w:szCs w:val="21"/>
                    </w:rPr>
                    <w:t>kg/h</w:t>
                  </w:r>
                  <w:r>
                    <w:rPr>
                      <w:rFonts w:hint="eastAsia"/>
                      <w:b/>
                      <w:color w:val="auto"/>
                      <w:szCs w:val="21"/>
                    </w:rPr>
                    <w:t>）</w:t>
                  </w:r>
                </w:p>
              </w:tc>
              <w:tc>
                <w:tcPr>
                  <w:tcW w:w="500" w:type="dxa"/>
                  <w:vAlign w:val="center"/>
                </w:tcPr>
                <w:p w14:paraId="1878D965">
                  <w:pPr>
                    <w:autoSpaceDE w:val="0"/>
                    <w:autoSpaceDN w:val="0"/>
                    <w:adjustRightInd w:val="0"/>
                    <w:spacing w:line="276" w:lineRule="auto"/>
                    <w:jc w:val="center"/>
                    <w:rPr>
                      <w:b/>
                      <w:color w:val="auto"/>
                      <w:spacing w:val="-2"/>
                      <w:szCs w:val="21"/>
                    </w:rPr>
                  </w:pPr>
                  <w:r>
                    <w:rPr>
                      <w:b/>
                      <w:color w:val="auto"/>
                      <w:szCs w:val="21"/>
                    </w:rPr>
                    <w:t>A</w:t>
                  </w:r>
                </w:p>
              </w:tc>
              <w:tc>
                <w:tcPr>
                  <w:tcW w:w="620" w:type="dxa"/>
                  <w:vAlign w:val="center"/>
                </w:tcPr>
                <w:p w14:paraId="6F38B714">
                  <w:pPr>
                    <w:autoSpaceDE w:val="0"/>
                    <w:autoSpaceDN w:val="0"/>
                    <w:adjustRightInd w:val="0"/>
                    <w:spacing w:line="276" w:lineRule="auto"/>
                    <w:jc w:val="center"/>
                    <w:rPr>
                      <w:b/>
                      <w:color w:val="auto"/>
                      <w:spacing w:val="-2"/>
                      <w:szCs w:val="21"/>
                    </w:rPr>
                  </w:pPr>
                  <w:r>
                    <w:rPr>
                      <w:b/>
                      <w:color w:val="auto"/>
                      <w:szCs w:val="21"/>
                    </w:rPr>
                    <w:t>B</w:t>
                  </w:r>
                </w:p>
              </w:tc>
              <w:tc>
                <w:tcPr>
                  <w:tcW w:w="512" w:type="dxa"/>
                  <w:vAlign w:val="center"/>
                </w:tcPr>
                <w:p w14:paraId="6DD46DBA">
                  <w:pPr>
                    <w:autoSpaceDE w:val="0"/>
                    <w:autoSpaceDN w:val="0"/>
                    <w:adjustRightInd w:val="0"/>
                    <w:spacing w:line="276" w:lineRule="auto"/>
                    <w:jc w:val="center"/>
                    <w:rPr>
                      <w:b/>
                      <w:color w:val="auto"/>
                      <w:spacing w:val="-2"/>
                      <w:szCs w:val="21"/>
                    </w:rPr>
                  </w:pPr>
                  <w:r>
                    <w:rPr>
                      <w:b/>
                      <w:color w:val="auto"/>
                      <w:szCs w:val="21"/>
                    </w:rPr>
                    <w:t>C</w:t>
                  </w:r>
                </w:p>
              </w:tc>
              <w:tc>
                <w:tcPr>
                  <w:tcW w:w="584" w:type="dxa"/>
                  <w:vAlign w:val="center"/>
                </w:tcPr>
                <w:p w14:paraId="09827554">
                  <w:pPr>
                    <w:autoSpaceDE w:val="0"/>
                    <w:autoSpaceDN w:val="0"/>
                    <w:adjustRightInd w:val="0"/>
                    <w:spacing w:line="276" w:lineRule="auto"/>
                    <w:jc w:val="center"/>
                    <w:rPr>
                      <w:b/>
                      <w:color w:val="auto"/>
                      <w:spacing w:val="-2"/>
                      <w:szCs w:val="21"/>
                    </w:rPr>
                  </w:pPr>
                  <w:r>
                    <w:rPr>
                      <w:b/>
                      <w:color w:val="auto"/>
                      <w:szCs w:val="21"/>
                    </w:rPr>
                    <w:t>D</w:t>
                  </w:r>
                </w:p>
              </w:tc>
              <w:tc>
                <w:tcPr>
                  <w:tcW w:w="959" w:type="dxa"/>
                  <w:vAlign w:val="center"/>
                </w:tcPr>
                <w:p w14:paraId="6CDBDB9F">
                  <w:pPr>
                    <w:autoSpaceDE w:val="0"/>
                    <w:autoSpaceDN w:val="0"/>
                    <w:adjustRightInd w:val="0"/>
                    <w:spacing w:line="276" w:lineRule="auto"/>
                    <w:jc w:val="center"/>
                    <w:rPr>
                      <w:b/>
                      <w:color w:val="auto"/>
                      <w:spacing w:val="-2"/>
                      <w:szCs w:val="21"/>
                    </w:rPr>
                  </w:pPr>
                  <w:r>
                    <w:rPr>
                      <w:b/>
                      <w:color w:val="auto"/>
                      <w:szCs w:val="21"/>
                    </w:rPr>
                    <w:t>S</w:t>
                  </w:r>
                </w:p>
              </w:tc>
              <w:tc>
                <w:tcPr>
                  <w:tcW w:w="813" w:type="dxa"/>
                  <w:vAlign w:val="center"/>
                </w:tcPr>
                <w:p w14:paraId="4985673C">
                  <w:pPr>
                    <w:autoSpaceDE w:val="0"/>
                    <w:autoSpaceDN w:val="0"/>
                    <w:adjustRightInd w:val="0"/>
                    <w:spacing w:line="276" w:lineRule="auto"/>
                    <w:jc w:val="center"/>
                    <w:rPr>
                      <w:b/>
                      <w:color w:val="auto"/>
                      <w:spacing w:val="-2"/>
                      <w:szCs w:val="21"/>
                    </w:rPr>
                  </w:pPr>
                  <w:r>
                    <w:rPr>
                      <w:b/>
                      <w:color w:val="auto"/>
                      <w:szCs w:val="21"/>
                    </w:rPr>
                    <w:t>L</w:t>
                  </w:r>
                  <w:r>
                    <w:rPr>
                      <w:rFonts w:hint="eastAsia"/>
                      <w:b/>
                      <w:color w:val="auto"/>
                      <w:szCs w:val="21"/>
                    </w:rPr>
                    <w:t>（</w:t>
                  </w:r>
                  <w:r>
                    <w:rPr>
                      <w:b/>
                      <w:color w:val="auto"/>
                      <w:szCs w:val="21"/>
                    </w:rPr>
                    <w:t>m</w:t>
                  </w:r>
                  <w:r>
                    <w:rPr>
                      <w:rFonts w:hint="eastAsia"/>
                      <w:b/>
                      <w:color w:val="auto"/>
                      <w:szCs w:val="21"/>
                    </w:rPr>
                    <w:t>）</w:t>
                  </w:r>
                </w:p>
              </w:tc>
              <w:tc>
                <w:tcPr>
                  <w:tcW w:w="813" w:type="dxa"/>
                  <w:vAlign w:val="center"/>
                </w:tcPr>
                <w:p w14:paraId="1DD64808">
                  <w:pPr>
                    <w:spacing w:line="276" w:lineRule="auto"/>
                    <w:jc w:val="center"/>
                    <w:rPr>
                      <w:b/>
                      <w:bCs/>
                      <w:color w:val="auto"/>
                      <w:szCs w:val="21"/>
                    </w:rPr>
                  </w:pPr>
                  <w:r>
                    <w:rPr>
                      <w:rFonts w:hAnsi="宋体"/>
                      <w:b/>
                      <w:bCs/>
                      <w:color w:val="auto"/>
                      <w:szCs w:val="21"/>
                    </w:rPr>
                    <w:t>取值</w:t>
                  </w:r>
                  <w:r>
                    <w:rPr>
                      <w:rFonts w:hint="eastAsia" w:hAnsi="宋体"/>
                      <w:b/>
                      <w:bCs/>
                      <w:color w:val="auto"/>
                      <w:szCs w:val="21"/>
                    </w:rPr>
                    <w:t>（m）</w:t>
                  </w:r>
                </w:p>
              </w:tc>
            </w:tr>
            <w:tr w14:paraId="3491D6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876" w:type="dxa"/>
                  <w:vAlign w:val="center"/>
                </w:tcPr>
                <w:p w14:paraId="5CABFDFB">
                  <w:pPr>
                    <w:spacing w:line="276" w:lineRule="auto"/>
                    <w:jc w:val="center"/>
                    <w:rPr>
                      <w:rFonts w:hint="eastAsia" w:hAnsi="宋体"/>
                      <w:color w:val="auto"/>
                      <w:kern w:val="0"/>
                      <w:szCs w:val="21"/>
                    </w:rPr>
                  </w:pPr>
                  <w:bookmarkStart w:id="28" w:name="_Hlk190769778"/>
                  <w:r>
                    <w:rPr>
                      <w:rFonts w:hint="eastAsia" w:hAnsi="宋体"/>
                      <w:color w:val="auto"/>
                      <w:kern w:val="0"/>
                      <w:szCs w:val="21"/>
                    </w:rPr>
                    <w:t>生产车间</w:t>
                  </w:r>
                </w:p>
              </w:tc>
              <w:tc>
                <w:tcPr>
                  <w:tcW w:w="850" w:type="dxa"/>
                  <w:vAlign w:val="center"/>
                </w:tcPr>
                <w:p w14:paraId="4D3B6F62">
                  <w:pPr>
                    <w:spacing w:line="276" w:lineRule="auto"/>
                    <w:jc w:val="center"/>
                    <w:rPr>
                      <w:rFonts w:hint="eastAsia" w:hAnsi="宋体" w:eastAsia="宋体"/>
                      <w:color w:val="auto"/>
                      <w:szCs w:val="21"/>
                      <w:lang w:eastAsia="zh-CN"/>
                    </w:rPr>
                  </w:pPr>
                  <w:r>
                    <w:rPr>
                      <w:rFonts w:hint="eastAsia" w:hAnsi="宋体"/>
                      <w:color w:val="auto"/>
                      <w:szCs w:val="21"/>
                      <w:lang w:val="en-US" w:eastAsia="zh-CN"/>
                    </w:rPr>
                    <w:t>颗粒物</w:t>
                  </w:r>
                </w:p>
              </w:tc>
              <w:tc>
                <w:tcPr>
                  <w:tcW w:w="870" w:type="dxa"/>
                  <w:vAlign w:val="center"/>
                </w:tcPr>
                <w:p w14:paraId="7C2CDD56">
                  <w:pPr>
                    <w:spacing w:line="276" w:lineRule="auto"/>
                    <w:jc w:val="center"/>
                    <w:rPr>
                      <w:color w:val="auto"/>
                      <w:szCs w:val="21"/>
                    </w:rPr>
                  </w:pPr>
                  <w:r>
                    <w:rPr>
                      <w:rFonts w:hint="eastAsia"/>
                      <w:color w:val="auto"/>
                      <w:szCs w:val="21"/>
                      <w:lang w:val="en-US" w:eastAsia="zh-CN"/>
                    </w:rPr>
                    <w:t>3</w:t>
                  </w:r>
                  <w:r>
                    <w:rPr>
                      <w:rFonts w:hint="eastAsia"/>
                      <w:color w:val="auto"/>
                      <w:szCs w:val="21"/>
                    </w:rPr>
                    <w:t>.0</w:t>
                  </w:r>
                </w:p>
              </w:tc>
              <w:tc>
                <w:tcPr>
                  <w:tcW w:w="760" w:type="dxa"/>
                  <w:vAlign w:val="center"/>
                </w:tcPr>
                <w:p w14:paraId="60342B2B">
                  <w:pPr>
                    <w:spacing w:line="276" w:lineRule="auto"/>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17</w:t>
                  </w:r>
                </w:p>
              </w:tc>
              <w:tc>
                <w:tcPr>
                  <w:tcW w:w="500" w:type="dxa"/>
                  <w:vAlign w:val="center"/>
                </w:tcPr>
                <w:p w14:paraId="4C69056F">
                  <w:pPr>
                    <w:spacing w:line="276" w:lineRule="auto"/>
                    <w:jc w:val="center"/>
                    <w:rPr>
                      <w:color w:val="auto"/>
                      <w:szCs w:val="21"/>
                    </w:rPr>
                  </w:pPr>
                  <w:r>
                    <w:rPr>
                      <w:rFonts w:hint="eastAsia"/>
                      <w:color w:val="auto"/>
                      <w:szCs w:val="21"/>
                    </w:rPr>
                    <w:t>470</w:t>
                  </w:r>
                </w:p>
              </w:tc>
              <w:tc>
                <w:tcPr>
                  <w:tcW w:w="620" w:type="dxa"/>
                  <w:vAlign w:val="center"/>
                </w:tcPr>
                <w:p w14:paraId="740253FB">
                  <w:pPr>
                    <w:spacing w:line="276" w:lineRule="auto"/>
                    <w:jc w:val="center"/>
                    <w:rPr>
                      <w:color w:val="auto"/>
                      <w:szCs w:val="21"/>
                    </w:rPr>
                  </w:pPr>
                  <w:r>
                    <w:rPr>
                      <w:rFonts w:hint="eastAsia"/>
                      <w:color w:val="auto"/>
                      <w:szCs w:val="21"/>
                    </w:rPr>
                    <w:t>0.021</w:t>
                  </w:r>
                </w:p>
              </w:tc>
              <w:tc>
                <w:tcPr>
                  <w:tcW w:w="512" w:type="dxa"/>
                  <w:vAlign w:val="center"/>
                </w:tcPr>
                <w:p w14:paraId="185CAA2A">
                  <w:pPr>
                    <w:spacing w:line="276" w:lineRule="auto"/>
                    <w:jc w:val="center"/>
                    <w:rPr>
                      <w:color w:val="auto"/>
                      <w:szCs w:val="21"/>
                    </w:rPr>
                  </w:pPr>
                  <w:r>
                    <w:rPr>
                      <w:rFonts w:hint="eastAsia"/>
                      <w:color w:val="auto"/>
                      <w:szCs w:val="21"/>
                    </w:rPr>
                    <w:t>1.85</w:t>
                  </w:r>
                </w:p>
              </w:tc>
              <w:tc>
                <w:tcPr>
                  <w:tcW w:w="584" w:type="dxa"/>
                  <w:vAlign w:val="center"/>
                </w:tcPr>
                <w:p w14:paraId="35F8C8FA">
                  <w:pPr>
                    <w:spacing w:line="276" w:lineRule="auto"/>
                    <w:jc w:val="center"/>
                    <w:rPr>
                      <w:color w:val="auto"/>
                      <w:szCs w:val="21"/>
                    </w:rPr>
                  </w:pPr>
                  <w:r>
                    <w:rPr>
                      <w:rFonts w:hint="eastAsia"/>
                      <w:color w:val="auto"/>
                      <w:szCs w:val="21"/>
                    </w:rPr>
                    <w:t>0.84</w:t>
                  </w:r>
                </w:p>
              </w:tc>
              <w:tc>
                <w:tcPr>
                  <w:tcW w:w="959" w:type="dxa"/>
                  <w:vAlign w:val="center"/>
                </w:tcPr>
                <w:p w14:paraId="2442EFBF">
                  <w:pPr>
                    <w:spacing w:line="276" w:lineRule="auto"/>
                    <w:jc w:val="center"/>
                    <w:rPr>
                      <w:color w:val="auto"/>
                      <w:szCs w:val="21"/>
                    </w:rPr>
                  </w:pPr>
                  <w:r>
                    <w:rPr>
                      <w:rFonts w:hint="eastAsia"/>
                      <w:color w:val="auto"/>
                      <w:szCs w:val="21"/>
                    </w:rPr>
                    <w:t>3336m</w:t>
                  </w:r>
                  <w:r>
                    <w:rPr>
                      <w:rFonts w:hint="eastAsia"/>
                      <w:color w:val="auto"/>
                      <w:szCs w:val="21"/>
                      <w:vertAlign w:val="superscript"/>
                    </w:rPr>
                    <w:t>2</w:t>
                  </w:r>
                </w:p>
              </w:tc>
              <w:tc>
                <w:tcPr>
                  <w:tcW w:w="813" w:type="dxa"/>
                  <w:vAlign w:val="center"/>
                </w:tcPr>
                <w:p w14:paraId="36F42C75">
                  <w:pPr>
                    <w:spacing w:line="276" w:lineRule="auto"/>
                    <w:jc w:val="center"/>
                    <w:rPr>
                      <w:color w:val="auto"/>
                      <w:szCs w:val="21"/>
                    </w:rPr>
                  </w:pPr>
                  <w:r>
                    <w:rPr>
                      <w:rFonts w:hint="eastAsia"/>
                      <w:color w:val="auto"/>
                      <w:szCs w:val="21"/>
                    </w:rPr>
                    <w:t>23.6</w:t>
                  </w:r>
                </w:p>
              </w:tc>
              <w:tc>
                <w:tcPr>
                  <w:tcW w:w="813" w:type="dxa"/>
                  <w:vAlign w:val="center"/>
                </w:tcPr>
                <w:p w14:paraId="505A5593">
                  <w:pPr>
                    <w:spacing w:line="276" w:lineRule="auto"/>
                    <w:jc w:val="center"/>
                    <w:rPr>
                      <w:color w:val="auto"/>
                      <w:szCs w:val="21"/>
                    </w:rPr>
                  </w:pPr>
                  <w:r>
                    <w:rPr>
                      <w:rFonts w:hint="eastAsia"/>
                      <w:color w:val="auto"/>
                      <w:szCs w:val="21"/>
                    </w:rPr>
                    <w:t>50</w:t>
                  </w:r>
                </w:p>
              </w:tc>
            </w:tr>
            <w:bookmarkEnd w:id="28"/>
          </w:tbl>
          <w:p w14:paraId="59E932C2">
            <w:pPr>
              <w:autoSpaceDE w:val="0"/>
              <w:autoSpaceDN w:val="0"/>
              <w:adjustRightInd w:val="0"/>
              <w:spacing w:line="360" w:lineRule="auto"/>
              <w:ind w:firstLine="480" w:firstLineChars="200"/>
              <w:rPr>
                <w:color w:val="auto"/>
              </w:rPr>
            </w:pPr>
            <w:r>
              <w:rPr>
                <w:rFonts w:hint="eastAsia"/>
                <w:color w:val="auto"/>
                <w:sz w:val="24"/>
              </w:rPr>
              <w:t>《大气有害物质无组织排放卫生防护距离推导技术导则》（</w:t>
            </w:r>
            <w:r>
              <w:rPr>
                <w:color w:val="auto"/>
                <w:sz w:val="24"/>
              </w:rPr>
              <w:t>GB/T39499-2020</w:t>
            </w:r>
            <w:r>
              <w:rPr>
                <w:rFonts w:hint="eastAsia"/>
                <w:color w:val="auto"/>
                <w:sz w:val="24"/>
              </w:rPr>
              <w:t>）中卫生防护距离终值确定如下：当卫生防护距离初值小于</w:t>
            </w:r>
            <w:r>
              <w:rPr>
                <w:color w:val="auto"/>
                <w:sz w:val="24"/>
              </w:rPr>
              <w:t>50</w:t>
            </w:r>
            <w:r>
              <w:rPr>
                <w:rFonts w:hint="eastAsia"/>
                <w:color w:val="auto"/>
                <w:sz w:val="24"/>
              </w:rPr>
              <w:t>m时，级差为</w:t>
            </w:r>
            <w:r>
              <w:rPr>
                <w:color w:val="auto"/>
                <w:sz w:val="24"/>
              </w:rPr>
              <w:t>50</w:t>
            </w:r>
            <w:r>
              <w:rPr>
                <w:rFonts w:hint="eastAsia"/>
                <w:color w:val="auto"/>
                <w:sz w:val="24"/>
              </w:rPr>
              <w:t>m；卫生防护距离初值大于或等于</w:t>
            </w:r>
            <w:r>
              <w:rPr>
                <w:color w:val="auto"/>
                <w:sz w:val="24"/>
              </w:rPr>
              <w:t>50</w:t>
            </w:r>
            <w:r>
              <w:rPr>
                <w:rFonts w:hint="eastAsia"/>
                <w:color w:val="auto"/>
                <w:sz w:val="24"/>
              </w:rPr>
              <w:t>m，但小于</w:t>
            </w:r>
            <w:r>
              <w:rPr>
                <w:color w:val="auto"/>
                <w:sz w:val="24"/>
              </w:rPr>
              <w:t>100</w:t>
            </w:r>
            <w:r>
              <w:rPr>
                <w:rFonts w:hint="eastAsia"/>
                <w:color w:val="auto"/>
                <w:sz w:val="24"/>
              </w:rPr>
              <w:t>m时，级差为</w:t>
            </w:r>
            <w:r>
              <w:rPr>
                <w:color w:val="auto"/>
                <w:sz w:val="24"/>
              </w:rPr>
              <w:t>50m</w:t>
            </w:r>
            <w:r>
              <w:rPr>
                <w:rFonts w:hint="eastAsia"/>
                <w:color w:val="auto"/>
                <w:sz w:val="24"/>
              </w:rPr>
              <w:t>；超过</w:t>
            </w:r>
            <w:r>
              <w:rPr>
                <w:color w:val="auto"/>
                <w:sz w:val="24"/>
              </w:rPr>
              <w:t>100m</w:t>
            </w:r>
            <w:r>
              <w:rPr>
                <w:rFonts w:hint="eastAsia"/>
                <w:color w:val="auto"/>
                <w:sz w:val="24"/>
              </w:rPr>
              <w:t>，但小于</w:t>
            </w:r>
            <w:r>
              <w:rPr>
                <w:color w:val="auto"/>
                <w:sz w:val="24"/>
              </w:rPr>
              <w:t>1000m</w:t>
            </w:r>
            <w:r>
              <w:rPr>
                <w:rFonts w:hint="eastAsia"/>
                <w:color w:val="auto"/>
                <w:sz w:val="24"/>
              </w:rPr>
              <w:t>时，级差为</w:t>
            </w:r>
            <w:r>
              <w:rPr>
                <w:color w:val="auto"/>
                <w:sz w:val="24"/>
              </w:rPr>
              <w:t>100m</w:t>
            </w:r>
            <w:r>
              <w:rPr>
                <w:rFonts w:hint="eastAsia"/>
                <w:color w:val="auto"/>
                <w:sz w:val="24"/>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因此，本项目卫生防护距离计算结果为50m。</w:t>
            </w:r>
          </w:p>
          <w:p w14:paraId="624D2B98">
            <w:pPr>
              <w:spacing w:line="360" w:lineRule="auto"/>
              <w:ind w:firstLine="480" w:firstLineChars="200"/>
              <w:contextualSpacing/>
              <w:rPr>
                <w:rFonts w:hint="eastAsia" w:hAnsi="宋体"/>
                <w:color w:val="auto"/>
                <w:sz w:val="24"/>
              </w:rPr>
            </w:pPr>
            <w:r>
              <w:rPr>
                <w:rFonts w:hAnsi="宋体"/>
                <w:color w:val="auto"/>
                <w:sz w:val="24"/>
              </w:rPr>
              <w:t>综上所述，参照卫生防护距离计算结果</w:t>
            </w:r>
            <w:r>
              <w:rPr>
                <w:rFonts w:hint="eastAsia" w:hAnsi="宋体"/>
                <w:color w:val="auto"/>
                <w:sz w:val="24"/>
              </w:rPr>
              <w:t>，</w:t>
            </w:r>
            <w:r>
              <w:rPr>
                <w:rFonts w:hAnsi="宋体"/>
                <w:color w:val="auto"/>
                <w:sz w:val="24"/>
              </w:rPr>
              <w:t>本项目拟在厂界设置</w:t>
            </w:r>
            <w:r>
              <w:rPr>
                <w:rFonts w:hint="eastAsia"/>
                <w:color w:val="auto"/>
                <w:sz w:val="24"/>
              </w:rPr>
              <w:t>50</w:t>
            </w:r>
            <w:r>
              <w:rPr>
                <w:rFonts w:hint="eastAsia" w:hAnsi="宋体"/>
                <w:color w:val="auto"/>
                <w:sz w:val="24"/>
              </w:rPr>
              <w:t>m</w:t>
            </w:r>
            <w:r>
              <w:rPr>
                <w:rFonts w:hAnsi="宋体"/>
                <w:color w:val="auto"/>
                <w:sz w:val="24"/>
              </w:rPr>
              <w:t>的</w:t>
            </w:r>
            <w:r>
              <w:rPr>
                <w:rFonts w:hint="eastAsia" w:hAnsi="宋体"/>
                <w:color w:val="auto"/>
                <w:sz w:val="24"/>
              </w:rPr>
              <w:t>环境</w:t>
            </w:r>
            <w:r>
              <w:rPr>
                <w:rFonts w:hAnsi="宋体"/>
                <w:color w:val="auto"/>
                <w:sz w:val="24"/>
              </w:rPr>
              <w:t>防护距离，根据现场情况踏勘，本项目环境防护距离内无居民点、学校等环境敏感目标。另外当地政府在对项目周边用地重新规划时，环境防护距离内不应规划建设居民区、学校、医院、食品加工厂等敏感建筑物。</w:t>
            </w:r>
          </w:p>
          <w:p w14:paraId="458E4E5E">
            <w:pPr>
              <w:pStyle w:val="57"/>
              <w:ind w:firstLine="482" w:firstLineChars="200"/>
              <w:rPr>
                <w:color w:val="auto"/>
              </w:rPr>
            </w:pPr>
            <w:r>
              <w:rPr>
                <w:rFonts w:hint="eastAsia"/>
                <w:color w:val="auto"/>
              </w:rPr>
              <w:t>（3）环境防护距离</w:t>
            </w:r>
          </w:p>
          <w:p w14:paraId="5489ECC4">
            <w:pPr>
              <w:pStyle w:val="57"/>
              <w:spacing w:line="360" w:lineRule="auto"/>
              <w:ind w:left="0" w:leftChars="0" w:firstLine="480" w:firstLineChars="200"/>
              <w:jc w:val="both"/>
              <w:rPr>
                <w:b w:val="0"/>
                <w:bCs w:val="0"/>
                <w:color w:val="002DC7"/>
              </w:rPr>
            </w:pPr>
            <w:r>
              <w:rPr>
                <w:rFonts w:hint="eastAsia"/>
                <w:b w:val="0"/>
                <w:bCs w:val="0"/>
                <w:color w:val="auto"/>
              </w:rPr>
              <w:t>结合大气环境防护距离、卫生防护距离，本项目环境防护距离厂界外设置50m。本项目环境防护距离范围内不应建设集中住宅、文教科研区、卫生服务机构以及其它公共建筑、有特殊要求的工业厂房等，以避免项目产生的废气对周围民众或环境产生影响。结合现状和远期规划，本项目设置的环境防护距离满足环境要求。</w:t>
            </w:r>
          </w:p>
          <w:p w14:paraId="16963206">
            <w:pPr>
              <w:spacing w:line="360" w:lineRule="auto"/>
              <w:ind w:firstLine="480" w:firstLineChars="200"/>
              <w:contextualSpacing/>
              <w:jc w:val="left"/>
              <w:rPr>
                <w:b w:val="0"/>
                <w:bCs/>
                <w:color w:val="auto"/>
                <w:sz w:val="24"/>
              </w:rPr>
            </w:pPr>
            <w:r>
              <w:rPr>
                <w:rFonts w:hint="eastAsia"/>
                <w:b w:val="0"/>
                <w:bCs/>
                <w:color w:val="auto"/>
                <w:sz w:val="24"/>
              </w:rPr>
              <w:t>4、废气环保措施可行性分析</w:t>
            </w:r>
          </w:p>
          <w:p w14:paraId="1B09D737">
            <w:pPr>
              <w:spacing w:line="360" w:lineRule="auto"/>
              <w:ind w:firstLine="480" w:firstLineChars="200"/>
              <w:contextualSpacing/>
              <w:rPr>
                <w:color w:val="auto"/>
                <w:sz w:val="24"/>
              </w:rPr>
            </w:pPr>
            <w:r>
              <w:rPr>
                <w:color w:val="auto"/>
                <w:sz w:val="24"/>
              </w:rPr>
              <w:t>本项目运营期产生的</w:t>
            </w:r>
            <w:r>
              <w:rPr>
                <w:rFonts w:hint="eastAsia"/>
                <w:color w:val="auto"/>
                <w:sz w:val="24"/>
              </w:rPr>
              <w:t>废气</w:t>
            </w:r>
            <w:r>
              <w:rPr>
                <w:rFonts w:hint="eastAsia"/>
                <w:color w:val="auto"/>
                <w:sz w:val="24"/>
                <w:lang w:val="en-US" w:eastAsia="zh-CN"/>
              </w:rPr>
              <w:t>污染物</w:t>
            </w:r>
            <w:r>
              <w:rPr>
                <w:color w:val="auto"/>
                <w:sz w:val="24"/>
              </w:rPr>
              <w:t>主要为</w:t>
            </w:r>
            <w:r>
              <w:rPr>
                <w:rFonts w:hint="eastAsia"/>
                <w:color w:val="auto"/>
                <w:sz w:val="24"/>
                <w:lang w:val="en-US" w:eastAsia="zh-CN"/>
              </w:rPr>
              <w:t>配料废气和搅拌废气</w:t>
            </w:r>
            <w:r>
              <w:rPr>
                <w:color w:val="auto"/>
                <w:sz w:val="24"/>
              </w:rPr>
              <w:t>产生的</w:t>
            </w:r>
            <w:r>
              <w:rPr>
                <w:rFonts w:hint="eastAsia"/>
                <w:color w:val="auto"/>
                <w:sz w:val="24"/>
                <w:lang w:val="en-US" w:eastAsia="zh-CN"/>
              </w:rPr>
              <w:t>颗粒物</w:t>
            </w:r>
            <w:r>
              <w:rPr>
                <w:rFonts w:hint="eastAsia" w:hAnsi="宋体"/>
                <w:color w:val="auto"/>
                <w:sz w:val="24"/>
              </w:rPr>
              <w:t>。</w:t>
            </w:r>
          </w:p>
          <w:p w14:paraId="639213F2">
            <w:pPr>
              <w:pStyle w:val="57"/>
              <w:adjustRightInd/>
              <w:spacing w:line="360" w:lineRule="auto"/>
              <w:ind w:firstLine="482" w:firstLineChars="200"/>
              <w:jc w:val="both"/>
              <w:rPr>
                <w:color w:val="auto"/>
              </w:rPr>
            </w:pPr>
            <w:r>
              <w:rPr>
                <w:rFonts w:hint="eastAsia"/>
                <w:color w:val="auto"/>
              </w:rPr>
              <w:t>（1）达标可行性</w:t>
            </w:r>
          </w:p>
          <w:p w14:paraId="7614293D">
            <w:pPr>
              <w:adjustRightInd w:val="0"/>
              <w:snapToGrid w:val="0"/>
              <w:spacing w:line="360" w:lineRule="auto"/>
              <w:ind w:firstLine="480" w:firstLineChars="200"/>
              <w:rPr>
                <w:color w:val="002DC7"/>
                <w:kern w:val="0"/>
                <w:sz w:val="24"/>
                <w:szCs w:val="24"/>
              </w:rPr>
            </w:pPr>
            <w:r>
              <w:rPr>
                <w:rFonts w:hint="eastAsia" w:ascii="Times New Roman" w:hAnsi="Times New Roman" w:eastAsia="宋体" w:cs="Times New Roman"/>
                <w:bCs/>
                <w:color w:val="000000" w:themeColor="text1"/>
                <w:sz w:val="24"/>
                <w:szCs w:val="24"/>
                <w14:textFill>
                  <w14:solidFill>
                    <w14:schemeClr w14:val="tx1"/>
                  </w14:solidFill>
                </w14:textFill>
              </w:rPr>
              <w:t>由工程分析可知，本项目废气颗粒物经脉冲袋式除尘器处理后，有组织废气排放浓度能够满足《水泥工业大气污染物排放标准》（DB34/3576-2020）中10mg/m</w:t>
            </w:r>
            <w:r>
              <w:rPr>
                <w:rFonts w:hint="eastAsia" w:ascii="Times New Roman" w:hAnsi="Times New Roman" w:eastAsia="宋体" w:cs="Times New Roman"/>
                <w:bCs/>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4"/>
                <w14:textFill>
                  <w14:solidFill>
                    <w14:schemeClr w14:val="tx1"/>
                  </w14:solidFill>
                </w14:textFill>
              </w:rPr>
              <w:t>的限制要求。</w:t>
            </w:r>
          </w:p>
          <w:p w14:paraId="7E7F12CD">
            <w:pPr>
              <w:pStyle w:val="57"/>
              <w:adjustRightInd/>
              <w:spacing w:line="360" w:lineRule="auto"/>
              <w:ind w:firstLine="482" w:firstLineChars="200"/>
              <w:jc w:val="both"/>
              <w:rPr>
                <w:rFonts w:hint="eastAsia" w:ascii="宋体" w:hAnsi="宋体" w:cs="宋体"/>
                <w:color w:val="auto"/>
              </w:rPr>
            </w:pPr>
            <w:r>
              <w:rPr>
                <w:rFonts w:hint="eastAsia" w:ascii="宋体" w:hAnsi="宋体" w:cs="宋体"/>
                <w:color w:val="auto"/>
              </w:rPr>
              <w:t>（</w:t>
            </w:r>
            <w:r>
              <w:rPr>
                <w:color w:val="auto"/>
              </w:rPr>
              <w:t>2</w:t>
            </w:r>
            <w:r>
              <w:rPr>
                <w:rFonts w:hint="eastAsia" w:ascii="宋体" w:hAnsi="宋体" w:cs="宋体"/>
                <w:color w:val="auto"/>
              </w:rPr>
              <w:t>）技术可行性</w:t>
            </w:r>
          </w:p>
          <w:p w14:paraId="366C4CB1">
            <w:pPr>
              <w:adjustRightInd w:val="0"/>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w:t>
            </w:r>
            <w:r>
              <w:rPr>
                <w:rFonts w:ascii="Times New Roman" w:hAnsi="Times New Roman" w:eastAsia="宋体" w:cs="Times New Roman"/>
                <w:color w:val="000000" w:themeColor="text1"/>
                <w:sz w:val="24"/>
                <w:szCs w:val="24"/>
                <w14:textFill>
                  <w14:solidFill>
                    <w14:schemeClr w14:val="tx1"/>
                  </w14:solidFill>
                </w14:textFill>
              </w:rPr>
              <w:t xml:space="preserve">《排污许可证申请与核发技术规范 </w:t>
            </w:r>
            <w:r>
              <w:rPr>
                <w:rFonts w:hint="eastAsia" w:cs="Times New Roman"/>
                <w:color w:val="000000" w:themeColor="text1"/>
                <w:sz w:val="24"/>
                <w:szCs w:val="24"/>
                <w:lang w:val="en-US" w:eastAsia="zh-CN"/>
                <w14:textFill>
                  <w14:solidFill>
                    <w14:schemeClr w14:val="tx1"/>
                  </w14:solidFill>
                </w14:textFill>
              </w:rPr>
              <w:t>总则</w:t>
            </w:r>
            <w:r>
              <w:rPr>
                <w:rFonts w:ascii="Times New Roman" w:hAnsi="Times New Roman" w:eastAsia="宋体" w:cs="Times New Roman"/>
                <w:color w:val="000000" w:themeColor="text1"/>
                <w:sz w:val="24"/>
                <w:szCs w:val="24"/>
                <w14:textFill>
                  <w14:solidFill>
                    <w14:schemeClr w14:val="tx1"/>
                  </w14:solidFill>
                </w14:textFill>
              </w:rPr>
              <w:t>（HJ</w:t>
            </w:r>
            <w:r>
              <w:rPr>
                <w:rFonts w:hint="eastAsia" w:cs="Times New Roman"/>
                <w:color w:val="000000" w:themeColor="text1"/>
                <w:sz w:val="24"/>
                <w:szCs w:val="24"/>
                <w:lang w:val="en-US" w:eastAsia="zh-CN"/>
                <w14:textFill>
                  <w14:solidFill>
                    <w14:schemeClr w14:val="tx1"/>
                  </w14:solidFill>
                </w14:textFill>
              </w:rPr>
              <w:t>942</w:t>
            </w:r>
            <w:r>
              <w:rPr>
                <w:rFonts w:ascii="Times New Roman" w:hAnsi="Times New Roman" w:eastAsia="宋体" w:cs="Times New Roman"/>
                <w:color w:val="000000" w:themeColor="text1"/>
                <w:sz w:val="24"/>
                <w:szCs w:val="24"/>
                <w14:textFill>
                  <w14:solidFill>
                    <w14:schemeClr w14:val="tx1"/>
                  </w14:solidFill>
                </w14:textFill>
              </w:rPr>
              <w:t>-201</w:t>
            </w:r>
            <w:r>
              <w:rPr>
                <w:rFonts w:hint="eastAsia" w:cs="Times New Roman"/>
                <w:color w:val="000000" w:themeColor="text1"/>
                <w:sz w:val="24"/>
                <w:szCs w:val="24"/>
                <w:lang w:val="en-US" w:eastAsia="zh-CN"/>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ascii="Times New Roman" w:hAnsi="Times New Roman" w:eastAsia="宋体" w:cs="Times New Roman"/>
                <w:color w:val="000000" w:themeColor="text1"/>
                <w:sz w:val="24"/>
                <w:szCs w:val="24"/>
                <w14:textFill>
                  <w14:solidFill>
                    <w14:schemeClr w14:val="tx1"/>
                  </w14:solidFill>
                </w14:textFill>
              </w:rPr>
              <w:t>可知，</w:t>
            </w:r>
            <w:r>
              <w:rPr>
                <w:rFonts w:hint="eastAsia" w:ascii="Times New Roman" w:hAnsi="Times New Roman" w:eastAsia="宋体" w:cs="Times New Roman"/>
                <w:color w:val="000000" w:themeColor="text1"/>
                <w:sz w:val="24"/>
                <w:szCs w:val="24"/>
                <w14:textFill>
                  <w14:solidFill>
                    <w14:schemeClr w14:val="tx1"/>
                  </w14:solidFill>
                </w14:textFill>
              </w:rPr>
              <w:t>颗粒物处理推荐污染防治措施含布袋除尘器，故本项目采用布袋除尘器处理颗粒物为可行性技术。</w:t>
            </w:r>
          </w:p>
          <w:p w14:paraId="66E6957E">
            <w:pPr>
              <w:pStyle w:val="57"/>
              <w:adjustRightInd/>
              <w:spacing w:line="360" w:lineRule="auto"/>
              <w:ind w:firstLine="482" w:firstLineChars="200"/>
              <w:rPr>
                <w:color w:val="auto"/>
              </w:rPr>
            </w:pPr>
            <w:r>
              <w:rPr>
                <w:rFonts w:hint="eastAsia"/>
                <w:color w:val="auto"/>
              </w:rPr>
              <w:t>（</w:t>
            </w:r>
            <w:r>
              <w:rPr>
                <w:rFonts w:hint="eastAsia"/>
                <w:color w:val="auto"/>
                <w:lang w:val="en-US" w:eastAsia="zh-CN"/>
              </w:rPr>
              <w:t>3</w:t>
            </w:r>
            <w:r>
              <w:rPr>
                <w:rFonts w:hint="eastAsia"/>
                <w:color w:val="auto"/>
              </w:rPr>
              <w:t>）排气筒设置可行性分析</w:t>
            </w:r>
          </w:p>
          <w:p w14:paraId="3701FB09">
            <w:pPr>
              <w:pStyle w:val="57"/>
              <w:adjustRightInd/>
              <w:spacing w:line="360" w:lineRule="auto"/>
              <w:ind w:firstLine="480" w:firstLineChars="200"/>
              <w:jc w:val="both"/>
              <w:rPr>
                <w:b w:val="0"/>
                <w:bCs w:val="0"/>
                <w:color w:val="auto"/>
              </w:rPr>
            </w:pPr>
            <w:r>
              <w:rPr>
                <w:rFonts w:hint="eastAsia"/>
                <w:b w:val="0"/>
                <w:bCs w:val="0"/>
                <w:color w:val="auto"/>
              </w:rPr>
              <w:t>本项目共设置1根排气筒，考虑到厂区平面布局，排气筒应远离生活及办公区域，减少废气排放对周边环境和敏感目标的影响。排气筒具体设置方案见表4-9。</w:t>
            </w:r>
          </w:p>
          <w:p w14:paraId="62085033">
            <w:pPr>
              <w:pStyle w:val="57"/>
              <w:spacing w:line="360" w:lineRule="auto"/>
              <w:jc w:val="center"/>
              <w:rPr>
                <w:b/>
                <w:bCs/>
                <w:color w:val="auto"/>
              </w:rPr>
            </w:pPr>
            <w:r>
              <w:rPr>
                <w:b/>
                <w:bCs/>
                <w:color w:val="auto"/>
              </w:rPr>
              <w:t>表4-</w:t>
            </w:r>
            <w:r>
              <w:rPr>
                <w:rFonts w:hint="eastAsia"/>
                <w:b/>
                <w:bCs/>
                <w:color w:val="auto"/>
              </w:rPr>
              <w:t>9 全厂排气筒设置方案一览表</w:t>
            </w:r>
          </w:p>
          <w:tbl>
            <w:tblPr>
              <w:tblStyle w:val="4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65"/>
              <w:gridCol w:w="1300"/>
              <w:gridCol w:w="1181"/>
              <w:gridCol w:w="1181"/>
              <w:gridCol w:w="1181"/>
              <w:gridCol w:w="1181"/>
              <w:gridCol w:w="1182"/>
            </w:tblGrid>
            <w:tr w14:paraId="79E614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4" w:type="pct"/>
                  <w:vAlign w:val="center"/>
                </w:tcPr>
                <w:p w14:paraId="73F99CC0">
                  <w:pPr>
                    <w:jc w:val="center"/>
                    <w:rPr>
                      <w:b/>
                      <w:color w:val="auto"/>
                    </w:rPr>
                  </w:pPr>
                  <w:r>
                    <w:rPr>
                      <w:rFonts w:hint="eastAsia"/>
                      <w:b/>
                      <w:color w:val="auto"/>
                    </w:rPr>
                    <w:t>排气筒编号</w:t>
                  </w:r>
                </w:p>
              </w:tc>
              <w:tc>
                <w:tcPr>
                  <w:tcW w:w="786" w:type="pct"/>
                  <w:vAlign w:val="center"/>
                </w:tcPr>
                <w:p w14:paraId="49FF64FD">
                  <w:pPr>
                    <w:jc w:val="center"/>
                    <w:rPr>
                      <w:b/>
                      <w:color w:val="auto"/>
                    </w:rPr>
                  </w:pPr>
                  <w:r>
                    <w:rPr>
                      <w:rFonts w:hint="eastAsia"/>
                      <w:b/>
                      <w:color w:val="auto"/>
                    </w:rPr>
                    <w:t>污染物</w:t>
                  </w:r>
                </w:p>
              </w:tc>
              <w:tc>
                <w:tcPr>
                  <w:tcW w:w="714" w:type="pct"/>
                  <w:vAlign w:val="center"/>
                </w:tcPr>
                <w:p w14:paraId="65D225D5">
                  <w:pPr>
                    <w:jc w:val="center"/>
                    <w:rPr>
                      <w:b/>
                      <w:color w:val="auto"/>
                    </w:rPr>
                  </w:pPr>
                  <w:r>
                    <w:rPr>
                      <w:rFonts w:hint="eastAsia"/>
                      <w:b/>
                      <w:color w:val="auto"/>
                    </w:rPr>
                    <w:t>排气筒高度（m）</w:t>
                  </w:r>
                </w:p>
              </w:tc>
              <w:tc>
                <w:tcPr>
                  <w:tcW w:w="714" w:type="pct"/>
                  <w:vAlign w:val="center"/>
                </w:tcPr>
                <w:p w14:paraId="4A025A1C">
                  <w:pPr>
                    <w:jc w:val="center"/>
                    <w:rPr>
                      <w:b/>
                      <w:color w:val="auto"/>
                    </w:rPr>
                  </w:pPr>
                  <w:r>
                    <w:rPr>
                      <w:rFonts w:hint="eastAsia"/>
                      <w:b/>
                      <w:color w:val="auto"/>
                    </w:rPr>
                    <w:t>排气量（m</w:t>
                  </w:r>
                  <w:r>
                    <w:rPr>
                      <w:rFonts w:hint="eastAsia"/>
                      <w:b/>
                      <w:color w:val="auto"/>
                      <w:vertAlign w:val="superscript"/>
                    </w:rPr>
                    <w:t>3</w:t>
                  </w:r>
                  <w:r>
                    <w:rPr>
                      <w:rFonts w:hint="eastAsia"/>
                      <w:b/>
                      <w:color w:val="auto"/>
                    </w:rPr>
                    <w:t>/h）</w:t>
                  </w:r>
                </w:p>
              </w:tc>
              <w:tc>
                <w:tcPr>
                  <w:tcW w:w="714" w:type="pct"/>
                  <w:vAlign w:val="center"/>
                </w:tcPr>
                <w:p w14:paraId="5747B611">
                  <w:pPr>
                    <w:jc w:val="center"/>
                    <w:rPr>
                      <w:b/>
                      <w:color w:val="auto"/>
                    </w:rPr>
                  </w:pPr>
                  <w:r>
                    <w:rPr>
                      <w:rFonts w:hint="eastAsia"/>
                      <w:b/>
                      <w:color w:val="auto"/>
                    </w:rPr>
                    <w:t>出口直径（m）</w:t>
                  </w:r>
                </w:p>
              </w:tc>
              <w:tc>
                <w:tcPr>
                  <w:tcW w:w="714" w:type="pct"/>
                  <w:vAlign w:val="center"/>
                </w:tcPr>
                <w:p w14:paraId="75209878">
                  <w:pPr>
                    <w:jc w:val="center"/>
                    <w:rPr>
                      <w:b/>
                      <w:color w:val="auto"/>
                    </w:rPr>
                  </w:pPr>
                  <w:r>
                    <w:rPr>
                      <w:rFonts w:hint="eastAsia"/>
                      <w:b/>
                      <w:color w:val="auto"/>
                    </w:rPr>
                    <w:t>烟气温度（℃）</w:t>
                  </w:r>
                </w:p>
              </w:tc>
              <w:tc>
                <w:tcPr>
                  <w:tcW w:w="714" w:type="pct"/>
                  <w:vAlign w:val="center"/>
                </w:tcPr>
                <w:p w14:paraId="7E861BD1">
                  <w:pPr>
                    <w:jc w:val="center"/>
                    <w:rPr>
                      <w:b/>
                      <w:color w:val="auto"/>
                    </w:rPr>
                  </w:pPr>
                  <w:r>
                    <w:rPr>
                      <w:rFonts w:hint="eastAsia"/>
                      <w:b/>
                      <w:color w:val="auto"/>
                    </w:rPr>
                    <w:t>出口烟气流速Vs（m/s）</w:t>
                  </w:r>
                </w:p>
              </w:tc>
            </w:tr>
            <w:tr w14:paraId="2EEC91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4" w:type="pct"/>
                  <w:vAlign w:val="center"/>
                </w:tcPr>
                <w:p w14:paraId="0AA356FC">
                  <w:pPr>
                    <w:jc w:val="center"/>
                    <w:rPr>
                      <w:bCs/>
                      <w:color w:val="auto"/>
                    </w:rPr>
                  </w:pPr>
                  <w:r>
                    <w:rPr>
                      <w:rFonts w:hint="eastAsia"/>
                      <w:bCs/>
                      <w:color w:val="auto"/>
                    </w:rPr>
                    <w:t>DA001</w:t>
                  </w:r>
                </w:p>
              </w:tc>
              <w:tc>
                <w:tcPr>
                  <w:tcW w:w="786" w:type="pct"/>
                  <w:vAlign w:val="center"/>
                </w:tcPr>
                <w:p w14:paraId="374CA789">
                  <w:pPr>
                    <w:jc w:val="center"/>
                    <w:rPr>
                      <w:bCs/>
                      <w:color w:val="auto"/>
                    </w:rPr>
                  </w:pPr>
                  <w:r>
                    <w:rPr>
                      <w:rFonts w:hint="eastAsia"/>
                      <w:bCs/>
                      <w:color w:val="auto"/>
                    </w:rPr>
                    <w:t>非甲烷总烃</w:t>
                  </w:r>
                </w:p>
              </w:tc>
              <w:tc>
                <w:tcPr>
                  <w:tcW w:w="714" w:type="pct"/>
                  <w:vAlign w:val="center"/>
                </w:tcPr>
                <w:p w14:paraId="12C41022">
                  <w:pPr>
                    <w:jc w:val="center"/>
                    <w:rPr>
                      <w:bCs/>
                      <w:color w:val="auto"/>
                    </w:rPr>
                  </w:pPr>
                  <w:r>
                    <w:rPr>
                      <w:rFonts w:hint="eastAsia"/>
                      <w:bCs/>
                      <w:color w:val="auto"/>
                    </w:rPr>
                    <w:t>15</w:t>
                  </w:r>
                </w:p>
              </w:tc>
              <w:tc>
                <w:tcPr>
                  <w:tcW w:w="714" w:type="pct"/>
                  <w:vAlign w:val="center"/>
                </w:tcPr>
                <w:p w14:paraId="06ABA845">
                  <w:pPr>
                    <w:jc w:val="center"/>
                    <w:rPr>
                      <w:bCs/>
                      <w:color w:val="auto"/>
                    </w:rPr>
                  </w:pPr>
                  <w:r>
                    <w:rPr>
                      <w:rFonts w:hint="eastAsia"/>
                      <w:bCs/>
                      <w:color w:val="auto"/>
                      <w:lang w:val="en-US" w:eastAsia="zh-CN"/>
                    </w:rPr>
                    <w:t>30</w:t>
                  </w:r>
                  <w:r>
                    <w:rPr>
                      <w:rFonts w:hint="eastAsia"/>
                      <w:bCs/>
                      <w:color w:val="auto"/>
                    </w:rPr>
                    <w:t>000</w:t>
                  </w:r>
                </w:p>
              </w:tc>
              <w:tc>
                <w:tcPr>
                  <w:tcW w:w="714" w:type="pct"/>
                  <w:vAlign w:val="center"/>
                </w:tcPr>
                <w:p w14:paraId="02631039">
                  <w:pPr>
                    <w:jc w:val="center"/>
                    <w:rPr>
                      <w:rFonts w:hint="eastAsia" w:eastAsia="宋体"/>
                      <w:bCs/>
                      <w:color w:val="auto"/>
                      <w:lang w:eastAsia="zh-CN"/>
                    </w:rPr>
                  </w:pPr>
                  <w:r>
                    <w:rPr>
                      <w:rFonts w:hint="eastAsia"/>
                      <w:bCs/>
                      <w:color w:val="auto"/>
                    </w:rPr>
                    <w:t>0.</w:t>
                  </w:r>
                  <w:r>
                    <w:rPr>
                      <w:rFonts w:hint="eastAsia"/>
                      <w:bCs/>
                      <w:color w:val="auto"/>
                      <w:lang w:val="en-US" w:eastAsia="zh-CN"/>
                    </w:rPr>
                    <w:t>7</w:t>
                  </w:r>
                </w:p>
              </w:tc>
              <w:tc>
                <w:tcPr>
                  <w:tcW w:w="714" w:type="pct"/>
                  <w:vAlign w:val="center"/>
                </w:tcPr>
                <w:p w14:paraId="2D72142E">
                  <w:pPr>
                    <w:jc w:val="center"/>
                    <w:rPr>
                      <w:rFonts w:hint="default" w:eastAsia="宋体"/>
                      <w:bCs/>
                      <w:color w:val="auto"/>
                      <w:lang w:val="en-US" w:eastAsia="zh-CN"/>
                    </w:rPr>
                  </w:pPr>
                  <w:r>
                    <w:rPr>
                      <w:rFonts w:hint="eastAsia"/>
                      <w:bCs/>
                      <w:color w:val="auto"/>
                      <w:lang w:val="en-US" w:eastAsia="zh-CN"/>
                    </w:rPr>
                    <w:t>25</w:t>
                  </w:r>
                </w:p>
              </w:tc>
              <w:tc>
                <w:tcPr>
                  <w:tcW w:w="714" w:type="pct"/>
                  <w:vAlign w:val="center"/>
                </w:tcPr>
                <w:p w14:paraId="0C7CE868">
                  <w:pPr>
                    <w:jc w:val="center"/>
                    <w:rPr>
                      <w:rFonts w:hint="eastAsia" w:eastAsia="宋体"/>
                      <w:bCs/>
                      <w:color w:val="auto"/>
                      <w:lang w:eastAsia="zh-CN"/>
                    </w:rPr>
                  </w:pPr>
                  <w:r>
                    <w:rPr>
                      <w:rFonts w:hint="eastAsia"/>
                      <w:bCs/>
                      <w:color w:val="auto"/>
                    </w:rPr>
                    <w:t>15.</w:t>
                  </w:r>
                  <w:r>
                    <w:rPr>
                      <w:rFonts w:hint="eastAsia"/>
                      <w:bCs/>
                      <w:color w:val="auto"/>
                      <w:lang w:val="en-US" w:eastAsia="zh-CN"/>
                    </w:rPr>
                    <w:t>1</w:t>
                  </w:r>
                </w:p>
              </w:tc>
            </w:tr>
          </w:tbl>
          <w:p w14:paraId="4484C309">
            <w:pPr>
              <w:pStyle w:val="57"/>
              <w:spacing w:line="360" w:lineRule="auto"/>
              <w:ind w:firstLine="482" w:firstLineChars="200"/>
              <w:rPr>
                <w:color w:val="002DC7"/>
              </w:rPr>
            </w:pPr>
            <w:r>
              <w:rPr>
                <w:color w:val="auto"/>
              </w:rPr>
              <w:t>排气筒内径及流速合理性分析</w:t>
            </w:r>
            <w:r>
              <w:rPr>
                <w:rFonts w:hint="eastAsia"/>
                <w:color w:val="auto"/>
              </w:rPr>
              <w:t>：</w:t>
            </w:r>
          </w:p>
          <w:p w14:paraId="343B1606">
            <w:pPr>
              <w:pStyle w:val="57"/>
              <w:spacing w:line="360" w:lineRule="auto"/>
              <w:ind w:firstLine="480" w:firstLineChars="200"/>
              <w:jc w:val="both"/>
              <w:rPr>
                <w:b w:val="0"/>
                <w:bCs w:val="0"/>
                <w:color w:val="auto"/>
              </w:rPr>
            </w:pPr>
            <w:r>
              <w:rPr>
                <w:b w:val="0"/>
                <w:bCs w:val="0"/>
                <w:color w:val="auto"/>
              </w:rPr>
              <w:t>参考《大气污染治理工程技术导则》（H2000-2010）</w:t>
            </w:r>
            <w:r>
              <w:rPr>
                <w:rFonts w:hint="eastAsia"/>
                <w:b w:val="0"/>
                <w:bCs w:val="0"/>
                <w:color w:val="auto"/>
              </w:rPr>
              <w:t>“</w:t>
            </w:r>
            <w:r>
              <w:rPr>
                <w:b w:val="0"/>
                <w:bCs w:val="0"/>
                <w:color w:val="auto"/>
              </w:rPr>
              <w:t>5.3.5 排气筒的出口直径应根据出口流速确定，流速宜取15 m/s左右。当采用钢管烟囱且高度较高时或烟气量较大时，可适当提高出口流速至20～25 m/s。</w:t>
            </w:r>
            <w:r>
              <w:rPr>
                <w:rFonts w:hint="eastAsia"/>
                <w:b w:val="0"/>
                <w:bCs w:val="0"/>
                <w:color w:val="auto"/>
              </w:rPr>
              <w:t>”</w:t>
            </w:r>
            <w:r>
              <w:rPr>
                <w:b w:val="0"/>
                <w:bCs w:val="0"/>
                <w:color w:val="auto"/>
              </w:rPr>
              <w:t>根据表4-</w:t>
            </w:r>
            <w:r>
              <w:rPr>
                <w:rFonts w:hint="eastAsia"/>
                <w:b w:val="0"/>
                <w:bCs w:val="0"/>
                <w:color w:val="auto"/>
              </w:rPr>
              <w:t>9</w:t>
            </w:r>
            <w:r>
              <w:rPr>
                <w:b w:val="0"/>
                <w:bCs w:val="0"/>
                <w:color w:val="auto"/>
              </w:rPr>
              <w:t>可知，本项目排气筒废气排放速率能满足相关技术导则要求，因此本项目排气筒内径设置合理。</w:t>
            </w:r>
          </w:p>
          <w:p w14:paraId="2B58E0F9">
            <w:pPr>
              <w:pStyle w:val="57"/>
              <w:adjustRightInd/>
              <w:spacing w:line="360" w:lineRule="auto"/>
              <w:ind w:firstLine="480" w:firstLineChars="200"/>
              <w:rPr>
                <w:rFonts w:hint="eastAsia"/>
                <w:b w:val="0"/>
                <w:bCs w:val="0"/>
                <w:color w:val="auto"/>
                <w:lang w:eastAsia="zh-CN"/>
              </w:rPr>
            </w:pPr>
            <w:r>
              <w:rPr>
                <w:b w:val="0"/>
                <w:bCs w:val="0"/>
                <w:color w:val="auto"/>
              </w:rPr>
              <w:t>综上所述，本项目排气筒的设置是合理可行的</w:t>
            </w:r>
            <w:r>
              <w:rPr>
                <w:rFonts w:hint="eastAsia"/>
                <w:b w:val="0"/>
                <w:bCs w:val="0"/>
                <w:color w:val="auto"/>
                <w:lang w:eastAsia="zh-CN"/>
              </w:rPr>
              <w:t>。</w:t>
            </w:r>
          </w:p>
          <w:p w14:paraId="5BC2B0CC">
            <w:pPr>
              <w:adjustRightInd w:val="0"/>
              <w:snapToGrid w:val="0"/>
              <w:spacing w:line="360" w:lineRule="auto"/>
              <w:ind w:firstLine="480"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eastAsia" w:ascii="Times New Roman" w:hAnsi="Times New Roman" w:eastAsia="宋体" w:cs="Times New Roman"/>
                <w:b/>
                <w:bCs/>
                <w:color w:val="000000" w:themeColor="text1"/>
                <w:sz w:val="24"/>
                <w:szCs w:val="24"/>
                <w14:textFill>
                  <w14:solidFill>
                    <w14:schemeClr w14:val="tx1"/>
                  </w14:solidFill>
                </w14:textFill>
              </w:rPr>
              <w:t>无组织废气控制要求</w:t>
            </w:r>
          </w:p>
          <w:p w14:paraId="07030D4C">
            <w:pPr>
              <w:adjustRightInd w:val="0"/>
              <w:snapToGrid w:val="0"/>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参照《安徽省建筑工程和预拌混凝土生产扬尘污染防治标准》、《排污许可证申请与核发技术规范 水泥工业（HJ847-2017）》等文件要求，为控制本项目无组织粉尘，本环评要求建设单位需建设密闭式的生产厂房；原料砂、石堆场需储存在封闭原料仓库内；砂石输送皮带输送机需封闭，皮带输送机应在封闭厂房内；砂石堆场、卸料、配料等处需设置喷淋降尘抑尘设施。厂区地面硬化，定时清洗，保持清洁，车辆进出口设置洗车平台，车辆行驶时不得产生可见扬尘。为进一步降低无组织排放废气对周围环境的影响，建设单位还采取加强厂区绿化，减少粉尘污染。在严格落实本环评提出的大气污染防治措施前提下，本项目无组织废气能够得到有效控制。</w:t>
            </w:r>
          </w:p>
          <w:p w14:paraId="53D99E29">
            <w:pPr>
              <w:spacing w:line="360" w:lineRule="auto"/>
              <w:ind w:firstLine="480" w:firstLineChars="200"/>
              <w:rPr>
                <w:rFonts w:ascii="Times New Roman" w:hAnsi="Times New Roman" w:eastAsia="宋体" w:cs="Times New Roman"/>
                <w:b w:val="0"/>
                <w:bCs w:val="0"/>
                <w:color w:val="000000" w:themeColor="text1"/>
                <w:sz w:val="24"/>
                <w:szCs w:val="28"/>
                <w14:textFill>
                  <w14:solidFill>
                    <w14:schemeClr w14:val="tx1"/>
                  </w14:solidFill>
                </w14:textFill>
              </w:rPr>
            </w:pPr>
            <w:r>
              <w:rPr>
                <w:rFonts w:hint="eastAsia" w:ascii="Times New Roman" w:hAnsi="Times New Roman" w:eastAsia="宋体" w:cs="Times New Roman"/>
                <w:b w:val="0"/>
                <w:bCs w:val="0"/>
                <w:color w:val="000000" w:themeColor="text1"/>
                <w:sz w:val="24"/>
                <w:szCs w:val="28"/>
                <w14:textFill>
                  <w14:solidFill>
                    <w14:schemeClr w14:val="tx1"/>
                  </w14:solidFill>
                </w14:textFill>
              </w:rPr>
              <w:t>（</w:t>
            </w:r>
            <w:r>
              <w:rPr>
                <w:rFonts w:hint="eastAsia" w:cs="Times New Roman"/>
                <w:b w:val="0"/>
                <w:bCs w:val="0"/>
                <w:color w:val="000000" w:themeColor="text1"/>
                <w:sz w:val="24"/>
                <w:szCs w:val="28"/>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4"/>
                <w:szCs w:val="28"/>
                <w14:textFill>
                  <w14:solidFill>
                    <w14:schemeClr w14:val="tx1"/>
                  </w14:solidFill>
                </w14:textFill>
              </w:rPr>
              <w:t>）运输扬尘防治措施</w:t>
            </w:r>
          </w:p>
          <w:p w14:paraId="087FEF08">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运输过程中将产生扬尘，路面扬尘的产生量与路面情况、天气情况、风速、湿度等条件有关，与路面状况关系极大，根据现场调查，</w:t>
            </w:r>
            <w:r>
              <w:rPr>
                <w:rFonts w:hint="eastAsia" w:ascii="Times New Roman" w:hAnsi="Times New Roman" w:eastAsia="宋体" w:cs="Times New Roman"/>
                <w:color w:val="000000" w:themeColor="text1"/>
                <w:sz w:val="24"/>
                <w:szCs w:val="24"/>
                <w14:textFill>
                  <w14:solidFill>
                    <w14:schemeClr w14:val="tx1"/>
                  </w14:solidFill>
                </w14:textFill>
              </w:rPr>
              <w:t>现有道路均已采取硬化处理</w:t>
            </w:r>
            <w:r>
              <w:rPr>
                <w:rFonts w:ascii="Times New Roman" w:hAnsi="Times New Roman" w:eastAsia="宋体" w:cs="Times New Roman"/>
                <w:color w:val="000000" w:themeColor="text1"/>
                <w:sz w:val="24"/>
                <w:szCs w:val="24"/>
                <w14:textFill>
                  <w14:solidFill>
                    <w14:schemeClr w14:val="tx1"/>
                  </w14:solidFill>
                </w14:textFill>
              </w:rPr>
              <w:t>。但为进一步减少</w:t>
            </w:r>
            <w:r>
              <w:rPr>
                <w:rFonts w:hint="eastAsia" w:ascii="Times New Roman" w:hAnsi="Times New Roman" w:eastAsia="宋体" w:cs="Times New Roman"/>
                <w:color w:val="000000" w:themeColor="text1"/>
                <w:sz w:val="24"/>
                <w:szCs w:val="24"/>
                <w14:textFill>
                  <w14:solidFill>
                    <w14:schemeClr w14:val="tx1"/>
                  </w14:solidFill>
                </w14:textFill>
              </w:rPr>
              <w:t>原料及产品</w:t>
            </w:r>
            <w:r>
              <w:rPr>
                <w:rFonts w:ascii="Times New Roman" w:hAnsi="Times New Roman" w:eastAsia="宋体" w:cs="Times New Roman"/>
                <w:color w:val="000000" w:themeColor="text1"/>
                <w:sz w:val="24"/>
                <w:szCs w:val="24"/>
                <w14:textFill>
                  <w14:solidFill>
                    <w14:schemeClr w14:val="tx1"/>
                  </w14:solidFill>
                </w14:textFill>
              </w:rPr>
              <w:t>运输过程产生的扬尘对环境的污染，建议采取如下防治措施：</w:t>
            </w:r>
          </w:p>
          <w:p w14:paraId="678D03B2">
            <w:pPr>
              <w:numPr>
                <w:ilvl w:val="0"/>
                <w:numId w:val="0"/>
              </w:numPr>
              <w:spacing w:line="360" w:lineRule="auto"/>
              <w:ind w:left="0" w:leftChars="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w:t>
            </w:r>
            <w:r>
              <w:rPr>
                <w:rFonts w:ascii="Times New Roman" w:hAnsi="Times New Roman" w:eastAsia="宋体" w:cs="Times New Roman"/>
                <w:color w:val="000000" w:themeColor="text1"/>
                <w:sz w:val="24"/>
                <w:szCs w:val="24"/>
                <w14:textFill>
                  <w14:solidFill>
                    <w14:schemeClr w14:val="tx1"/>
                  </w14:solidFill>
                </w14:textFill>
              </w:rPr>
              <w:t>对</w:t>
            </w:r>
            <w:r>
              <w:rPr>
                <w:rFonts w:hint="eastAsia" w:ascii="Times New Roman" w:hAnsi="Times New Roman" w:eastAsia="宋体" w:cs="Times New Roman"/>
                <w:color w:val="000000" w:themeColor="text1"/>
                <w:sz w:val="24"/>
                <w:szCs w:val="24"/>
                <w14:textFill>
                  <w14:solidFill>
                    <w14:schemeClr w14:val="tx1"/>
                  </w14:solidFill>
                </w14:textFill>
              </w:rPr>
              <w:t>厂区</w:t>
            </w:r>
            <w:r>
              <w:rPr>
                <w:rFonts w:ascii="Times New Roman" w:hAnsi="Times New Roman" w:eastAsia="宋体" w:cs="Times New Roman"/>
                <w:color w:val="000000" w:themeColor="text1"/>
                <w:sz w:val="24"/>
                <w:szCs w:val="24"/>
                <w14:textFill>
                  <w14:solidFill>
                    <w14:schemeClr w14:val="tx1"/>
                  </w14:solidFill>
                </w14:textFill>
              </w:rPr>
              <w:t>道路每日定时洒水抑尘，配备一名专职的清洁人员，减轻运输道路的二次扬尘量，也可减轻对道路两旁敏感点的影响。</w:t>
            </w:r>
          </w:p>
          <w:p w14:paraId="113FB590">
            <w:pPr>
              <w:numPr>
                <w:ilvl w:val="0"/>
                <w:numId w:val="0"/>
              </w:numPr>
              <w:spacing w:line="360" w:lineRule="auto"/>
              <w:ind w:left="0" w:leftChars="0" w:firstLine="400"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w:t>
            </w:r>
            <w:r>
              <w:rPr>
                <w:rFonts w:ascii="Times New Roman" w:hAnsi="Times New Roman" w:eastAsia="宋体" w:cs="Times New Roman"/>
                <w:color w:val="000000" w:themeColor="text1"/>
                <w:sz w:val="24"/>
                <w:szCs w:val="24"/>
                <w14:textFill>
                  <w14:solidFill>
                    <w14:schemeClr w14:val="tx1"/>
                  </w14:solidFill>
                </w14:textFill>
              </w:rPr>
              <w:t>加强车辆运输及装卸管理。为减少运输扬尘，必须采用专用运输车辆运输，汽车在敏感点附近行驶速度应</w:t>
            </w:r>
            <w:r>
              <w:rPr>
                <w:rFonts w:hint="eastAsia" w:ascii="Times New Roman" w:hAnsi="Times New Roman" w:eastAsia="宋体" w:cs="Times New Roman"/>
                <w:color w:val="000000" w:themeColor="text1"/>
                <w:sz w:val="24"/>
                <w:szCs w:val="24"/>
                <w14:textFill>
                  <w14:solidFill>
                    <w14:schemeClr w14:val="tx1"/>
                  </w14:solidFill>
                </w14:textFill>
              </w:rPr>
              <w:t>减速慢行</w:t>
            </w:r>
            <w:r>
              <w:rPr>
                <w:rFonts w:ascii="Times New Roman" w:hAnsi="Times New Roman" w:eastAsia="宋体" w:cs="Times New Roman"/>
                <w:color w:val="000000" w:themeColor="text1"/>
                <w:sz w:val="24"/>
                <w:szCs w:val="24"/>
                <w14:textFill>
                  <w14:solidFill>
                    <w14:schemeClr w14:val="tx1"/>
                  </w14:solidFill>
                </w14:textFill>
              </w:rPr>
              <w:t>。</w:t>
            </w:r>
          </w:p>
          <w:p w14:paraId="2FFAB77D">
            <w:pPr>
              <w:numPr>
                <w:ilvl w:val="0"/>
                <w:numId w:val="0"/>
              </w:numPr>
              <w:spacing w:line="360" w:lineRule="auto"/>
              <w:ind w:left="0" w:leftChars="0" w:firstLine="400"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w:t>
            </w:r>
            <w:r>
              <w:rPr>
                <w:rFonts w:ascii="Times New Roman" w:hAnsi="Times New Roman" w:eastAsia="宋体" w:cs="Times New Roman"/>
                <w:color w:val="000000" w:themeColor="text1"/>
                <w:sz w:val="24"/>
                <w:szCs w:val="24"/>
                <w14:textFill>
                  <w14:solidFill>
                    <w14:schemeClr w14:val="tx1"/>
                  </w14:solidFill>
                </w14:textFill>
              </w:rPr>
              <w:t>作好运输工具的密封。车辆运输过程中要加盖帆布，同时不应超载（或物料装得过满）。</w:t>
            </w:r>
          </w:p>
          <w:p w14:paraId="601979D3">
            <w:pPr>
              <w:numPr>
                <w:ilvl w:val="0"/>
                <w:numId w:val="0"/>
              </w:numPr>
              <w:spacing w:line="360" w:lineRule="auto"/>
              <w:ind w:left="0" w:leftChars="0" w:firstLine="400"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④</w:t>
            </w:r>
            <w:r>
              <w:rPr>
                <w:rFonts w:hint="eastAsia" w:ascii="Times New Roman" w:hAnsi="Times New Roman" w:eastAsia="宋体" w:cs="Times New Roman"/>
                <w:color w:val="000000" w:themeColor="text1"/>
                <w:sz w:val="24"/>
                <w:szCs w:val="24"/>
                <w14:textFill>
                  <w14:solidFill>
                    <w14:schemeClr w14:val="tx1"/>
                  </w14:solidFill>
                </w14:textFill>
              </w:rPr>
              <w:t>原料卸料工序需在封闭原料库内进行，</w:t>
            </w:r>
            <w:r>
              <w:rPr>
                <w:rFonts w:ascii="Times New Roman" w:hAnsi="Times New Roman" w:eastAsia="宋体" w:cs="Times New Roman"/>
                <w:color w:val="000000" w:themeColor="text1"/>
                <w:sz w:val="24"/>
                <w:szCs w:val="24"/>
                <w14:textFill>
                  <w14:solidFill>
                    <w14:schemeClr w14:val="tx1"/>
                  </w14:solidFill>
                </w14:textFill>
              </w:rPr>
              <w:t>装卸时间尽量要避免大风及下雨天气，同时应尽量降低落差，同时要加强管理，装卸场所应采取经常洒水及清扫。</w:t>
            </w:r>
          </w:p>
          <w:p w14:paraId="16DAB8D8">
            <w:pPr>
              <w:numPr>
                <w:ilvl w:val="0"/>
                <w:numId w:val="0"/>
              </w:numPr>
              <w:spacing w:line="360" w:lineRule="auto"/>
              <w:ind w:left="0" w:leftChars="0" w:firstLine="400"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⑤</w:t>
            </w:r>
            <w:r>
              <w:rPr>
                <w:rFonts w:ascii="Times New Roman" w:hAnsi="Times New Roman" w:eastAsia="宋体" w:cs="Times New Roman"/>
                <w:color w:val="000000" w:themeColor="text1"/>
                <w:sz w:val="24"/>
                <w:szCs w:val="24"/>
                <w14:textFill>
                  <w14:solidFill>
                    <w14:schemeClr w14:val="tx1"/>
                  </w14:solidFill>
                </w14:textFill>
              </w:rPr>
              <w:t>在</w:t>
            </w:r>
            <w:r>
              <w:rPr>
                <w:rFonts w:hint="eastAsia" w:ascii="Times New Roman" w:hAnsi="Times New Roman" w:eastAsia="宋体" w:cs="Times New Roman"/>
                <w:color w:val="000000" w:themeColor="text1"/>
                <w:sz w:val="24"/>
                <w:szCs w:val="24"/>
                <w14:textFill>
                  <w14:solidFill>
                    <w14:schemeClr w14:val="tx1"/>
                  </w14:solidFill>
                </w14:textFill>
              </w:rPr>
              <w:t>产品</w:t>
            </w:r>
            <w:r>
              <w:rPr>
                <w:rFonts w:ascii="Times New Roman" w:hAnsi="Times New Roman" w:eastAsia="宋体" w:cs="Times New Roman"/>
                <w:color w:val="000000" w:themeColor="text1"/>
                <w:sz w:val="24"/>
                <w:szCs w:val="24"/>
                <w14:textFill>
                  <w14:solidFill>
                    <w14:schemeClr w14:val="tx1"/>
                  </w14:solidFill>
                </w14:textFill>
              </w:rPr>
              <w:t>运出前，</w:t>
            </w:r>
            <w:r>
              <w:rPr>
                <w:rFonts w:hint="eastAsia" w:ascii="Times New Roman" w:hAnsi="Times New Roman" w:eastAsia="宋体" w:cs="Times New Roman"/>
                <w:color w:val="000000" w:themeColor="text1"/>
                <w:sz w:val="24"/>
                <w:szCs w:val="24"/>
                <w14:textFill>
                  <w14:solidFill>
                    <w14:schemeClr w14:val="tx1"/>
                  </w14:solidFill>
                </w14:textFill>
              </w:rPr>
              <w:t>为</w:t>
            </w:r>
            <w:r>
              <w:rPr>
                <w:rFonts w:ascii="Times New Roman" w:hAnsi="Times New Roman" w:eastAsia="宋体" w:cs="Times New Roman"/>
                <w:color w:val="000000" w:themeColor="text1"/>
                <w:sz w:val="24"/>
                <w:szCs w:val="24"/>
                <w14:textFill>
                  <w14:solidFill>
                    <w14:schemeClr w14:val="tx1"/>
                  </w14:solidFill>
                </w14:textFill>
              </w:rPr>
              <w:t>尽可能减少运输扬尘的产生</w:t>
            </w:r>
            <w:r>
              <w:rPr>
                <w:rFonts w:hint="eastAsia" w:ascii="Times New Roman" w:hAnsi="Times New Roman" w:eastAsia="宋体" w:cs="Times New Roman"/>
                <w:color w:val="000000" w:themeColor="text1"/>
                <w:sz w:val="24"/>
                <w:szCs w:val="24"/>
                <w14:textFill>
                  <w14:solidFill>
                    <w14:schemeClr w14:val="tx1"/>
                  </w14:solidFill>
                </w14:textFill>
              </w:rPr>
              <w:t>，运输车</w:t>
            </w:r>
            <w:r>
              <w:rPr>
                <w:rFonts w:ascii="Times New Roman" w:hAnsi="Times New Roman" w:eastAsia="宋体" w:cs="Times New Roman"/>
                <w:color w:val="000000" w:themeColor="text1"/>
                <w:sz w:val="24"/>
                <w:szCs w:val="24"/>
                <w14:textFill>
                  <w14:solidFill>
                    <w14:schemeClr w14:val="tx1"/>
                  </w14:solidFill>
                </w14:textFill>
              </w:rPr>
              <w:t>辆驶离厂区必须在洗车台进行清洗。</w:t>
            </w:r>
          </w:p>
          <w:p w14:paraId="59C8B148">
            <w:pPr>
              <w:pStyle w:val="57"/>
              <w:numPr>
                <w:ilvl w:val="0"/>
                <w:numId w:val="0"/>
              </w:numPr>
              <w:adjustRightInd/>
              <w:spacing w:line="360" w:lineRule="auto"/>
              <w:ind w:left="0" w:leftChars="0" w:firstLine="400" w:firstLineChars="0"/>
              <w:rPr>
                <w:b w:val="0"/>
                <w:bCs w:val="0"/>
                <w:color w:val="auto"/>
              </w:rPr>
            </w:pPr>
            <w:r>
              <w:rPr>
                <w:rFonts w:hint="eastAsia" w:ascii="Times New Roman" w:hAnsi="Times New Roman" w:eastAsia="宋体" w:cs="Times New Roman"/>
                <w:b w:val="0"/>
                <w:bCs w:val="0"/>
                <w:color w:val="auto"/>
                <w:kern w:val="0"/>
                <w:sz w:val="24"/>
                <w:szCs w:val="24"/>
                <w:lang w:val="en-US" w:eastAsia="zh-CN" w:bidi="ar-SA"/>
              </w:rPr>
              <w:t>⑥</w:t>
            </w:r>
            <w:r>
              <w:rPr>
                <w:rFonts w:hint="eastAsia" w:ascii="Times New Roman" w:hAnsi="Times New Roman" w:eastAsia="宋体" w:cs="Times New Roman"/>
                <w:b w:val="0"/>
                <w:bCs w:val="0"/>
                <w:color w:val="000000" w:themeColor="text1"/>
                <w:sz w:val="24"/>
                <w:szCs w:val="24"/>
                <w14:textFill>
                  <w14:solidFill>
                    <w14:schemeClr w14:val="tx1"/>
                  </w14:solidFill>
                </w14:textFill>
              </w:rPr>
              <w:t>运输车辆应全部采用符合国六排放标准的汽车，减少汽车尾气排放。</w:t>
            </w:r>
          </w:p>
          <w:p w14:paraId="0345ED7A">
            <w:pPr>
              <w:pStyle w:val="57"/>
              <w:adjustRightInd/>
              <w:spacing w:line="360" w:lineRule="auto"/>
              <w:ind w:firstLine="482" w:firstLineChars="200"/>
              <w:rPr>
                <w:b/>
                <w:bCs/>
                <w:color w:val="auto"/>
              </w:rPr>
            </w:pPr>
            <w:r>
              <w:rPr>
                <w:rFonts w:hint="eastAsia"/>
                <w:b/>
                <w:bCs/>
                <w:color w:val="auto"/>
              </w:rPr>
              <w:t>5、非正常工况分析</w:t>
            </w:r>
          </w:p>
          <w:p w14:paraId="2CB41E63">
            <w:pPr>
              <w:pStyle w:val="57"/>
              <w:spacing w:line="360" w:lineRule="auto"/>
              <w:ind w:firstLine="482" w:firstLineChars="200"/>
              <w:rPr>
                <w:color w:val="auto"/>
              </w:rPr>
            </w:pPr>
            <w:r>
              <w:rPr>
                <w:rFonts w:hint="eastAsia"/>
                <w:color w:val="auto"/>
              </w:rPr>
              <w:t>（1）非正常工况</w:t>
            </w:r>
          </w:p>
          <w:p w14:paraId="14FE973C">
            <w:pPr>
              <w:pStyle w:val="57"/>
              <w:spacing w:line="360" w:lineRule="auto"/>
              <w:ind w:firstLine="480" w:firstLineChars="200"/>
              <w:rPr>
                <w:b w:val="0"/>
                <w:bCs w:val="0"/>
                <w:color w:val="auto"/>
              </w:rPr>
            </w:pPr>
            <w:r>
              <w:rPr>
                <w:rFonts w:hint="eastAsia"/>
                <w:b w:val="0"/>
                <w:bCs w:val="0"/>
                <w:color w:val="auto"/>
              </w:rPr>
              <w:t>非正常排放一般包括开停、检修、环保设施不达标三种情况。</w:t>
            </w:r>
          </w:p>
          <w:p w14:paraId="05FC860F">
            <w:pPr>
              <w:pStyle w:val="57"/>
              <w:adjustRightInd/>
              <w:spacing w:line="360" w:lineRule="auto"/>
              <w:ind w:firstLine="480" w:firstLineChars="200"/>
              <w:jc w:val="both"/>
              <w:rPr>
                <w:b w:val="0"/>
                <w:bCs w:val="0"/>
                <w:color w:val="auto"/>
              </w:rPr>
            </w:pPr>
            <w:r>
              <w:rPr>
                <w:rFonts w:hint="eastAsia"/>
                <w:b w:val="0"/>
                <w:bCs w:val="0"/>
                <w:color w:val="auto"/>
              </w:rPr>
              <w:t>设备检修以及突发性故障，企业会事先调整生产计划。因此，本项目非正常排放考虑污染物排放控制措施达不到应有效率从而发生非正常排放，一般事故的非正常排放效率约每年1次，为小概率事件，本项目非正常工况主要考虑废气处理措施无法达到设计处理效率的情景，废气的处理效率降低至50%，30min得到解决，则在非正常工况下，污染物排放情况如下表所示。</w:t>
            </w:r>
          </w:p>
          <w:p w14:paraId="43AF95D6">
            <w:pPr>
              <w:pStyle w:val="57"/>
              <w:spacing w:line="360" w:lineRule="auto"/>
              <w:jc w:val="center"/>
              <w:rPr>
                <w:b/>
                <w:bCs/>
                <w:color w:val="auto"/>
              </w:rPr>
            </w:pPr>
            <w:r>
              <w:rPr>
                <w:b/>
                <w:bCs/>
                <w:color w:val="auto"/>
              </w:rPr>
              <w:t>表4-</w:t>
            </w:r>
            <w:r>
              <w:rPr>
                <w:rFonts w:hint="eastAsia"/>
                <w:b/>
                <w:bCs/>
                <w:color w:val="auto"/>
              </w:rPr>
              <w:t>10 废气非正常工况下污染物产生、排放及污染物参数一览表</w:t>
            </w:r>
          </w:p>
          <w:tbl>
            <w:tblPr>
              <w:tblStyle w:val="40"/>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02"/>
              <w:gridCol w:w="923"/>
              <w:gridCol w:w="1783"/>
              <w:gridCol w:w="1108"/>
              <w:gridCol w:w="1219"/>
              <w:gridCol w:w="1056"/>
              <w:gridCol w:w="1273"/>
            </w:tblGrid>
            <w:tr w14:paraId="2375CE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58" w:type="pct"/>
                  <w:vAlign w:val="center"/>
                </w:tcPr>
                <w:p w14:paraId="421408E9">
                  <w:pPr>
                    <w:jc w:val="center"/>
                    <w:rPr>
                      <w:b/>
                      <w:color w:val="auto"/>
                    </w:rPr>
                  </w:pPr>
                  <w:r>
                    <w:rPr>
                      <w:rFonts w:hint="eastAsia"/>
                      <w:b/>
                      <w:color w:val="auto"/>
                    </w:rPr>
                    <w:t>污染源</w:t>
                  </w:r>
                </w:p>
              </w:tc>
              <w:tc>
                <w:tcPr>
                  <w:tcW w:w="571" w:type="pct"/>
                  <w:vAlign w:val="center"/>
                </w:tcPr>
                <w:p w14:paraId="15A6A824">
                  <w:pPr>
                    <w:jc w:val="center"/>
                    <w:rPr>
                      <w:b/>
                      <w:color w:val="auto"/>
                    </w:rPr>
                  </w:pPr>
                  <w:r>
                    <w:rPr>
                      <w:rFonts w:hint="eastAsia"/>
                      <w:b/>
                      <w:color w:val="auto"/>
                    </w:rPr>
                    <w:t>污染物</w:t>
                  </w:r>
                </w:p>
              </w:tc>
              <w:tc>
                <w:tcPr>
                  <w:tcW w:w="1090" w:type="pct"/>
                  <w:vAlign w:val="center"/>
                </w:tcPr>
                <w:p w14:paraId="03998894">
                  <w:pPr>
                    <w:jc w:val="center"/>
                    <w:rPr>
                      <w:b/>
                      <w:color w:val="auto"/>
                    </w:rPr>
                  </w:pPr>
                  <w:r>
                    <w:rPr>
                      <w:rFonts w:hint="eastAsia"/>
                      <w:b/>
                      <w:color w:val="auto"/>
                    </w:rPr>
                    <w:t>处理方式</w:t>
                  </w:r>
                </w:p>
              </w:tc>
              <w:tc>
                <w:tcPr>
                  <w:tcW w:w="682" w:type="pct"/>
                  <w:vAlign w:val="center"/>
                </w:tcPr>
                <w:p w14:paraId="34194E43">
                  <w:pPr>
                    <w:jc w:val="center"/>
                    <w:rPr>
                      <w:b/>
                      <w:color w:val="auto"/>
                    </w:rPr>
                  </w:pPr>
                  <w:r>
                    <w:rPr>
                      <w:rFonts w:hint="eastAsia"/>
                      <w:b/>
                      <w:color w:val="auto"/>
                    </w:rPr>
                    <w:t>排放速率（kg/h）</w:t>
                  </w:r>
                </w:p>
              </w:tc>
              <w:tc>
                <w:tcPr>
                  <w:tcW w:w="679" w:type="pct"/>
                  <w:vAlign w:val="center"/>
                </w:tcPr>
                <w:p w14:paraId="49DC3888">
                  <w:pPr>
                    <w:jc w:val="center"/>
                    <w:rPr>
                      <w:b/>
                      <w:color w:val="auto"/>
                    </w:rPr>
                  </w:pPr>
                  <w:r>
                    <w:rPr>
                      <w:rFonts w:hint="eastAsia"/>
                      <w:b/>
                      <w:color w:val="auto"/>
                    </w:rPr>
                    <w:t>排放浓度（mg/m</w:t>
                  </w:r>
                  <w:r>
                    <w:rPr>
                      <w:rFonts w:hint="eastAsia"/>
                      <w:b/>
                      <w:color w:val="auto"/>
                      <w:vertAlign w:val="superscript"/>
                    </w:rPr>
                    <w:t>3</w:t>
                  </w:r>
                  <w:r>
                    <w:rPr>
                      <w:rFonts w:hint="eastAsia"/>
                      <w:b/>
                      <w:color w:val="auto"/>
                    </w:rPr>
                    <w:t>）</w:t>
                  </w:r>
                </w:p>
              </w:tc>
              <w:tc>
                <w:tcPr>
                  <w:tcW w:w="635" w:type="pct"/>
                  <w:vAlign w:val="center"/>
                </w:tcPr>
                <w:p w14:paraId="20718B3B">
                  <w:pPr>
                    <w:jc w:val="center"/>
                    <w:rPr>
                      <w:b/>
                      <w:color w:val="auto"/>
                    </w:rPr>
                  </w:pPr>
                  <w:r>
                    <w:rPr>
                      <w:rFonts w:hint="eastAsia"/>
                      <w:b/>
                      <w:color w:val="auto"/>
                    </w:rPr>
                    <w:t>废气量（m</w:t>
                  </w:r>
                  <w:r>
                    <w:rPr>
                      <w:rFonts w:hint="eastAsia"/>
                      <w:b/>
                      <w:color w:val="auto"/>
                      <w:vertAlign w:val="superscript"/>
                    </w:rPr>
                    <w:t>3</w:t>
                  </w:r>
                  <w:r>
                    <w:rPr>
                      <w:rFonts w:hint="eastAsia"/>
                      <w:b/>
                      <w:color w:val="auto"/>
                    </w:rPr>
                    <w:t>/h）</w:t>
                  </w:r>
                </w:p>
              </w:tc>
              <w:tc>
                <w:tcPr>
                  <w:tcW w:w="782" w:type="pct"/>
                  <w:vAlign w:val="center"/>
                </w:tcPr>
                <w:p w14:paraId="28496A0A">
                  <w:pPr>
                    <w:jc w:val="center"/>
                    <w:rPr>
                      <w:b/>
                      <w:color w:val="auto"/>
                    </w:rPr>
                  </w:pPr>
                  <w:r>
                    <w:rPr>
                      <w:rFonts w:hint="eastAsia"/>
                      <w:b/>
                      <w:color w:val="auto"/>
                    </w:rPr>
                    <w:t>单次持续时间/min</w:t>
                  </w:r>
                </w:p>
              </w:tc>
            </w:tr>
            <w:tr w14:paraId="1F81F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38" w:hRule="atLeast"/>
              </w:trPr>
              <w:tc>
                <w:tcPr>
                  <w:tcW w:w="558" w:type="pct"/>
                  <w:vAlign w:val="center"/>
                </w:tcPr>
                <w:p w14:paraId="7971D9A5">
                  <w:pPr>
                    <w:jc w:val="center"/>
                    <w:rPr>
                      <w:bCs/>
                      <w:color w:val="auto"/>
                    </w:rPr>
                  </w:pPr>
                  <w:r>
                    <w:rPr>
                      <w:rFonts w:hint="eastAsia"/>
                      <w:bCs/>
                      <w:color w:val="auto"/>
                    </w:rPr>
                    <w:t>DA001</w:t>
                  </w:r>
                </w:p>
              </w:tc>
              <w:tc>
                <w:tcPr>
                  <w:tcW w:w="571" w:type="pct"/>
                  <w:vAlign w:val="center"/>
                </w:tcPr>
                <w:p w14:paraId="1FB79358">
                  <w:pPr>
                    <w:jc w:val="center"/>
                    <w:rPr>
                      <w:rFonts w:hint="eastAsia" w:eastAsia="宋体"/>
                      <w:bCs/>
                      <w:color w:val="auto"/>
                      <w:lang w:eastAsia="zh-CN"/>
                    </w:rPr>
                  </w:pPr>
                  <w:r>
                    <w:rPr>
                      <w:rFonts w:hint="eastAsia"/>
                      <w:bCs/>
                      <w:color w:val="auto"/>
                      <w:lang w:val="en-US" w:eastAsia="zh-CN"/>
                    </w:rPr>
                    <w:t>颗粒物</w:t>
                  </w:r>
                </w:p>
              </w:tc>
              <w:tc>
                <w:tcPr>
                  <w:tcW w:w="1090" w:type="pct"/>
                  <w:vAlign w:val="center"/>
                </w:tcPr>
                <w:p w14:paraId="66A74BAC">
                  <w:pPr>
                    <w:jc w:val="center"/>
                    <w:rPr>
                      <w:rFonts w:hint="default" w:eastAsia="宋体"/>
                      <w:bCs/>
                      <w:color w:val="auto"/>
                      <w:lang w:val="en-US" w:eastAsia="zh-CN"/>
                    </w:rPr>
                  </w:pPr>
                  <w:r>
                    <w:rPr>
                      <w:rFonts w:hint="eastAsia"/>
                      <w:bCs/>
                      <w:color w:val="auto"/>
                      <w:lang w:val="en-US" w:eastAsia="zh-CN"/>
                    </w:rPr>
                    <w:t>脉冲式布袋除尘器</w:t>
                  </w:r>
                </w:p>
              </w:tc>
              <w:tc>
                <w:tcPr>
                  <w:tcW w:w="682" w:type="pct"/>
                  <w:vAlign w:val="center"/>
                </w:tcPr>
                <w:p w14:paraId="3B0EE492">
                  <w:pPr>
                    <w:jc w:val="center"/>
                    <w:rPr>
                      <w:rFonts w:hint="default" w:eastAsia="宋体"/>
                      <w:bCs/>
                      <w:color w:val="auto"/>
                      <w:lang w:val="en-US" w:eastAsia="zh-CN"/>
                    </w:rPr>
                  </w:pPr>
                  <w:r>
                    <w:rPr>
                      <w:rFonts w:hint="eastAsia"/>
                      <w:bCs/>
                      <w:color w:val="auto"/>
                      <w:lang w:val="en-US" w:eastAsia="zh-CN"/>
                    </w:rPr>
                    <w:t>11.105</w:t>
                  </w:r>
                </w:p>
              </w:tc>
              <w:tc>
                <w:tcPr>
                  <w:tcW w:w="679" w:type="pct"/>
                  <w:vAlign w:val="center"/>
                </w:tcPr>
                <w:p w14:paraId="45637BC5">
                  <w:pPr>
                    <w:jc w:val="center"/>
                    <w:rPr>
                      <w:rFonts w:hint="default" w:eastAsia="宋体"/>
                      <w:bCs/>
                      <w:color w:val="auto"/>
                      <w:lang w:val="en-US" w:eastAsia="zh-CN"/>
                    </w:rPr>
                  </w:pPr>
                  <w:r>
                    <w:rPr>
                      <w:rFonts w:hint="eastAsia"/>
                      <w:bCs/>
                      <w:color w:val="auto"/>
                      <w:lang w:val="en-US" w:eastAsia="zh-CN"/>
                    </w:rPr>
                    <w:t>740.33</w:t>
                  </w:r>
                </w:p>
              </w:tc>
              <w:tc>
                <w:tcPr>
                  <w:tcW w:w="635" w:type="pct"/>
                  <w:vAlign w:val="center"/>
                </w:tcPr>
                <w:p w14:paraId="14902064">
                  <w:pPr>
                    <w:jc w:val="center"/>
                    <w:rPr>
                      <w:bCs/>
                      <w:color w:val="auto"/>
                    </w:rPr>
                  </w:pPr>
                  <w:r>
                    <w:rPr>
                      <w:rFonts w:hint="eastAsia"/>
                      <w:bCs/>
                      <w:color w:val="auto"/>
                      <w:lang w:val="en-US" w:eastAsia="zh-CN"/>
                    </w:rPr>
                    <w:t>15</w:t>
                  </w:r>
                  <w:r>
                    <w:rPr>
                      <w:rFonts w:hint="eastAsia"/>
                      <w:bCs/>
                      <w:color w:val="auto"/>
                    </w:rPr>
                    <w:t>000</w:t>
                  </w:r>
                </w:p>
              </w:tc>
              <w:tc>
                <w:tcPr>
                  <w:tcW w:w="782" w:type="pct"/>
                  <w:vAlign w:val="center"/>
                </w:tcPr>
                <w:p w14:paraId="7F2DEA49">
                  <w:pPr>
                    <w:jc w:val="center"/>
                    <w:rPr>
                      <w:bCs/>
                      <w:color w:val="auto"/>
                    </w:rPr>
                  </w:pPr>
                  <w:r>
                    <w:rPr>
                      <w:rFonts w:hint="eastAsia"/>
                      <w:bCs/>
                      <w:color w:val="auto"/>
                    </w:rPr>
                    <w:t>30</w:t>
                  </w:r>
                </w:p>
              </w:tc>
            </w:tr>
          </w:tbl>
          <w:p w14:paraId="0C87BCDC">
            <w:pPr>
              <w:pStyle w:val="57"/>
              <w:spacing w:line="360" w:lineRule="auto"/>
              <w:ind w:firstLine="482" w:firstLineChars="200"/>
              <w:rPr>
                <w:color w:val="auto"/>
              </w:rPr>
            </w:pPr>
            <w:r>
              <w:rPr>
                <w:rFonts w:hint="eastAsia"/>
                <w:color w:val="auto"/>
              </w:rPr>
              <w:t>（2）非正常工况防范措施</w:t>
            </w:r>
          </w:p>
          <w:p w14:paraId="4E64FFDD">
            <w:pPr>
              <w:pStyle w:val="57"/>
              <w:spacing w:line="360" w:lineRule="auto"/>
              <w:ind w:firstLine="480" w:firstLineChars="200"/>
              <w:jc w:val="both"/>
              <w:rPr>
                <w:b w:val="0"/>
                <w:bCs w:val="0"/>
                <w:color w:val="auto"/>
              </w:rPr>
            </w:pPr>
            <w:r>
              <w:rPr>
                <w:rFonts w:hint="eastAsia"/>
                <w:b w:val="0"/>
                <w:bCs w:val="0"/>
                <w:color w:val="auto"/>
              </w:rPr>
              <w:t>由上表可知，本项目在污染治理设施非正常运行时，短时间内污染物排放浓度不高，且由于持续时间较短，污染物的排放量不会明显增加。此外，为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14:paraId="13B8B29E">
            <w:pPr>
              <w:pStyle w:val="57"/>
              <w:spacing w:line="360" w:lineRule="auto"/>
              <w:ind w:firstLine="480" w:firstLineChars="200"/>
              <w:jc w:val="both"/>
              <w:rPr>
                <w:b w:val="0"/>
                <w:bCs w:val="0"/>
                <w:color w:val="auto"/>
              </w:rPr>
            </w:pPr>
            <w:r>
              <w:rPr>
                <w:rFonts w:hint="eastAsia"/>
                <w:b w:val="0"/>
                <w:bCs w:val="0"/>
                <w:color w:val="auto"/>
              </w:rPr>
              <w:t>①安排专人负责环保设备的日常维护和管理，每隔固定时间检查、汇报情况，及时发现废气处理设备的隐患，确保废气处理系统正常运行；</w:t>
            </w:r>
          </w:p>
          <w:p w14:paraId="2FA913CB">
            <w:pPr>
              <w:pStyle w:val="57"/>
              <w:spacing w:line="360" w:lineRule="auto"/>
              <w:ind w:firstLine="480" w:firstLineChars="200"/>
              <w:jc w:val="both"/>
              <w:rPr>
                <w:b w:val="0"/>
                <w:bCs w:val="0"/>
                <w:color w:val="auto"/>
              </w:rPr>
            </w:pPr>
            <w:r>
              <w:rPr>
                <w:rFonts w:hint="eastAsia"/>
                <w:b w:val="0"/>
                <w:bCs w:val="0"/>
                <w:color w:val="auto"/>
              </w:rPr>
              <w:t>②建立健全的环保管理机构，对环保管理人员和技术人员进行岗位培训，委托具有专业资质的环境检测单位对项目排放的各类污染物进行定期检测；</w:t>
            </w:r>
          </w:p>
          <w:p w14:paraId="046915A9">
            <w:pPr>
              <w:pStyle w:val="57"/>
              <w:spacing w:line="360" w:lineRule="auto"/>
              <w:ind w:firstLine="480" w:firstLineChars="200"/>
              <w:jc w:val="both"/>
              <w:rPr>
                <w:b w:val="0"/>
                <w:bCs w:val="0"/>
                <w:color w:val="auto"/>
              </w:rPr>
            </w:pPr>
            <w:r>
              <w:rPr>
                <w:rFonts w:hint="eastAsia"/>
                <w:b w:val="0"/>
                <w:bCs w:val="0"/>
                <w:color w:val="auto"/>
              </w:rPr>
              <w:t>③应定期维修检修废气净化装置，以保持废气处理装置的净化能力和净化容量；</w:t>
            </w:r>
          </w:p>
          <w:p w14:paraId="4E70AFBD">
            <w:pPr>
              <w:spacing w:line="360" w:lineRule="auto"/>
              <w:ind w:firstLine="480" w:firstLineChars="200"/>
              <w:rPr>
                <w:color w:val="auto"/>
                <w:kern w:val="0"/>
                <w:sz w:val="24"/>
                <w:szCs w:val="24"/>
              </w:rPr>
            </w:pPr>
            <w:r>
              <w:rPr>
                <w:rFonts w:hint="eastAsia"/>
                <w:b w:val="0"/>
                <w:bCs w:val="0"/>
                <w:color w:val="auto"/>
                <w:kern w:val="0"/>
                <w:sz w:val="24"/>
                <w:szCs w:val="24"/>
              </w:rPr>
              <w:t>④生产加工前开启相应的废气处理设备，生产停止一段时间后再关闭相应废气处理设施，杜绝废气突然排放的情况。</w:t>
            </w:r>
          </w:p>
          <w:p w14:paraId="5412BA1A">
            <w:pPr>
              <w:pStyle w:val="57"/>
              <w:tabs>
                <w:tab w:val="left" w:pos="5472"/>
              </w:tabs>
              <w:spacing w:line="360" w:lineRule="auto"/>
              <w:ind w:firstLine="482" w:firstLineChars="200"/>
              <w:rPr>
                <w:b/>
                <w:bCs/>
                <w:color w:val="auto"/>
              </w:rPr>
            </w:pPr>
            <w:r>
              <w:rPr>
                <w:rFonts w:hint="eastAsia"/>
                <w:b/>
                <w:bCs/>
                <w:color w:val="auto"/>
              </w:rPr>
              <w:t>6、大气污染源监测计划</w:t>
            </w:r>
            <w:r>
              <w:rPr>
                <w:b/>
                <w:bCs/>
                <w:color w:val="auto"/>
              </w:rPr>
              <w:tab/>
            </w:r>
          </w:p>
          <w:p w14:paraId="18AADA4C">
            <w:pPr>
              <w:adjustRightInd w:val="0"/>
              <w:snapToGrid w:val="0"/>
              <w:spacing w:line="360" w:lineRule="auto"/>
              <w:ind w:firstLine="480" w:firstLineChars="200"/>
              <w:rPr>
                <w:rFonts w:ascii="Times New Roman" w:hAnsi="Times New Roman" w:eastAsia="宋体"/>
                <w:b/>
                <w:bCs/>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根据《排污单位自行监测技术指南 水泥工业》（HJ848-2017）、《排污单位自行监测技术指南 总则》（HJ819-2017）</w:t>
            </w:r>
            <w:r>
              <w:rPr>
                <w:rFonts w:ascii="Times New Roman" w:hAnsi="Times New Roman" w:eastAsia="宋体" w:cs="Times New Roman"/>
                <w:color w:val="000000" w:themeColor="text1"/>
                <w:sz w:val="24"/>
                <w:szCs w:val="28"/>
                <w14:textFill>
                  <w14:solidFill>
                    <w14:schemeClr w14:val="tx1"/>
                  </w14:solidFill>
                </w14:textFill>
              </w:rPr>
              <w:t>，提出环境监测计划，自行监测计划如下：</w:t>
            </w:r>
          </w:p>
          <w:p w14:paraId="6D8552F9">
            <w:pPr>
              <w:adjustRightInd w:val="0"/>
              <w:snapToGrid w:val="0"/>
              <w:jc w:val="center"/>
              <w:rPr>
                <w:rFonts w:ascii="Times New Roman" w:hAnsi="Times New Roman" w:eastAsia="宋体" w:cs="Times New Roman"/>
                <w:b/>
                <w:color w:val="000000" w:themeColor="text1"/>
                <w:kern w:val="0"/>
                <w:sz w:val="24"/>
                <w:szCs w:val="28"/>
                <w14:textFill>
                  <w14:solidFill>
                    <w14:schemeClr w14:val="tx1"/>
                  </w14:solidFill>
                </w14:textFill>
              </w:rPr>
            </w:pPr>
            <w:r>
              <w:rPr>
                <w:rFonts w:ascii="Times New Roman" w:hAnsi="Times New Roman" w:eastAsia="宋体" w:cs="Times New Roman"/>
                <w:b/>
                <w:color w:val="000000" w:themeColor="text1"/>
                <w:kern w:val="0"/>
                <w:sz w:val="24"/>
                <w:szCs w:val="28"/>
                <w14:textFill>
                  <w14:solidFill>
                    <w14:schemeClr w14:val="tx1"/>
                  </w14:solidFill>
                </w14:textFill>
              </w:rPr>
              <w:t>表</w:t>
            </w:r>
            <w:r>
              <w:rPr>
                <w:rFonts w:hint="eastAsia" w:ascii="Times New Roman" w:hAnsi="Times New Roman" w:eastAsia="宋体" w:cs="Times New Roman"/>
                <w:b/>
                <w:color w:val="000000" w:themeColor="text1"/>
                <w:kern w:val="0"/>
                <w:sz w:val="24"/>
                <w:szCs w:val="28"/>
                <w14:textFill>
                  <w14:solidFill>
                    <w14:schemeClr w14:val="tx1"/>
                  </w14:solidFill>
                </w14:textFill>
              </w:rPr>
              <w:t>4</w:t>
            </w:r>
            <w:r>
              <w:rPr>
                <w:rFonts w:ascii="Times New Roman" w:hAnsi="Times New Roman" w:eastAsia="宋体" w:cs="Times New Roman"/>
                <w:b/>
                <w:color w:val="000000" w:themeColor="text1"/>
                <w:kern w:val="0"/>
                <w:sz w:val="24"/>
                <w:szCs w:val="28"/>
                <w14:textFill>
                  <w14:solidFill>
                    <w14:schemeClr w14:val="tx1"/>
                  </w14:solidFill>
                </w14:textFill>
              </w:rPr>
              <w:t>-</w:t>
            </w:r>
            <w:r>
              <w:rPr>
                <w:rFonts w:hint="eastAsia" w:ascii="Times New Roman" w:hAnsi="Times New Roman" w:eastAsia="宋体" w:cs="Times New Roman"/>
                <w:b/>
                <w:color w:val="000000" w:themeColor="text1"/>
                <w:kern w:val="0"/>
                <w:sz w:val="24"/>
                <w:szCs w:val="28"/>
                <w14:textFill>
                  <w14:solidFill>
                    <w14:schemeClr w14:val="tx1"/>
                  </w14:solidFill>
                </w14:textFill>
              </w:rPr>
              <w:t xml:space="preserve">7  </w:t>
            </w:r>
            <w:r>
              <w:rPr>
                <w:rFonts w:ascii="Times New Roman" w:hAnsi="Times New Roman" w:eastAsia="宋体" w:cs="Times New Roman"/>
                <w:b/>
                <w:color w:val="000000" w:themeColor="text1"/>
                <w:kern w:val="0"/>
                <w:sz w:val="24"/>
                <w:szCs w:val="28"/>
                <w14:textFill>
                  <w14:solidFill>
                    <w14:schemeClr w14:val="tx1"/>
                  </w14:solidFill>
                </w14:textFill>
              </w:rPr>
              <w:t>大气自行监测及记录信息表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6"/>
              <w:gridCol w:w="957"/>
              <w:gridCol w:w="1604"/>
              <w:gridCol w:w="985"/>
              <w:gridCol w:w="2250"/>
              <w:gridCol w:w="843"/>
              <w:gridCol w:w="971"/>
            </w:tblGrid>
            <w:tr w14:paraId="73B6F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97" w:type="pct"/>
                  <w:tcBorders>
                    <w:tl2br w:val="nil"/>
                    <w:tr2bl w:val="nil"/>
                  </w:tcBorders>
                  <w:vAlign w:val="center"/>
                </w:tcPr>
                <w:p w14:paraId="5FC8CBA0">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579" w:type="pct"/>
                  <w:tcBorders>
                    <w:tl2br w:val="nil"/>
                    <w:tr2bl w:val="nil"/>
                  </w:tcBorders>
                  <w:vAlign w:val="center"/>
                </w:tcPr>
                <w:p w14:paraId="35389284">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污染源</w:t>
                  </w:r>
                </w:p>
                <w:p w14:paraId="5659A02D">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类别</w:t>
                  </w:r>
                </w:p>
              </w:tc>
              <w:tc>
                <w:tcPr>
                  <w:tcW w:w="970" w:type="pct"/>
                  <w:tcBorders>
                    <w:tl2br w:val="nil"/>
                    <w:tr2bl w:val="nil"/>
                  </w:tcBorders>
                  <w:vAlign w:val="center"/>
                </w:tcPr>
                <w:p w14:paraId="4762D077">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排放口</w:t>
                  </w:r>
                </w:p>
                <w:p w14:paraId="34E43135">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编号</w:t>
                  </w:r>
                </w:p>
              </w:tc>
              <w:tc>
                <w:tcPr>
                  <w:tcW w:w="596" w:type="pct"/>
                  <w:tcBorders>
                    <w:tl2br w:val="nil"/>
                    <w:tr2bl w:val="nil"/>
                  </w:tcBorders>
                  <w:vAlign w:val="center"/>
                </w:tcPr>
                <w:p w14:paraId="31409F23">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监测点位</w:t>
                  </w:r>
                </w:p>
              </w:tc>
              <w:tc>
                <w:tcPr>
                  <w:tcW w:w="1361" w:type="pct"/>
                  <w:tcBorders>
                    <w:tl2br w:val="nil"/>
                    <w:tr2bl w:val="nil"/>
                  </w:tcBorders>
                  <w:vAlign w:val="center"/>
                </w:tcPr>
                <w:p w14:paraId="1725D63D">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监测因子</w:t>
                  </w:r>
                </w:p>
              </w:tc>
              <w:tc>
                <w:tcPr>
                  <w:tcW w:w="510" w:type="pct"/>
                  <w:tcBorders>
                    <w:tl2br w:val="nil"/>
                    <w:tr2bl w:val="nil"/>
                  </w:tcBorders>
                  <w:vAlign w:val="center"/>
                </w:tcPr>
                <w:p w14:paraId="21989171">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监测</w:t>
                  </w:r>
                </w:p>
                <w:p w14:paraId="75106720">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设施</w:t>
                  </w:r>
                </w:p>
              </w:tc>
              <w:tc>
                <w:tcPr>
                  <w:tcW w:w="587" w:type="pct"/>
                  <w:tcBorders>
                    <w:tl2br w:val="nil"/>
                    <w:tr2bl w:val="nil"/>
                  </w:tcBorders>
                  <w:vAlign w:val="center"/>
                </w:tcPr>
                <w:p w14:paraId="115136FB">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监测频次</w:t>
                  </w:r>
                </w:p>
              </w:tc>
            </w:tr>
            <w:tr w14:paraId="78C2B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97" w:type="pct"/>
                  <w:tcBorders>
                    <w:tl2br w:val="nil"/>
                    <w:tr2bl w:val="nil"/>
                  </w:tcBorders>
                  <w:vAlign w:val="center"/>
                </w:tcPr>
                <w:p w14:paraId="6C32B7A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579" w:type="pct"/>
                  <w:tcBorders>
                    <w:tl2br w:val="nil"/>
                    <w:tr2bl w:val="nil"/>
                  </w:tcBorders>
                  <w:vAlign w:val="center"/>
                </w:tcPr>
                <w:p w14:paraId="70BB9385">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有组织</w:t>
                  </w:r>
                </w:p>
              </w:tc>
              <w:tc>
                <w:tcPr>
                  <w:tcW w:w="970" w:type="pct"/>
                  <w:tcBorders>
                    <w:tl2br w:val="nil"/>
                    <w:tr2bl w:val="nil"/>
                  </w:tcBorders>
                  <w:vAlign w:val="center"/>
                </w:tcPr>
                <w:p w14:paraId="67175538">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p>
                <w:p w14:paraId="052D2196">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（一般排放口）</w:t>
                  </w:r>
                </w:p>
              </w:tc>
              <w:tc>
                <w:tcPr>
                  <w:tcW w:w="596" w:type="pct"/>
                  <w:tcBorders>
                    <w:tl2br w:val="nil"/>
                    <w:tr2bl w:val="nil"/>
                  </w:tcBorders>
                  <w:vAlign w:val="center"/>
                </w:tcPr>
                <w:p w14:paraId="2F6E1B9C">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排气筒出口</w:t>
                  </w:r>
                </w:p>
              </w:tc>
              <w:tc>
                <w:tcPr>
                  <w:tcW w:w="1361" w:type="pct"/>
                  <w:tcBorders>
                    <w:tl2br w:val="nil"/>
                    <w:tr2bl w:val="nil"/>
                  </w:tcBorders>
                  <w:vAlign w:val="center"/>
                </w:tcPr>
                <w:p w14:paraId="2E25F847">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颗粒物</w:t>
                  </w:r>
                </w:p>
              </w:tc>
              <w:tc>
                <w:tcPr>
                  <w:tcW w:w="510" w:type="pct"/>
                  <w:tcBorders>
                    <w:tl2br w:val="nil"/>
                    <w:tr2bl w:val="nil"/>
                  </w:tcBorders>
                  <w:vAlign w:val="center"/>
                </w:tcPr>
                <w:p w14:paraId="01B29603">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手工</w:t>
                  </w:r>
                </w:p>
              </w:tc>
              <w:tc>
                <w:tcPr>
                  <w:tcW w:w="587" w:type="pct"/>
                  <w:tcBorders>
                    <w:tl2br w:val="nil"/>
                    <w:tr2bl w:val="nil"/>
                  </w:tcBorders>
                  <w:vAlign w:val="center"/>
                </w:tcPr>
                <w:p w14:paraId="3B3198E1">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1次</w:t>
                  </w:r>
                  <w:r>
                    <w:rPr>
                      <w:rFonts w:hint="eastAsia" w:ascii="Times New Roman" w:hAnsi="Times New Roman" w:eastAsia="宋体" w:cs="Times New Roman"/>
                      <w:color w:val="000000" w:themeColor="text1"/>
                      <w:szCs w:val="21"/>
                      <w14:textFill>
                        <w14:solidFill>
                          <w14:schemeClr w14:val="tx1"/>
                        </w14:solidFill>
                      </w14:textFill>
                    </w:rPr>
                    <w:t>/每</w:t>
                  </w:r>
                  <w:r>
                    <w:rPr>
                      <w:rFonts w:ascii="Times New Roman" w:hAnsi="Times New Roman" w:eastAsia="宋体" w:cs="Times New Roman"/>
                      <w:color w:val="000000" w:themeColor="text1"/>
                      <w:szCs w:val="21"/>
                      <w14:textFill>
                        <w14:solidFill>
                          <w14:schemeClr w14:val="tx1"/>
                        </w14:solidFill>
                      </w14:textFill>
                    </w:rPr>
                    <w:t>年</w:t>
                  </w:r>
                </w:p>
              </w:tc>
            </w:tr>
            <w:tr w14:paraId="7B5D7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97" w:type="pct"/>
                  <w:tcBorders>
                    <w:tl2br w:val="nil"/>
                    <w:tr2bl w:val="nil"/>
                  </w:tcBorders>
                  <w:vAlign w:val="center"/>
                </w:tcPr>
                <w:p w14:paraId="40D84B42">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579" w:type="pct"/>
                  <w:tcBorders>
                    <w:tl2br w:val="nil"/>
                    <w:tr2bl w:val="nil"/>
                  </w:tcBorders>
                  <w:vAlign w:val="center"/>
                </w:tcPr>
                <w:p w14:paraId="44CBF33A">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无组织</w:t>
                  </w:r>
                </w:p>
              </w:tc>
              <w:tc>
                <w:tcPr>
                  <w:tcW w:w="1566" w:type="pct"/>
                  <w:gridSpan w:val="2"/>
                  <w:tcBorders>
                    <w:tl2br w:val="nil"/>
                    <w:tr2bl w:val="nil"/>
                  </w:tcBorders>
                  <w:vAlign w:val="center"/>
                </w:tcPr>
                <w:p w14:paraId="055E67F8">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w:t>
                  </w:r>
                </w:p>
              </w:tc>
              <w:tc>
                <w:tcPr>
                  <w:tcW w:w="1361" w:type="pct"/>
                  <w:tcBorders>
                    <w:tl2br w:val="nil"/>
                    <w:tr2bl w:val="nil"/>
                  </w:tcBorders>
                  <w:vAlign w:val="center"/>
                </w:tcPr>
                <w:p w14:paraId="11C759BB">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颗粒物</w:t>
                  </w:r>
                </w:p>
              </w:tc>
              <w:tc>
                <w:tcPr>
                  <w:tcW w:w="510" w:type="pct"/>
                  <w:tcBorders>
                    <w:tl2br w:val="nil"/>
                    <w:tr2bl w:val="nil"/>
                  </w:tcBorders>
                  <w:vAlign w:val="center"/>
                </w:tcPr>
                <w:p w14:paraId="27CA1D1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手工</w:t>
                  </w:r>
                </w:p>
              </w:tc>
              <w:tc>
                <w:tcPr>
                  <w:tcW w:w="587" w:type="pct"/>
                  <w:tcBorders>
                    <w:tl2br w:val="nil"/>
                    <w:tr2bl w:val="nil"/>
                  </w:tcBorders>
                  <w:vAlign w:val="center"/>
                </w:tcPr>
                <w:p w14:paraId="0FCB0A79">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1次/</w:t>
                  </w:r>
                  <w:r>
                    <w:rPr>
                      <w:rFonts w:hint="eastAsia" w:ascii="Times New Roman" w:hAnsi="Times New Roman" w:eastAsia="宋体" w:cs="Times New Roman"/>
                      <w:color w:val="000000" w:themeColor="text1"/>
                      <w:szCs w:val="21"/>
                      <w14:textFill>
                        <w14:solidFill>
                          <w14:schemeClr w14:val="tx1"/>
                        </w14:solidFill>
                      </w14:textFill>
                    </w:rPr>
                    <w:t>季度</w:t>
                  </w:r>
                </w:p>
              </w:tc>
            </w:tr>
          </w:tbl>
          <w:p w14:paraId="406093C8">
            <w:pPr>
              <w:spacing w:line="360" w:lineRule="auto"/>
              <w:ind w:firstLine="482" w:firstLineChars="200"/>
              <w:jc w:val="left"/>
              <w:rPr>
                <w:b/>
                <w:color w:val="auto"/>
                <w:sz w:val="24"/>
              </w:rPr>
            </w:pPr>
            <w:r>
              <w:rPr>
                <w:rFonts w:hint="eastAsia"/>
                <w:b/>
                <w:bCs/>
                <w:color w:val="auto"/>
                <w:sz w:val="24"/>
                <w:szCs w:val="28"/>
              </w:rPr>
              <w:t>二、废水污染源强及环境影响和保护措施</w:t>
            </w:r>
          </w:p>
          <w:p w14:paraId="54123659">
            <w:pPr>
              <w:spacing w:line="360" w:lineRule="auto"/>
              <w:ind w:firstLine="482" w:firstLineChars="200"/>
              <w:contextualSpacing/>
              <w:jc w:val="left"/>
              <w:rPr>
                <w:rFonts w:hint="eastAsia" w:eastAsia="宋体"/>
                <w:b/>
                <w:color w:val="auto"/>
                <w:sz w:val="24"/>
                <w:lang w:val="en-US" w:eastAsia="zh-CN"/>
              </w:rPr>
            </w:pPr>
            <w:r>
              <w:rPr>
                <w:rFonts w:hint="eastAsia"/>
                <w:b/>
                <w:color w:val="auto"/>
                <w:sz w:val="24"/>
              </w:rPr>
              <w:t>1、废水</w:t>
            </w:r>
            <w:r>
              <w:rPr>
                <w:rFonts w:hint="eastAsia"/>
                <w:b/>
                <w:color w:val="auto"/>
                <w:sz w:val="24"/>
                <w:lang w:val="en-US" w:eastAsia="zh-CN"/>
              </w:rPr>
              <w:t>源强</w:t>
            </w:r>
          </w:p>
          <w:p w14:paraId="59BBD43D">
            <w:pPr>
              <w:widowControl/>
              <w:spacing w:line="360" w:lineRule="auto"/>
              <w:ind w:firstLine="480" w:firstLineChars="200"/>
              <w:outlineLvl w:val="0"/>
              <w:rPr>
                <w:color w:val="002DC7"/>
                <w:sz w:val="24"/>
              </w:rPr>
            </w:pPr>
            <w:r>
              <w:rPr>
                <w:color w:val="auto"/>
                <w:sz w:val="24"/>
              </w:rPr>
              <w:t>本项目运营期</w:t>
            </w:r>
            <w:r>
              <w:rPr>
                <w:rFonts w:hint="eastAsia"/>
                <w:color w:val="auto"/>
                <w:sz w:val="24"/>
              </w:rPr>
              <w:t>主要</w:t>
            </w:r>
            <w:r>
              <w:rPr>
                <w:color w:val="auto"/>
                <w:sz w:val="24"/>
              </w:rPr>
              <w:t>用水</w:t>
            </w:r>
            <w:r>
              <w:rPr>
                <w:rFonts w:hint="eastAsia"/>
                <w:color w:val="auto"/>
                <w:sz w:val="24"/>
                <w:lang w:val="en-US" w:eastAsia="zh-CN"/>
              </w:rPr>
              <w:t>物料搅拌混合用水、搅拌机清洗用水、电加热蒸汽发生器用水、脱模稀释剂用水、喷淋降尘用水、保湿养护用水和</w:t>
            </w:r>
            <w:r>
              <w:rPr>
                <w:rFonts w:hint="eastAsia"/>
                <w:color w:val="auto"/>
                <w:sz w:val="24"/>
              </w:rPr>
              <w:t>员工生活用水。</w:t>
            </w:r>
            <w:r>
              <w:rPr>
                <w:rFonts w:hint="eastAsia"/>
                <w:color w:val="auto"/>
                <w:sz w:val="24"/>
                <w:lang w:val="en-US" w:eastAsia="zh-CN"/>
              </w:rPr>
              <w:t>物料搅拌混合用水、电加热蒸汽发生器用水、脱模稀释剂用水、喷淋降尘用水、保湿养护用水</w:t>
            </w:r>
            <w:r>
              <w:rPr>
                <w:rFonts w:hint="eastAsia"/>
                <w:color w:val="auto"/>
                <w:sz w:val="24"/>
              </w:rPr>
              <w:t>全部蒸发不产生</w:t>
            </w:r>
            <w:r>
              <w:rPr>
                <w:rFonts w:hint="eastAsia"/>
                <w:color w:val="auto"/>
                <w:sz w:val="24"/>
                <w:lang w:val="en-US" w:eastAsia="zh-CN"/>
              </w:rPr>
              <w:t>废</w:t>
            </w:r>
            <w:r>
              <w:rPr>
                <w:rFonts w:hint="eastAsia"/>
                <w:color w:val="auto"/>
                <w:sz w:val="24"/>
              </w:rPr>
              <w:t>水，</w:t>
            </w:r>
            <w:r>
              <w:rPr>
                <w:rFonts w:hint="eastAsia"/>
                <w:color w:val="auto"/>
                <w:sz w:val="24"/>
                <w:highlight w:val="none"/>
              </w:rPr>
              <w:t>车辆清洗废水、设备清洗废水经过沉淀池沉淀处理后，回用于生产不外排</w:t>
            </w:r>
            <w:r>
              <w:rPr>
                <w:color w:val="auto"/>
                <w:sz w:val="24"/>
                <w:highlight w:val="none"/>
              </w:rPr>
              <w:t>。</w:t>
            </w:r>
            <w:r>
              <w:rPr>
                <w:rFonts w:hint="eastAsia"/>
                <w:color w:val="auto"/>
                <w:sz w:val="24"/>
              </w:rPr>
              <w:t>故项目运营期</w:t>
            </w:r>
            <w:r>
              <w:rPr>
                <w:rFonts w:hint="eastAsia"/>
                <w:color w:val="auto"/>
                <w:sz w:val="24"/>
                <w:lang w:val="en-US" w:eastAsia="zh-CN"/>
              </w:rPr>
              <w:t>紧外排</w:t>
            </w:r>
            <w:r>
              <w:rPr>
                <w:rFonts w:hint="eastAsia"/>
                <w:color w:val="auto"/>
                <w:sz w:val="24"/>
              </w:rPr>
              <w:t>生活污水。生活污水接管至</w:t>
            </w:r>
            <w:r>
              <w:rPr>
                <w:rFonts w:hint="default" w:ascii="Times New Roman" w:hAnsi="Times New Roman" w:cs="Times New Roman"/>
                <w:color w:val="auto"/>
                <w:sz w:val="24"/>
                <w:szCs w:val="24"/>
                <w:highlight w:val="none"/>
                <w:lang w:val="en-US" w:eastAsia="zh-CN"/>
              </w:rPr>
              <w:t>淮南经济</w:t>
            </w:r>
            <w:r>
              <w:rPr>
                <w:rFonts w:hint="default" w:ascii="Times New Roman" w:hAnsi="Times New Roman" w:cs="Times New Roman"/>
                <w:color w:val="auto"/>
                <w:sz w:val="24"/>
                <w:szCs w:val="24"/>
                <w:highlight w:val="none"/>
              </w:rPr>
              <w:t>开发区污水处理厂</w:t>
            </w:r>
            <w:r>
              <w:rPr>
                <w:rFonts w:hint="eastAsia"/>
                <w:color w:val="auto"/>
                <w:sz w:val="24"/>
              </w:rPr>
              <w:t>。</w:t>
            </w:r>
          </w:p>
          <w:p w14:paraId="15CA152F">
            <w:pPr>
              <w:spacing w:line="360" w:lineRule="auto"/>
              <w:ind w:firstLine="480" w:firstLineChars="200"/>
              <w:rPr>
                <w:color w:val="002DC7"/>
                <w:sz w:val="24"/>
              </w:rPr>
            </w:pPr>
            <w:r>
              <w:rPr>
                <w:rFonts w:hint="eastAsia"/>
                <w:color w:val="auto"/>
                <w:sz w:val="24"/>
              </w:rPr>
              <w:t>生活用水：项目劳动定员</w:t>
            </w:r>
            <w:r>
              <w:rPr>
                <w:rFonts w:hint="eastAsia"/>
                <w:color w:val="auto"/>
                <w:sz w:val="24"/>
                <w:lang w:val="en-US" w:eastAsia="zh-CN"/>
              </w:rPr>
              <w:t>60</w:t>
            </w:r>
            <w:r>
              <w:rPr>
                <w:rFonts w:hint="eastAsia"/>
                <w:color w:val="auto"/>
                <w:sz w:val="24"/>
              </w:rPr>
              <w:t>人，年工作</w:t>
            </w:r>
            <w:r>
              <w:rPr>
                <w:color w:val="auto"/>
                <w:sz w:val="24"/>
              </w:rPr>
              <w:t>300</w:t>
            </w:r>
            <w:r>
              <w:rPr>
                <w:rFonts w:hint="eastAsia"/>
                <w:color w:val="auto"/>
                <w:sz w:val="24"/>
              </w:rPr>
              <w:t>天，每人每天生活用水按50</w:t>
            </w:r>
            <w:r>
              <w:rPr>
                <w:color w:val="auto"/>
                <w:sz w:val="24"/>
              </w:rPr>
              <w:t>L/</w:t>
            </w:r>
            <w:r>
              <w:rPr>
                <w:rFonts w:hint="eastAsia"/>
                <w:color w:val="auto"/>
                <w:sz w:val="24"/>
              </w:rPr>
              <w:t>人计，则生活用水量为</w:t>
            </w:r>
            <w:r>
              <w:rPr>
                <w:rFonts w:hint="eastAsia"/>
                <w:color w:val="auto"/>
                <w:sz w:val="24"/>
                <w:lang w:val="en-US" w:eastAsia="zh-CN"/>
              </w:rPr>
              <w:t>3</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900</w:t>
            </w:r>
            <w:r>
              <w:rPr>
                <w:rFonts w:hint="eastAsia"/>
                <w:color w:val="auto"/>
                <w:sz w:val="24"/>
              </w:rPr>
              <w:t>m</w:t>
            </w:r>
            <w:r>
              <w:rPr>
                <w:rFonts w:hint="eastAsia"/>
                <w:color w:val="auto"/>
                <w:sz w:val="24"/>
                <w:vertAlign w:val="superscript"/>
              </w:rPr>
              <w:t>3</w:t>
            </w:r>
            <w:r>
              <w:rPr>
                <w:rFonts w:hint="eastAsia"/>
                <w:color w:val="auto"/>
                <w:sz w:val="24"/>
              </w:rPr>
              <w:t>/a），生活污水产生量按用水量的</w:t>
            </w:r>
            <w:r>
              <w:rPr>
                <w:color w:val="auto"/>
                <w:sz w:val="24"/>
              </w:rPr>
              <w:t>80%</w:t>
            </w:r>
            <w:r>
              <w:rPr>
                <w:rFonts w:hint="eastAsia"/>
                <w:color w:val="auto"/>
                <w:sz w:val="24"/>
              </w:rPr>
              <w:t>计，项目则生活污水产生量为</w:t>
            </w:r>
            <w:r>
              <w:rPr>
                <w:rFonts w:hint="eastAsia"/>
                <w:color w:val="auto"/>
                <w:sz w:val="24"/>
                <w:lang w:val="en-US" w:eastAsia="zh-CN"/>
              </w:rPr>
              <w:t>2.4m</w:t>
            </w:r>
            <w:r>
              <w:rPr>
                <w:rFonts w:hint="eastAsia"/>
                <w:color w:val="auto"/>
                <w:sz w:val="24"/>
                <w:vertAlign w:val="superscript"/>
                <w:lang w:val="en-US" w:eastAsia="zh-CN"/>
              </w:rPr>
              <w:t>3</w:t>
            </w:r>
            <w:r>
              <w:rPr>
                <w:rFonts w:hint="eastAsia"/>
                <w:color w:val="auto"/>
                <w:sz w:val="24"/>
                <w:lang w:val="en-US" w:eastAsia="zh-CN"/>
              </w:rPr>
              <w:t>/d（720m</w:t>
            </w:r>
            <w:r>
              <w:rPr>
                <w:rFonts w:hint="eastAsia"/>
                <w:color w:val="auto"/>
                <w:sz w:val="24"/>
                <w:vertAlign w:val="superscript"/>
                <w:lang w:val="en-US" w:eastAsia="zh-CN"/>
              </w:rPr>
              <w:t>3</w:t>
            </w:r>
            <w:r>
              <w:rPr>
                <w:rFonts w:hint="eastAsia"/>
                <w:color w:val="auto"/>
                <w:sz w:val="24"/>
              </w:rPr>
              <w:t>/a</w:t>
            </w:r>
            <w:r>
              <w:rPr>
                <w:rFonts w:hint="eastAsia"/>
                <w:color w:val="auto"/>
                <w:sz w:val="24"/>
                <w:lang w:eastAsia="zh-CN"/>
              </w:rPr>
              <w:t>）</w:t>
            </w:r>
            <w:r>
              <w:rPr>
                <w:rFonts w:hint="eastAsia"/>
                <w:color w:val="auto"/>
                <w:sz w:val="24"/>
              </w:rPr>
              <w:t>。产生的生活污水接管至</w:t>
            </w:r>
            <w:r>
              <w:rPr>
                <w:rFonts w:hint="default" w:ascii="Times New Roman" w:hAnsi="Times New Roman" w:cs="Times New Roman"/>
                <w:color w:val="auto"/>
                <w:sz w:val="24"/>
                <w:szCs w:val="24"/>
                <w:highlight w:val="none"/>
                <w:lang w:val="en-US" w:eastAsia="zh-CN"/>
              </w:rPr>
              <w:t>淮南经济</w:t>
            </w:r>
            <w:r>
              <w:rPr>
                <w:rFonts w:hint="default" w:ascii="Times New Roman" w:hAnsi="Times New Roman" w:cs="Times New Roman"/>
                <w:color w:val="auto"/>
                <w:sz w:val="24"/>
                <w:szCs w:val="24"/>
                <w:highlight w:val="none"/>
              </w:rPr>
              <w:t>开发区污水处理厂</w:t>
            </w:r>
            <w:r>
              <w:rPr>
                <w:rFonts w:hint="eastAsia"/>
                <w:color w:val="auto"/>
                <w:sz w:val="24"/>
              </w:rPr>
              <w:t>。</w:t>
            </w:r>
          </w:p>
          <w:p w14:paraId="049B6A92">
            <w:pPr>
              <w:widowControl/>
              <w:spacing w:line="360" w:lineRule="auto"/>
              <w:ind w:firstLine="480" w:firstLineChars="200"/>
              <w:outlineLvl w:val="0"/>
              <w:rPr>
                <w:color w:val="auto"/>
                <w:sz w:val="24"/>
              </w:rPr>
            </w:pPr>
            <w:r>
              <w:rPr>
                <w:rFonts w:hint="eastAsia"/>
                <w:color w:val="auto"/>
                <w:sz w:val="24"/>
              </w:rPr>
              <w:t>本项目废水产排情况如下表所示：</w:t>
            </w:r>
          </w:p>
          <w:p w14:paraId="595402E2">
            <w:pPr>
              <w:widowControl/>
              <w:spacing w:line="360" w:lineRule="auto"/>
              <w:jc w:val="center"/>
              <w:outlineLvl w:val="0"/>
              <w:rPr>
                <w:b/>
                <w:color w:val="auto"/>
                <w:kern w:val="0"/>
                <w:sz w:val="24"/>
                <w:szCs w:val="24"/>
              </w:rPr>
            </w:pPr>
            <w:r>
              <w:rPr>
                <w:b/>
                <w:color w:val="auto"/>
                <w:sz w:val="24"/>
                <w:szCs w:val="24"/>
              </w:rPr>
              <w:t>表4-</w:t>
            </w:r>
            <w:r>
              <w:rPr>
                <w:rFonts w:hint="eastAsia"/>
                <w:b/>
                <w:color w:val="auto"/>
                <w:sz w:val="24"/>
                <w:szCs w:val="24"/>
              </w:rPr>
              <w:t>12</w:t>
            </w:r>
            <w:r>
              <w:rPr>
                <w:b/>
                <w:color w:val="auto"/>
                <w:sz w:val="24"/>
                <w:szCs w:val="24"/>
              </w:rPr>
              <w:t xml:space="preserve">  运营期水污染物产排情况一览表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121"/>
              <w:gridCol w:w="1186"/>
              <w:gridCol w:w="1156"/>
              <w:gridCol w:w="1157"/>
              <w:gridCol w:w="1156"/>
              <w:gridCol w:w="1158"/>
            </w:tblGrid>
            <w:tr w14:paraId="34BDC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4" w:type="pct"/>
                  <w:vMerge w:val="restart"/>
                  <w:vAlign w:val="center"/>
                </w:tcPr>
                <w:p w14:paraId="06FF7983">
                  <w:pPr>
                    <w:jc w:val="center"/>
                    <w:rPr>
                      <w:b/>
                      <w:color w:val="auto"/>
                      <w:szCs w:val="21"/>
                    </w:rPr>
                  </w:pPr>
                  <w:r>
                    <w:rPr>
                      <w:rFonts w:hint="eastAsia"/>
                      <w:b/>
                      <w:color w:val="auto"/>
                      <w:szCs w:val="21"/>
                    </w:rPr>
                    <w:t>废水</w:t>
                  </w:r>
                  <w:r>
                    <w:rPr>
                      <w:b/>
                      <w:color w:val="auto"/>
                      <w:szCs w:val="21"/>
                    </w:rPr>
                    <w:t>量（m</w:t>
                  </w:r>
                  <w:r>
                    <w:rPr>
                      <w:rFonts w:hint="eastAsia"/>
                      <w:b/>
                      <w:color w:val="auto"/>
                      <w:szCs w:val="21"/>
                      <w:vertAlign w:val="superscript"/>
                    </w:rPr>
                    <w:t>3</w:t>
                  </w:r>
                  <w:r>
                    <w:rPr>
                      <w:b/>
                      <w:color w:val="auto"/>
                      <w:szCs w:val="21"/>
                    </w:rPr>
                    <w:t>/d）</w:t>
                  </w:r>
                </w:p>
              </w:tc>
              <w:tc>
                <w:tcPr>
                  <w:tcW w:w="683" w:type="pct"/>
                  <w:vMerge w:val="restart"/>
                  <w:vAlign w:val="center"/>
                </w:tcPr>
                <w:p w14:paraId="11E54F2A">
                  <w:pPr>
                    <w:jc w:val="center"/>
                    <w:rPr>
                      <w:b/>
                      <w:color w:val="auto"/>
                      <w:szCs w:val="21"/>
                    </w:rPr>
                  </w:pPr>
                  <w:r>
                    <w:rPr>
                      <w:b/>
                      <w:color w:val="auto"/>
                      <w:szCs w:val="21"/>
                    </w:rPr>
                    <w:t>污染物</w:t>
                  </w:r>
                  <w:r>
                    <w:rPr>
                      <w:rFonts w:hint="eastAsia"/>
                      <w:b/>
                      <w:color w:val="auto"/>
                      <w:szCs w:val="21"/>
                    </w:rPr>
                    <w:t>名称</w:t>
                  </w:r>
                </w:p>
              </w:tc>
              <w:tc>
                <w:tcPr>
                  <w:tcW w:w="722" w:type="pct"/>
                  <w:vMerge w:val="restart"/>
                  <w:vAlign w:val="center"/>
                </w:tcPr>
                <w:p w14:paraId="251AB70E">
                  <w:pPr>
                    <w:jc w:val="center"/>
                    <w:rPr>
                      <w:b/>
                      <w:color w:val="auto"/>
                      <w:szCs w:val="21"/>
                    </w:rPr>
                  </w:pPr>
                  <w:r>
                    <w:rPr>
                      <w:rFonts w:hint="eastAsia"/>
                      <w:b/>
                      <w:color w:val="auto"/>
                      <w:szCs w:val="21"/>
                    </w:rPr>
                    <w:t>污染物浓度（</w:t>
                  </w:r>
                  <w:r>
                    <w:rPr>
                      <w:b/>
                      <w:color w:val="auto"/>
                      <w:szCs w:val="21"/>
                    </w:rPr>
                    <w:t>mg/L</w:t>
                  </w:r>
                  <w:r>
                    <w:rPr>
                      <w:rFonts w:hint="eastAsia"/>
                      <w:b/>
                      <w:color w:val="auto"/>
                      <w:szCs w:val="21"/>
                    </w:rPr>
                    <w:t>）</w:t>
                  </w:r>
                </w:p>
              </w:tc>
              <w:tc>
                <w:tcPr>
                  <w:tcW w:w="1409" w:type="pct"/>
                  <w:gridSpan w:val="2"/>
                  <w:vAlign w:val="center"/>
                </w:tcPr>
                <w:p w14:paraId="0CED61CA">
                  <w:pPr>
                    <w:jc w:val="center"/>
                    <w:rPr>
                      <w:b/>
                      <w:color w:val="auto"/>
                      <w:szCs w:val="21"/>
                    </w:rPr>
                  </w:pPr>
                  <w:r>
                    <w:rPr>
                      <w:rFonts w:hint="eastAsia"/>
                      <w:b/>
                      <w:color w:val="auto"/>
                      <w:szCs w:val="21"/>
                      <w:lang w:val="en-US" w:eastAsia="zh-CN"/>
                    </w:rPr>
                    <w:t>开发区</w:t>
                  </w:r>
                  <w:r>
                    <w:rPr>
                      <w:rFonts w:hint="eastAsia"/>
                      <w:b/>
                      <w:color w:val="auto"/>
                      <w:szCs w:val="21"/>
                    </w:rPr>
                    <w:t>污水处理厂</w:t>
                  </w:r>
                </w:p>
              </w:tc>
              <w:tc>
                <w:tcPr>
                  <w:tcW w:w="1409" w:type="pct"/>
                  <w:gridSpan w:val="2"/>
                  <w:vAlign w:val="center"/>
                </w:tcPr>
                <w:p w14:paraId="22ABD2AC">
                  <w:pPr>
                    <w:jc w:val="center"/>
                    <w:rPr>
                      <w:b/>
                      <w:color w:val="auto"/>
                      <w:szCs w:val="21"/>
                    </w:rPr>
                  </w:pPr>
                  <w:r>
                    <w:rPr>
                      <w:rFonts w:hint="eastAsia"/>
                      <w:b/>
                      <w:color w:val="auto"/>
                      <w:szCs w:val="21"/>
                    </w:rPr>
                    <w:t>污染物排放</w:t>
                  </w:r>
                </w:p>
              </w:tc>
            </w:tr>
            <w:tr w14:paraId="2EDCC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4" w:type="pct"/>
                  <w:vMerge w:val="continue"/>
                  <w:vAlign w:val="center"/>
                </w:tcPr>
                <w:p w14:paraId="6FBD1E68">
                  <w:pPr>
                    <w:jc w:val="center"/>
                    <w:rPr>
                      <w:b/>
                      <w:color w:val="auto"/>
                      <w:szCs w:val="21"/>
                    </w:rPr>
                  </w:pPr>
                </w:p>
              </w:tc>
              <w:tc>
                <w:tcPr>
                  <w:tcW w:w="683" w:type="pct"/>
                  <w:vMerge w:val="continue"/>
                  <w:vAlign w:val="center"/>
                </w:tcPr>
                <w:p w14:paraId="45446E92">
                  <w:pPr>
                    <w:jc w:val="center"/>
                    <w:rPr>
                      <w:b/>
                      <w:color w:val="auto"/>
                      <w:szCs w:val="21"/>
                    </w:rPr>
                  </w:pPr>
                </w:p>
              </w:tc>
              <w:tc>
                <w:tcPr>
                  <w:tcW w:w="722" w:type="pct"/>
                  <w:vMerge w:val="continue"/>
                  <w:vAlign w:val="center"/>
                </w:tcPr>
                <w:p w14:paraId="6D52BB5E">
                  <w:pPr>
                    <w:jc w:val="center"/>
                    <w:rPr>
                      <w:b/>
                      <w:color w:val="auto"/>
                      <w:szCs w:val="21"/>
                    </w:rPr>
                  </w:pPr>
                </w:p>
              </w:tc>
              <w:tc>
                <w:tcPr>
                  <w:tcW w:w="704" w:type="pct"/>
                  <w:vAlign w:val="center"/>
                </w:tcPr>
                <w:p w14:paraId="19EAE74F">
                  <w:pPr>
                    <w:jc w:val="center"/>
                    <w:rPr>
                      <w:b/>
                      <w:color w:val="auto"/>
                      <w:szCs w:val="21"/>
                    </w:rPr>
                  </w:pPr>
                  <w:r>
                    <w:rPr>
                      <w:rFonts w:hint="eastAsia"/>
                      <w:b/>
                      <w:color w:val="auto"/>
                      <w:szCs w:val="21"/>
                    </w:rPr>
                    <w:t>接管标准</w:t>
                  </w:r>
                </w:p>
                <w:p w14:paraId="63B87360">
                  <w:pPr>
                    <w:jc w:val="center"/>
                    <w:rPr>
                      <w:b/>
                      <w:color w:val="auto"/>
                      <w:szCs w:val="21"/>
                    </w:rPr>
                  </w:pPr>
                  <w:r>
                    <w:rPr>
                      <w:rFonts w:hint="eastAsia"/>
                      <w:b/>
                      <w:color w:val="auto"/>
                      <w:szCs w:val="21"/>
                    </w:rPr>
                    <w:t>（</w:t>
                  </w:r>
                  <w:r>
                    <w:rPr>
                      <w:b/>
                      <w:color w:val="auto"/>
                      <w:szCs w:val="21"/>
                    </w:rPr>
                    <w:t>mg/L</w:t>
                  </w:r>
                  <w:r>
                    <w:rPr>
                      <w:rFonts w:hint="eastAsia"/>
                      <w:b/>
                      <w:color w:val="auto"/>
                      <w:szCs w:val="21"/>
                    </w:rPr>
                    <w:t>）</w:t>
                  </w:r>
                </w:p>
              </w:tc>
              <w:tc>
                <w:tcPr>
                  <w:tcW w:w="704" w:type="pct"/>
                  <w:vAlign w:val="center"/>
                </w:tcPr>
                <w:p w14:paraId="362F1420">
                  <w:pPr>
                    <w:jc w:val="center"/>
                    <w:rPr>
                      <w:b/>
                      <w:color w:val="auto"/>
                      <w:szCs w:val="21"/>
                    </w:rPr>
                  </w:pPr>
                  <w:r>
                    <w:rPr>
                      <w:rFonts w:hint="eastAsia"/>
                      <w:b/>
                      <w:color w:val="auto"/>
                      <w:szCs w:val="21"/>
                    </w:rPr>
                    <w:t>接管量</w:t>
                  </w:r>
                </w:p>
                <w:p w14:paraId="4723D8D4">
                  <w:pPr>
                    <w:jc w:val="center"/>
                    <w:rPr>
                      <w:b/>
                      <w:color w:val="auto"/>
                      <w:szCs w:val="21"/>
                    </w:rPr>
                  </w:pPr>
                  <w:r>
                    <w:rPr>
                      <w:b/>
                      <w:color w:val="auto"/>
                      <w:szCs w:val="21"/>
                    </w:rPr>
                    <w:t>(t/a)</w:t>
                  </w:r>
                </w:p>
              </w:tc>
              <w:tc>
                <w:tcPr>
                  <w:tcW w:w="704" w:type="pct"/>
                  <w:vAlign w:val="center"/>
                </w:tcPr>
                <w:p w14:paraId="161CE295">
                  <w:pPr>
                    <w:jc w:val="center"/>
                    <w:rPr>
                      <w:b/>
                      <w:color w:val="auto"/>
                      <w:szCs w:val="21"/>
                    </w:rPr>
                  </w:pPr>
                  <w:r>
                    <w:rPr>
                      <w:rFonts w:hint="eastAsia"/>
                      <w:b/>
                      <w:color w:val="auto"/>
                      <w:szCs w:val="21"/>
                    </w:rPr>
                    <w:t>排放标准</w:t>
                  </w:r>
                </w:p>
                <w:p w14:paraId="6D2D35E8">
                  <w:pPr>
                    <w:jc w:val="center"/>
                    <w:rPr>
                      <w:b/>
                      <w:color w:val="auto"/>
                      <w:szCs w:val="21"/>
                    </w:rPr>
                  </w:pPr>
                  <w:r>
                    <w:rPr>
                      <w:rFonts w:hint="eastAsia"/>
                      <w:b/>
                      <w:color w:val="auto"/>
                      <w:szCs w:val="21"/>
                    </w:rPr>
                    <w:t>（</w:t>
                  </w:r>
                  <w:r>
                    <w:rPr>
                      <w:b/>
                      <w:color w:val="auto"/>
                      <w:szCs w:val="21"/>
                    </w:rPr>
                    <w:t>mg/L</w:t>
                  </w:r>
                  <w:r>
                    <w:rPr>
                      <w:rFonts w:hint="eastAsia"/>
                      <w:b/>
                      <w:color w:val="auto"/>
                      <w:szCs w:val="21"/>
                    </w:rPr>
                    <w:t>）</w:t>
                  </w:r>
                </w:p>
              </w:tc>
              <w:tc>
                <w:tcPr>
                  <w:tcW w:w="705" w:type="pct"/>
                  <w:vAlign w:val="center"/>
                </w:tcPr>
                <w:p w14:paraId="7A7A05EE">
                  <w:pPr>
                    <w:jc w:val="center"/>
                    <w:rPr>
                      <w:b/>
                      <w:color w:val="auto"/>
                      <w:szCs w:val="21"/>
                    </w:rPr>
                  </w:pPr>
                  <w:r>
                    <w:rPr>
                      <w:rFonts w:hint="eastAsia"/>
                      <w:b/>
                      <w:color w:val="auto"/>
                      <w:szCs w:val="21"/>
                    </w:rPr>
                    <w:t>排放量</w:t>
                  </w:r>
                </w:p>
                <w:p w14:paraId="36427705">
                  <w:pPr>
                    <w:jc w:val="center"/>
                    <w:rPr>
                      <w:b/>
                      <w:color w:val="auto"/>
                      <w:szCs w:val="21"/>
                    </w:rPr>
                  </w:pPr>
                  <w:r>
                    <w:rPr>
                      <w:b/>
                      <w:color w:val="auto"/>
                      <w:szCs w:val="21"/>
                    </w:rPr>
                    <w:t>(t/a)</w:t>
                  </w:r>
                </w:p>
              </w:tc>
            </w:tr>
            <w:tr w14:paraId="5F402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774" w:type="pct"/>
                  <w:vMerge w:val="restart"/>
                  <w:vAlign w:val="center"/>
                </w:tcPr>
                <w:p w14:paraId="661F61FF">
                  <w:pPr>
                    <w:jc w:val="center"/>
                    <w:rPr>
                      <w:color w:val="auto"/>
                      <w:szCs w:val="21"/>
                    </w:rPr>
                  </w:pPr>
                  <w:r>
                    <w:rPr>
                      <w:rFonts w:hint="eastAsia"/>
                      <w:color w:val="auto"/>
                      <w:szCs w:val="21"/>
                    </w:rPr>
                    <w:t>生活污水</w:t>
                  </w:r>
                </w:p>
                <w:p w14:paraId="4EF4D1D0">
                  <w:pPr>
                    <w:jc w:val="center"/>
                    <w:rPr>
                      <w:color w:val="002DC7"/>
                      <w:sz w:val="21"/>
                      <w:szCs w:val="21"/>
                    </w:rPr>
                  </w:pPr>
                  <w:r>
                    <w:rPr>
                      <w:rFonts w:hint="eastAsia"/>
                      <w:color w:val="auto"/>
                      <w:szCs w:val="21"/>
                      <w:lang w:val="en-US" w:eastAsia="zh-CN"/>
                    </w:rPr>
                    <w:t>2.4</w:t>
                  </w:r>
                  <w:r>
                    <w:rPr>
                      <w:color w:val="auto"/>
                      <w:szCs w:val="21"/>
                    </w:rPr>
                    <w:t>m</w:t>
                  </w:r>
                  <w:r>
                    <w:rPr>
                      <w:rFonts w:hint="eastAsia"/>
                      <w:color w:val="auto"/>
                      <w:szCs w:val="21"/>
                      <w:vertAlign w:val="superscript"/>
                    </w:rPr>
                    <w:t>3</w:t>
                  </w:r>
                  <w:r>
                    <w:rPr>
                      <w:color w:val="auto"/>
                      <w:szCs w:val="21"/>
                    </w:rPr>
                    <w:t>/d</w:t>
                  </w:r>
                  <w:r>
                    <w:rPr>
                      <w:rFonts w:hint="eastAsia"/>
                      <w:color w:val="auto"/>
                      <w:sz w:val="21"/>
                      <w:szCs w:val="21"/>
                    </w:rPr>
                    <w:t>（</w:t>
                  </w:r>
                  <w:r>
                    <w:rPr>
                      <w:rFonts w:hint="eastAsia"/>
                      <w:color w:val="auto"/>
                      <w:sz w:val="21"/>
                      <w:szCs w:val="21"/>
                      <w:lang w:val="en-US" w:eastAsia="zh-CN"/>
                    </w:rPr>
                    <w:t>7</w:t>
                  </w:r>
                  <w:r>
                    <w:rPr>
                      <w:rFonts w:hint="eastAsia"/>
                      <w:color w:val="auto"/>
                      <w:sz w:val="21"/>
                      <w:szCs w:val="21"/>
                    </w:rPr>
                    <w:t>20</w:t>
                  </w:r>
                  <w:r>
                    <w:rPr>
                      <w:color w:val="auto"/>
                      <w:sz w:val="21"/>
                      <w:szCs w:val="21"/>
                    </w:rPr>
                    <w:t>m</w:t>
                  </w:r>
                  <w:r>
                    <w:rPr>
                      <w:rFonts w:hint="eastAsia"/>
                      <w:color w:val="auto"/>
                      <w:sz w:val="21"/>
                      <w:szCs w:val="21"/>
                      <w:vertAlign w:val="superscript"/>
                    </w:rPr>
                    <w:t>3</w:t>
                  </w:r>
                  <w:r>
                    <w:rPr>
                      <w:color w:val="auto"/>
                      <w:sz w:val="21"/>
                      <w:szCs w:val="21"/>
                    </w:rPr>
                    <w:t>/</w:t>
                  </w:r>
                  <w:r>
                    <w:rPr>
                      <w:rFonts w:hint="eastAsia"/>
                      <w:color w:val="auto"/>
                      <w:sz w:val="21"/>
                      <w:szCs w:val="21"/>
                    </w:rPr>
                    <w:t>a）</w:t>
                  </w:r>
                </w:p>
              </w:tc>
              <w:tc>
                <w:tcPr>
                  <w:tcW w:w="683" w:type="pct"/>
                  <w:vAlign w:val="center"/>
                </w:tcPr>
                <w:p w14:paraId="2121EC8F">
                  <w:pPr>
                    <w:jc w:val="center"/>
                    <w:rPr>
                      <w:color w:val="auto"/>
                      <w:szCs w:val="21"/>
                    </w:rPr>
                  </w:pPr>
                  <w:r>
                    <w:rPr>
                      <w:rFonts w:hint="eastAsia"/>
                      <w:color w:val="auto"/>
                      <w:szCs w:val="21"/>
                    </w:rPr>
                    <w:t>pH</w:t>
                  </w:r>
                </w:p>
              </w:tc>
              <w:tc>
                <w:tcPr>
                  <w:tcW w:w="722" w:type="pct"/>
                  <w:vAlign w:val="center"/>
                </w:tcPr>
                <w:p w14:paraId="0739728E">
                  <w:pPr>
                    <w:jc w:val="center"/>
                    <w:rPr>
                      <w:rFonts w:hint="eastAsia"/>
                      <w:color w:val="auto"/>
                      <w:szCs w:val="21"/>
                    </w:rPr>
                  </w:pPr>
                  <w:r>
                    <w:rPr>
                      <w:rFonts w:hint="eastAsia"/>
                      <w:color w:val="auto"/>
                      <w:szCs w:val="21"/>
                    </w:rPr>
                    <w:t>6-9</w:t>
                  </w:r>
                </w:p>
                <w:p w14:paraId="2D7CF52E">
                  <w:pPr>
                    <w:jc w:val="center"/>
                    <w:rPr>
                      <w:color w:val="auto"/>
                      <w:szCs w:val="21"/>
                    </w:rPr>
                  </w:pPr>
                  <w:r>
                    <w:rPr>
                      <w:rFonts w:hint="eastAsia"/>
                      <w:color w:val="auto"/>
                      <w:szCs w:val="21"/>
                    </w:rPr>
                    <w:t>（无量纲）</w:t>
                  </w:r>
                </w:p>
              </w:tc>
              <w:tc>
                <w:tcPr>
                  <w:tcW w:w="704" w:type="pct"/>
                  <w:vAlign w:val="center"/>
                </w:tcPr>
                <w:p w14:paraId="3F549813">
                  <w:pPr>
                    <w:jc w:val="center"/>
                    <w:rPr>
                      <w:rFonts w:hint="eastAsia"/>
                      <w:color w:val="auto"/>
                      <w:szCs w:val="21"/>
                    </w:rPr>
                  </w:pPr>
                  <w:bookmarkStart w:id="29" w:name="OLE_LINK18"/>
                  <w:r>
                    <w:rPr>
                      <w:rFonts w:hint="eastAsia"/>
                      <w:color w:val="auto"/>
                      <w:szCs w:val="21"/>
                    </w:rPr>
                    <w:t>6-9</w:t>
                  </w:r>
                </w:p>
                <w:p w14:paraId="2DD6A746">
                  <w:pPr>
                    <w:jc w:val="center"/>
                    <w:rPr>
                      <w:color w:val="auto"/>
                      <w:szCs w:val="21"/>
                    </w:rPr>
                  </w:pPr>
                  <w:r>
                    <w:rPr>
                      <w:rFonts w:hint="eastAsia"/>
                      <w:color w:val="auto"/>
                      <w:szCs w:val="21"/>
                    </w:rPr>
                    <w:t>（无量纲）</w:t>
                  </w:r>
                  <w:bookmarkEnd w:id="29"/>
                </w:p>
              </w:tc>
              <w:tc>
                <w:tcPr>
                  <w:tcW w:w="704" w:type="pct"/>
                  <w:vAlign w:val="center"/>
                </w:tcPr>
                <w:p w14:paraId="1EDBFFCC">
                  <w:pPr>
                    <w:jc w:val="center"/>
                    <w:rPr>
                      <w:color w:val="auto"/>
                      <w:szCs w:val="21"/>
                    </w:rPr>
                  </w:pPr>
                  <w:r>
                    <w:rPr>
                      <w:rFonts w:hint="eastAsia"/>
                      <w:color w:val="auto"/>
                      <w:szCs w:val="21"/>
                    </w:rPr>
                    <w:t>/</w:t>
                  </w:r>
                </w:p>
              </w:tc>
              <w:tc>
                <w:tcPr>
                  <w:tcW w:w="704" w:type="pct"/>
                  <w:vAlign w:val="center"/>
                </w:tcPr>
                <w:p w14:paraId="09BC4ED2">
                  <w:pPr>
                    <w:jc w:val="center"/>
                    <w:rPr>
                      <w:rFonts w:hint="eastAsia"/>
                      <w:color w:val="auto"/>
                      <w:szCs w:val="21"/>
                    </w:rPr>
                  </w:pPr>
                  <w:r>
                    <w:rPr>
                      <w:rFonts w:hint="eastAsia"/>
                      <w:color w:val="auto"/>
                      <w:szCs w:val="21"/>
                    </w:rPr>
                    <w:t>6-9</w:t>
                  </w:r>
                </w:p>
                <w:p w14:paraId="51A69FA8">
                  <w:pPr>
                    <w:jc w:val="center"/>
                    <w:rPr>
                      <w:color w:val="auto"/>
                      <w:szCs w:val="21"/>
                    </w:rPr>
                  </w:pPr>
                  <w:r>
                    <w:rPr>
                      <w:rFonts w:hint="eastAsia"/>
                      <w:color w:val="auto"/>
                      <w:szCs w:val="21"/>
                    </w:rPr>
                    <w:t>（无量纲）</w:t>
                  </w:r>
                </w:p>
              </w:tc>
              <w:tc>
                <w:tcPr>
                  <w:tcW w:w="705" w:type="pct"/>
                  <w:vAlign w:val="center"/>
                </w:tcPr>
                <w:p w14:paraId="0047D843">
                  <w:pPr>
                    <w:jc w:val="center"/>
                    <w:rPr>
                      <w:color w:val="auto"/>
                      <w:szCs w:val="21"/>
                    </w:rPr>
                  </w:pPr>
                  <w:r>
                    <w:rPr>
                      <w:rFonts w:hint="eastAsia"/>
                      <w:color w:val="auto"/>
                      <w:szCs w:val="21"/>
                    </w:rPr>
                    <w:t>/</w:t>
                  </w:r>
                </w:p>
              </w:tc>
            </w:tr>
            <w:tr w14:paraId="16631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774" w:type="pct"/>
                  <w:vMerge w:val="continue"/>
                  <w:vAlign w:val="center"/>
                </w:tcPr>
                <w:p w14:paraId="3B6C1AF9">
                  <w:pPr>
                    <w:jc w:val="center"/>
                    <w:rPr>
                      <w:color w:val="002DC7"/>
                      <w:szCs w:val="21"/>
                    </w:rPr>
                  </w:pPr>
                </w:p>
              </w:tc>
              <w:tc>
                <w:tcPr>
                  <w:tcW w:w="683" w:type="pct"/>
                  <w:vAlign w:val="center"/>
                </w:tcPr>
                <w:p w14:paraId="3D539A46">
                  <w:pPr>
                    <w:jc w:val="center"/>
                    <w:rPr>
                      <w:color w:val="auto"/>
                      <w:szCs w:val="21"/>
                    </w:rPr>
                  </w:pPr>
                  <w:r>
                    <w:rPr>
                      <w:color w:val="auto"/>
                      <w:szCs w:val="21"/>
                    </w:rPr>
                    <w:t>COD</w:t>
                  </w:r>
                  <w:r>
                    <w:rPr>
                      <w:rFonts w:hint="eastAsia"/>
                      <w:color w:val="auto"/>
                      <w:szCs w:val="21"/>
                      <w:vertAlign w:val="subscript"/>
                    </w:rPr>
                    <w:t>Cr</w:t>
                  </w:r>
                </w:p>
              </w:tc>
              <w:tc>
                <w:tcPr>
                  <w:tcW w:w="722" w:type="pct"/>
                  <w:vAlign w:val="center"/>
                </w:tcPr>
                <w:p w14:paraId="4B5244C6">
                  <w:pPr>
                    <w:jc w:val="center"/>
                    <w:rPr>
                      <w:color w:val="auto"/>
                      <w:szCs w:val="21"/>
                    </w:rPr>
                  </w:pPr>
                  <w:r>
                    <w:rPr>
                      <w:rFonts w:hint="eastAsia"/>
                      <w:color w:val="auto"/>
                      <w:szCs w:val="21"/>
                    </w:rPr>
                    <w:t>320</w:t>
                  </w:r>
                </w:p>
              </w:tc>
              <w:tc>
                <w:tcPr>
                  <w:tcW w:w="704" w:type="pct"/>
                  <w:vAlign w:val="center"/>
                </w:tcPr>
                <w:p w14:paraId="2E253580">
                  <w:pPr>
                    <w:jc w:val="center"/>
                    <w:rPr>
                      <w:color w:val="auto"/>
                      <w:szCs w:val="21"/>
                    </w:rPr>
                  </w:pPr>
                  <w:r>
                    <w:rPr>
                      <w:rFonts w:hint="eastAsia"/>
                      <w:color w:val="auto"/>
                      <w:szCs w:val="21"/>
                    </w:rPr>
                    <w:t>3</w:t>
                  </w:r>
                  <w:r>
                    <w:rPr>
                      <w:rFonts w:hint="eastAsia"/>
                      <w:color w:val="auto"/>
                      <w:szCs w:val="21"/>
                      <w:lang w:val="en-US" w:eastAsia="zh-CN"/>
                    </w:rPr>
                    <w:t>6</w:t>
                  </w:r>
                  <w:r>
                    <w:rPr>
                      <w:rFonts w:hint="eastAsia"/>
                      <w:color w:val="auto"/>
                      <w:szCs w:val="21"/>
                    </w:rPr>
                    <w:t>0</w:t>
                  </w:r>
                </w:p>
              </w:tc>
              <w:tc>
                <w:tcPr>
                  <w:tcW w:w="704" w:type="pct"/>
                  <w:vAlign w:val="center"/>
                </w:tcPr>
                <w:p w14:paraId="6482339C">
                  <w:pPr>
                    <w:jc w:val="center"/>
                    <w:rPr>
                      <w:rFonts w:hint="default" w:eastAsia="宋体"/>
                      <w:color w:val="auto"/>
                      <w:szCs w:val="21"/>
                      <w:lang w:val="en-US" w:eastAsia="zh-CN"/>
                    </w:rPr>
                  </w:pPr>
                  <w:r>
                    <w:rPr>
                      <w:rFonts w:hint="eastAsia"/>
                      <w:color w:val="auto"/>
                      <w:szCs w:val="21"/>
                      <w:lang w:val="en-US" w:eastAsia="zh-CN"/>
                    </w:rPr>
                    <w:t>0.259</w:t>
                  </w:r>
                </w:p>
              </w:tc>
              <w:tc>
                <w:tcPr>
                  <w:tcW w:w="704" w:type="pct"/>
                  <w:vAlign w:val="center"/>
                </w:tcPr>
                <w:p w14:paraId="6F6A68E3">
                  <w:pPr>
                    <w:jc w:val="center"/>
                    <w:rPr>
                      <w:color w:val="auto"/>
                      <w:szCs w:val="21"/>
                    </w:rPr>
                  </w:pPr>
                  <w:r>
                    <w:rPr>
                      <w:rFonts w:hint="eastAsia"/>
                      <w:color w:val="auto"/>
                      <w:szCs w:val="21"/>
                    </w:rPr>
                    <w:t>50</w:t>
                  </w:r>
                </w:p>
              </w:tc>
              <w:tc>
                <w:tcPr>
                  <w:tcW w:w="705" w:type="pct"/>
                  <w:vAlign w:val="center"/>
                </w:tcPr>
                <w:p w14:paraId="6046C792">
                  <w:pPr>
                    <w:jc w:val="center"/>
                    <w:rPr>
                      <w:color w:val="auto"/>
                      <w:szCs w:val="21"/>
                    </w:rPr>
                  </w:pPr>
                  <w:r>
                    <w:rPr>
                      <w:rFonts w:hint="eastAsia"/>
                      <w:color w:val="auto"/>
                      <w:szCs w:val="21"/>
                    </w:rPr>
                    <w:t>0.0</w:t>
                  </w:r>
                  <w:r>
                    <w:rPr>
                      <w:rFonts w:hint="eastAsia"/>
                      <w:color w:val="auto"/>
                      <w:szCs w:val="21"/>
                      <w:lang w:val="en-US" w:eastAsia="zh-CN"/>
                    </w:rPr>
                    <w:t>3</w:t>
                  </w:r>
                  <w:r>
                    <w:rPr>
                      <w:rFonts w:hint="eastAsia"/>
                      <w:color w:val="auto"/>
                      <w:szCs w:val="21"/>
                    </w:rPr>
                    <w:t>6</w:t>
                  </w:r>
                </w:p>
              </w:tc>
            </w:tr>
            <w:tr w14:paraId="05C87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774" w:type="pct"/>
                  <w:vMerge w:val="continue"/>
                  <w:vAlign w:val="center"/>
                </w:tcPr>
                <w:p w14:paraId="72693D70">
                  <w:pPr>
                    <w:jc w:val="center"/>
                    <w:rPr>
                      <w:color w:val="002DC7"/>
                      <w:szCs w:val="21"/>
                    </w:rPr>
                  </w:pPr>
                </w:p>
              </w:tc>
              <w:tc>
                <w:tcPr>
                  <w:tcW w:w="683" w:type="pct"/>
                  <w:vAlign w:val="center"/>
                </w:tcPr>
                <w:p w14:paraId="4A66EF0B">
                  <w:pPr>
                    <w:jc w:val="center"/>
                    <w:rPr>
                      <w:color w:val="auto"/>
                      <w:szCs w:val="21"/>
                    </w:rPr>
                  </w:pPr>
                  <w:r>
                    <w:rPr>
                      <w:rFonts w:hint="eastAsia"/>
                      <w:color w:val="auto"/>
                      <w:szCs w:val="21"/>
                    </w:rPr>
                    <w:t>BOD</w:t>
                  </w:r>
                  <w:r>
                    <w:rPr>
                      <w:rFonts w:hint="eastAsia"/>
                      <w:color w:val="auto"/>
                      <w:szCs w:val="21"/>
                      <w:vertAlign w:val="subscript"/>
                    </w:rPr>
                    <w:t>5</w:t>
                  </w:r>
                </w:p>
              </w:tc>
              <w:tc>
                <w:tcPr>
                  <w:tcW w:w="722" w:type="pct"/>
                  <w:vAlign w:val="center"/>
                </w:tcPr>
                <w:p w14:paraId="69ED4E7D">
                  <w:pPr>
                    <w:jc w:val="center"/>
                    <w:rPr>
                      <w:color w:val="auto"/>
                      <w:szCs w:val="21"/>
                    </w:rPr>
                  </w:pPr>
                  <w:r>
                    <w:rPr>
                      <w:rFonts w:hint="eastAsia"/>
                      <w:color w:val="auto"/>
                      <w:szCs w:val="21"/>
                    </w:rPr>
                    <w:t>160</w:t>
                  </w:r>
                </w:p>
              </w:tc>
              <w:tc>
                <w:tcPr>
                  <w:tcW w:w="704" w:type="pct"/>
                  <w:vAlign w:val="center"/>
                </w:tcPr>
                <w:p w14:paraId="4FE8F4EA">
                  <w:pPr>
                    <w:jc w:val="center"/>
                    <w:rPr>
                      <w:color w:val="auto"/>
                      <w:szCs w:val="21"/>
                    </w:rPr>
                  </w:pPr>
                  <w:r>
                    <w:rPr>
                      <w:rFonts w:hint="eastAsia"/>
                      <w:color w:val="auto"/>
                      <w:szCs w:val="21"/>
                    </w:rPr>
                    <w:t>80</w:t>
                  </w:r>
                </w:p>
              </w:tc>
              <w:tc>
                <w:tcPr>
                  <w:tcW w:w="704" w:type="pct"/>
                  <w:vAlign w:val="center"/>
                </w:tcPr>
                <w:p w14:paraId="3708973D">
                  <w:pPr>
                    <w:jc w:val="center"/>
                    <w:rPr>
                      <w:rFonts w:hint="default" w:eastAsia="宋体"/>
                      <w:color w:val="auto"/>
                      <w:szCs w:val="21"/>
                      <w:lang w:val="en-US" w:eastAsia="zh-CN"/>
                    </w:rPr>
                  </w:pPr>
                  <w:r>
                    <w:rPr>
                      <w:rFonts w:hint="eastAsia"/>
                      <w:color w:val="auto"/>
                      <w:szCs w:val="21"/>
                      <w:lang w:val="en-US" w:eastAsia="zh-CN"/>
                    </w:rPr>
                    <w:t>0.058</w:t>
                  </w:r>
                </w:p>
              </w:tc>
              <w:tc>
                <w:tcPr>
                  <w:tcW w:w="704" w:type="pct"/>
                  <w:vAlign w:val="center"/>
                </w:tcPr>
                <w:p w14:paraId="6CB83E01">
                  <w:pPr>
                    <w:jc w:val="center"/>
                    <w:rPr>
                      <w:color w:val="auto"/>
                      <w:szCs w:val="21"/>
                    </w:rPr>
                  </w:pPr>
                  <w:r>
                    <w:rPr>
                      <w:rFonts w:hint="eastAsia"/>
                      <w:color w:val="auto"/>
                      <w:szCs w:val="21"/>
                    </w:rPr>
                    <w:t>10</w:t>
                  </w:r>
                </w:p>
              </w:tc>
              <w:tc>
                <w:tcPr>
                  <w:tcW w:w="705" w:type="pct"/>
                  <w:vAlign w:val="center"/>
                </w:tcPr>
                <w:p w14:paraId="732FA48C">
                  <w:pPr>
                    <w:jc w:val="center"/>
                    <w:rPr>
                      <w:color w:val="auto"/>
                      <w:szCs w:val="21"/>
                    </w:rPr>
                  </w:pPr>
                  <w:r>
                    <w:rPr>
                      <w:rFonts w:hint="eastAsia"/>
                      <w:color w:val="auto"/>
                      <w:szCs w:val="21"/>
                    </w:rPr>
                    <w:t>0.0</w:t>
                  </w:r>
                  <w:r>
                    <w:rPr>
                      <w:rFonts w:hint="eastAsia"/>
                      <w:color w:val="auto"/>
                      <w:szCs w:val="21"/>
                      <w:lang w:val="en-US" w:eastAsia="zh-CN"/>
                    </w:rPr>
                    <w:t>07</w:t>
                  </w:r>
                </w:p>
              </w:tc>
            </w:tr>
            <w:tr w14:paraId="742E0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74" w:type="pct"/>
                  <w:vMerge w:val="continue"/>
                  <w:vAlign w:val="center"/>
                </w:tcPr>
                <w:p w14:paraId="766AD57E">
                  <w:pPr>
                    <w:jc w:val="center"/>
                    <w:rPr>
                      <w:color w:val="002DC7"/>
                      <w:szCs w:val="21"/>
                    </w:rPr>
                  </w:pPr>
                </w:p>
              </w:tc>
              <w:tc>
                <w:tcPr>
                  <w:tcW w:w="683" w:type="pct"/>
                  <w:vAlign w:val="center"/>
                </w:tcPr>
                <w:p w14:paraId="7B8D3C9B">
                  <w:pPr>
                    <w:jc w:val="center"/>
                    <w:rPr>
                      <w:color w:val="auto"/>
                      <w:szCs w:val="21"/>
                    </w:rPr>
                  </w:pPr>
                  <w:r>
                    <w:rPr>
                      <w:color w:val="auto"/>
                      <w:szCs w:val="21"/>
                    </w:rPr>
                    <w:t>SS</w:t>
                  </w:r>
                </w:p>
              </w:tc>
              <w:tc>
                <w:tcPr>
                  <w:tcW w:w="722" w:type="pct"/>
                  <w:vAlign w:val="center"/>
                </w:tcPr>
                <w:p w14:paraId="745AEDA2">
                  <w:pPr>
                    <w:jc w:val="center"/>
                    <w:rPr>
                      <w:color w:val="auto"/>
                      <w:szCs w:val="21"/>
                    </w:rPr>
                  </w:pPr>
                  <w:r>
                    <w:rPr>
                      <w:rFonts w:hint="eastAsia"/>
                      <w:color w:val="auto"/>
                      <w:szCs w:val="21"/>
                    </w:rPr>
                    <w:t>160</w:t>
                  </w:r>
                </w:p>
              </w:tc>
              <w:tc>
                <w:tcPr>
                  <w:tcW w:w="704" w:type="pct"/>
                  <w:vAlign w:val="center"/>
                </w:tcPr>
                <w:p w14:paraId="5F5B4C45">
                  <w:pPr>
                    <w:jc w:val="center"/>
                    <w:rPr>
                      <w:rFonts w:hint="default" w:eastAsia="宋体"/>
                      <w:color w:val="auto"/>
                      <w:szCs w:val="21"/>
                      <w:lang w:val="en-US" w:eastAsia="zh-CN"/>
                    </w:rPr>
                  </w:pPr>
                  <w:r>
                    <w:rPr>
                      <w:rFonts w:hint="eastAsia"/>
                      <w:color w:val="auto"/>
                      <w:szCs w:val="21"/>
                      <w:lang w:val="en-US" w:eastAsia="zh-CN"/>
                    </w:rPr>
                    <w:t>200</w:t>
                  </w:r>
                </w:p>
              </w:tc>
              <w:tc>
                <w:tcPr>
                  <w:tcW w:w="704" w:type="pct"/>
                  <w:vAlign w:val="center"/>
                </w:tcPr>
                <w:p w14:paraId="4C89ECF9">
                  <w:pPr>
                    <w:jc w:val="center"/>
                    <w:rPr>
                      <w:rFonts w:hint="default" w:eastAsia="宋体"/>
                      <w:color w:val="auto"/>
                      <w:szCs w:val="21"/>
                      <w:lang w:val="en-US" w:eastAsia="zh-CN"/>
                    </w:rPr>
                  </w:pPr>
                  <w:r>
                    <w:rPr>
                      <w:rFonts w:hint="eastAsia"/>
                      <w:color w:val="auto"/>
                      <w:szCs w:val="21"/>
                      <w:lang w:val="en-US" w:eastAsia="zh-CN"/>
                    </w:rPr>
                    <w:t>0.144</w:t>
                  </w:r>
                </w:p>
              </w:tc>
              <w:tc>
                <w:tcPr>
                  <w:tcW w:w="704" w:type="pct"/>
                  <w:vAlign w:val="center"/>
                </w:tcPr>
                <w:p w14:paraId="711EC03B">
                  <w:pPr>
                    <w:jc w:val="center"/>
                    <w:rPr>
                      <w:color w:val="auto"/>
                      <w:szCs w:val="21"/>
                    </w:rPr>
                  </w:pPr>
                  <w:r>
                    <w:rPr>
                      <w:rFonts w:hint="eastAsia"/>
                      <w:color w:val="auto"/>
                      <w:szCs w:val="21"/>
                    </w:rPr>
                    <w:t>10</w:t>
                  </w:r>
                </w:p>
              </w:tc>
              <w:tc>
                <w:tcPr>
                  <w:tcW w:w="705" w:type="pct"/>
                  <w:vAlign w:val="center"/>
                </w:tcPr>
                <w:p w14:paraId="43C192EA">
                  <w:pPr>
                    <w:jc w:val="center"/>
                    <w:rPr>
                      <w:rFonts w:hint="default" w:eastAsia="宋体"/>
                      <w:color w:val="auto"/>
                      <w:szCs w:val="21"/>
                      <w:lang w:val="en-US" w:eastAsia="zh-CN"/>
                    </w:rPr>
                  </w:pPr>
                  <w:r>
                    <w:rPr>
                      <w:rFonts w:hint="eastAsia"/>
                      <w:color w:val="auto"/>
                      <w:szCs w:val="21"/>
                      <w:lang w:val="en-US" w:eastAsia="zh-CN"/>
                    </w:rPr>
                    <w:t>0.007</w:t>
                  </w:r>
                </w:p>
              </w:tc>
            </w:tr>
            <w:tr w14:paraId="56851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4" w:type="pct"/>
                  <w:vMerge w:val="continue"/>
                  <w:vAlign w:val="center"/>
                </w:tcPr>
                <w:p w14:paraId="2410E3BF">
                  <w:pPr>
                    <w:jc w:val="center"/>
                    <w:rPr>
                      <w:color w:val="002DC7"/>
                      <w:szCs w:val="21"/>
                    </w:rPr>
                  </w:pPr>
                </w:p>
              </w:tc>
              <w:tc>
                <w:tcPr>
                  <w:tcW w:w="683" w:type="pct"/>
                  <w:vAlign w:val="center"/>
                </w:tcPr>
                <w:p w14:paraId="36FDCD29">
                  <w:pPr>
                    <w:jc w:val="center"/>
                    <w:rPr>
                      <w:color w:val="auto"/>
                      <w:szCs w:val="21"/>
                    </w:rPr>
                  </w:pPr>
                  <w:r>
                    <w:rPr>
                      <w:color w:val="auto"/>
                      <w:szCs w:val="21"/>
                    </w:rPr>
                    <w:t>NH</w:t>
                  </w:r>
                  <w:r>
                    <w:rPr>
                      <w:color w:val="auto"/>
                      <w:szCs w:val="21"/>
                      <w:vertAlign w:val="subscript"/>
                    </w:rPr>
                    <w:t>3</w:t>
                  </w:r>
                  <w:r>
                    <w:rPr>
                      <w:color w:val="auto"/>
                      <w:szCs w:val="21"/>
                    </w:rPr>
                    <w:t>-N</w:t>
                  </w:r>
                </w:p>
              </w:tc>
              <w:tc>
                <w:tcPr>
                  <w:tcW w:w="722" w:type="pct"/>
                  <w:vAlign w:val="center"/>
                </w:tcPr>
                <w:p w14:paraId="41B46F44">
                  <w:pPr>
                    <w:jc w:val="center"/>
                    <w:rPr>
                      <w:color w:val="auto"/>
                      <w:szCs w:val="21"/>
                    </w:rPr>
                  </w:pPr>
                  <w:r>
                    <w:rPr>
                      <w:rFonts w:hint="eastAsia"/>
                      <w:color w:val="auto"/>
                      <w:szCs w:val="21"/>
                    </w:rPr>
                    <w:t>30</w:t>
                  </w:r>
                </w:p>
              </w:tc>
              <w:tc>
                <w:tcPr>
                  <w:tcW w:w="704" w:type="pct"/>
                  <w:vAlign w:val="center"/>
                </w:tcPr>
                <w:p w14:paraId="421D6795">
                  <w:pPr>
                    <w:jc w:val="center"/>
                    <w:rPr>
                      <w:rFonts w:hint="default" w:eastAsia="宋体"/>
                      <w:color w:val="auto"/>
                      <w:szCs w:val="21"/>
                      <w:lang w:val="en-US" w:eastAsia="zh-CN"/>
                    </w:rPr>
                  </w:pPr>
                  <w:r>
                    <w:rPr>
                      <w:rFonts w:hint="eastAsia"/>
                      <w:color w:val="auto"/>
                      <w:szCs w:val="21"/>
                      <w:lang w:val="en-US" w:eastAsia="zh-CN"/>
                    </w:rPr>
                    <w:t>35</w:t>
                  </w:r>
                </w:p>
              </w:tc>
              <w:tc>
                <w:tcPr>
                  <w:tcW w:w="704" w:type="pct"/>
                  <w:vAlign w:val="center"/>
                </w:tcPr>
                <w:p w14:paraId="7D1B9DD6">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252</w:t>
                  </w:r>
                </w:p>
              </w:tc>
              <w:tc>
                <w:tcPr>
                  <w:tcW w:w="704" w:type="pct"/>
                  <w:vAlign w:val="center"/>
                </w:tcPr>
                <w:p w14:paraId="6957A28F">
                  <w:pPr>
                    <w:jc w:val="center"/>
                    <w:rPr>
                      <w:color w:val="auto"/>
                      <w:szCs w:val="21"/>
                    </w:rPr>
                  </w:pPr>
                  <w:r>
                    <w:rPr>
                      <w:rFonts w:hint="eastAsia"/>
                      <w:color w:val="auto"/>
                      <w:szCs w:val="21"/>
                    </w:rPr>
                    <w:t>5</w:t>
                  </w:r>
                </w:p>
              </w:tc>
              <w:tc>
                <w:tcPr>
                  <w:tcW w:w="705" w:type="pct"/>
                  <w:vAlign w:val="center"/>
                </w:tcPr>
                <w:p w14:paraId="6204357E">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36</w:t>
                  </w:r>
                </w:p>
              </w:tc>
            </w:tr>
          </w:tbl>
          <w:p w14:paraId="4A11FFB8">
            <w:pPr>
              <w:spacing w:line="360" w:lineRule="auto"/>
              <w:ind w:firstLine="482" w:firstLineChars="200"/>
              <w:contextualSpacing/>
              <w:jc w:val="left"/>
              <w:rPr>
                <w:b/>
                <w:color w:val="auto"/>
                <w:sz w:val="24"/>
              </w:rPr>
            </w:pPr>
            <w:r>
              <w:rPr>
                <w:rFonts w:hint="eastAsia"/>
                <w:b/>
                <w:color w:val="auto"/>
                <w:sz w:val="24"/>
              </w:rPr>
              <w:t>2、废水环保措施可行性分析</w:t>
            </w:r>
          </w:p>
          <w:p w14:paraId="2F8C19E0">
            <w:pPr>
              <w:adjustRightInd w:val="0"/>
              <w:spacing w:line="360" w:lineRule="auto"/>
              <w:ind w:firstLine="480" w:firstLineChars="200"/>
              <w:jc w:val="left"/>
              <w:rPr>
                <w:snapToGrid w:val="0"/>
                <w:color w:val="auto"/>
                <w:kern w:val="0"/>
                <w:sz w:val="24"/>
              </w:rPr>
            </w:pPr>
            <w:r>
              <w:rPr>
                <w:rFonts w:hint="eastAsia"/>
                <w:snapToGrid w:val="0"/>
                <w:color w:val="auto"/>
                <w:kern w:val="0"/>
                <w:sz w:val="24"/>
              </w:rPr>
              <w:t>（1）水污染控制和水环境影响减缓措施有效性分析</w:t>
            </w:r>
          </w:p>
          <w:p w14:paraId="2CC96CA9">
            <w:pPr>
              <w:pStyle w:val="57"/>
              <w:spacing w:line="360" w:lineRule="auto"/>
              <w:ind w:firstLine="480" w:firstLineChars="200"/>
              <w:jc w:val="both"/>
              <w:rPr>
                <w:b w:val="0"/>
                <w:bCs w:val="0"/>
                <w:color w:val="002DC7"/>
              </w:rPr>
            </w:pPr>
            <w:r>
              <w:rPr>
                <w:b w:val="0"/>
                <w:bCs w:val="0"/>
                <w:color w:val="auto"/>
              </w:rPr>
              <w:t>本项目外排废水为职工生活污水。污水总产生量为</w:t>
            </w:r>
            <w:r>
              <w:rPr>
                <w:rFonts w:hint="eastAsia"/>
                <w:b w:val="0"/>
                <w:bCs w:val="0"/>
                <w:color w:val="auto"/>
                <w:lang w:val="en-US" w:eastAsia="zh-CN"/>
              </w:rPr>
              <w:t>2.4</w:t>
            </w:r>
            <w:r>
              <w:rPr>
                <w:b w:val="0"/>
                <w:bCs w:val="0"/>
                <w:color w:val="auto"/>
              </w:rPr>
              <w:t>m</w:t>
            </w:r>
            <w:r>
              <w:rPr>
                <w:b w:val="0"/>
                <w:bCs w:val="0"/>
                <w:color w:val="auto"/>
                <w:vertAlign w:val="superscript"/>
              </w:rPr>
              <w:t>3</w:t>
            </w:r>
            <w:r>
              <w:rPr>
                <w:b w:val="0"/>
                <w:bCs w:val="0"/>
                <w:color w:val="auto"/>
              </w:rPr>
              <w:t>/d（</w:t>
            </w:r>
            <w:r>
              <w:rPr>
                <w:rFonts w:hint="eastAsia"/>
                <w:b w:val="0"/>
                <w:bCs w:val="0"/>
                <w:color w:val="auto"/>
                <w:lang w:val="en-US" w:eastAsia="zh-CN"/>
              </w:rPr>
              <w:t>720</w:t>
            </w:r>
            <w:r>
              <w:rPr>
                <w:b w:val="0"/>
                <w:bCs w:val="0"/>
                <w:color w:val="auto"/>
              </w:rPr>
              <w:t>m</w:t>
            </w:r>
            <w:r>
              <w:rPr>
                <w:b w:val="0"/>
                <w:bCs w:val="0"/>
                <w:color w:val="auto"/>
                <w:vertAlign w:val="superscript"/>
              </w:rPr>
              <w:t>3</w:t>
            </w:r>
            <w:r>
              <w:rPr>
                <w:b w:val="0"/>
                <w:bCs w:val="0"/>
                <w:color w:val="auto"/>
              </w:rPr>
              <w:t>/a）。项目职工生活污水</w:t>
            </w:r>
            <w:r>
              <w:rPr>
                <w:rFonts w:hint="eastAsia"/>
                <w:b w:val="0"/>
                <w:bCs w:val="0"/>
                <w:color w:val="auto"/>
              </w:rPr>
              <w:t>经</w:t>
            </w:r>
            <w:r>
              <w:rPr>
                <w:b w:val="0"/>
                <w:bCs w:val="0"/>
                <w:color w:val="auto"/>
              </w:rPr>
              <w:t>污水管网</w:t>
            </w:r>
            <w:r>
              <w:rPr>
                <w:rFonts w:hint="eastAsia"/>
                <w:b w:val="0"/>
                <w:bCs w:val="0"/>
                <w:color w:val="auto"/>
              </w:rPr>
              <w:t>接管至</w:t>
            </w:r>
            <w:r>
              <w:rPr>
                <w:rFonts w:hint="default" w:ascii="Times New Roman" w:hAnsi="Times New Roman" w:cs="Times New Roman"/>
                <w:b w:val="0"/>
                <w:bCs w:val="0"/>
                <w:color w:val="auto"/>
                <w:sz w:val="24"/>
                <w:szCs w:val="24"/>
                <w:highlight w:val="none"/>
                <w:lang w:val="en-US" w:eastAsia="zh-CN"/>
              </w:rPr>
              <w:t>淮南经济</w:t>
            </w:r>
            <w:r>
              <w:rPr>
                <w:rFonts w:hint="default" w:ascii="Times New Roman" w:hAnsi="Times New Roman" w:cs="Times New Roman"/>
                <w:b w:val="0"/>
                <w:bCs w:val="0"/>
                <w:color w:val="auto"/>
                <w:sz w:val="24"/>
                <w:szCs w:val="24"/>
                <w:highlight w:val="none"/>
              </w:rPr>
              <w:t>开发区污水处理厂</w:t>
            </w:r>
            <w:r>
              <w:rPr>
                <w:rFonts w:hint="eastAsia"/>
                <w:b w:val="0"/>
                <w:bCs w:val="0"/>
                <w:color w:val="auto"/>
              </w:rPr>
              <w:t>，经</w:t>
            </w:r>
            <w:r>
              <w:rPr>
                <w:rFonts w:hint="default" w:ascii="Times New Roman" w:hAnsi="Times New Roman" w:cs="Times New Roman"/>
                <w:b w:val="0"/>
                <w:bCs w:val="0"/>
                <w:color w:val="auto"/>
                <w:sz w:val="24"/>
                <w:szCs w:val="24"/>
                <w:highlight w:val="none"/>
                <w:lang w:val="en-US" w:eastAsia="zh-CN"/>
              </w:rPr>
              <w:t>淮南经济</w:t>
            </w:r>
            <w:r>
              <w:rPr>
                <w:rFonts w:hint="default" w:ascii="Times New Roman" w:hAnsi="Times New Roman" w:cs="Times New Roman"/>
                <w:b w:val="0"/>
                <w:bCs w:val="0"/>
                <w:color w:val="auto"/>
                <w:sz w:val="24"/>
                <w:szCs w:val="24"/>
                <w:highlight w:val="none"/>
              </w:rPr>
              <w:t>开发区污水处理厂</w:t>
            </w:r>
            <w:r>
              <w:rPr>
                <w:b w:val="0"/>
                <w:bCs w:val="0"/>
                <w:color w:val="auto"/>
              </w:rPr>
              <w:t>集中处理达标后，流入</w:t>
            </w:r>
            <w:r>
              <w:rPr>
                <w:rFonts w:hint="eastAsia"/>
                <w:b w:val="0"/>
                <w:bCs w:val="0"/>
                <w:color w:val="auto"/>
                <w:lang w:val="en-US" w:eastAsia="zh-CN"/>
              </w:rPr>
              <w:t>淮</w:t>
            </w:r>
            <w:r>
              <w:rPr>
                <w:b w:val="0"/>
                <w:bCs w:val="0"/>
                <w:color w:val="auto"/>
              </w:rPr>
              <w:t>河。</w:t>
            </w:r>
            <w:r>
              <w:rPr>
                <w:b w:val="0"/>
                <w:bCs w:val="0"/>
                <w:snapToGrid w:val="0"/>
                <w:color w:val="auto"/>
              </w:rPr>
              <w:t>水污染控制和水环境影响减缓措施有效。</w:t>
            </w:r>
          </w:p>
          <w:p w14:paraId="465A5168">
            <w:pPr>
              <w:pStyle w:val="57"/>
              <w:adjustRightInd/>
              <w:spacing w:line="360" w:lineRule="auto"/>
              <w:ind w:firstLine="482" w:firstLineChars="200"/>
              <w:jc w:val="both"/>
              <w:rPr>
                <w:color w:val="auto"/>
              </w:rPr>
            </w:pPr>
            <w:r>
              <w:rPr>
                <w:rFonts w:hint="eastAsia"/>
                <w:color w:val="auto"/>
              </w:rPr>
              <w:t>（2）接管可行性分析</w:t>
            </w:r>
          </w:p>
          <w:p w14:paraId="11F1DD99">
            <w:pPr>
              <w:pStyle w:val="57"/>
              <w:spacing w:line="360" w:lineRule="auto"/>
              <w:ind w:firstLine="480" w:firstLineChars="200"/>
              <w:jc w:val="both"/>
              <w:rPr>
                <w:b w:val="0"/>
                <w:bCs w:val="0"/>
                <w:color w:val="auto"/>
              </w:rPr>
            </w:pPr>
            <w:r>
              <w:rPr>
                <w:b w:val="0"/>
                <w:bCs w:val="0"/>
                <w:color w:val="auto"/>
                <w:highlight w:val="none"/>
              </w:rPr>
              <w:t>淮南经济技术开发区污水处理厂服务范围主要为整个淮南经济技术开发区的工业废水和生活污水及大通区的部分工业废水和生活污水</w:t>
            </w:r>
            <w:r>
              <w:rPr>
                <w:rFonts w:hint="eastAsia"/>
                <w:b w:val="0"/>
                <w:bCs w:val="0"/>
                <w:color w:val="auto"/>
                <w:highlight w:val="none"/>
                <w:lang w:eastAsia="zh-CN"/>
              </w:rPr>
              <w:t>（</w:t>
            </w:r>
            <w:r>
              <w:rPr>
                <w:b w:val="0"/>
                <w:bCs w:val="0"/>
                <w:color w:val="auto"/>
                <w:highlight w:val="none"/>
              </w:rPr>
              <w:t>大通区的废水占处理总量的10%左右</w:t>
            </w:r>
            <w:r>
              <w:rPr>
                <w:rFonts w:hint="eastAsia"/>
                <w:b w:val="0"/>
                <w:bCs w:val="0"/>
                <w:color w:val="auto"/>
                <w:highlight w:val="none"/>
                <w:lang w:eastAsia="zh-CN"/>
              </w:rPr>
              <w:t>）</w:t>
            </w:r>
            <w:r>
              <w:rPr>
                <w:rFonts w:hint="eastAsia"/>
                <w:b w:val="0"/>
                <w:bCs w:val="0"/>
                <w:color w:val="auto"/>
              </w:rPr>
              <w:t>。</w:t>
            </w:r>
          </w:p>
          <w:p w14:paraId="06CEEFC2">
            <w:pPr>
              <w:pStyle w:val="57"/>
              <w:spacing w:line="360" w:lineRule="auto"/>
              <w:ind w:firstLine="480" w:firstLineChars="200"/>
              <w:jc w:val="both"/>
              <w:rPr>
                <w:b w:val="0"/>
                <w:bCs w:val="0"/>
                <w:color w:val="auto"/>
              </w:rPr>
            </w:pPr>
            <w:r>
              <w:rPr>
                <w:rFonts w:hint="eastAsia"/>
                <w:b w:val="0"/>
                <w:bCs w:val="0"/>
                <w:color w:val="auto"/>
              </w:rPr>
              <w:t>2.</w:t>
            </w:r>
            <w:r>
              <w:rPr>
                <w:rFonts w:hint="eastAsia" w:ascii="宋体" w:hAnsi="宋体"/>
                <w:b w:val="0"/>
                <w:bCs w:val="0"/>
                <w:color w:val="auto"/>
              </w:rPr>
              <w:t>处理规模：</w:t>
            </w:r>
            <w:r>
              <w:rPr>
                <w:b w:val="0"/>
                <w:bCs w:val="0"/>
                <w:color w:val="auto"/>
                <w:highlight w:val="none"/>
              </w:rPr>
              <w:t>淮南经济技术开发区污水处理厂处理规模为30000m</w:t>
            </w:r>
            <w:r>
              <w:rPr>
                <w:b w:val="0"/>
                <w:bCs w:val="0"/>
                <w:color w:val="auto"/>
                <w:highlight w:val="none"/>
                <w:vertAlign w:val="superscript"/>
              </w:rPr>
              <w:t>3</w:t>
            </w:r>
            <w:r>
              <w:rPr>
                <w:b w:val="0"/>
                <w:bCs w:val="0"/>
                <w:color w:val="auto"/>
                <w:highlight w:val="none"/>
              </w:rPr>
              <w:t>/d的工业污水处理厂</w:t>
            </w:r>
            <w:r>
              <w:rPr>
                <w:rFonts w:hint="eastAsia"/>
                <w:b w:val="0"/>
                <w:bCs w:val="0"/>
                <w:color w:val="auto"/>
              </w:rPr>
              <w:t>，项目生活废水可以接管入</w:t>
            </w:r>
            <w:r>
              <w:rPr>
                <w:b w:val="0"/>
                <w:bCs w:val="0"/>
                <w:color w:val="auto"/>
                <w:highlight w:val="none"/>
              </w:rPr>
              <w:t>淮南经济技术开发区污水处理厂</w:t>
            </w:r>
            <w:r>
              <w:rPr>
                <w:rFonts w:hint="eastAsia"/>
                <w:b w:val="0"/>
                <w:bCs w:val="0"/>
                <w:color w:val="auto"/>
              </w:rPr>
              <w:t>。且本项目运营期产生的污水水质经预处理后能满足其接管标准，因此从水量和水质上分析，对</w:t>
            </w:r>
            <w:r>
              <w:rPr>
                <w:b w:val="0"/>
                <w:bCs w:val="0"/>
                <w:color w:val="auto"/>
                <w:highlight w:val="none"/>
              </w:rPr>
              <w:t>淮南经济技术开发区污水处理厂</w:t>
            </w:r>
            <w:r>
              <w:rPr>
                <w:rFonts w:hint="eastAsia"/>
                <w:b w:val="0"/>
                <w:bCs w:val="0"/>
                <w:color w:val="auto"/>
              </w:rPr>
              <w:t>的原水水质影响不大，不会降低其对污水的处理效率。</w:t>
            </w:r>
          </w:p>
          <w:p w14:paraId="4BD0894B">
            <w:pPr>
              <w:pStyle w:val="57"/>
              <w:spacing w:line="360" w:lineRule="auto"/>
              <w:ind w:firstLine="480" w:firstLineChars="200"/>
              <w:jc w:val="both"/>
              <w:rPr>
                <w:rFonts w:hint="eastAsia" w:eastAsia="宋体"/>
                <w:b w:val="0"/>
                <w:bCs w:val="0"/>
                <w:color w:val="002DC7"/>
                <w:lang w:eastAsia="zh-CN"/>
              </w:rPr>
            </w:pPr>
            <w:r>
              <w:rPr>
                <w:rFonts w:hint="eastAsia"/>
                <w:b w:val="0"/>
                <w:bCs w:val="0"/>
                <w:color w:val="auto"/>
              </w:rPr>
              <w:t>3.处理工艺：淮南经济技术开发区污水处理厂采用</w:t>
            </w:r>
            <w:r>
              <w:rPr>
                <w:rFonts w:hint="eastAsia"/>
                <w:b w:val="0"/>
                <w:bCs w:val="0"/>
                <w:color w:val="auto"/>
                <w:lang w:eastAsia="zh-CN"/>
              </w:rPr>
              <w:t>“</w:t>
            </w:r>
            <w:r>
              <w:rPr>
                <w:rFonts w:hint="eastAsia"/>
                <w:b w:val="0"/>
                <w:bCs w:val="0"/>
                <w:color w:val="auto"/>
              </w:rPr>
              <w:t>调节+水解酸化+Bardenpho工艺+芬顿氧化+混凝沉淀+复合滤料滤池+次氯酸钠消毒处理工艺</w:t>
            </w:r>
            <w:r>
              <w:rPr>
                <w:rFonts w:hint="eastAsia"/>
                <w:b w:val="0"/>
                <w:bCs w:val="0"/>
                <w:color w:val="auto"/>
                <w:lang w:eastAsia="zh-CN"/>
              </w:rPr>
              <w:t>”</w:t>
            </w:r>
            <w:r>
              <w:rPr>
                <w:rFonts w:hint="eastAsia"/>
                <w:b w:val="0"/>
                <w:bCs w:val="0"/>
                <w:color w:val="auto"/>
              </w:rPr>
              <w:t>。污水处理厂工程工艺流程见下图</w:t>
            </w:r>
            <w:r>
              <w:rPr>
                <w:rFonts w:hint="eastAsia"/>
                <w:b w:val="0"/>
                <w:bCs w:val="0"/>
                <w:color w:val="auto"/>
                <w:lang w:eastAsia="zh-CN"/>
              </w:rPr>
              <w:t>：</w:t>
            </w:r>
          </w:p>
          <w:p w14:paraId="1A2FD558">
            <w:pPr>
              <w:pStyle w:val="57"/>
              <w:tabs>
                <w:tab w:val="left" w:pos="5488"/>
              </w:tabs>
              <w:adjustRightInd/>
              <w:spacing w:line="360" w:lineRule="auto"/>
              <w:ind w:left="0" w:leftChars="0" w:firstLine="0" w:firstLineChars="0"/>
              <w:rPr>
                <w:rFonts w:hint="eastAsia" w:hAnsi="宋体"/>
                <w:color w:val="002DC7"/>
              </w:rPr>
            </w:pPr>
            <w:r>
              <w:rPr>
                <w:color w:val="auto"/>
              </w:rPr>
              <w:drawing>
                <wp:inline distT="0" distB="0" distL="114300" distR="114300">
                  <wp:extent cx="4958080" cy="2881630"/>
                  <wp:effectExtent l="0" t="0" r="13970"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4958080" cy="2881630"/>
                          </a:xfrm>
                          <a:prstGeom prst="rect">
                            <a:avLst/>
                          </a:prstGeom>
                          <a:noFill/>
                          <a:ln>
                            <a:noFill/>
                          </a:ln>
                        </pic:spPr>
                      </pic:pic>
                    </a:graphicData>
                  </a:graphic>
                </wp:inline>
              </w:drawing>
            </w:r>
            <w:r>
              <w:rPr>
                <w:rFonts w:hint="eastAsia" w:hAnsi="宋体"/>
                <w:color w:val="002DC7"/>
              </w:rPr>
              <w:tab/>
            </w:r>
          </w:p>
          <w:p w14:paraId="188D5DFE">
            <w:pPr>
              <w:pStyle w:val="57"/>
              <w:adjustRightInd/>
              <w:spacing w:line="360" w:lineRule="auto"/>
              <w:ind w:left="0" w:leftChars="0" w:firstLine="0" w:firstLineChars="0"/>
              <w:jc w:val="center"/>
              <w:rPr>
                <w:b/>
                <w:bCs/>
                <w:color w:val="auto"/>
              </w:rPr>
            </w:pPr>
            <w:r>
              <w:rPr>
                <w:b/>
                <w:bCs/>
                <w:color w:val="auto"/>
              </w:rPr>
              <w:t>图</w:t>
            </w:r>
            <w:r>
              <w:rPr>
                <w:rFonts w:hint="eastAsia"/>
                <w:b/>
                <w:bCs/>
                <w:color w:val="auto"/>
              </w:rPr>
              <w:t>4-3</w:t>
            </w:r>
            <w:r>
              <w:rPr>
                <w:rFonts w:hint="eastAsia"/>
                <w:b/>
                <w:bCs/>
                <w:color w:val="auto"/>
                <w:lang w:val="en-US" w:eastAsia="zh-CN"/>
              </w:rPr>
              <w:t xml:space="preserve"> 淮南经济技术开发区污水处理厂</w:t>
            </w:r>
            <w:r>
              <w:rPr>
                <w:b/>
                <w:bCs/>
                <w:color w:val="auto"/>
              </w:rPr>
              <w:t>工艺流程图</w:t>
            </w:r>
          </w:p>
          <w:p w14:paraId="025B85C9">
            <w:pPr>
              <w:spacing w:line="360" w:lineRule="auto"/>
              <w:ind w:firstLine="482" w:firstLineChars="200"/>
              <w:jc w:val="left"/>
              <w:rPr>
                <w:b/>
                <w:snapToGrid w:val="0"/>
                <w:color w:val="auto"/>
                <w:kern w:val="0"/>
                <w:sz w:val="24"/>
              </w:rPr>
            </w:pPr>
            <w:r>
              <w:rPr>
                <w:rFonts w:hint="eastAsia"/>
                <w:b/>
                <w:snapToGrid w:val="0"/>
                <w:color w:val="auto"/>
                <w:kern w:val="0"/>
                <w:sz w:val="24"/>
              </w:rPr>
              <w:t>3、废水监测计划</w:t>
            </w:r>
          </w:p>
          <w:p w14:paraId="0A2E4F72">
            <w:pPr>
              <w:bidi w:val="0"/>
              <w:spacing w:line="360" w:lineRule="auto"/>
              <w:ind w:firstLine="480" w:firstLineChars="200"/>
              <w:rPr>
                <w:sz w:val="24"/>
                <w:szCs w:val="28"/>
              </w:rPr>
            </w:pPr>
            <w:r>
              <w:rPr>
                <w:rFonts w:hint="eastAsia"/>
                <w:sz w:val="24"/>
                <w:szCs w:val="28"/>
              </w:rPr>
              <w:t>根据</w:t>
            </w:r>
            <w:r>
              <w:rPr>
                <w:rFonts w:hint="eastAsia"/>
                <w:sz w:val="24"/>
                <w:szCs w:val="28"/>
                <w:lang w:eastAsia="zh-CN"/>
              </w:rPr>
              <w:t>《</w:t>
            </w:r>
            <w:r>
              <w:rPr>
                <w:rFonts w:hint="eastAsia"/>
                <w:sz w:val="24"/>
                <w:szCs w:val="28"/>
              </w:rPr>
              <w:t>排污单位自行监测技术指南总则</w:t>
            </w:r>
            <w:r>
              <w:rPr>
                <w:rFonts w:hint="eastAsia"/>
                <w:sz w:val="24"/>
                <w:szCs w:val="28"/>
                <w:lang w:eastAsia="zh-CN"/>
              </w:rPr>
              <w:t>》（</w:t>
            </w:r>
            <w:r>
              <w:rPr>
                <w:rFonts w:hint="eastAsia"/>
                <w:sz w:val="24"/>
                <w:szCs w:val="28"/>
              </w:rPr>
              <w:t>HJ 819-2017</w:t>
            </w:r>
            <w:r>
              <w:rPr>
                <w:rFonts w:hint="eastAsia"/>
                <w:sz w:val="24"/>
                <w:szCs w:val="28"/>
                <w:lang w:eastAsia="zh-CN"/>
              </w:rPr>
              <w:t>）、《</w:t>
            </w:r>
            <w:r>
              <w:rPr>
                <w:rFonts w:hint="eastAsia"/>
                <w:sz w:val="24"/>
                <w:szCs w:val="28"/>
              </w:rPr>
              <w:t>排污单位自行监测技术指南水泥工业</w:t>
            </w:r>
            <w:r>
              <w:rPr>
                <w:rFonts w:hint="eastAsia"/>
                <w:sz w:val="24"/>
                <w:szCs w:val="28"/>
                <w:lang w:eastAsia="zh-CN"/>
              </w:rPr>
              <w:t>（</w:t>
            </w:r>
            <w:r>
              <w:rPr>
                <w:rFonts w:hint="eastAsia"/>
                <w:sz w:val="24"/>
                <w:szCs w:val="28"/>
              </w:rPr>
              <w:t>HJ848-2017</w:t>
            </w:r>
            <w:r>
              <w:rPr>
                <w:rFonts w:hint="eastAsia"/>
                <w:sz w:val="24"/>
                <w:szCs w:val="28"/>
                <w:lang w:eastAsia="zh-CN"/>
              </w:rPr>
              <w:t>）</w:t>
            </w:r>
            <w:r>
              <w:rPr>
                <w:rFonts w:hint="eastAsia"/>
                <w:sz w:val="24"/>
                <w:szCs w:val="28"/>
                <w:lang w:val="en-US" w:eastAsia="zh-CN"/>
              </w:rPr>
              <w:t>等，</w:t>
            </w:r>
            <w:r>
              <w:rPr>
                <w:rFonts w:hint="eastAsia"/>
                <w:sz w:val="24"/>
                <w:szCs w:val="28"/>
              </w:rPr>
              <w:t>本项目废水污染</w:t>
            </w:r>
            <w:r>
              <w:rPr>
                <w:rFonts w:hint="eastAsia"/>
                <w:sz w:val="24"/>
                <w:szCs w:val="28"/>
                <w:lang w:val="en-US" w:eastAsia="zh-CN"/>
              </w:rPr>
              <w:t>污染物</w:t>
            </w:r>
            <w:r>
              <w:rPr>
                <w:rFonts w:hint="eastAsia"/>
                <w:sz w:val="24"/>
                <w:szCs w:val="28"/>
              </w:rPr>
              <w:t>监测项目及监测频次见下表。</w:t>
            </w:r>
          </w:p>
          <w:p w14:paraId="2DAA8449">
            <w:pPr>
              <w:pStyle w:val="247"/>
              <w:rPr>
                <w:sz w:val="24"/>
                <w:szCs w:val="28"/>
              </w:rPr>
            </w:pPr>
            <w:r>
              <w:rPr>
                <w:sz w:val="24"/>
                <w:szCs w:val="28"/>
              </w:rPr>
              <w:t>表</w:t>
            </w:r>
            <w:r>
              <w:rPr>
                <w:snapToGrid w:val="0"/>
                <w:sz w:val="24"/>
                <w:szCs w:val="28"/>
                <w:shd w:val="clear" w:color="auto" w:fill="FFFFFF"/>
              </w:rPr>
              <w:t>4</w:t>
            </w:r>
            <w:r>
              <w:rPr>
                <w:rFonts w:eastAsiaTheme="minorEastAsia"/>
                <w:snapToGrid w:val="0"/>
                <w:sz w:val="24"/>
                <w:szCs w:val="28"/>
                <w:shd w:val="clear" w:color="auto" w:fill="FFFFFF"/>
              </w:rPr>
              <w:t>-1</w:t>
            </w:r>
            <w:r>
              <w:rPr>
                <w:rFonts w:hint="eastAsia" w:eastAsiaTheme="minorEastAsia"/>
                <w:snapToGrid w:val="0"/>
                <w:sz w:val="24"/>
                <w:szCs w:val="28"/>
                <w:shd w:val="clear" w:color="auto" w:fill="FFFFFF"/>
                <w:lang w:val="en-US" w:eastAsia="zh-CN"/>
              </w:rPr>
              <w:t>3</w:t>
            </w:r>
            <w:r>
              <w:rPr>
                <w:rFonts w:hint="eastAsia"/>
                <w:sz w:val="24"/>
                <w:szCs w:val="28"/>
              </w:rPr>
              <w:t xml:space="preserve"> 本项目</w:t>
            </w:r>
            <w:r>
              <w:rPr>
                <w:sz w:val="24"/>
                <w:szCs w:val="28"/>
              </w:rPr>
              <w:t>监测计划一览表</w:t>
            </w:r>
          </w:p>
          <w:tbl>
            <w:tblPr>
              <w:tblStyle w:val="40"/>
              <w:tblpPr w:leftFromText="180" w:rightFromText="180" w:vertAnchor="text" w:tblpXSpec="center" w:tblpY="1"/>
              <w:tblOverlap w:val="never"/>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1"/>
              <w:gridCol w:w="961"/>
              <w:gridCol w:w="4254"/>
              <w:gridCol w:w="915"/>
              <w:gridCol w:w="1130"/>
            </w:tblGrid>
            <w:tr w14:paraId="1E9A98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192" w:type="pct"/>
                  <w:gridSpan w:val="2"/>
                  <w:tcBorders>
                    <w:tl2br w:val="nil"/>
                    <w:tr2bl w:val="nil"/>
                  </w:tcBorders>
                  <w:vAlign w:val="center"/>
                </w:tcPr>
                <w:p w14:paraId="01A19D05">
                  <w:pPr>
                    <w:widowControl/>
                    <w:tabs>
                      <w:tab w:val="left" w:pos="560"/>
                    </w:tabs>
                    <w:snapToGrid w:val="0"/>
                    <w:spacing w:after="0"/>
                    <w:jc w:val="center"/>
                    <w:rPr>
                      <w:b/>
                      <w:bCs/>
                      <w:kern w:val="2"/>
                      <w:sz w:val="21"/>
                      <w:szCs w:val="21"/>
                    </w:rPr>
                  </w:pPr>
                  <w:r>
                    <w:rPr>
                      <w:b/>
                      <w:bCs/>
                      <w:kern w:val="2"/>
                      <w:sz w:val="21"/>
                      <w:szCs w:val="21"/>
                    </w:rPr>
                    <w:t>监测点位</w:t>
                  </w:r>
                </w:p>
              </w:tc>
              <w:tc>
                <w:tcPr>
                  <w:tcW w:w="2571" w:type="pct"/>
                  <w:tcBorders>
                    <w:tl2br w:val="nil"/>
                    <w:tr2bl w:val="nil"/>
                  </w:tcBorders>
                  <w:vAlign w:val="center"/>
                </w:tcPr>
                <w:p w14:paraId="30117AA5">
                  <w:pPr>
                    <w:widowControl/>
                    <w:tabs>
                      <w:tab w:val="left" w:pos="560"/>
                    </w:tabs>
                    <w:snapToGrid w:val="0"/>
                    <w:spacing w:after="0"/>
                    <w:jc w:val="center"/>
                    <w:rPr>
                      <w:b/>
                      <w:bCs/>
                      <w:kern w:val="2"/>
                      <w:sz w:val="21"/>
                      <w:szCs w:val="21"/>
                    </w:rPr>
                  </w:pPr>
                  <w:r>
                    <w:rPr>
                      <w:b/>
                      <w:bCs/>
                      <w:kern w:val="2"/>
                      <w:sz w:val="21"/>
                      <w:szCs w:val="21"/>
                    </w:rPr>
                    <w:t>监测因子</w:t>
                  </w:r>
                </w:p>
              </w:tc>
              <w:tc>
                <w:tcPr>
                  <w:tcW w:w="553" w:type="pct"/>
                  <w:tcBorders>
                    <w:tl2br w:val="nil"/>
                    <w:tr2bl w:val="nil"/>
                  </w:tcBorders>
                  <w:vAlign w:val="center"/>
                </w:tcPr>
                <w:p w14:paraId="299ADDC4">
                  <w:pPr>
                    <w:widowControl/>
                    <w:tabs>
                      <w:tab w:val="left" w:pos="560"/>
                    </w:tabs>
                    <w:snapToGrid w:val="0"/>
                    <w:spacing w:after="0"/>
                    <w:jc w:val="center"/>
                    <w:rPr>
                      <w:b/>
                      <w:bCs/>
                      <w:kern w:val="2"/>
                      <w:sz w:val="21"/>
                      <w:szCs w:val="21"/>
                    </w:rPr>
                  </w:pPr>
                  <w:r>
                    <w:rPr>
                      <w:b/>
                      <w:bCs/>
                      <w:kern w:val="2"/>
                      <w:sz w:val="21"/>
                      <w:szCs w:val="21"/>
                    </w:rPr>
                    <w:t>监测频率</w:t>
                  </w:r>
                </w:p>
              </w:tc>
              <w:tc>
                <w:tcPr>
                  <w:tcW w:w="682" w:type="pct"/>
                  <w:tcBorders>
                    <w:tl2br w:val="nil"/>
                    <w:tr2bl w:val="nil"/>
                  </w:tcBorders>
                  <w:vAlign w:val="center"/>
                </w:tcPr>
                <w:p w14:paraId="353A74AB">
                  <w:pPr>
                    <w:widowControl/>
                    <w:tabs>
                      <w:tab w:val="left" w:pos="560"/>
                    </w:tabs>
                    <w:snapToGrid w:val="0"/>
                    <w:spacing w:after="0"/>
                    <w:jc w:val="center"/>
                    <w:rPr>
                      <w:b/>
                      <w:bCs/>
                      <w:kern w:val="2"/>
                      <w:sz w:val="21"/>
                      <w:szCs w:val="21"/>
                    </w:rPr>
                  </w:pPr>
                  <w:r>
                    <w:rPr>
                      <w:b/>
                      <w:bCs/>
                      <w:kern w:val="2"/>
                      <w:sz w:val="21"/>
                      <w:szCs w:val="21"/>
                    </w:rPr>
                    <w:t>监测点</w:t>
                  </w:r>
                </w:p>
              </w:tc>
            </w:tr>
            <w:tr w14:paraId="2F135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11" w:type="pct"/>
                  <w:tcBorders>
                    <w:tl2br w:val="nil"/>
                    <w:tr2bl w:val="nil"/>
                  </w:tcBorders>
                  <w:vAlign w:val="center"/>
                </w:tcPr>
                <w:p w14:paraId="2BE2F107">
                  <w:pPr>
                    <w:widowControl/>
                    <w:tabs>
                      <w:tab w:val="left" w:pos="560"/>
                    </w:tabs>
                    <w:snapToGrid w:val="0"/>
                    <w:spacing w:after="0"/>
                    <w:jc w:val="center"/>
                    <w:rPr>
                      <w:kern w:val="2"/>
                      <w:sz w:val="21"/>
                      <w:szCs w:val="21"/>
                    </w:rPr>
                  </w:pPr>
                  <w:r>
                    <w:rPr>
                      <w:rFonts w:hint="eastAsia"/>
                      <w:kern w:val="2"/>
                      <w:sz w:val="21"/>
                      <w:szCs w:val="21"/>
                    </w:rPr>
                    <w:t>废水排口</w:t>
                  </w:r>
                </w:p>
              </w:tc>
              <w:tc>
                <w:tcPr>
                  <w:tcW w:w="581" w:type="pct"/>
                  <w:tcBorders>
                    <w:tl2br w:val="nil"/>
                    <w:tr2bl w:val="nil"/>
                  </w:tcBorders>
                  <w:vAlign w:val="center"/>
                </w:tcPr>
                <w:p w14:paraId="3C45719F">
                  <w:pPr>
                    <w:widowControl/>
                    <w:tabs>
                      <w:tab w:val="left" w:pos="560"/>
                    </w:tabs>
                    <w:snapToGrid w:val="0"/>
                    <w:spacing w:after="0"/>
                    <w:jc w:val="center"/>
                    <w:rPr>
                      <w:kern w:val="2"/>
                      <w:sz w:val="21"/>
                      <w:szCs w:val="21"/>
                    </w:rPr>
                  </w:pPr>
                  <w:r>
                    <w:rPr>
                      <w:rFonts w:hint="eastAsia"/>
                      <w:kern w:val="2"/>
                      <w:sz w:val="21"/>
                      <w:szCs w:val="21"/>
                    </w:rPr>
                    <w:t>DW001</w:t>
                  </w:r>
                </w:p>
              </w:tc>
              <w:tc>
                <w:tcPr>
                  <w:tcW w:w="2571" w:type="pct"/>
                  <w:tcBorders>
                    <w:tl2br w:val="nil"/>
                    <w:tr2bl w:val="nil"/>
                  </w:tcBorders>
                  <w:vAlign w:val="center"/>
                </w:tcPr>
                <w:p w14:paraId="4F24BB50">
                  <w:pPr>
                    <w:adjustRightInd w:val="0"/>
                    <w:spacing w:after="0"/>
                    <w:jc w:val="center"/>
                    <w:textAlignment w:val="baseline"/>
                    <w:rPr>
                      <w:rFonts w:hint="default" w:eastAsia="宋体"/>
                      <w:kern w:val="2"/>
                      <w:sz w:val="21"/>
                      <w:szCs w:val="21"/>
                      <w:lang w:val="en-US" w:eastAsia="zh-CN"/>
                    </w:rPr>
                  </w:pPr>
                  <w:r>
                    <w:rPr>
                      <w:kern w:val="2"/>
                      <w:sz w:val="21"/>
                      <w:szCs w:val="21"/>
                    </w:rPr>
                    <w:t>pH、</w:t>
                  </w:r>
                  <w:r>
                    <w:rPr>
                      <w:rFonts w:hint="eastAsia"/>
                      <w:bCs/>
                      <w:color w:val="000000"/>
                      <w:sz w:val="21"/>
                      <w:szCs w:val="21"/>
                    </w:rPr>
                    <w:t>COD、氨氮、BOD</w:t>
                  </w:r>
                  <w:r>
                    <w:rPr>
                      <w:rFonts w:hint="eastAsia"/>
                      <w:bCs/>
                      <w:color w:val="000000"/>
                      <w:sz w:val="21"/>
                      <w:szCs w:val="21"/>
                      <w:vertAlign w:val="subscript"/>
                    </w:rPr>
                    <w:t>5</w:t>
                  </w:r>
                  <w:r>
                    <w:rPr>
                      <w:rFonts w:hint="eastAsia"/>
                      <w:bCs/>
                      <w:color w:val="000000"/>
                      <w:sz w:val="21"/>
                      <w:szCs w:val="21"/>
                      <w:vertAlign w:val="baseline"/>
                      <w:lang w:eastAsia="zh-CN"/>
                    </w:rPr>
                    <w:t>、</w:t>
                  </w:r>
                  <w:r>
                    <w:rPr>
                      <w:rFonts w:hint="eastAsia"/>
                      <w:bCs/>
                      <w:color w:val="000000"/>
                      <w:sz w:val="21"/>
                      <w:szCs w:val="21"/>
                      <w:vertAlign w:val="baseline"/>
                      <w:lang w:val="en-US" w:eastAsia="zh-CN"/>
                    </w:rPr>
                    <w:t>SS</w:t>
                  </w:r>
                </w:p>
              </w:tc>
              <w:tc>
                <w:tcPr>
                  <w:tcW w:w="553" w:type="pct"/>
                  <w:tcBorders>
                    <w:tl2br w:val="nil"/>
                    <w:tr2bl w:val="nil"/>
                  </w:tcBorders>
                  <w:vAlign w:val="center"/>
                </w:tcPr>
                <w:p w14:paraId="4F32C66D">
                  <w:pPr>
                    <w:widowControl/>
                    <w:tabs>
                      <w:tab w:val="left" w:pos="560"/>
                    </w:tabs>
                    <w:snapToGrid w:val="0"/>
                    <w:spacing w:after="0"/>
                    <w:jc w:val="center"/>
                    <w:rPr>
                      <w:kern w:val="2"/>
                      <w:sz w:val="21"/>
                      <w:szCs w:val="21"/>
                    </w:rPr>
                  </w:pPr>
                  <w:r>
                    <w:rPr>
                      <w:rFonts w:hint="eastAsia"/>
                      <w:kern w:val="2"/>
                      <w:sz w:val="21"/>
                      <w:szCs w:val="21"/>
                    </w:rPr>
                    <w:t>1次/</w:t>
                  </w:r>
                  <w:r>
                    <w:rPr>
                      <w:rFonts w:hint="eastAsia"/>
                      <w:kern w:val="2"/>
                      <w:sz w:val="21"/>
                      <w:szCs w:val="21"/>
                      <w:lang w:val="en-US" w:eastAsia="zh-CN"/>
                    </w:rPr>
                    <w:t>半</w:t>
                  </w:r>
                  <w:r>
                    <w:rPr>
                      <w:rFonts w:hint="eastAsia"/>
                      <w:kern w:val="2"/>
                      <w:sz w:val="21"/>
                      <w:szCs w:val="21"/>
                    </w:rPr>
                    <w:t>年</w:t>
                  </w:r>
                </w:p>
              </w:tc>
              <w:tc>
                <w:tcPr>
                  <w:tcW w:w="682" w:type="pct"/>
                  <w:tcBorders>
                    <w:tl2br w:val="nil"/>
                    <w:tr2bl w:val="nil"/>
                  </w:tcBorders>
                  <w:vAlign w:val="center"/>
                </w:tcPr>
                <w:p w14:paraId="69F31FAF">
                  <w:pPr>
                    <w:widowControl/>
                    <w:tabs>
                      <w:tab w:val="left" w:pos="560"/>
                    </w:tabs>
                    <w:snapToGrid w:val="0"/>
                    <w:spacing w:after="0"/>
                    <w:jc w:val="center"/>
                    <w:rPr>
                      <w:kern w:val="2"/>
                      <w:sz w:val="21"/>
                      <w:szCs w:val="21"/>
                    </w:rPr>
                  </w:pPr>
                  <w:r>
                    <w:rPr>
                      <w:rFonts w:hint="eastAsia"/>
                      <w:kern w:val="2"/>
                      <w:sz w:val="21"/>
                      <w:szCs w:val="21"/>
                    </w:rPr>
                    <w:t>废水排放口</w:t>
                  </w:r>
                </w:p>
              </w:tc>
            </w:tr>
          </w:tbl>
          <w:p w14:paraId="1401F2E7">
            <w:pPr>
              <w:spacing w:line="360" w:lineRule="auto"/>
              <w:ind w:firstLine="482" w:firstLineChars="200"/>
              <w:jc w:val="left"/>
              <w:rPr>
                <w:b/>
                <w:snapToGrid w:val="0"/>
                <w:color w:val="auto"/>
                <w:kern w:val="0"/>
                <w:sz w:val="24"/>
              </w:rPr>
            </w:pPr>
            <w:r>
              <w:rPr>
                <w:rFonts w:hint="eastAsia"/>
                <w:b/>
                <w:snapToGrid w:val="0"/>
                <w:color w:val="auto"/>
                <w:kern w:val="0"/>
                <w:sz w:val="24"/>
              </w:rPr>
              <w:t>三、</w:t>
            </w:r>
            <w:r>
              <w:rPr>
                <w:rFonts w:hAnsi="宋体"/>
                <w:b/>
                <w:snapToGrid w:val="0"/>
                <w:color w:val="auto"/>
                <w:kern w:val="0"/>
                <w:sz w:val="24"/>
              </w:rPr>
              <w:t>噪声环境保护措施</w:t>
            </w:r>
          </w:p>
          <w:p w14:paraId="29D04C67">
            <w:pPr>
              <w:adjustRightInd w:val="0"/>
              <w:spacing w:line="360" w:lineRule="auto"/>
              <w:ind w:firstLine="482" w:firstLineChars="200"/>
              <w:rPr>
                <w:rFonts w:hint="eastAsia" w:hAnsi="宋体"/>
                <w:b/>
                <w:bCs/>
                <w:color w:val="auto"/>
                <w:sz w:val="24"/>
              </w:rPr>
            </w:pPr>
            <w:r>
              <w:rPr>
                <w:rFonts w:hint="eastAsia" w:hAnsi="宋体"/>
                <w:b/>
                <w:bCs/>
                <w:color w:val="auto"/>
                <w:sz w:val="24"/>
              </w:rPr>
              <w:t>1、噪声源强</w:t>
            </w:r>
          </w:p>
          <w:p w14:paraId="7F9E23A4">
            <w:pPr>
              <w:widowControl/>
              <w:spacing w:line="360" w:lineRule="auto"/>
              <w:ind w:firstLine="480"/>
              <w:outlineLvl w:val="0"/>
              <w:rPr>
                <w:rFonts w:hint="eastAsia" w:hAnsi="宋体"/>
                <w:color w:val="002DC7"/>
                <w:sz w:val="24"/>
              </w:rPr>
            </w:pPr>
            <w:r>
              <w:rPr>
                <w:rFonts w:hint="eastAsia" w:hAnsi="宋体"/>
                <w:color w:val="auto"/>
                <w:sz w:val="24"/>
              </w:rPr>
              <w:t>本项目改建后运营期高噪声设备主要为</w:t>
            </w:r>
            <w:r>
              <w:rPr>
                <w:rFonts w:hint="eastAsia"/>
                <w:color w:val="auto"/>
                <w:kern w:val="0"/>
                <w:sz w:val="24"/>
                <w:szCs w:val="24"/>
                <w:highlight w:val="none"/>
                <w:lang w:val="en-US" w:eastAsia="zh-CN"/>
              </w:rPr>
              <w:t>变频式螺杆空压机、钢丝定尺裁断机、</w:t>
            </w:r>
            <w:r>
              <w:rPr>
                <w:rFonts w:hint="eastAsia" w:hAnsi="宋体"/>
                <w:color w:val="auto"/>
                <w:sz w:val="24"/>
                <w:highlight w:val="none"/>
                <w:lang w:val="en-US" w:eastAsia="zh-CN"/>
              </w:rPr>
              <w:t>配料机</w:t>
            </w:r>
            <w:r>
              <w:rPr>
                <w:rFonts w:hint="eastAsia" w:hAnsi="宋体"/>
                <w:color w:val="auto"/>
                <w:sz w:val="24"/>
                <w:highlight w:val="none"/>
                <w:lang w:eastAsia="zh-CN"/>
              </w:rPr>
              <w:t>、</w:t>
            </w:r>
            <w:r>
              <w:rPr>
                <w:rFonts w:hint="eastAsia" w:hAnsi="宋体"/>
                <w:color w:val="auto"/>
                <w:sz w:val="24"/>
                <w:highlight w:val="none"/>
                <w:lang w:val="en-US" w:eastAsia="zh-CN"/>
              </w:rPr>
              <w:t>搅拌机、</w:t>
            </w:r>
            <w:r>
              <w:rPr>
                <w:rFonts w:hint="eastAsia" w:hAnsi="宋体"/>
                <w:color w:val="auto"/>
                <w:sz w:val="24"/>
              </w:rPr>
              <w:t>风机等设备，其噪声源等效声级在70~</w:t>
            </w:r>
            <w:r>
              <w:rPr>
                <w:rFonts w:hint="eastAsia" w:hAnsi="宋体"/>
                <w:color w:val="auto"/>
                <w:sz w:val="24"/>
                <w:lang w:val="en-US" w:eastAsia="zh-CN"/>
              </w:rPr>
              <w:t>85</w:t>
            </w:r>
            <w:r>
              <w:rPr>
                <w:rFonts w:hint="eastAsia" w:hAnsi="宋体"/>
                <w:color w:val="auto"/>
                <w:sz w:val="24"/>
              </w:rPr>
              <w:t>dB（A）。项目选用低噪声设备，采取基础减振、隔声、消声级加强管理等措施。本评价结合厂区总平面布置，以厂房西、南厂界交汇点为坐标原点（x=0，y=0，z=0），x轴正方向为正东方向，y轴正方向为正北方向。各噪声源的位置坐标点，定位坐标均为建构筑物及设备的中心坐标，布置范围为设备布置的x，y范围坐标值，布置标高为相对原点处的标高。各种产噪设备噪声源强见下表。</w:t>
            </w:r>
          </w:p>
        </w:tc>
      </w:tr>
    </w:tbl>
    <w:p w14:paraId="00A1CB72">
      <w:pPr>
        <w:tabs>
          <w:tab w:val="left" w:pos="1260"/>
        </w:tabs>
        <w:jc w:val="left"/>
        <w:rPr>
          <w:color w:val="002DC7"/>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5139A309">
      <w:pPr>
        <w:widowControl/>
        <w:spacing w:line="360" w:lineRule="auto"/>
        <w:jc w:val="center"/>
        <w:outlineLvl w:val="0"/>
        <w:rPr>
          <w:b/>
          <w:color w:val="auto"/>
          <w:kern w:val="0"/>
          <w:sz w:val="24"/>
          <w:szCs w:val="24"/>
        </w:rPr>
      </w:pPr>
      <w:r>
        <w:rPr>
          <w:b/>
          <w:color w:val="auto"/>
          <w:sz w:val="24"/>
          <w:szCs w:val="24"/>
        </w:rPr>
        <w:t>表4-</w:t>
      </w:r>
      <w:r>
        <w:rPr>
          <w:rFonts w:hint="eastAsia"/>
          <w:b/>
          <w:color w:val="auto"/>
          <w:sz w:val="24"/>
          <w:szCs w:val="24"/>
        </w:rPr>
        <w:t>14</w:t>
      </w:r>
      <w:r>
        <w:rPr>
          <w:b/>
          <w:color w:val="auto"/>
          <w:sz w:val="24"/>
          <w:szCs w:val="24"/>
        </w:rPr>
        <w:t xml:space="preserve">  项目</w:t>
      </w:r>
      <w:r>
        <w:rPr>
          <w:rFonts w:hint="eastAsia"/>
          <w:b/>
          <w:color w:val="auto"/>
          <w:sz w:val="24"/>
          <w:szCs w:val="24"/>
        </w:rPr>
        <w:t>噪声源强调查清单(室外声源)</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66"/>
        <w:gridCol w:w="576"/>
        <w:gridCol w:w="576"/>
        <w:gridCol w:w="576"/>
        <w:gridCol w:w="576"/>
        <w:gridCol w:w="2016"/>
        <w:gridCol w:w="3599"/>
        <w:gridCol w:w="1440"/>
        <w:gridCol w:w="1151"/>
        <w:gridCol w:w="1006"/>
        <w:gridCol w:w="1219"/>
      </w:tblGrid>
      <w:tr w14:paraId="5506D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38" w:type="pct"/>
            <w:vMerge w:val="restart"/>
            <w:vAlign w:val="center"/>
          </w:tcPr>
          <w:p w14:paraId="4B508332">
            <w:pPr>
              <w:pStyle w:val="124"/>
              <w:spacing w:line="276" w:lineRule="auto"/>
              <w:rPr>
                <w:b/>
                <w:bCs/>
                <w:color w:val="auto"/>
                <w:szCs w:val="21"/>
              </w:rPr>
            </w:pPr>
            <w:r>
              <w:rPr>
                <w:rFonts w:hAnsi="宋体"/>
                <w:b/>
                <w:bCs/>
                <w:color w:val="auto"/>
                <w:szCs w:val="21"/>
              </w:rPr>
              <w:t>序号</w:t>
            </w:r>
          </w:p>
        </w:tc>
        <w:tc>
          <w:tcPr>
            <w:tcW w:w="270" w:type="pct"/>
            <w:vMerge w:val="restart"/>
            <w:vAlign w:val="center"/>
          </w:tcPr>
          <w:p w14:paraId="6AC5E76F">
            <w:pPr>
              <w:pStyle w:val="124"/>
              <w:spacing w:line="276" w:lineRule="auto"/>
              <w:rPr>
                <w:b/>
                <w:bCs/>
                <w:color w:val="auto"/>
                <w:szCs w:val="21"/>
              </w:rPr>
            </w:pPr>
            <w:r>
              <w:rPr>
                <w:rFonts w:hint="eastAsia" w:hAnsi="宋体"/>
                <w:b/>
                <w:bCs/>
                <w:color w:val="auto"/>
                <w:szCs w:val="21"/>
              </w:rPr>
              <w:t>声源名称</w:t>
            </w:r>
          </w:p>
        </w:tc>
        <w:tc>
          <w:tcPr>
            <w:tcW w:w="203" w:type="pct"/>
            <w:vMerge w:val="restart"/>
            <w:vAlign w:val="center"/>
          </w:tcPr>
          <w:p w14:paraId="454C7819">
            <w:pPr>
              <w:pStyle w:val="124"/>
              <w:spacing w:line="276" w:lineRule="auto"/>
              <w:rPr>
                <w:b/>
                <w:bCs/>
                <w:color w:val="auto"/>
                <w:szCs w:val="21"/>
              </w:rPr>
            </w:pPr>
            <w:r>
              <w:rPr>
                <w:rFonts w:hint="eastAsia" w:hAnsi="宋体"/>
                <w:b/>
                <w:bCs/>
                <w:color w:val="auto"/>
                <w:szCs w:val="21"/>
              </w:rPr>
              <w:t>数量</w:t>
            </w:r>
          </w:p>
        </w:tc>
        <w:tc>
          <w:tcPr>
            <w:tcW w:w="609" w:type="pct"/>
            <w:gridSpan w:val="3"/>
            <w:vAlign w:val="center"/>
          </w:tcPr>
          <w:p w14:paraId="21A82AC7">
            <w:pPr>
              <w:pStyle w:val="124"/>
              <w:spacing w:line="276" w:lineRule="auto"/>
              <w:rPr>
                <w:b/>
                <w:bCs/>
                <w:color w:val="auto"/>
                <w:szCs w:val="21"/>
              </w:rPr>
            </w:pPr>
            <w:r>
              <w:rPr>
                <w:rFonts w:hint="eastAsia" w:hAnsi="宋体"/>
                <w:b/>
                <w:bCs/>
                <w:color w:val="auto"/>
                <w:szCs w:val="21"/>
              </w:rPr>
              <w:t>空间相对位置</w:t>
            </w:r>
          </w:p>
        </w:tc>
        <w:tc>
          <w:tcPr>
            <w:tcW w:w="711" w:type="pct"/>
            <w:vAlign w:val="center"/>
          </w:tcPr>
          <w:p w14:paraId="4B7DEA03">
            <w:pPr>
              <w:pStyle w:val="124"/>
              <w:spacing w:line="276" w:lineRule="auto"/>
              <w:rPr>
                <w:b/>
                <w:color w:val="auto"/>
                <w:szCs w:val="21"/>
              </w:rPr>
            </w:pPr>
            <w:r>
              <w:rPr>
                <w:rFonts w:hint="eastAsia" w:hAnsi="宋体"/>
                <w:b/>
                <w:color w:val="auto"/>
                <w:szCs w:val="21"/>
              </w:rPr>
              <w:t>声源源强</w:t>
            </w:r>
          </w:p>
        </w:tc>
        <w:tc>
          <w:tcPr>
            <w:tcW w:w="1270" w:type="pct"/>
            <w:vMerge w:val="restart"/>
            <w:vAlign w:val="center"/>
          </w:tcPr>
          <w:p w14:paraId="5A4E371C">
            <w:pPr>
              <w:pStyle w:val="124"/>
              <w:spacing w:line="276" w:lineRule="auto"/>
              <w:rPr>
                <w:b/>
                <w:bCs/>
                <w:color w:val="auto"/>
                <w:szCs w:val="21"/>
              </w:rPr>
            </w:pPr>
            <w:r>
              <w:rPr>
                <w:rFonts w:hint="eastAsia"/>
                <w:b/>
                <w:color w:val="auto"/>
                <w:szCs w:val="21"/>
              </w:rPr>
              <w:t>声源控制措施</w:t>
            </w:r>
          </w:p>
        </w:tc>
        <w:tc>
          <w:tcPr>
            <w:tcW w:w="508" w:type="pct"/>
            <w:vMerge w:val="restart"/>
            <w:vAlign w:val="center"/>
          </w:tcPr>
          <w:p w14:paraId="05A5212A">
            <w:pPr>
              <w:pStyle w:val="124"/>
              <w:spacing w:line="276" w:lineRule="auto"/>
              <w:rPr>
                <w:b/>
                <w:bCs/>
                <w:color w:val="auto"/>
                <w:szCs w:val="21"/>
              </w:rPr>
            </w:pPr>
            <w:r>
              <w:rPr>
                <w:rFonts w:hint="eastAsia"/>
                <w:b/>
                <w:bCs/>
                <w:color w:val="auto"/>
                <w:szCs w:val="21"/>
              </w:rPr>
              <w:t>运行时段</w:t>
            </w:r>
          </w:p>
        </w:tc>
        <w:tc>
          <w:tcPr>
            <w:tcW w:w="406" w:type="pct"/>
            <w:vMerge w:val="restart"/>
            <w:vAlign w:val="center"/>
          </w:tcPr>
          <w:p w14:paraId="2AF602A1">
            <w:pPr>
              <w:pStyle w:val="124"/>
              <w:spacing w:line="276" w:lineRule="auto"/>
              <w:rPr>
                <w:b/>
                <w:bCs/>
                <w:color w:val="auto"/>
                <w:szCs w:val="21"/>
              </w:rPr>
            </w:pPr>
            <w:r>
              <w:rPr>
                <w:rFonts w:hint="eastAsia"/>
                <w:b/>
                <w:bCs/>
                <w:color w:val="auto"/>
                <w:szCs w:val="21"/>
              </w:rPr>
              <w:t>建筑物插入损失</w:t>
            </w:r>
          </w:p>
        </w:tc>
        <w:tc>
          <w:tcPr>
            <w:tcW w:w="355" w:type="pct"/>
            <w:vMerge w:val="restart"/>
            <w:vAlign w:val="center"/>
          </w:tcPr>
          <w:p w14:paraId="3ACFA112">
            <w:pPr>
              <w:pStyle w:val="124"/>
              <w:spacing w:line="276" w:lineRule="auto"/>
              <w:rPr>
                <w:b/>
                <w:bCs/>
                <w:color w:val="auto"/>
                <w:szCs w:val="21"/>
              </w:rPr>
            </w:pPr>
            <w:r>
              <w:rPr>
                <w:rFonts w:hint="eastAsia"/>
                <w:b/>
                <w:bCs/>
                <w:color w:val="auto"/>
                <w:szCs w:val="21"/>
              </w:rPr>
              <w:t>建筑物外噪声</w:t>
            </w:r>
          </w:p>
        </w:tc>
        <w:tc>
          <w:tcPr>
            <w:tcW w:w="430" w:type="pct"/>
            <w:vMerge w:val="restart"/>
            <w:vAlign w:val="center"/>
          </w:tcPr>
          <w:p w14:paraId="4A630D6D">
            <w:pPr>
              <w:pStyle w:val="124"/>
              <w:spacing w:line="276" w:lineRule="auto"/>
              <w:rPr>
                <w:b/>
                <w:bCs/>
                <w:color w:val="auto"/>
                <w:szCs w:val="21"/>
              </w:rPr>
            </w:pPr>
            <w:r>
              <w:rPr>
                <w:rFonts w:hint="eastAsia"/>
                <w:b/>
                <w:bCs/>
                <w:color w:val="auto"/>
                <w:szCs w:val="21"/>
              </w:rPr>
              <w:t>建筑物外距离</w:t>
            </w:r>
          </w:p>
        </w:tc>
      </w:tr>
      <w:tr w14:paraId="24CBC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8" w:type="pct"/>
            <w:vMerge w:val="continue"/>
            <w:vAlign w:val="center"/>
          </w:tcPr>
          <w:p w14:paraId="02BCDD22">
            <w:pPr>
              <w:pStyle w:val="124"/>
              <w:spacing w:line="276" w:lineRule="auto"/>
              <w:rPr>
                <w:rFonts w:hint="eastAsia" w:hAnsi="宋体"/>
                <w:b/>
                <w:bCs/>
                <w:color w:val="auto"/>
                <w:szCs w:val="21"/>
              </w:rPr>
            </w:pPr>
          </w:p>
        </w:tc>
        <w:tc>
          <w:tcPr>
            <w:tcW w:w="270" w:type="pct"/>
            <w:vMerge w:val="continue"/>
            <w:vAlign w:val="center"/>
          </w:tcPr>
          <w:p w14:paraId="227C1D72">
            <w:pPr>
              <w:pStyle w:val="124"/>
              <w:spacing w:line="276" w:lineRule="auto"/>
              <w:rPr>
                <w:rFonts w:hint="eastAsia" w:hAnsi="宋体"/>
                <w:b/>
                <w:bCs/>
                <w:color w:val="auto"/>
                <w:szCs w:val="21"/>
              </w:rPr>
            </w:pPr>
          </w:p>
        </w:tc>
        <w:tc>
          <w:tcPr>
            <w:tcW w:w="203" w:type="pct"/>
            <w:vMerge w:val="continue"/>
            <w:vAlign w:val="center"/>
          </w:tcPr>
          <w:p w14:paraId="0E826BD2">
            <w:pPr>
              <w:pStyle w:val="124"/>
              <w:spacing w:line="276" w:lineRule="auto"/>
              <w:rPr>
                <w:rFonts w:hint="eastAsia" w:hAnsi="宋体"/>
                <w:b/>
                <w:bCs/>
                <w:color w:val="auto"/>
                <w:szCs w:val="21"/>
              </w:rPr>
            </w:pPr>
          </w:p>
        </w:tc>
        <w:tc>
          <w:tcPr>
            <w:tcW w:w="203" w:type="pct"/>
            <w:vAlign w:val="center"/>
          </w:tcPr>
          <w:p w14:paraId="3C6F13C2">
            <w:pPr>
              <w:pStyle w:val="124"/>
              <w:spacing w:line="276" w:lineRule="auto"/>
              <w:rPr>
                <w:rFonts w:hint="eastAsia" w:hAnsi="宋体"/>
                <w:b/>
                <w:bCs/>
                <w:color w:val="auto"/>
                <w:szCs w:val="21"/>
              </w:rPr>
            </w:pPr>
            <w:r>
              <w:rPr>
                <w:rFonts w:hint="eastAsia" w:hAnsi="宋体"/>
                <w:b/>
                <w:bCs/>
                <w:color w:val="auto"/>
                <w:szCs w:val="21"/>
              </w:rPr>
              <w:t>X</w:t>
            </w:r>
          </w:p>
        </w:tc>
        <w:tc>
          <w:tcPr>
            <w:tcW w:w="203" w:type="pct"/>
            <w:vAlign w:val="center"/>
          </w:tcPr>
          <w:p w14:paraId="0C55C35C">
            <w:pPr>
              <w:pStyle w:val="124"/>
              <w:spacing w:line="276" w:lineRule="auto"/>
              <w:rPr>
                <w:rFonts w:hint="eastAsia" w:hAnsi="宋体"/>
                <w:b/>
                <w:bCs/>
                <w:color w:val="auto"/>
                <w:szCs w:val="21"/>
              </w:rPr>
            </w:pPr>
            <w:r>
              <w:rPr>
                <w:rFonts w:hint="eastAsia" w:hAnsi="宋体"/>
                <w:b/>
                <w:bCs/>
                <w:color w:val="auto"/>
                <w:szCs w:val="21"/>
              </w:rPr>
              <w:t>Y</w:t>
            </w:r>
          </w:p>
        </w:tc>
        <w:tc>
          <w:tcPr>
            <w:tcW w:w="203" w:type="pct"/>
            <w:vAlign w:val="center"/>
          </w:tcPr>
          <w:p w14:paraId="513457A5">
            <w:pPr>
              <w:pStyle w:val="124"/>
              <w:spacing w:line="276" w:lineRule="auto"/>
              <w:rPr>
                <w:rFonts w:hint="eastAsia" w:hAnsi="宋体"/>
                <w:b/>
                <w:bCs/>
                <w:color w:val="auto"/>
                <w:szCs w:val="21"/>
              </w:rPr>
            </w:pPr>
            <w:r>
              <w:rPr>
                <w:rFonts w:hint="eastAsia" w:hAnsi="宋体"/>
                <w:b/>
                <w:bCs/>
                <w:color w:val="auto"/>
                <w:szCs w:val="21"/>
              </w:rPr>
              <w:t>Z</w:t>
            </w:r>
          </w:p>
        </w:tc>
        <w:tc>
          <w:tcPr>
            <w:tcW w:w="711" w:type="pct"/>
            <w:vAlign w:val="center"/>
          </w:tcPr>
          <w:p w14:paraId="601329C2">
            <w:pPr>
              <w:pStyle w:val="124"/>
              <w:spacing w:line="276" w:lineRule="auto"/>
              <w:rPr>
                <w:rFonts w:hint="eastAsia" w:hAnsi="宋体"/>
                <w:b/>
                <w:color w:val="auto"/>
                <w:szCs w:val="21"/>
              </w:rPr>
            </w:pPr>
            <w:r>
              <w:rPr>
                <w:rFonts w:hint="eastAsia" w:hAnsi="宋体"/>
                <w:b/>
                <w:color w:val="auto"/>
                <w:szCs w:val="21"/>
              </w:rPr>
              <w:t>声功率级/dB（A）</w:t>
            </w:r>
          </w:p>
        </w:tc>
        <w:tc>
          <w:tcPr>
            <w:tcW w:w="1270" w:type="pct"/>
            <w:vMerge w:val="continue"/>
            <w:vAlign w:val="center"/>
          </w:tcPr>
          <w:p w14:paraId="44F867EC">
            <w:pPr>
              <w:pStyle w:val="124"/>
              <w:spacing w:line="276" w:lineRule="auto"/>
              <w:rPr>
                <w:rFonts w:hint="eastAsia" w:hAnsi="宋体"/>
                <w:b/>
                <w:bCs/>
                <w:color w:val="auto"/>
                <w:szCs w:val="21"/>
              </w:rPr>
            </w:pPr>
          </w:p>
        </w:tc>
        <w:tc>
          <w:tcPr>
            <w:tcW w:w="508" w:type="pct"/>
            <w:vMerge w:val="continue"/>
            <w:vAlign w:val="center"/>
          </w:tcPr>
          <w:p w14:paraId="08B79A43">
            <w:pPr>
              <w:pStyle w:val="124"/>
              <w:spacing w:line="276" w:lineRule="auto"/>
              <w:rPr>
                <w:rFonts w:hint="eastAsia" w:hAnsi="宋体"/>
                <w:b/>
                <w:bCs/>
                <w:color w:val="auto"/>
                <w:szCs w:val="21"/>
              </w:rPr>
            </w:pPr>
          </w:p>
        </w:tc>
        <w:tc>
          <w:tcPr>
            <w:tcW w:w="406" w:type="pct"/>
            <w:vMerge w:val="continue"/>
            <w:vAlign w:val="center"/>
          </w:tcPr>
          <w:p w14:paraId="06A5A16F">
            <w:pPr>
              <w:pStyle w:val="124"/>
              <w:spacing w:line="276" w:lineRule="auto"/>
              <w:rPr>
                <w:rFonts w:hint="eastAsia" w:hAnsi="宋体"/>
                <w:b/>
                <w:bCs/>
                <w:color w:val="auto"/>
                <w:szCs w:val="21"/>
              </w:rPr>
            </w:pPr>
          </w:p>
        </w:tc>
        <w:tc>
          <w:tcPr>
            <w:tcW w:w="355" w:type="pct"/>
            <w:vMerge w:val="continue"/>
            <w:vAlign w:val="center"/>
          </w:tcPr>
          <w:p w14:paraId="1B2ECF6E">
            <w:pPr>
              <w:pStyle w:val="124"/>
              <w:spacing w:line="276" w:lineRule="auto"/>
              <w:rPr>
                <w:rFonts w:hint="eastAsia" w:hAnsi="宋体"/>
                <w:b/>
                <w:bCs/>
                <w:color w:val="auto"/>
                <w:szCs w:val="21"/>
              </w:rPr>
            </w:pPr>
          </w:p>
        </w:tc>
        <w:tc>
          <w:tcPr>
            <w:tcW w:w="430" w:type="pct"/>
            <w:vMerge w:val="continue"/>
            <w:vAlign w:val="center"/>
          </w:tcPr>
          <w:p w14:paraId="6DD879F6">
            <w:pPr>
              <w:pStyle w:val="124"/>
              <w:spacing w:line="276" w:lineRule="auto"/>
              <w:rPr>
                <w:rFonts w:hint="eastAsia" w:hAnsi="宋体"/>
                <w:b/>
                <w:bCs/>
                <w:color w:val="auto"/>
                <w:szCs w:val="21"/>
              </w:rPr>
            </w:pPr>
          </w:p>
        </w:tc>
      </w:tr>
      <w:tr w14:paraId="6590F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 w:type="pct"/>
            <w:vAlign w:val="center"/>
          </w:tcPr>
          <w:p w14:paraId="3954687B">
            <w:pPr>
              <w:autoSpaceDE w:val="0"/>
              <w:autoSpaceDN w:val="0"/>
              <w:spacing w:line="276" w:lineRule="auto"/>
              <w:jc w:val="center"/>
              <w:rPr>
                <w:color w:val="auto"/>
                <w:kern w:val="0"/>
                <w:szCs w:val="21"/>
              </w:rPr>
            </w:pPr>
            <w:r>
              <w:rPr>
                <w:color w:val="auto"/>
                <w:kern w:val="0"/>
                <w:szCs w:val="21"/>
              </w:rPr>
              <w:t>1</w:t>
            </w:r>
          </w:p>
        </w:tc>
        <w:tc>
          <w:tcPr>
            <w:tcW w:w="270" w:type="pct"/>
          </w:tcPr>
          <w:p w14:paraId="76390774">
            <w:pPr>
              <w:autoSpaceDE w:val="0"/>
              <w:autoSpaceDN w:val="0"/>
              <w:spacing w:line="276" w:lineRule="auto"/>
              <w:jc w:val="center"/>
              <w:rPr>
                <w:color w:val="auto"/>
                <w:kern w:val="0"/>
                <w:szCs w:val="21"/>
              </w:rPr>
            </w:pPr>
            <w:r>
              <w:rPr>
                <w:rFonts w:hint="eastAsia"/>
                <w:color w:val="auto"/>
              </w:rPr>
              <w:t>风机</w:t>
            </w:r>
          </w:p>
        </w:tc>
        <w:tc>
          <w:tcPr>
            <w:tcW w:w="203" w:type="pct"/>
          </w:tcPr>
          <w:p w14:paraId="04DFE601">
            <w:pPr>
              <w:autoSpaceDE w:val="0"/>
              <w:autoSpaceDN w:val="0"/>
              <w:spacing w:line="276" w:lineRule="auto"/>
              <w:jc w:val="center"/>
              <w:rPr>
                <w:color w:val="auto"/>
                <w:kern w:val="0"/>
                <w:szCs w:val="21"/>
              </w:rPr>
            </w:pPr>
            <w:r>
              <w:rPr>
                <w:rFonts w:hint="eastAsia"/>
                <w:color w:val="auto"/>
              </w:rPr>
              <w:t>1</w:t>
            </w:r>
          </w:p>
        </w:tc>
        <w:tc>
          <w:tcPr>
            <w:tcW w:w="203" w:type="pct"/>
            <w:vAlign w:val="center"/>
          </w:tcPr>
          <w:p w14:paraId="1C876764">
            <w:pPr>
              <w:pStyle w:val="124"/>
              <w:spacing w:line="276" w:lineRule="auto"/>
              <w:rPr>
                <w:rFonts w:hint="default" w:eastAsia="宋体"/>
                <w:color w:val="auto"/>
                <w:szCs w:val="21"/>
                <w:lang w:val="en-US" w:eastAsia="zh-CN"/>
              </w:rPr>
            </w:pPr>
            <w:r>
              <w:rPr>
                <w:rFonts w:hint="eastAsia"/>
                <w:color w:val="auto"/>
                <w:szCs w:val="21"/>
                <w:lang w:val="en-US" w:eastAsia="zh-CN"/>
              </w:rPr>
              <w:t>52</w:t>
            </w:r>
          </w:p>
        </w:tc>
        <w:tc>
          <w:tcPr>
            <w:tcW w:w="203" w:type="pct"/>
            <w:vAlign w:val="center"/>
          </w:tcPr>
          <w:p w14:paraId="1196358E">
            <w:pPr>
              <w:pStyle w:val="124"/>
              <w:spacing w:line="276" w:lineRule="auto"/>
              <w:rPr>
                <w:rFonts w:hint="eastAsia" w:eastAsia="宋体"/>
                <w:color w:val="auto"/>
                <w:szCs w:val="21"/>
                <w:lang w:eastAsia="zh-CN"/>
              </w:rPr>
            </w:pPr>
            <w:r>
              <w:rPr>
                <w:rFonts w:hint="eastAsia"/>
                <w:color w:val="auto"/>
                <w:szCs w:val="21"/>
                <w:lang w:val="en-US" w:eastAsia="zh-CN"/>
              </w:rPr>
              <w:t>0</w:t>
            </w:r>
          </w:p>
        </w:tc>
        <w:tc>
          <w:tcPr>
            <w:tcW w:w="203" w:type="pct"/>
            <w:vAlign w:val="center"/>
          </w:tcPr>
          <w:p w14:paraId="4A915457">
            <w:pPr>
              <w:pStyle w:val="124"/>
              <w:spacing w:line="276" w:lineRule="auto"/>
              <w:rPr>
                <w:color w:val="auto"/>
                <w:szCs w:val="21"/>
              </w:rPr>
            </w:pPr>
            <w:r>
              <w:rPr>
                <w:rFonts w:hint="eastAsia"/>
                <w:color w:val="auto"/>
                <w:szCs w:val="21"/>
              </w:rPr>
              <w:t>1.2</w:t>
            </w:r>
          </w:p>
        </w:tc>
        <w:tc>
          <w:tcPr>
            <w:tcW w:w="711" w:type="pct"/>
            <w:vAlign w:val="center"/>
          </w:tcPr>
          <w:p w14:paraId="445D5995">
            <w:pPr>
              <w:pStyle w:val="124"/>
              <w:spacing w:line="276" w:lineRule="auto"/>
              <w:rPr>
                <w:color w:val="auto"/>
                <w:szCs w:val="21"/>
              </w:rPr>
            </w:pPr>
            <w:r>
              <w:rPr>
                <w:rFonts w:hint="eastAsia"/>
                <w:color w:val="auto"/>
                <w:szCs w:val="21"/>
              </w:rPr>
              <w:t>90</w:t>
            </w:r>
          </w:p>
        </w:tc>
        <w:tc>
          <w:tcPr>
            <w:tcW w:w="1270" w:type="pct"/>
          </w:tcPr>
          <w:p w14:paraId="5DA15B50">
            <w:pPr>
              <w:pStyle w:val="124"/>
              <w:spacing w:line="276" w:lineRule="auto"/>
              <w:rPr>
                <w:color w:val="auto"/>
                <w:szCs w:val="21"/>
              </w:rPr>
            </w:pPr>
            <w:r>
              <w:rPr>
                <w:rFonts w:hint="eastAsia"/>
                <w:color w:val="auto"/>
                <w:szCs w:val="21"/>
              </w:rPr>
              <w:t>对风机气流噪声设置消音器</w:t>
            </w:r>
          </w:p>
        </w:tc>
        <w:tc>
          <w:tcPr>
            <w:tcW w:w="508" w:type="pct"/>
            <w:vAlign w:val="center"/>
          </w:tcPr>
          <w:p w14:paraId="1238FD82">
            <w:pPr>
              <w:pStyle w:val="124"/>
              <w:spacing w:line="276" w:lineRule="auto"/>
              <w:rPr>
                <w:color w:val="auto"/>
                <w:szCs w:val="21"/>
              </w:rPr>
            </w:pPr>
            <w:r>
              <w:rPr>
                <w:rFonts w:hint="eastAsia"/>
                <w:color w:val="auto"/>
                <w:szCs w:val="21"/>
              </w:rPr>
              <w:t>8h</w:t>
            </w:r>
          </w:p>
        </w:tc>
        <w:tc>
          <w:tcPr>
            <w:tcW w:w="406" w:type="pct"/>
            <w:vAlign w:val="center"/>
          </w:tcPr>
          <w:p w14:paraId="2F6217DA">
            <w:pPr>
              <w:pStyle w:val="124"/>
              <w:spacing w:line="276" w:lineRule="auto"/>
              <w:rPr>
                <w:color w:val="auto"/>
                <w:szCs w:val="21"/>
              </w:rPr>
            </w:pPr>
            <w:r>
              <w:rPr>
                <w:rFonts w:hint="eastAsia"/>
                <w:color w:val="auto"/>
                <w:szCs w:val="21"/>
              </w:rPr>
              <w:t>≥10</w:t>
            </w:r>
          </w:p>
        </w:tc>
        <w:tc>
          <w:tcPr>
            <w:tcW w:w="355" w:type="pct"/>
            <w:vAlign w:val="center"/>
          </w:tcPr>
          <w:p w14:paraId="6139E5CD">
            <w:pPr>
              <w:pStyle w:val="124"/>
              <w:spacing w:line="276" w:lineRule="auto"/>
              <w:rPr>
                <w:color w:val="auto"/>
                <w:szCs w:val="21"/>
              </w:rPr>
            </w:pPr>
            <w:r>
              <w:rPr>
                <w:rFonts w:hint="eastAsia"/>
                <w:color w:val="auto"/>
                <w:szCs w:val="21"/>
              </w:rPr>
              <w:t>56.18</w:t>
            </w:r>
          </w:p>
        </w:tc>
        <w:tc>
          <w:tcPr>
            <w:tcW w:w="430" w:type="pct"/>
            <w:vAlign w:val="center"/>
          </w:tcPr>
          <w:p w14:paraId="0531E0FD">
            <w:pPr>
              <w:pStyle w:val="124"/>
              <w:spacing w:line="276" w:lineRule="auto"/>
              <w:rPr>
                <w:color w:val="auto"/>
                <w:szCs w:val="21"/>
              </w:rPr>
            </w:pPr>
            <w:r>
              <w:rPr>
                <w:rFonts w:hint="eastAsia"/>
                <w:color w:val="auto"/>
                <w:szCs w:val="21"/>
              </w:rPr>
              <w:t>1m</w:t>
            </w:r>
          </w:p>
        </w:tc>
      </w:tr>
    </w:tbl>
    <w:p w14:paraId="35BEC8C6">
      <w:pPr>
        <w:widowControl/>
        <w:spacing w:line="360" w:lineRule="auto"/>
        <w:jc w:val="center"/>
        <w:outlineLvl w:val="0"/>
        <w:rPr>
          <w:b/>
          <w:color w:val="auto"/>
          <w:kern w:val="0"/>
          <w:sz w:val="24"/>
          <w:szCs w:val="24"/>
        </w:rPr>
      </w:pPr>
      <w:r>
        <w:rPr>
          <w:b/>
          <w:color w:val="auto"/>
          <w:sz w:val="24"/>
          <w:szCs w:val="24"/>
        </w:rPr>
        <w:t>表4-</w:t>
      </w:r>
      <w:r>
        <w:rPr>
          <w:rFonts w:hint="eastAsia"/>
          <w:b/>
          <w:color w:val="auto"/>
          <w:sz w:val="24"/>
          <w:szCs w:val="24"/>
        </w:rPr>
        <w:t>15</w:t>
      </w:r>
      <w:r>
        <w:rPr>
          <w:b/>
          <w:color w:val="auto"/>
          <w:sz w:val="24"/>
          <w:szCs w:val="24"/>
        </w:rPr>
        <w:t xml:space="preserve">  项目</w:t>
      </w:r>
      <w:r>
        <w:rPr>
          <w:rFonts w:hint="eastAsia"/>
          <w:b/>
          <w:color w:val="auto"/>
          <w:sz w:val="24"/>
          <w:szCs w:val="24"/>
        </w:rPr>
        <w:t>噪声源强调查清单(室内声源)</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413"/>
        <w:gridCol w:w="603"/>
        <w:gridCol w:w="502"/>
        <w:gridCol w:w="502"/>
        <w:gridCol w:w="508"/>
        <w:gridCol w:w="1839"/>
        <w:gridCol w:w="1661"/>
        <w:gridCol w:w="720"/>
        <w:gridCol w:w="1151"/>
        <w:gridCol w:w="1440"/>
        <w:gridCol w:w="1434"/>
        <w:gridCol w:w="918"/>
        <w:gridCol w:w="878"/>
      </w:tblGrid>
      <w:tr w14:paraId="15A0B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 w:type="pct"/>
            <w:vMerge w:val="restart"/>
            <w:vAlign w:val="center"/>
          </w:tcPr>
          <w:p w14:paraId="73293496">
            <w:pPr>
              <w:pStyle w:val="124"/>
              <w:spacing w:line="240" w:lineRule="auto"/>
              <w:jc w:val="center"/>
              <w:rPr>
                <w:b/>
                <w:bCs/>
                <w:color w:val="auto"/>
                <w:sz w:val="21"/>
                <w:szCs w:val="21"/>
                <w:highlight w:val="none"/>
              </w:rPr>
            </w:pPr>
            <w:r>
              <w:rPr>
                <w:rFonts w:hAnsi="宋体"/>
                <w:b/>
                <w:bCs/>
                <w:color w:val="auto"/>
                <w:sz w:val="21"/>
                <w:szCs w:val="21"/>
                <w:highlight w:val="none"/>
              </w:rPr>
              <w:t>序号</w:t>
            </w:r>
          </w:p>
        </w:tc>
        <w:tc>
          <w:tcPr>
            <w:tcW w:w="498" w:type="pct"/>
            <w:vMerge w:val="restart"/>
            <w:vAlign w:val="center"/>
          </w:tcPr>
          <w:p w14:paraId="0ED34479">
            <w:pPr>
              <w:pStyle w:val="124"/>
              <w:spacing w:line="240" w:lineRule="auto"/>
              <w:jc w:val="center"/>
              <w:rPr>
                <w:b/>
                <w:bCs/>
                <w:color w:val="auto"/>
                <w:sz w:val="21"/>
                <w:szCs w:val="21"/>
                <w:highlight w:val="none"/>
              </w:rPr>
            </w:pPr>
            <w:r>
              <w:rPr>
                <w:rFonts w:hint="eastAsia" w:hAnsi="宋体"/>
                <w:b/>
                <w:bCs/>
                <w:color w:val="auto"/>
                <w:sz w:val="21"/>
                <w:szCs w:val="21"/>
                <w:highlight w:val="none"/>
              </w:rPr>
              <w:t>声源名称</w:t>
            </w:r>
          </w:p>
        </w:tc>
        <w:tc>
          <w:tcPr>
            <w:tcW w:w="212" w:type="pct"/>
            <w:vMerge w:val="restart"/>
            <w:vAlign w:val="center"/>
          </w:tcPr>
          <w:p w14:paraId="59F691AC">
            <w:pPr>
              <w:pStyle w:val="124"/>
              <w:spacing w:line="240" w:lineRule="auto"/>
              <w:jc w:val="center"/>
              <w:rPr>
                <w:b/>
                <w:bCs/>
                <w:color w:val="auto"/>
                <w:sz w:val="21"/>
                <w:szCs w:val="21"/>
                <w:highlight w:val="none"/>
              </w:rPr>
            </w:pPr>
            <w:r>
              <w:rPr>
                <w:rFonts w:hint="eastAsia" w:hAnsi="宋体"/>
                <w:b/>
                <w:bCs/>
                <w:color w:val="auto"/>
                <w:sz w:val="21"/>
                <w:szCs w:val="21"/>
                <w:highlight w:val="none"/>
              </w:rPr>
              <w:t>数量</w:t>
            </w:r>
          </w:p>
        </w:tc>
        <w:tc>
          <w:tcPr>
            <w:tcW w:w="533" w:type="pct"/>
            <w:gridSpan w:val="3"/>
            <w:vAlign w:val="center"/>
          </w:tcPr>
          <w:p w14:paraId="633F6AC5">
            <w:pPr>
              <w:pStyle w:val="124"/>
              <w:spacing w:line="240" w:lineRule="auto"/>
              <w:jc w:val="center"/>
              <w:rPr>
                <w:b/>
                <w:bCs/>
                <w:color w:val="auto"/>
                <w:sz w:val="21"/>
                <w:szCs w:val="21"/>
                <w:highlight w:val="none"/>
              </w:rPr>
            </w:pPr>
            <w:r>
              <w:rPr>
                <w:rFonts w:hint="eastAsia" w:hAnsi="宋体"/>
                <w:b/>
                <w:bCs/>
                <w:color w:val="auto"/>
                <w:sz w:val="21"/>
                <w:szCs w:val="21"/>
                <w:highlight w:val="none"/>
              </w:rPr>
              <w:t>空间相对位置</w:t>
            </w:r>
          </w:p>
        </w:tc>
        <w:tc>
          <w:tcPr>
            <w:tcW w:w="648" w:type="pct"/>
            <w:vAlign w:val="center"/>
          </w:tcPr>
          <w:p w14:paraId="12EFE801">
            <w:pPr>
              <w:pStyle w:val="124"/>
              <w:spacing w:line="240" w:lineRule="auto"/>
              <w:jc w:val="center"/>
              <w:rPr>
                <w:b/>
                <w:color w:val="auto"/>
                <w:sz w:val="21"/>
                <w:szCs w:val="21"/>
                <w:highlight w:val="none"/>
              </w:rPr>
            </w:pPr>
            <w:r>
              <w:rPr>
                <w:rFonts w:hint="eastAsia" w:hAnsi="宋体"/>
                <w:b/>
                <w:color w:val="auto"/>
                <w:sz w:val="21"/>
                <w:szCs w:val="21"/>
                <w:highlight w:val="none"/>
              </w:rPr>
              <w:t>声源源强</w:t>
            </w:r>
          </w:p>
        </w:tc>
        <w:tc>
          <w:tcPr>
            <w:tcW w:w="586" w:type="pct"/>
            <w:vMerge w:val="restart"/>
            <w:vAlign w:val="center"/>
          </w:tcPr>
          <w:p w14:paraId="18A41913">
            <w:pPr>
              <w:pStyle w:val="124"/>
              <w:spacing w:line="240" w:lineRule="auto"/>
              <w:jc w:val="center"/>
              <w:rPr>
                <w:b/>
                <w:color w:val="auto"/>
                <w:sz w:val="21"/>
                <w:szCs w:val="21"/>
                <w:highlight w:val="none"/>
              </w:rPr>
            </w:pPr>
            <w:r>
              <w:rPr>
                <w:rFonts w:hint="eastAsia"/>
                <w:b/>
                <w:color w:val="auto"/>
                <w:sz w:val="21"/>
                <w:szCs w:val="21"/>
                <w:highlight w:val="none"/>
              </w:rPr>
              <w:t>声源控制措施</w:t>
            </w:r>
          </w:p>
        </w:tc>
        <w:tc>
          <w:tcPr>
            <w:tcW w:w="254" w:type="pct"/>
            <w:vMerge w:val="restart"/>
            <w:vAlign w:val="center"/>
          </w:tcPr>
          <w:p w14:paraId="6A62B5E8">
            <w:pPr>
              <w:pStyle w:val="124"/>
              <w:spacing w:line="240" w:lineRule="auto"/>
              <w:jc w:val="center"/>
              <w:rPr>
                <w:b/>
                <w:bCs/>
                <w:color w:val="auto"/>
                <w:sz w:val="21"/>
                <w:szCs w:val="21"/>
                <w:highlight w:val="none"/>
              </w:rPr>
            </w:pPr>
            <w:r>
              <w:rPr>
                <w:rFonts w:hint="eastAsia"/>
                <w:b/>
                <w:bCs/>
                <w:color w:val="auto"/>
                <w:sz w:val="21"/>
                <w:szCs w:val="21"/>
                <w:highlight w:val="none"/>
              </w:rPr>
              <w:t>运行时段</w:t>
            </w:r>
          </w:p>
        </w:tc>
        <w:tc>
          <w:tcPr>
            <w:tcW w:w="406" w:type="pct"/>
            <w:vMerge w:val="restart"/>
            <w:vAlign w:val="center"/>
          </w:tcPr>
          <w:p w14:paraId="67E97479">
            <w:pPr>
              <w:pStyle w:val="124"/>
              <w:spacing w:line="240" w:lineRule="auto"/>
              <w:jc w:val="center"/>
              <w:rPr>
                <w:b/>
                <w:bCs/>
                <w:color w:val="auto"/>
                <w:sz w:val="21"/>
                <w:szCs w:val="21"/>
                <w:highlight w:val="none"/>
              </w:rPr>
            </w:pPr>
            <w:r>
              <w:rPr>
                <w:rFonts w:hint="eastAsia"/>
                <w:b/>
                <w:bCs/>
                <w:color w:val="auto"/>
                <w:sz w:val="21"/>
                <w:szCs w:val="21"/>
                <w:highlight w:val="none"/>
              </w:rPr>
              <w:t>距离室内边界距离</w:t>
            </w:r>
          </w:p>
        </w:tc>
        <w:tc>
          <w:tcPr>
            <w:tcW w:w="508" w:type="pct"/>
            <w:vMerge w:val="restart"/>
            <w:vAlign w:val="center"/>
          </w:tcPr>
          <w:p w14:paraId="02263514">
            <w:pPr>
              <w:pStyle w:val="124"/>
              <w:spacing w:line="240" w:lineRule="auto"/>
              <w:jc w:val="center"/>
              <w:rPr>
                <w:b/>
                <w:bCs/>
                <w:color w:val="auto"/>
                <w:sz w:val="21"/>
                <w:szCs w:val="21"/>
                <w:highlight w:val="none"/>
              </w:rPr>
            </w:pPr>
            <w:r>
              <w:rPr>
                <w:rFonts w:hint="eastAsia"/>
                <w:b/>
                <w:bCs/>
                <w:color w:val="auto"/>
                <w:sz w:val="21"/>
                <w:szCs w:val="21"/>
                <w:highlight w:val="none"/>
              </w:rPr>
              <w:t>室内边界声级/dB（A）</w:t>
            </w:r>
          </w:p>
        </w:tc>
        <w:tc>
          <w:tcPr>
            <w:tcW w:w="505" w:type="pct"/>
            <w:vMerge w:val="restart"/>
            <w:vAlign w:val="center"/>
          </w:tcPr>
          <w:p w14:paraId="0ECF020E">
            <w:pPr>
              <w:pStyle w:val="124"/>
              <w:spacing w:line="240" w:lineRule="auto"/>
              <w:jc w:val="center"/>
              <w:rPr>
                <w:b/>
                <w:bCs/>
                <w:color w:val="auto"/>
                <w:sz w:val="21"/>
                <w:szCs w:val="21"/>
                <w:highlight w:val="none"/>
              </w:rPr>
            </w:pPr>
            <w:r>
              <w:rPr>
                <w:rFonts w:hint="eastAsia"/>
                <w:b/>
                <w:bCs/>
                <w:color w:val="auto"/>
                <w:sz w:val="21"/>
                <w:szCs w:val="21"/>
                <w:highlight w:val="none"/>
              </w:rPr>
              <w:t>建筑物插入损失</w:t>
            </w:r>
          </w:p>
        </w:tc>
        <w:tc>
          <w:tcPr>
            <w:tcW w:w="323" w:type="pct"/>
            <w:vMerge w:val="restart"/>
            <w:vAlign w:val="center"/>
          </w:tcPr>
          <w:p w14:paraId="368E98FF">
            <w:pPr>
              <w:pStyle w:val="124"/>
              <w:spacing w:line="240" w:lineRule="auto"/>
              <w:jc w:val="center"/>
              <w:rPr>
                <w:b/>
                <w:bCs/>
                <w:color w:val="auto"/>
                <w:sz w:val="21"/>
                <w:szCs w:val="21"/>
                <w:highlight w:val="none"/>
              </w:rPr>
            </w:pPr>
            <w:r>
              <w:rPr>
                <w:rFonts w:hint="eastAsia"/>
                <w:b/>
                <w:bCs/>
                <w:color w:val="auto"/>
                <w:sz w:val="21"/>
                <w:szCs w:val="21"/>
                <w:highlight w:val="none"/>
              </w:rPr>
              <w:t>建筑物外噪声</w:t>
            </w:r>
          </w:p>
        </w:tc>
        <w:tc>
          <w:tcPr>
            <w:tcW w:w="309" w:type="pct"/>
            <w:vMerge w:val="restart"/>
            <w:vAlign w:val="center"/>
          </w:tcPr>
          <w:p w14:paraId="17904B2D">
            <w:pPr>
              <w:pStyle w:val="124"/>
              <w:spacing w:line="240" w:lineRule="auto"/>
              <w:jc w:val="center"/>
              <w:rPr>
                <w:b/>
                <w:bCs/>
                <w:color w:val="auto"/>
                <w:sz w:val="21"/>
                <w:szCs w:val="21"/>
                <w:highlight w:val="none"/>
              </w:rPr>
            </w:pPr>
            <w:r>
              <w:rPr>
                <w:rFonts w:hint="eastAsia"/>
                <w:b/>
                <w:bCs/>
                <w:color w:val="auto"/>
                <w:sz w:val="21"/>
                <w:szCs w:val="21"/>
                <w:highlight w:val="none"/>
              </w:rPr>
              <w:t>建筑物外距离</w:t>
            </w:r>
          </w:p>
        </w:tc>
      </w:tr>
      <w:tr w14:paraId="7006C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2" w:type="pct"/>
            <w:vMerge w:val="continue"/>
            <w:vAlign w:val="center"/>
          </w:tcPr>
          <w:p w14:paraId="528C6ABA">
            <w:pPr>
              <w:pStyle w:val="124"/>
              <w:spacing w:line="240" w:lineRule="auto"/>
              <w:jc w:val="center"/>
              <w:rPr>
                <w:rFonts w:hint="eastAsia" w:hAnsi="宋体"/>
                <w:b/>
                <w:bCs/>
                <w:color w:val="auto"/>
                <w:sz w:val="21"/>
                <w:szCs w:val="21"/>
                <w:highlight w:val="yellow"/>
              </w:rPr>
            </w:pPr>
          </w:p>
        </w:tc>
        <w:tc>
          <w:tcPr>
            <w:tcW w:w="498" w:type="pct"/>
            <w:vMerge w:val="continue"/>
            <w:vAlign w:val="center"/>
          </w:tcPr>
          <w:p w14:paraId="6FE73D48">
            <w:pPr>
              <w:pStyle w:val="124"/>
              <w:spacing w:line="240" w:lineRule="auto"/>
              <w:jc w:val="center"/>
              <w:rPr>
                <w:rFonts w:hint="eastAsia" w:hAnsi="宋体"/>
                <w:b/>
                <w:bCs/>
                <w:color w:val="auto"/>
                <w:sz w:val="21"/>
                <w:szCs w:val="21"/>
                <w:highlight w:val="yellow"/>
              </w:rPr>
            </w:pPr>
          </w:p>
        </w:tc>
        <w:tc>
          <w:tcPr>
            <w:tcW w:w="212" w:type="pct"/>
            <w:vMerge w:val="continue"/>
            <w:vAlign w:val="center"/>
          </w:tcPr>
          <w:p w14:paraId="1526D996">
            <w:pPr>
              <w:pStyle w:val="124"/>
              <w:spacing w:line="240" w:lineRule="auto"/>
              <w:jc w:val="center"/>
              <w:rPr>
                <w:rFonts w:hint="eastAsia" w:hAnsi="宋体"/>
                <w:b/>
                <w:bCs/>
                <w:color w:val="auto"/>
                <w:sz w:val="21"/>
                <w:szCs w:val="21"/>
                <w:highlight w:val="yellow"/>
              </w:rPr>
            </w:pPr>
          </w:p>
        </w:tc>
        <w:tc>
          <w:tcPr>
            <w:tcW w:w="177" w:type="pct"/>
            <w:vAlign w:val="center"/>
          </w:tcPr>
          <w:p w14:paraId="0E760EA9">
            <w:pPr>
              <w:pStyle w:val="124"/>
              <w:spacing w:line="240" w:lineRule="auto"/>
              <w:jc w:val="center"/>
              <w:rPr>
                <w:rFonts w:hint="eastAsia" w:hAnsi="宋体"/>
                <w:b/>
                <w:bCs/>
                <w:color w:val="auto"/>
                <w:sz w:val="21"/>
                <w:szCs w:val="21"/>
                <w:highlight w:val="none"/>
              </w:rPr>
            </w:pPr>
            <w:r>
              <w:rPr>
                <w:rFonts w:hint="eastAsia" w:hAnsi="宋体"/>
                <w:b/>
                <w:bCs/>
                <w:color w:val="auto"/>
                <w:sz w:val="21"/>
                <w:szCs w:val="21"/>
                <w:highlight w:val="none"/>
              </w:rPr>
              <w:t>X</w:t>
            </w:r>
          </w:p>
        </w:tc>
        <w:tc>
          <w:tcPr>
            <w:tcW w:w="177" w:type="pct"/>
            <w:vAlign w:val="center"/>
          </w:tcPr>
          <w:p w14:paraId="621D2197">
            <w:pPr>
              <w:pStyle w:val="124"/>
              <w:spacing w:line="240" w:lineRule="auto"/>
              <w:jc w:val="center"/>
              <w:rPr>
                <w:rFonts w:hint="eastAsia" w:hAnsi="宋体"/>
                <w:b/>
                <w:bCs/>
                <w:color w:val="auto"/>
                <w:sz w:val="21"/>
                <w:szCs w:val="21"/>
                <w:highlight w:val="none"/>
              </w:rPr>
            </w:pPr>
            <w:r>
              <w:rPr>
                <w:rFonts w:hint="eastAsia" w:hAnsi="宋体"/>
                <w:b/>
                <w:bCs/>
                <w:color w:val="auto"/>
                <w:sz w:val="21"/>
                <w:szCs w:val="21"/>
                <w:highlight w:val="none"/>
              </w:rPr>
              <w:t>Y</w:t>
            </w:r>
          </w:p>
        </w:tc>
        <w:tc>
          <w:tcPr>
            <w:tcW w:w="179" w:type="pct"/>
            <w:vAlign w:val="center"/>
          </w:tcPr>
          <w:p w14:paraId="129E808A">
            <w:pPr>
              <w:pStyle w:val="124"/>
              <w:spacing w:line="240" w:lineRule="auto"/>
              <w:jc w:val="center"/>
              <w:rPr>
                <w:rFonts w:hint="eastAsia" w:hAnsi="宋体"/>
                <w:b/>
                <w:bCs/>
                <w:color w:val="auto"/>
                <w:sz w:val="21"/>
                <w:szCs w:val="21"/>
                <w:highlight w:val="none"/>
              </w:rPr>
            </w:pPr>
            <w:r>
              <w:rPr>
                <w:rFonts w:hint="eastAsia" w:hAnsi="宋体"/>
                <w:b/>
                <w:bCs/>
                <w:color w:val="auto"/>
                <w:sz w:val="21"/>
                <w:szCs w:val="21"/>
                <w:highlight w:val="none"/>
              </w:rPr>
              <w:t>Z</w:t>
            </w:r>
          </w:p>
        </w:tc>
        <w:tc>
          <w:tcPr>
            <w:tcW w:w="648" w:type="pct"/>
            <w:vAlign w:val="center"/>
          </w:tcPr>
          <w:p w14:paraId="65B5EA13">
            <w:pPr>
              <w:pStyle w:val="124"/>
              <w:spacing w:line="240" w:lineRule="auto"/>
              <w:jc w:val="center"/>
              <w:rPr>
                <w:rFonts w:hint="eastAsia" w:hAnsi="宋体"/>
                <w:b/>
                <w:color w:val="auto"/>
                <w:sz w:val="21"/>
                <w:szCs w:val="21"/>
                <w:highlight w:val="none"/>
              </w:rPr>
            </w:pPr>
            <w:r>
              <w:rPr>
                <w:rFonts w:hint="eastAsia" w:hAnsi="宋体"/>
                <w:b/>
                <w:color w:val="auto"/>
                <w:sz w:val="21"/>
                <w:szCs w:val="21"/>
                <w:highlight w:val="none"/>
              </w:rPr>
              <w:t>声</w:t>
            </w:r>
            <w:r>
              <w:rPr>
                <w:rFonts w:hint="eastAsia" w:hAnsi="宋体"/>
                <w:b/>
                <w:color w:val="auto"/>
                <w:sz w:val="21"/>
                <w:szCs w:val="21"/>
                <w:highlight w:val="none"/>
                <w:lang w:val="en-US" w:eastAsia="zh-CN"/>
              </w:rPr>
              <w:t>压</w:t>
            </w:r>
            <w:r>
              <w:rPr>
                <w:rFonts w:hint="eastAsia" w:hAnsi="宋体"/>
                <w:b/>
                <w:color w:val="auto"/>
                <w:sz w:val="21"/>
                <w:szCs w:val="21"/>
                <w:highlight w:val="none"/>
              </w:rPr>
              <w:t>级/dB（A）</w:t>
            </w:r>
          </w:p>
        </w:tc>
        <w:tc>
          <w:tcPr>
            <w:tcW w:w="586" w:type="pct"/>
            <w:vMerge w:val="continue"/>
            <w:vAlign w:val="center"/>
          </w:tcPr>
          <w:p w14:paraId="0EE1C0BC">
            <w:pPr>
              <w:pStyle w:val="124"/>
              <w:spacing w:line="240" w:lineRule="auto"/>
              <w:jc w:val="center"/>
              <w:rPr>
                <w:rFonts w:hint="eastAsia" w:hAnsi="宋体"/>
                <w:b/>
                <w:color w:val="auto"/>
                <w:sz w:val="21"/>
                <w:szCs w:val="21"/>
                <w:highlight w:val="yellow"/>
              </w:rPr>
            </w:pPr>
          </w:p>
        </w:tc>
        <w:tc>
          <w:tcPr>
            <w:tcW w:w="254" w:type="pct"/>
            <w:vMerge w:val="continue"/>
            <w:vAlign w:val="center"/>
          </w:tcPr>
          <w:p w14:paraId="05AB9A02">
            <w:pPr>
              <w:pStyle w:val="124"/>
              <w:spacing w:line="240" w:lineRule="auto"/>
              <w:jc w:val="center"/>
              <w:rPr>
                <w:rFonts w:hint="eastAsia" w:hAnsi="宋体"/>
                <w:b/>
                <w:bCs/>
                <w:color w:val="auto"/>
                <w:sz w:val="21"/>
                <w:szCs w:val="21"/>
                <w:highlight w:val="yellow"/>
              </w:rPr>
            </w:pPr>
          </w:p>
        </w:tc>
        <w:tc>
          <w:tcPr>
            <w:tcW w:w="406" w:type="pct"/>
            <w:vMerge w:val="continue"/>
            <w:vAlign w:val="center"/>
          </w:tcPr>
          <w:p w14:paraId="233FEA90">
            <w:pPr>
              <w:pStyle w:val="124"/>
              <w:spacing w:line="240" w:lineRule="auto"/>
              <w:jc w:val="center"/>
              <w:rPr>
                <w:rFonts w:hint="eastAsia" w:hAnsi="宋体"/>
                <w:b/>
                <w:bCs/>
                <w:color w:val="auto"/>
                <w:sz w:val="21"/>
                <w:szCs w:val="21"/>
                <w:highlight w:val="yellow"/>
              </w:rPr>
            </w:pPr>
          </w:p>
        </w:tc>
        <w:tc>
          <w:tcPr>
            <w:tcW w:w="508" w:type="pct"/>
            <w:vMerge w:val="continue"/>
            <w:vAlign w:val="center"/>
          </w:tcPr>
          <w:p w14:paraId="661653C0">
            <w:pPr>
              <w:pStyle w:val="124"/>
              <w:spacing w:line="240" w:lineRule="auto"/>
              <w:jc w:val="center"/>
              <w:rPr>
                <w:rFonts w:hint="eastAsia" w:hAnsi="宋体"/>
                <w:b/>
                <w:bCs/>
                <w:color w:val="auto"/>
                <w:sz w:val="21"/>
                <w:szCs w:val="21"/>
                <w:highlight w:val="yellow"/>
              </w:rPr>
            </w:pPr>
          </w:p>
        </w:tc>
        <w:tc>
          <w:tcPr>
            <w:tcW w:w="505" w:type="pct"/>
            <w:vMerge w:val="continue"/>
            <w:vAlign w:val="center"/>
          </w:tcPr>
          <w:p w14:paraId="0197EADC">
            <w:pPr>
              <w:pStyle w:val="124"/>
              <w:spacing w:line="240" w:lineRule="auto"/>
              <w:jc w:val="center"/>
              <w:rPr>
                <w:rFonts w:hint="eastAsia" w:hAnsi="宋体"/>
                <w:b/>
                <w:bCs/>
                <w:color w:val="auto"/>
                <w:sz w:val="21"/>
                <w:szCs w:val="21"/>
                <w:highlight w:val="yellow"/>
              </w:rPr>
            </w:pPr>
          </w:p>
        </w:tc>
        <w:tc>
          <w:tcPr>
            <w:tcW w:w="323" w:type="pct"/>
            <w:vMerge w:val="continue"/>
            <w:vAlign w:val="center"/>
          </w:tcPr>
          <w:p w14:paraId="3C19A1EF">
            <w:pPr>
              <w:pStyle w:val="124"/>
              <w:spacing w:line="240" w:lineRule="auto"/>
              <w:jc w:val="center"/>
              <w:rPr>
                <w:rFonts w:hint="eastAsia" w:hAnsi="宋体"/>
                <w:b/>
                <w:bCs/>
                <w:color w:val="auto"/>
                <w:sz w:val="21"/>
                <w:szCs w:val="21"/>
                <w:highlight w:val="yellow"/>
              </w:rPr>
            </w:pPr>
          </w:p>
        </w:tc>
        <w:tc>
          <w:tcPr>
            <w:tcW w:w="309" w:type="pct"/>
            <w:vMerge w:val="continue"/>
            <w:vAlign w:val="center"/>
          </w:tcPr>
          <w:p w14:paraId="3E662784">
            <w:pPr>
              <w:pStyle w:val="124"/>
              <w:spacing w:line="240" w:lineRule="auto"/>
              <w:jc w:val="center"/>
              <w:rPr>
                <w:rFonts w:hint="eastAsia" w:hAnsi="宋体"/>
                <w:b/>
                <w:bCs/>
                <w:color w:val="auto"/>
                <w:sz w:val="21"/>
                <w:szCs w:val="21"/>
                <w:highlight w:val="yellow"/>
              </w:rPr>
            </w:pPr>
          </w:p>
        </w:tc>
      </w:tr>
      <w:tr w14:paraId="1A44E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4E532BC8">
            <w:pPr>
              <w:autoSpaceDE w:val="0"/>
              <w:autoSpaceDN w:val="0"/>
              <w:spacing w:line="240" w:lineRule="auto"/>
              <w:jc w:val="center"/>
              <w:rPr>
                <w:color w:val="auto"/>
                <w:kern w:val="0"/>
                <w:sz w:val="21"/>
                <w:szCs w:val="21"/>
                <w:highlight w:val="none"/>
              </w:rPr>
            </w:pPr>
            <w:r>
              <w:rPr>
                <w:color w:val="auto"/>
                <w:kern w:val="0"/>
                <w:sz w:val="21"/>
                <w:szCs w:val="21"/>
                <w:highlight w:val="none"/>
              </w:rPr>
              <w:t>1</w:t>
            </w:r>
          </w:p>
        </w:tc>
        <w:tc>
          <w:tcPr>
            <w:tcW w:w="498" w:type="pct"/>
            <w:vAlign w:val="center"/>
          </w:tcPr>
          <w:p w14:paraId="67C37AC9">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lang w:val="en-US" w:eastAsia="zh-CN"/>
              </w:rPr>
              <w:t>变频式螺杆空压机</w:t>
            </w:r>
          </w:p>
        </w:tc>
        <w:tc>
          <w:tcPr>
            <w:tcW w:w="212" w:type="pct"/>
            <w:vAlign w:val="center"/>
          </w:tcPr>
          <w:p w14:paraId="514A56C5">
            <w:pPr>
              <w:autoSpaceDE w:val="0"/>
              <w:autoSpaceDN w:val="0"/>
              <w:spacing w:line="240" w:lineRule="auto"/>
              <w:jc w:val="center"/>
              <w:rPr>
                <w:rFonts w:hint="eastAsia" w:eastAsia="宋体"/>
                <w:color w:val="auto"/>
                <w:kern w:val="0"/>
                <w:sz w:val="21"/>
                <w:szCs w:val="21"/>
                <w:highlight w:val="none"/>
                <w:lang w:val="en-US" w:eastAsia="zh-CN"/>
              </w:rPr>
            </w:pPr>
            <w:r>
              <w:rPr>
                <w:rFonts w:hint="eastAsia"/>
                <w:color w:val="auto"/>
                <w:sz w:val="21"/>
                <w:szCs w:val="21"/>
                <w:highlight w:val="none"/>
                <w:lang w:val="en-US" w:eastAsia="zh-CN"/>
              </w:rPr>
              <w:t>1</w:t>
            </w:r>
          </w:p>
        </w:tc>
        <w:tc>
          <w:tcPr>
            <w:tcW w:w="177" w:type="pct"/>
            <w:vAlign w:val="center"/>
          </w:tcPr>
          <w:p w14:paraId="2BEFB708">
            <w:pPr>
              <w:pStyle w:val="124"/>
              <w:spacing w:line="240" w:lineRule="auto"/>
              <w:jc w:val="center"/>
              <w:rPr>
                <w:color w:val="auto"/>
                <w:sz w:val="21"/>
                <w:szCs w:val="21"/>
                <w:highlight w:val="none"/>
              </w:rPr>
            </w:pPr>
            <w:r>
              <w:rPr>
                <w:rFonts w:hint="eastAsia"/>
                <w:color w:val="auto"/>
                <w:sz w:val="21"/>
                <w:szCs w:val="21"/>
                <w:highlight w:val="none"/>
              </w:rPr>
              <w:t>35</w:t>
            </w:r>
          </w:p>
        </w:tc>
        <w:tc>
          <w:tcPr>
            <w:tcW w:w="177" w:type="pct"/>
            <w:vAlign w:val="center"/>
          </w:tcPr>
          <w:p w14:paraId="264D843A">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06D66224">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697FB3FA">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c>
          <w:tcPr>
            <w:tcW w:w="586" w:type="pct"/>
            <w:vAlign w:val="center"/>
          </w:tcPr>
          <w:p w14:paraId="632860CC">
            <w:pPr>
              <w:pStyle w:val="124"/>
              <w:spacing w:line="240" w:lineRule="auto"/>
              <w:jc w:val="center"/>
              <w:rPr>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restart"/>
            <w:vAlign w:val="center"/>
          </w:tcPr>
          <w:p w14:paraId="1F16704A">
            <w:pPr>
              <w:pStyle w:val="124"/>
              <w:spacing w:line="240" w:lineRule="auto"/>
              <w:jc w:val="center"/>
              <w:rPr>
                <w:color w:val="auto"/>
                <w:sz w:val="21"/>
                <w:szCs w:val="21"/>
                <w:highlight w:val="none"/>
              </w:rPr>
            </w:pPr>
            <w:r>
              <w:rPr>
                <w:rFonts w:hint="eastAsia"/>
                <w:color w:val="auto"/>
                <w:sz w:val="21"/>
                <w:szCs w:val="21"/>
                <w:highlight w:val="none"/>
              </w:rPr>
              <w:t>8h</w:t>
            </w:r>
          </w:p>
        </w:tc>
        <w:tc>
          <w:tcPr>
            <w:tcW w:w="406" w:type="pct"/>
            <w:vAlign w:val="center"/>
          </w:tcPr>
          <w:p w14:paraId="3ADE9C3A">
            <w:pPr>
              <w:pStyle w:val="124"/>
              <w:spacing w:line="240" w:lineRule="auto"/>
              <w:jc w:val="center"/>
              <w:rPr>
                <w:color w:val="auto"/>
                <w:sz w:val="21"/>
                <w:szCs w:val="21"/>
                <w:highlight w:val="none"/>
              </w:rPr>
            </w:pPr>
            <w:r>
              <w:rPr>
                <w:rFonts w:hint="eastAsia"/>
                <w:color w:val="auto"/>
                <w:sz w:val="21"/>
                <w:szCs w:val="21"/>
                <w:highlight w:val="none"/>
                <w:lang w:val="en-US" w:eastAsia="zh-CN"/>
              </w:rPr>
              <w:t>10</w:t>
            </w:r>
            <w:r>
              <w:rPr>
                <w:rFonts w:hint="eastAsia"/>
                <w:color w:val="auto"/>
                <w:sz w:val="21"/>
                <w:szCs w:val="21"/>
                <w:highlight w:val="none"/>
              </w:rPr>
              <w:t>m</w:t>
            </w:r>
          </w:p>
        </w:tc>
        <w:tc>
          <w:tcPr>
            <w:tcW w:w="508" w:type="pct"/>
            <w:vAlign w:val="center"/>
          </w:tcPr>
          <w:p w14:paraId="091C32A4">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505" w:type="pct"/>
            <w:vAlign w:val="center"/>
          </w:tcPr>
          <w:p w14:paraId="19CF81B1">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48AF1B0C">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309" w:type="pct"/>
            <w:vAlign w:val="center"/>
          </w:tcPr>
          <w:p w14:paraId="00AD7A99">
            <w:pPr>
              <w:pStyle w:val="124"/>
              <w:spacing w:line="240" w:lineRule="auto"/>
              <w:jc w:val="center"/>
              <w:rPr>
                <w:color w:val="auto"/>
                <w:sz w:val="21"/>
                <w:szCs w:val="21"/>
                <w:highlight w:val="none"/>
              </w:rPr>
            </w:pPr>
            <w:r>
              <w:rPr>
                <w:rFonts w:hint="eastAsia"/>
                <w:color w:val="auto"/>
                <w:sz w:val="21"/>
                <w:szCs w:val="21"/>
                <w:highlight w:val="none"/>
              </w:rPr>
              <w:t>10m</w:t>
            </w:r>
          </w:p>
        </w:tc>
      </w:tr>
      <w:tr w14:paraId="2D9BE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6167010B">
            <w:pPr>
              <w:autoSpaceDE w:val="0"/>
              <w:autoSpaceDN w:val="0"/>
              <w:spacing w:line="240" w:lineRule="auto"/>
              <w:jc w:val="center"/>
              <w:rPr>
                <w:color w:val="auto"/>
                <w:kern w:val="0"/>
                <w:sz w:val="21"/>
                <w:szCs w:val="21"/>
                <w:highlight w:val="none"/>
              </w:rPr>
            </w:pPr>
            <w:r>
              <w:rPr>
                <w:color w:val="auto"/>
                <w:kern w:val="0"/>
                <w:sz w:val="21"/>
                <w:szCs w:val="21"/>
                <w:highlight w:val="none"/>
              </w:rPr>
              <w:t>2</w:t>
            </w:r>
          </w:p>
        </w:tc>
        <w:tc>
          <w:tcPr>
            <w:tcW w:w="498" w:type="pct"/>
            <w:vAlign w:val="center"/>
          </w:tcPr>
          <w:p w14:paraId="479FF7B2">
            <w:pPr>
              <w:autoSpaceDE w:val="0"/>
              <w:autoSpaceDN w:val="0"/>
              <w:spacing w:line="240" w:lineRule="auto"/>
              <w:jc w:val="center"/>
              <w:rPr>
                <w:color w:val="auto"/>
                <w:kern w:val="0"/>
                <w:sz w:val="21"/>
                <w:szCs w:val="21"/>
                <w:highlight w:val="none"/>
              </w:rPr>
            </w:pPr>
            <w:r>
              <w:rPr>
                <w:rFonts w:hint="default"/>
                <w:color w:val="auto"/>
                <w:kern w:val="0"/>
                <w:sz w:val="21"/>
                <w:szCs w:val="21"/>
                <w:highlight w:val="none"/>
                <w:lang w:val="en-US" w:eastAsia="zh-CN"/>
              </w:rPr>
              <w:t>钢丝定尺裁断机</w:t>
            </w:r>
          </w:p>
        </w:tc>
        <w:tc>
          <w:tcPr>
            <w:tcW w:w="212" w:type="pct"/>
            <w:vAlign w:val="center"/>
          </w:tcPr>
          <w:p w14:paraId="5EEE5103">
            <w:pPr>
              <w:autoSpaceDE w:val="0"/>
              <w:autoSpaceDN w:val="0"/>
              <w:spacing w:line="240" w:lineRule="auto"/>
              <w:jc w:val="center"/>
              <w:rPr>
                <w:rFonts w:hint="eastAsia" w:eastAsia="宋体"/>
                <w:color w:val="auto"/>
                <w:kern w:val="0"/>
                <w:sz w:val="21"/>
                <w:szCs w:val="21"/>
                <w:highlight w:val="none"/>
                <w:lang w:eastAsia="zh-CN"/>
              </w:rPr>
            </w:pPr>
            <w:r>
              <w:rPr>
                <w:rFonts w:hint="eastAsia"/>
                <w:bCs/>
                <w:color w:val="auto"/>
                <w:sz w:val="21"/>
                <w:szCs w:val="21"/>
                <w:highlight w:val="none"/>
                <w:lang w:val="en-US" w:eastAsia="zh-CN"/>
              </w:rPr>
              <w:t>2</w:t>
            </w:r>
          </w:p>
        </w:tc>
        <w:tc>
          <w:tcPr>
            <w:tcW w:w="177" w:type="pct"/>
            <w:vAlign w:val="center"/>
          </w:tcPr>
          <w:p w14:paraId="77A6C8C3">
            <w:pPr>
              <w:pStyle w:val="124"/>
              <w:spacing w:line="240" w:lineRule="auto"/>
              <w:jc w:val="center"/>
              <w:rPr>
                <w:color w:val="auto"/>
                <w:sz w:val="21"/>
                <w:szCs w:val="21"/>
                <w:highlight w:val="none"/>
              </w:rPr>
            </w:pPr>
            <w:r>
              <w:rPr>
                <w:rFonts w:hint="eastAsia"/>
                <w:color w:val="auto"/>
                <w:sz w:val="21"/>
                <w:szCs w:val="21"/>
                <w:highlight w:val="none"/>
              </w:rPr>
              <w:t>35</w:t>
            </w:r>
          </w:p>
        </w:tc>
        <w:tc>
          <w:tcPr>
            <w:tcW w:w="177" w:type="pct"/>
            <w:vAlign w:val="center"/>
          </w:tcPr>
          <w:p w14:paraId="5470D786">
            <w:pPr>
              <w:pStyle w:val="124"/>
              <w:spacing w:line="240" w:lineRule="auto"/>
              <w:jc w:val="center"/>
              <w:rPr>
                <w:color w:val="auto"/>
                <w:sz w:val="21"/>
                <w:szCs w:val="21"/>
                <w:highlight w:val="none"/>
              </w:rPr>
            </w:pPr>
            <w:r>
              <w:rPr>
                <w:rFonts w:hint="eastAsia"/>
                <w:color w:val="auto"/>
                <w:sz w:val="21"/>
                <w:szCs w:val="21"/>
                <w:highlight w:val="none"/>
              </w:rPr>
              <w:t>30</w:t>
            </w:r>
          </w:p>
        </w:tc>
        <w:tc>
          <w:tcPr>
            <w:tcW w:w="179" w:type="pct"/>
            <w:vAlign w:val="center"/>
          </w:tcPr>
          <w:p w14:paraId="08092519">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61E0D565">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c>
          <w:tcPr>
            <w:tcW w:w="586" w:type="pct"/>
            <w:vAlign w:val="center"/>
          </w:tcPr>
          <w:p w14:paraId="09676F11">
            <w:pPr>
              <w:pStyle w:val="124"/>
              <w:spacing w:line="240" w:lineRule="auto"/>
              <w:jc w:val="center"/>
              <w:rPr>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601C9DD0">
            <w:pPr>
              <w:pStyle w:val="124"/>
              <w:spacing w:line="240" w:lineRule="auto"/>
              <w:jc w:val="center"/>
              <w:rPr>
                <w:color w:val="auto"/>
                <w:sz w:val="21"/>
                <w:szCs w:val="21"/>
                <w:highlight w:val="none"/>
              </w:rPr>
            </w:pPr>
          </w:p>
        </w:tc>
        <w:tc>
          <w:tcPr>
            <w:tcW w:w="406" w:type="pct"/>
            <w:vAlign w:val="center"/>
          </w:tcPr>
          <w:p w14:paraId="44DF2F12">
            <w:pPr>
              <w:pStyle w:val="124"/>
              <w:spacing w:line="240" w:lineRule="auto"/>
              <w:jc w:val="center"/>
              <w:rPr>
                <w:color w:val="auto"/>
                <w:sz w:val="21"/>
                <w:szCs w:val="21"/>
                <w:highlight w:val="none"/>
              </w:rPr>
            </w:pPr>
            <w:r>
              <w:rPr>
                <w:rFonts w:hint="eastAsia"/>
                <w:color w:val="auto"/>
                <w:sz w:val="21"/>
                <w:szCs w:val="21"/>
                <w:highlight w:val="none"/>
              </w:rPr>
              <w:t>15 m</w:t>
            </w:r>
          </w:p>
        </w:tc>
        <w:tc>
          <w:tcPr>
            <w:tcW w:w="508" w:type="pct"/>
            <w:vAlign w:val="center"/>
          </w:tcPr>
          <w:p w14:paraId="411D9EB4">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505" w:type="pct"/>
            <w:vAlign w:val="center"/>
          </w:tcPr>
          <w:p w14:paraId="285E3F13">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42A69405">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309" w:type="pct"/>
            <w:vAlign w:val="center"/>
          </w:tcPr>
          <w:p w14:paraId="0B894EAC">
            <w:pPr>
              <w:pStyle w:val="124"/>
              <w:spacing w:line="240" w:lineRule="auto"/>
              <w:jc w:val="center"/>
              <w:rPr>
                <w:color w:val="auto"/>
                <w:sz w:val="21"/>
                <w:szCs w:val="21"/>
                <w:highlight w:val="none"/>
              </w:rPr>
            </w:pPr>
            <w:r>
              <w:rPr>
                <w:rFonts w:hint="eastAsia"/>
                <w:color w:val="auto"/>
                <w:sz w:val="21"/>
                <w:szCs w:val="21"/>
                <w:highlight w:val="none"/>
              </w:rPr>
              <w:t>10m</w:t>
            </w:r>
          </w:p>
        </w:tc>
      </w:tr>
      <w:tr w14:paraId="1423E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502963A6">
            <w:pPr>
              <w:autoSpaceDE w:val="0"/>
              <w:autoSpaceDN w:val="0"/>
              <w:spacing w:line="240" w:lineRule="auto"/>
              <w:jc w:val="center"/>
              <w:rPr>
                <w:color w:val="auto"/>
                <w:kern w:val="0"/>
                <w:sz w:val="21"/>
                <w:szCs w:val="21"/>
                <w:highlight w:val="none"/>
              </w:rPr>
            </w:pPr>
            <w:r>
              <w:rPr>
                <w:color w:val="auto"/>
                <w:kern w:val="0"/>
                <w:sz w:val="21"/>
                <w:szCs w:val="21"/>
                <w:highlight w:val="none"/>
              </w:rPr>
              <w:t>3</w:t>
            </w:r>
          </w:p>
        </w:tc>
        <w:tc>
          <w:tcPr>
            <w:tcW w:w="498" w:type="pct"/>
            <w:vAlign w:val="center"/>
          </w:tcPr>
          <w:p w14:paraId="5EE0A754">
            <w:pPr>
              <w:autoSpaceDE w:val="0"/>
              <w:autoSpaceDN w:val="0"/>
              <w:spacing w:line="240" w:lineRule="auto"/>
              <w:jc w:val="center"/>
              <w:rPr>
                <w:color w:val="auto"/>
                <w:kern w:val="0"/>
                <w:sz w:val="21"/>
                <w:szCs w:val="21"/>
                <w:highlight w:val="none"/>
              </w:rPr>
            </w:pPr>
            <w:r>
              <w:rPr>
                <w:rFonts w:hint="default"/>
                <w:color w:val="auto"/>
                <w:kern w:val="0"/>
                <w:sz w:val="21"/>
                <w:szCs w:val="21"/>
                <w:highlight w:val="none"/>
                <w:lang w:val="en-US" w:eastAsia="zh-CN"/>
              </w:rPr>
              <w:t>弯箍机</w:t>
            </w:r>
          </w:p>
        </w:tc>
        <w:tc>
          <w:tcPr>
            <w:tcW w:w="212" w:type="pct"/>
            <w:vAlign w:val="center"/>
          </w:tcPr>
          <w:p w14:paraId="6B801B0D">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2C9AC440">
            <w:pPr>
              <w:pStyle w:val="124"/>
              <w:spacing w:line="240" w:lineRule="auto"/>
              <w:jc w:val="center"/>
              <w:rPr>
                <w:color w:val="auto"/>
                <w:sz w:val="21"/>
                <w:szCs w:val="21"/>
                <w:highlight w:val="none"/>
              </w:rPr>
            </w:pPr>
            <w:r>
              <w:rPr>
                <w:rFonts w:hint="eastAsia"/>
                <w:color w:val="auto"/>
                <w:sz w:val="21"/>
                <w:szCs w:val="21"/>
                <w:highlight w:val="none"/>
              </w:rPr>
              <w:t>35</w:t>
            </w:r>
          </w:p>
        </w:tc>
        <w:tc>
          <w:tcPr>
            <w:tcW w:w="177" w:type="pct"/>
            <w:vAlign w:val="center"/>
          </w:tcPr>
          <w:p w14:paraId="48678EE9">
            <w:pPr>
              <w:pStyle w:val="124"/>
              <w:spacing w:line="240" w:lineRule="auto"/>
              <w:jc w:val="center"/>
              <w:rPr>
                <w:color w:val="auto"/>
                <w:sz w:val="21"/>
                <w:szCs w:val="21"/>
                <w:highlight w:val="none"/>
              </w:rPr>
            </w:pPr>
            <w:r>
              <w:rPr>
                <w:rFonts w:hint="eastAsia"/>
                <w:color w:val="auto"/>
                <w:sz w:val="21"/>
                <w:szCs w:val="21"/>
                <w:highlight w:val="none"/>
              </w:rPr>
              <w:t>25</w:t>
            </w:r>
          </w:p>
        </w:tc>
        <w:tc>
          <w:tcPr>
            <w:tcW w:w="179" w:type="pct"/>
            <w:vAlign w:val="center"/>
          </w:tcPr>
          <w:p w14:paraId="47E25B4F">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51D5B74C">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c>
          <w:tcPr>
            <w:tcW w:w="586" w:type="pct"/>
            <w:vAlign w:val="center"/>
          </w:tcPr>
          <w:p w14:paraId="0EE5B109">
            <w:pPr>
              <w:pStyle w:val="124"/>
              <w:spacing w:line="240" w:lineRule="auto"/>
              <w:jc w:val="center"/>
              <w:rPr>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1CC55241">
            <w:pPr>
              <w:pStyle w:val="124"/>
              <w:spacing w:line="240" w:lineRule="auto"/>
              <w:jc w:val="center"/>
              <w:rPr>
                <w:color w:val="auto"/>
                <w:sz w:val="21"/>
                <w:szCs w:val="21"/>
                <w:highlight w:val="none"/>
              </w:rPr>
            </w:pPr>
          </w:p>
        </w:tc>
        <w:tc>
          <w:tcPr>
            <w:tcW w:w="406" w:type="pct"/>
            <w:vAlign w:val="center"/>
          </w:tcPr>
          <w:p w14:paraId="58F152FD">
            <w:pPr>
              <w:pStyle w:val="124"/>
              <w:spacing w:line="240" w:lineRule="auto"/>
              <w:jc w:val="center"/>
              <w:rPr>
                <w:color w:val="auto"/>
                <w:sz w:val="21"/>
                <w:szCs w:val="21"/>
                <w:highlight w:val="none"/>
              </w:rPr>
            </w:pPr>
            <w:r>
              <w:rPr>
                <w:rFonts w:hint="eastAsia"/>
                <w:color w:val="auto"/>
                <w:sz w:val="21"/>
                <w:szCs w:val="21"/>
                <w:highlight w:val="none"/>
              </w:rPr>
              <w:t>15 m</w:t>
            </w:r>
          </w:p>
        </w:tc>
        <w:tc>
          <w:tcPr>
            <w:tcW w:w="508" w:type="pct"/>
            <w:vAlign w:val="center"/>
          </w:tcPr>
          <w:p w14:paraId="3D09A9C6">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505" w:type="pct"/>
            <w:vAlign w:val="center"/>
          </w:tcPr>
          <w:p w14:paraId="36C2E00E">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6D1A4BBB">
            <w:pPr>
              <w:pStyle w:val="124"/>
              <w:spacing w:line="240" w:lineRule="auto"/>
              <w:jc w:val="center"/>
              <w:rPr>
                <w:color w:val="auto"/>
                <w:sz w:val="21"/>
                <w:szCs w:val="21"/>
                <w:highlight w:val="none"/>
              </w:rPr>
            </w:pPr>
            <w:r>
              <w:rPr>
                <w:rFonts w:hint="eastAsia"/>
                <w:color w:val="auto"/>
                <w:sz w:val="21"/>
                <w:szCs w:val="21"/>
                <w:highlight w:val="none"/>
              </w:rPr>
              <w:t>55</w:t>
            </w:r>
          </w:p>
        </w:tc>
        <w:tc>
          <w:tcPr>
            <w:tcW w:w="309" w:type="pct"/>
            <w:vAlign w:val="center"/>
          </w:tcPr>
          <w:p w14:paraId="24D82C30">
            <w:pPr>
              <w:spacing w:line="240" w:lineRule="auto"/>
              <w:jc w:val="center"/>
              <w:rPr>
                <w:color w:val="auto"/>
                <w:sz w:val="21"/>
                <w:szCs w:val="21"/>
                <w:highlight w:val="none"/>
              </w:rPr>
            </w:pPr>
            <w:r>
              <w:rPr>
                <w:rFonts w:hint="eastAsia"/>
                <w:color w:val="auto"/>
                <w:sz w:val="21"/>
                <w:szCs w:val="21"/>
                <w:highlight w:val="none"/>
              </w:rPr>
              <w:t>10m</w:t>
            </w:r>
          </w:p>
        </w:tc>
      </w:tr>
      <w:tr w14:paraId="2B4F9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4138AE81">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4</w:t>
            </w:r>
          </w:p>
        </w:tc>
        <w:tc>
          <w:tcPr>
            <w:tcW w:w="498" w:type="pct"/>
            <w:vAlign w:val="center"/>
          </w:tcPr>
          <w:p w14:paraId="368B6D8B">
            <w:pPr>
              <w:autoSpaceDE w:val="0"/>
              <w:autoSpaceDN w:val="0"/>
              <w:spacing w:line="240" w:lineRule="auto"/>
              <w:jc w:val="center"/>
              <w:rPr>
                <w:color w:val="auto"/>
                <w:kern w:val="0"/>
                <w:sz w:val="21"/>
                <w:szCs w:val="21"/>
                <w:highlight w:val="none"/>
              </w:rPr>
            </w:pPr>
            <w:r>
              <w:rPr>
                <w:rFonts w:hint="eastAsia"/>
                <w:color w:val="auto"/>
                <w:sz w:val="21"/>
                <w:szCs w:val="21"/>
                <w:lang w:val="en-US" w:eastAsia="zh-CN"/>
              </w:rPr>
              <w:t>自动张拉/放张机</w:t>
            </w:r>
          </w:p>
        </w:tc>
        <w:tc>
          <w:tcPr>
            <w:tcW w:w="212" w:type="pct"/>
            <w:vAlign w:val="center"/>
          </w:tcPr>
          <w:p w14:paraId="1DF64FCE">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2</w:t>
            </w:r>
          </w:p>
        </w:tc>
        <w:tc>
          <w:tcPr>
            <w:tcW w:w="177" w:type="pct"/>
            <w:vAlign w:val="center"/>
          </w:tcPr>
          <w:p w14:paraId="0D60514E">
            <w:pPr>
              <w:pStyle w:val="124"/>
              <w:spacing w:line="240" w:lineRule="auto"/>
              <w:jc w:val="center"/>
              <w:rPr>
                <w:color w:val="auto"/>
                <w:sz w:val="21"/>
                <w:szCs w:val="21"/>
                <w:highlight w:val="none"/>
              </w:rPr>
            </w:pPr>
            <w:r>
              <w:rPr>
                <w:rFonts w:hint="eastAsia"/>
                <w:color w:val="auto"/>
                <w:sz w:val="21"/>
                <w:szCs w:val="21"/>
                <w:highlight w:val="none"/>
              </w:rPr>
              <w:t>25</w:t>
            </w:r>
          </w:p>
        </w:tc>
        <w:tc>
          <w:tcPr>
            <w:tcW w:w="177" w:type="pct"/>
            <w:vAlign w:val="center"/>
          </w:tcPr>
          <w:p w14:paraId="431BCB0B">
            <w:pPr>
              <w:pStyle w:val="124"/>
              <w:spacing w:line="240" w:lineRule="auto"/>
              <w:jc w:val="center"/>
              <w:rPr>
                <w:color w:val="auto"/>
                <w:sz w:val="21"/>
                <w:szCs w:val="21"/>
                <w:highlight w:val="none"/>
              </w:rPr>
            </w:pPr>
            <w:r>
              <w:rPr>
                <w:rFonts w:hint="eastAsia"/>
                <w:color w:val="auto"/>
                <w:sz w:val="21"/>
                <w:szCs w:val="21"/>
                <w:highlight w:val="none"/>
              </w:rPr>
              <w:t>15</w:t>
            </w:r>
          </w:p>
        </w:tc>
        <w:tc>
          <w:tcPr>
            <w:tcW w:w="179" w:type="pct"/>
            <w:vAlign w:val="center"/>
          </w:tcPr>
          <w:p w14:paraId="1C493732">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3FD7369B">
            <w:pPr>
              <w:pStyle w:val="124"/>
              <w:spacing w:line="240" w:lineRule="auto"/>
              <w:jc w:val="center"/>
              <w:rPr>
                <w:rFonts w:hint="eastAsia" w:hAnsi="宋体" w:eastAsia="宋体"/>
                <w:color w:val="auto"/>
                <w:sz w:val="21"/>
                <w:szCs w:val="21"/>
                <w:highlight w:val="none"/>
                <w:lang w:eastAsia="zh-CN"/>
              </w:rPr>
            </w:pPr>
            <w:r>
              <w:rPr>
                <w:rFonts w:hint="eastAsia"/>
                <w:color w:val="auto"/>
                <w:sz w:val="21"/>
                <w:szCs w:val="21"/>
                <w:highlight w:val="none"/>
                <w:lang w:val="en-US" w:eastAsia="zh-CN"/>
              </w:rPr>
              <w:t>85</w:t>
            </w:r>
          </w:p>
        </w:tc>
        <w:tc>
          <w:tcPr>
            <w:tcW w:w="586" w:type="pct"/>
            <w:vAlign w:val="center"/>
          </w:tcPr>
          <w:p w14:paraId="3E56B00D">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1EACB11A">
            <w:pPr>
              <w:pStyle w:val="124"/>
              <w:spacing w:line="240" w:lineRule="auto"/>
              <w:jc w:val="center"/>
              <w:rPr>
                <w:color w:val="auto"/>
                <w:sz w:val="21"/>
                <w:szCs w:val="21"/>
                <w:highlight w:val="none"/>
              </w:rPr>
            </w:pPr>
          </w:p>
        </w:tc>
        <w:tc>
          <w:tcPr>
            <w:tcW w:w="406" w:type="pct"/>
            <w:vAlign w:val="center"/>
          </w:tcPr>
          <w:p w14:paraId="6212E5C5">
            <w:pPr>
              <w:pStyle w:val="124"/>
              <w:spacing w:line="240" w:lineRule="auto"/>
              <w:jc w:val="center"/>
              <w:rPr>
                <w:color w:val="auto"/>
                <w:sz w:val="21"/>
                <w:szCs w:val="21"/>
                <w:highlight w:val="none"/>
              </w:rPr>
            </w:pPr>
            <w:r>
              <w:rPr>
                <w:rFonts w:hint="eastAsia"/>
                <w:color w:val="auto"/>
                <w:sz w:val="21"/>
                <w:szCs w:val="21"/>
                <w:highlight w:val="none"/>
              </w:rPr>
              <w:t>25 m</w:t>
            </w:r>
          </w:p>
        </w:tc>
        <w:tc>
          <w:tcPr>
            <w:tcW w:w="508" w:type="pct"/>
            <w:vAlign w:val="center"/>
          </w:tcPr>
          <w:p w14:paraId="0A05A0AB">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505" w:type="pct"/>
            <w:vAlign w:val="center"/>
          </w:tcPr>
          <w:p w14:paraId="14F17B64">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0F1778CF">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309" w:type="pct"/>
            <w:vAlign w:val="center"/>
          </w:tcPr>
          <w:p w14:paraId="128249A3">
            <w:pPr>
              <w:spacing w:line="240" w:lineRule="auto"/>
              <w:jc w:val="center"/>
              <w:rPr>
                <w:color w:val="auto"/>
                <w:sz w:val="21"/>
                <w:szCs w:val="21"/>
                <w:highlight w:val="none"/>
              </w:rPr>
            </w:pPr>
            <w:r>
              <w:rPr>
                <w:rFonts w:hint="eastAsia"/>
                <w:color w:val="auto"/>
                <w:sz w:val="21"/>
                <w:szCs w:val="21"/>
                <w:highlight w:val="none"/>
              </w:rPr>
              <w:t>10m</w:t>
            </w:r>
          </w:p>
        </w:tc>
      </w:tr>
      <w:tr w14:paraId="52BCF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27EDBBFC">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5</w:t>
            </w:r>
          </w:p>
        </w:tc>
        <w:tc>
          <w:tcPr>
            <w:tcW w:w="498" w:type="pct"/>
            <w:vAlign w:val="center"/>
          </w:tcPr>
          <w:p w14:paraId="665183EB">
            <w:pPr>
              <w:autoSpaceDE w:val="0"/>
              <w:autoSpaceDN w:val="0"/>
              <w:spacing w:line="240" w:lineRule="auto"/>
              <w:jc w:val="center"/>
              <w:rPr>
                <w:color w:val="auto"/>
                <w:kern w:val="0"/>
                <w:sz w:val="21"/>
                <w:szCs w:val="21"/>
                <w:highlight w:val="none"/>
              </w:rPr>
            </w:pPr>
            <w:r>
              <w:rPr>
                <w:rFonts w:hint="eastAsia" w:ascii="宋体" w:hAnsi="宋体" w:eastAsia="宋体" w:cs="宋体"/>
                <w:color w:val="auto"/>
                <w:sz w:val="21"/>
                <w:szCs w:val="21"/>
                <w:lang w:val="en-US" w:eastAsia="zh-CN"/>
              </w:rPr>
              <w:t>钢模自动吊架</w:t>
            </w:r>
          </w:p>
        </w:tc>
        <w:tc>
          <w:tcPr>
            <w:tcW w:w="212" w:type="pct"/>
            <w:vAlign w:val="center"/>
          </w:tcPr>
          <w:p w14:paraId="603EB240">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60491FF5">
            <w:pPr>
              <w:pStyle w:val="124"/>
              <w:spacing w:line="240" w:lineRule="auto"/>
              <w:jc w:val="center"/>
              <w:rPr>
                <w:color w:val="auto"/>
                <w:sz w:val="21"/>
                <w:szCs w:val="21"/>
                <w:highlight w:val="none"/>
              </w:rPr>
            </w:pPr>
            <w:r>
              <w:rPr>
                <w:rFonts w:hint="eastAsia"/>
                <w:color w:val="auto"/>
                <w:sz w:val="21"/>
                <w:szCs w:val="21"/>
                <w:highlight w:val="none"/>
              </w:rPr>
              <w:t>24</w:t>
            </w:r>
          </w:p>
        </w:tc>
        <w:tc>
          <w:tcPr>
            <w:tcW w:w="177" w:type="pct"/>
            <w:vAlign w:val="center"/>
          </w:tcPr>
          <w:p w14:paraId="705BEA9E">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1144AFD4">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131A1862">
            <w:pPr>
              <w:pStyle w:val="124"/>
              <w:spacing w:line="240" w:lineRule="auto"/>
              <w:jc w:val="center"/>
              <w:rPr>
                <w:rFonts w:hint="eastAsia" w:hAnsi="宋体" w:eastAsia="宋体"/>
                <w:color w:val="auto"/>
                <w:sz w:val="21"/>
                <w:szCs w:val="21"/>
                <w:highlight w:val="none"/>
                <w:lang w:eastAsia="zh-CN"/>
              </w:rPr>
            </w:pPr>
            <w:r>
              <w:rPr>
                <w:rFonts w:hint="eastAsia"/>
                <w:color w:val="auto"/>
                <w:sz w:val="21"/>
                <w:szCs w:val="21"/>
                <w:highlight w:val="none"/>
                <w:lang w:val="en-US" w:eastAsia="zh-CN"/>
              </w:rPr>
              <w:t>80</w:t>
            </w:r>
          </w:p>
        </w:tc>
        <w:tc>
          <w:tcPr>
            <w:tcW w:w="586" w:type="pct"/>
            <w:vAlign w:val="center"/>
          </w:tcPr>
          <w:p w14:paraId="6B261C33">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3014BE00">
            <w:pPr>
              <w:pStyle w:val="124"/>
              <w:spacing w:line="240" w:lineRule="auto"/>
              <w:jc w:val="center"/>
              <w:rPr>
                <w:color w:val="auto"/>
                <w:sz w:val="21"/>
                <w:szCs w:val="21"/>
                <w:highlight w:val="none"/>
              </w:rPr>
            </w:pPr>
          </w:p>
        </w:tc>
        <w:tc>
          <w:tcPr>
            <w:tcW w:w="406" w:type="pct"/>
            <w:vAlign w:val="center"/>
          </w:tcPr>
          <w:p w14:paraId="26C9C804">
            <w:pPr>
              <w:pStyle w:val="124"/>
              <w:spacing w:line="240" w:lineRule="auto"/>
              <w:jc w:val="center"/>
              <w:rPr>
                <w:color w:val="auto"/>
                <w:sz w:val="21"/>
                <w:szCs w:val="21"/>
                <w:highlight w:val="none"/>
              </w:rPr>
            </w:pPr>
            <w:r>
              <w:rPr>
                <w:rFonts w:hint="eastAsia"/>
                <w:color w:val="auto"/>
                <w:sz w:val="21"/>
                <w:szCs w:val="21"/>
                <w:highlight w:val="none"/>
                <w:lang w:val="en-US" w:eastAsia="zh-CN"/>
              </w:rPr>
              <w:t>27</w:t>
            </w:r>
            <w:r>
              <w:rPr>
                <w:rFonts w:hint="eastAsia"/>
                <w:color w:val="auto"/>
                <w:sz w:val="21"/>
                <w:szCs w:val="21"/>
                <w:highlight w:val="none"/>
              </w:rPr>
              <w:t xml:space="preserve"> m</w:t>
            </w:r>
          </w:p>
        </w:tc>
        <w:tc>
          <w:tcPr>
            <w:tcW w:w="508" w:type="pct"/>
            <w:vAlign w:val="center"/>
          </w:tcPr>
          <w:p w14:paraId="260AF5E8">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505" w:type="pct"/>
            <w:vAlign w:val="center"/>
          </w:tcPr>
          <w:p w14:paraId="0D887E74">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4867F252">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56C806E2">
            <w:pPr>
              <w:spacing w:line="240" w:lineRule="auto"/>
              <w:jc w:val="center"/>
              <w:rPr>
                <w:color w:val="auto"/>
                <w:sz w:val="21"/>
                <w:szCs w:val="21"/>
                <w:highlight w:val="none"/>
              </w:rPr>
            </w:pPr>
            <w:r>
              <w:rPr>
                <w:rFonts w:hint="eastAsia"/>
                <w:color w:val="auto"/>
                <w:sz w:val="21"/>
                <w:szCs w:val="21"/>
                <w:highlight w:val="none"/>
              </w:rPr>
              <w:t>10m</w:t>
            </w:r>
          </w:p>
        </w:tc>
      </w:tr>
      <w:tr w14:paraId="22C95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3654E320">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6</w:t>
            </w:r>
          </w:p>
        </w:tc>
        <w:tc>
          <w:tcPr>
            <w:tcW w:w="498" w:type="pct"/>
            <w:vAlign w:val="center"/>
          </w:tcPr>
          <w:p w14:paraId="719A157E">
            <w:pPr>
              <w:autoSpaceDE w:val="0"/>
              <w:autoSpaceDN w:val="0"/>
              <w:spacing w:line="240" w:lineRule="auto"/>
              <w:jc w:val="center"/>
              <w:rPr>
                <w:color w:val="auto"/>
                <w:kern w:val="0"/>
                <w:sz w:val="21"/>
                <w:szCs w:val="21"/>
                <w:highlight w:val="none"/>
              </w:rPr>
            </w:pPr>
            <w:r>
              <w:rPr>
                <w:rFonts w:hint="eastAsia" w:ascii="宋体" w:hAnsi="宋体" w:eastAsia="宋体" w:cs="宋体"/>
                <w:color w:val="auto"/>
                <w:sz w:val="21"/>
                <w:szCs w:val="21"/>
                <w:lang w:val="en-US" w:eastAsia="zh-CN"/>
              </w:rPr>
              <w:t>钢模摆渡车</w:t>
            </w:r>
          </w:p>
        </w:tc>
        <w:tc>
          <w:tcPr>
            <w:tcW w:w="212" w:type="pct"/>
            <w:vAlign w:val="center"/>
          </w:tcPr>
          <w:p w14:paraId="3F377EEE">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4F0D498D">
            <w:pPr>
              <w:pStyle w:val="124"/>
              <w:spacing w:line="240" w:lineRule="auto"/>
              <w:jc w:val="center"/>
              <w:rPr>
                <w:color w:val="auto"/>
                <w:sz w:val="21"/>
                <w:szCs w:val="21"/>
                <w:highlight w:val="none"/>
              </w:rPr>
            </w:pPr>
            <w:r>
              <w:rPr>
                <w:rFonts w:hint="eastAsia"/>
                <w:color w:val="auto"/>
                <w:sz w:val="21"/>
                <w:szCs w:val="21"/>
                <w:highlight w:val="none"/>
              </w:rPr>
              <w:t>28</w:t>
            </w:r>
          </w:p>
        </w:tc>
        <w:tc>
          <w:tcPr>
            <w:tcW w:w="177" w:type="pct"/>
            <w:vAlign w:val="center"/>
          </w:tcPr>
          <w:p w14:paraId="4BCB7EF0">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58D1996C">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7BF7B513">
            <w:pPr>
              <w:pStyle w:val="124"/>
              <w:spacing w:line="240" w:lineRule="auto"/>
              <w:jc w:val="center"/>
              <w:rPr>
                <w:rFonts w:hint="eastAsia" w:hAnsi="宋体"/>
                <w:color w:val="auto"/>
                <w:sz w:val="21"/>
                <w:szCs w:val="21"/>
                <w:highlight w:val="none"/>
              </w:rPr>
            </w:pPr>
            <w:r>
              <w:rPr>
                <w:rFonts w:hint="eastAsia"/>
                <w:color w:val="auto"/>
                <w:sz w:val="21"/>
                <w:szCs w:val="21"/>
                <w:highlight w:val="none"/>
              </w:rPr>
              <w:t>70</w:t>
            </w:r>
          </w:p>
        </w:tc>
        <w:tc>
          <w:tcPr>
            <w:tcW w:w="586" w:type="pct"/>
            <w:vAlign w:val="center"/>
          </w:tcPr>
          <w:p w14:paraId="68EA88DE">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0891AD4E">
            <w:pPr>
              <w:pStyle w:val="124"/>
              <w:spacing w:line="240" w:lineRule="auto"/>
              <w:jc w:val="center"/>
              <w:rPr>
                <w:color w:val="auto"/>
                <w:sz w:val="21"/>
                <w:szCs w:val="21"/>
                <w:highlight w:val="none"/>
              </w:rPr>
            </w:pPr>
          </w:p>
        </w:tc>
        <w:tc>
          <w:tcPr>
            <w:tcW w:w="406" w:type="pct"/>
            <w:vAlign w:val="center"/>
          </w:tcPr>
          <w:p w14:paraId="57B23817">
            <w:pPr>
              <w:pStyle w:val="124"/>
              <w:spacing w:line="240" w:lineRule="auto"/>
              <w:jc w:val="center"/>
              <w:rPr>
                <w:color w:val="auto"/>
                <w:sz w:val="21"/>
                <w:szCs w:val="21"/>
                <w:highlight w:val="none"/>
              </w:rPr>
            </w:pPr>
            <w:r>
              <w:rPr>
                <w:rFonts w:hint="eastAsia"/>
                <w:color w:val="auto"/>
                <w:sz w:val="21"/>
                <w:szCs w:val="21"/>
                <w:highlight w:val="none"/>
              </w:rPr>
              <w:t>2</w:t>
            </w:r>
            <w:r>
              <w:rPr>
                <w:rFonts w:hint="eastAsia"/>
                <w:color w:val="auto"/>
                <w:sz w:val="21"/>
                <w:szCs w:val="21"/>
                <w:highlight w:val="none"/>
                <w:lang w:val="en-US" w:eastAsia="zh-CN"/>
              </w:rPr>
              <w:t>7</w:t>
            </w:r>
            <w:r>
              <w:rPr>
                <w:rFonts w:hint="eastAsia"/>
                <w:color w:val="auto"/>
                <w:sz w:val="21"/>
                <w:szCs w:val="21"/>
                <w:highlight w:val="none"/>
              </w:rPr>
              <w:t xml:space="preserve"> m</w:t>
            </w:r>
          </w:p>
        </w:tc>
        <w:tc>
          <w:tcPr>
            <w:tcW w:w="508" w:type="pct"/>
            <w:vAlign w:val="center"/>
          </w:tcPr>
          <w:p w14:paraId="6B1EB161">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05" w:type="pct"/>
            <w:vAlign w:val="center"/>
          </w:tcPr>
          <w:p w14:paraId="1387CD14">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5BD32F09">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4FC06401">
            <w:pPr>
              <w:spacing w:line="240" w:lineRule="auto"/>
              <w:jc w:val="center"/>
              <w:rPr>
                <w:color w:val="auto"/>
                <w:sz w:val="21"/>
                <w:szCs w:val="21"/>
                <w:highlight w:val="none"/>
              </w:rPr>
            </w:pPr>
            <w:r>
              <w:rPr>
                <w:rFonts w:hint="eastAsia"/>
                <w:color w:val="auto"/>
                <w:sz w:val="21"/>
                <w:szCs w:val="21"/>
                <w:highlight w:val="none"/>
              </w:rPr>
              <w:t>10m</w:t>
            </w:r>
          </w:p>
        </w:tc>
      </w:tr>
      <w:tr w14:paraId="44D21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22314F3C">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7</w:t>
            </w:r>
          </w:p>
        </w:tc>
        <w:tc>
          <w:tcPr>
            <w:tcW w:w="498" w:type="pct"/>
            <w:vAlign w:val="center"/>
          </w:tcPr>
          <w:p w14:paraId="58B97B0D">
            <w:pPr>
              <w:autoSpaceDE w:val="0"/>
              <w:autoSpaceDN w:val="0"/>
              <w:spacing w:line="240" w:lineRule="auto"/>
              <w:jc w:val="center"/>
              <w:rPr>
                <w:color w:val="auto"/>
                <w:kern w:val="0"/>
                <w:sz w:val="21"/>
                <w:szCs w:val="21"/>
                <w:highlight w:val="none"/>
              </w:rPr>
            </w:pPr>
            <w:r>
              <w:rPr>
                <w:rFonts w:hint="eastAsia" w:ascii="宋体" w:hAnsi="宋体" w:cs="宋体"/>
                <w:color w:val="auto"/>
                <w:sz w:val="21"/>
                <w:szCs w:val="21"/>
                <w:lang w:val="en-US" w:eastAsia="zh-CN"/>
              </w:rPr>
              <w:t>脱模机</w:t>
            </w:r>
          </w:p>
        </w:tc>
        <w:tc>
          <w:tcPr>
            <w:tcW w:w="212" w:type="pct"/>
            <w:vAlign w:val="center"/>
          </w:tcPr>
          <w:p w14:paraId="5EB27BC9">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0043B49A">
            <w:pPr>
              <w:pStyle w:val="124"/>
              <w:spacing w:line="240" w:lineRule="auto"/>
              <w:jc w:val="center"/>
              <w:rPr>
                <w:color w:val="auto"/>
                <w:sz w:val="21"/>
                <w:szCs w:val="21"/>
                <w:highlight w:val="none"/>
              </w:rPr>
            </w:pPr>
            <w:r>
              <w:rPr>
                <w:rFonts w:hint="eastAsia"/>
                <w:color w:val="auto"/>
                <w:sz w:val="21"/>
                <w:szCs w:val="21"/>
                <w:highlight w:val="none"/>
              </w:rPr>
              <w:t>30</w:t>
            </w:r>
          </w:p>
        </w:tc>
        <w:tc>
          <w:tcPr>
            <w:tcW w:w="177" w:type="pct"/>
            <w:vAlign w:val="center"/>
          </w:tcPr>
          <w:p w14:paraId="40741E9C">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41C71606">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0DA4B3C2">
            <w:pPr>
              <w:pStyle w:val="124"/>
              <w:spacing w:line="240" w:lineRule="auto"/>
              <w:jc w:val="center"/>
              <w:rPr>
                <w:rFonts w:hint="eastAsia" w:hAnsi="宋体"/>
                <w:color w:val="auto"/>
                <w:sz w:val="21"/>
                <w:szCs w:val="21"/>
                <w:highlight w:val="none"/>
              </w:rPr>
            </w:pPr>
            <w:r>
              <w:rPr>
                <w:rFonts w:hint="eastAsia"/>
                <w:color w:val="auto"/>
                <w:sz w:val="21"/>
                <w:szCs w:val="21"/>
                <w:highlight w:val="none"/>
              </w:rPr>
              <w:t>70</w:t>
            </w:r>
          </w:p>
        </w:tc>
        <w:tc>
          <w:tcPr>
            <w:tcW w:w="586" w:type="pct"/>
            <w:vAlign w:val="center"/>
          </w:tcPr>
          <w:p w14:paraId="0290C936">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0783C4C8">
            <w:pPr>
              <w:pStyle w:val="124"/>
              <w:spacing w:line="240" w:lineRule="auto"/>
              <w:jc w:val="center"/>
              <w:rPr>
                <w:color w:val="auto"/>
                <w:sz w:val="21"/>
                <w:szCs w:val="21"/>
                <w:highlight w:val="none"/>
              </w:rPr>
            </w:pPr>
          </w:p>
        </w:tc>
        <w:tc>
          <w:tcPr>
            <w:tcW w:w="406" w:type="pct"/>
            <w:vAlign w:val="center"/>
          </w:tcPr>
          <w:p w14:paraId="6520EDEB">
            <w:pPr>
              <w:pStyle w:val="124"/>
              <w:spacing w:line="240" w:lineRule="auto"/>
              <w:jc w:val="center"/>
              <w:rPr>
                <w:color w:val="auto"/>
                <w:sz w:val="21"/>
                <w:szCs w:val="21"/>
                <w:highlight w:val="none"/>
              </w:rPr>
            </w:pPr>
            <w:r>
              <w:rPr>
                <w:rFonts w:hint="eastAsia"/>
                <w:color w:val="auto"/>
                <w:sz w:val="21"/>
                <w:szCs w:val="21"/>
                <w:highlight w:val="none"/>
                <w:lang w:val="en-US" w:eastAsia="zh-CN"/>
              </w:rPr>
              <w:t>27</w:t>
            </w:r>
            <w:r>
              <w:rPr>
                <w:rFonts w:hint="eastAsia"/>
                <w:color w:val="auto"/>
                <w:sz w:val="21"/>
                <w:szCs w:val="21"/>
                <w:highlight w:val="none"/>
              </w:rPr>
              <w:t xml:space="preserve"> m</w:t>
            </w:r>
          </w:p>
        </w:tc>
        <w:tc>
          <w:tcPr>
            <w:tcW w:w="508" w:type="pct"/>
            <w:vAlign w:val="center"/>
          </w:tcPr>
          <w:p w14:paraId="3B544939">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505" w:type="pct"/>
            <w:vAlign w:val="center"/>
          </w:tcPr>
          <w:p w14:paraId="2B89D9BD">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6272ECD1">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6DF400DD">
            <w:pPr>
              <w:spacing w:line="240" w:lineRule="auto"/>
              <w:jc w:val="center"/>
              <w:rPr>
                <w:color w:val="auto"/>
                <w:sz w:val="21"/>
                <w:szCs w:val="21"/>
                <w:highlight w:val="none"/>
              </w:rPr>
            </w:pPr>
            <w:r>
              <w:rPr>
                <w:rFonts w:hint="eastAsia"/>
                <w:color w:val="auto"/>
                <w:sz w:val="21"/>
                <w:szCs w:val="21"/>
                <w:highlight w:val="none"/>
              </w:rPr>
              <w:t>10m</w:t>
            </w:r>
          </w:p>
        </w:tc>
      </w:tr>
      <w:tr w14:paraId="75C61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49D1CB36">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8</w:t>
            </w:r>
          </w:p>
        </w:tc>
        <w:tc>
          <w:tcPr>
            <w:tcW w:w="498" w:type="pct"/>
            <w:vAlign w:val="center"/>
          </w:tcPr>
          <w:p w14:paraId="106DB63B">
            <w:pPr>
              <w:autoSpaceDE w:val="0"/>
              <w:autoSpaceDN w:val="0"/>
              <w:spacing w:line="240" w:lineRule="auto"/>
              <w:jc w:val="center"/>
              <w:rPr>
                <w:color w:val="auto"/>
                <w:kern w:val="0"/>
                <w:sz w:val="21"/>
                <w:szCs w:val="21"/>
                <w:highlight w:val="none"/>
              </w:rPr>
            </w:pPr>
            <w:r>
              <w:rPr>
                <w:rFonts w:hint="eastAsia" w:ascii="宋体" w:hAnsi="宋体" w:eastAsia="宋体" w:cs="宋体"/>
                <w:color w:val="auto"/>
                <w:sz w:val="21"/>
                <w:szCs w:val="21"/>
                <w:lang w:val="en-US" w:eastAsia="zh-CN"/>
              </w:rPr>
              <w:t>上料装载机</w:t>
            </w:r>
          </w:p>
        </w:tc>
        <w:tc>
          <w:tcPr>
            <w:tcW w:w="212" w:type="pct"/>
            <w:vAlign w:val="center"/>
          </w:tcPr>
          <w:p w14:paraId="5BF4A037">
            <w:pPr>
              <w:autoSpaceDE w:val="0"/>
              <w:autoSpaceDN w:val="0"/>
              <w:spacing w:line="240" w:lineRule="auto"/>
              <w:jc w:val="center"/>
              <w:rPr>
                <w:rFonts w:hint="eastAsia" w:eastAsia="宋体"/>
                <w:color w:val="auto"/>
                <w:kern w:val="0"/>
                <w:sz w:val="21"/>
                <w:szCs w:val="21"/>
                <w:highlight w:val="none"/>
                <w:lang w:eastAsia="zh-CN"/>
              </w:rPr>
            </w:pPr>
            <w:r>
              <w:rPr>
                <w:rFonts w:hint="eastAsia"/>
                <w:bCs/>
                <w:color w:val="auto"/>
                <w:sz w:val="21"/>
                <w:szCs w:val="21"/>
                <w:highlight w:val="none"/>
                <w:lang w:val="en-US" w:eastAsia="zh-CN"/>
              </w:rPr>
              <w:t>1</w:t>
            </w:r>
          </w:p>
        </w:tc>
        <w:tc>
          <w:tcPr>
            <w:tcW w:w="177" w:type="pct"/>
            <w:vAlign w:val="center"/>
          </w:tcPr>
          <w:p w14:paraId="52B35351">
            <w:pPr>
              <w:pStyle w:val="124"/>
              <w:spacing w:line="240" w:lineRule="auto"/>
              <w:jc w:val="center"/>
              <w:rPr>
                <w:color w:val="auto"/>
                <w:sz w:val="21"/>
                <w:szCs w:val="21"/>
                <w:highlight w:val="none"/>
              </w:rPr>
            </w:pPr>
            <w:r>
              <w:rPr>
                <w:rFonts w:hint="eastAsia"/>
                <w:color w:val="auto"/>
                <w:sz w:val="21"/>
                <w:szCs w:val="21"/>
                <w:highlight w:val="none"/>
              </w:rPr>
              <w:t>33</w:t>
            </w:r>
          </w:p>
        </w:tc>
        <w:tc>
          <w:tcPr>
            <w:tcW w:w="177" w:type="pct"/>
            <w:vAlign w:val="center"/>
          </w:tcPr>
          <w:p w14:paraId="44903580">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6B6138A1">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0BC65D1F">
            <w:pPr>
              <w:pStyle w:val="124"/>
              <w:spacing w:line="240" w:lineRule="auto"/>
              <w:jc w:val="center"/>
              <w:rPr>
                <w:rFonts w:hint="eastAsia" w:hAnsi="宋体"/>
                <w:color w:val="auto"/>
                <w:sz w:val="21"/>
                <w:szCs w:val="21"/>
                <w:highlight w:val="none"/>
              </w:rPr>
            </w:pPr>
            <w:r>
              <w:rPr>
                <w:rFonts w:hint="eastAsia"/>
                <w:color w:val="auto"/>
                <w:sz w:val="21"/>
                <w:szCs w:val="21"/>
                <w:highlight w:val="none"/>
              </w:rPr>
              <w:t>80</w:t>
            </w:r>
          </w:p>
        </w:tc>
        <w:tc>
          <w:tcPr>
            <w:tcW w:w="586" w:type="pct"/>
            <w:vAlign w:val="center"/>
          </w:tcPr>
          <w:p w14:paraId="53EF1FA3">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179DA4F5">
            <w:pPr>
              <w:pStyle w:val="124"/>
              <w:spacing w:line="240" w:lineRule="auto"/>
              <w:jc w:val="center"/>
              <w:rPr>
                <w:color w:val="auto"/>
                <w:sz w:val="21"/>
                <w:szCs w:val="21"/>
                <w:highlight w:val="none"/>
              </w:rPr>
            </w:pPr>
          </w:p>
        </w:tc>
        <w:tc>
          <w:tcPr>
            <w:tcW w:w="406" w:type="pct"/>
            <w:vAlign w:val="center"/>
          </w:tcPr>
          <w:p w14:paraId="15CDFE55">
            <w:pPr>
              <w:pStyle w:val="124"/>
              <w:spacing w:line="240" w:lineRule="auto"/>
              <w:jc w:val="center"/>
              <w:rPr>
                <w:color w:val="auto"/>
                <w:sz w:val="21"/>
                <w:szCs w:val="21"/>
                <w:highlight w:val="none"/>
              </w:rPr>
            </w:pPr>
            <w:r>
              <w:rPr>
                <w:rFonts w:hint="eastAsia"/>
                <w:color w:val="auto"/>
                <w:sz w:val="21"/>
                <w:szCs w:val="21"/>
                <w:highlight w:val="none"/>
                <w:lang w:val="en-US" w:eastAsia="zh-CN"/>
              </w:rPr>
              <w:t>30</w:t>
            </w:r>
            <w:r>
              <w:rPr>
                <w:rFonts w:hint="eastAsia"/>
                <w:color w:val="auto"/>
                <w:sz w:val="21"/>
                <w:szCs w:val="21"/>
                <w:highlight w:val="none"/>
              </w:rPr>
              <w:t xml:space="preserve"> m</w:t>
            </w:r>
          </w:p>
        </w:tc>
        <w:tc>
          <w:tcPr>
            <w:tcW w:w="508" w:type="pct"/>
            <w:vAlign w:val="center"/>
          </w:tcPr>
          <w:p w14:paraId="1AA2C69E">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505" w:type="pct"/>
            <w:vAlign w:val="center"/>
          </w:tcPr>
          <w:p w14:paraId="71AA56AA">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2ECBAB99">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5682DF87">
            <w:pPr>
              <w:spacing w:line="240" w:lineRule="auto"/>
              <w:jc w:val="center"/>
              <w:rPr>
                <w:color w:val="auto"/>
                <w:sz w:val="21"/>
                <w:szCs w:val="21"/>
                <w:highlight w:val="none"/>
              </w:rPr>
            </w:pPr>
            <w:r>
              <w:rPr>
                <w:rFonts w:hint="eastAsia"/>
                <w:color w:val="auto"/>
                <w:sz w:val="21"/>
                <w:szCs w:val="21"/>
                <w:highlight w:val="none"/>
              </w:rPr>
              <w:t>10m</w:t>
            </w:r>
          </w:p>
        </w:tc>
      </w:tr>
      <w:tr w14:paraId="6F503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4BFF25BB">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9</w:t>
            </w:r>
          </w:p>
        </w:tc>
        <w:tc>
          <w:tcPr>
            <w:tcW w:w="498" w:type="pct"/>
            <w:vAlign w:val="center"/>
          </w:tcPr>
          <w:p w14:paraId="16574922">
            <w:pPr>
              <w:spacing w:line="240" w:lineRule="auto"/>
              <w:jc w:val="center"/>
              <w:rPr>
                <w:color w:val="auto"/>
                <w:kern w:val="0"/>
                <w:sz w:val="21"/>
                <w:szCs w:val="21"/>
                <w:highlight w:val="none"/>
              </w:rPr>
            </w:pPr>
            <w:r>
              <w:rPr>
                <w:rFonts w:hint="default"/>
                <w:color w:val="auto"/>
                <w:sz w:val="21"/>
                <w:szCs w:val="21"/>
                <w:lang w:val="en-US" w:eastAsia="zh-CN"/>
              </w:rPr>
              <w:t>电动双梁式16吨起重机</w:t>
            </w:r>
          </w:p>
        </w:tc>
        <w:tc>
          <w:tcPr>
            <w:tcW w:w="212" w:type="pct"/>
            <w:vAlign w:val="center"/>
          </w:tcPr>
          <w:p w14:paraId="2D9D5ACB">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08B0F57E">
            <w:pPr>
              <w:pStyle w:val="124"/>
              <w:spacing w:line="240" w:lineRule="auto"/>
              <w:jc w:val="center"/>
              <w:rPr>
                <w:color w:val="auto"/>
                <w:sz w:val="21"/>
                <w:szCs w:val="21"/>
                <w:highlight w:val="none"/>
              </w:rPr>
            </w:pPr>
            <w:r>
              <w:rPr>
                <w:rFonts w:hint="eastAsia"/>
                <w:color w:val="auto"/>
                <w:sz w:val="21"/>
                <w:szCs w:val="21"/>
                <w:highlight w:val="none"/>
              </w:rPr>
              <w:t>35</w:t>
            </w:r>
          </w:p>
        </w:tc>
        <w:tc>
          <w:tcPr>
            <w:tcW w:w="177" w:type="pct"/>
            <w:vAlign w:val="center"/>
          </w:tcPr>
          <w:p w14:paraId="07C68ACA">
            <w:pPr>
              <w:pStyle w:val="124"/>
              <w:spacing w:line="240" w:lineRule="auto"/>
              <w:jc w:val="center"/>
              <w:rPr>
                <w:color w:val="auto"/>
                <w:sz w:val="21"/>
                <w:szCs w:val="21"/>
                <w:highlight w:val="none"/>
              </w:rPr>
            </w:pPr>
            <w:r>
              <w:rPr>
                <w:rFonts w:hint="eastAsia"/>
                <w:color w:val="auto"/>
                <w:sz w:val="21"/>
                <w:szCs w:val="21"/>
                <w:highlight w:val="none"/>
              </w:rPr>
              <w:t>35</w:t>
            </w:r>
          </w:p>
        </w:tc>
        <w:tc>
          <w:tcPr>
            <w:tcW w:w="179" w:type="pct"/>
            <w:vAlign w:val="center"/>
          </w:tcPr>
          <w:p w14:paraId="66C71AB5">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7F587BD9">
            <w:pPr>
              <w:pStyle w:val="124"/>
              <w:spacing w:line="240" w:lineRule="auto"/>
              <w:jc w:val="center"/>
              <w:rPr>
                <w:rFonts w:hint="default" w:hAnsi="宋体" w:eastAsia="宋体"/>
                <w:color w:val="auto"/>
                <w:sz w:val="21"/>
                <w:szCs w:val="21"/>
                <w:highlight w:val="none"/>
                <w:lang w:val="en-US" w:eastAsia="zh-CN"/>
              </w:rPr>
            </w:pPr>
            <w:r>
              <w:rPr>
                <w:rFonts w:hint="eastAsia"/>
                <w:color w:val="auto"/>
                <w:sz w:val="21"/>
                <w:szCs w:val="21"/>
                <w:highlight w:val="none"/>
                <w:lang w:val="en-US" w:eastAsia="zh-CN"/>
              </w:rPr>
              <w:t>80</w:t>
            </w:r>
          </w:p>
        </w:tc>
        <w:tc>
          <w:tcPr>
            <w:tcW w:w="586" w:type="pct"/>
            <w:vAlign w:val="center"/>
          </w:tcPr>
          <w:p w14:paraId="00943BD5">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51C80191">
            <w:pPr>
              <w:pStyle w:val="124"/>
              <w:spacing w:line="240" w:lineRule="auto"/>
              <w:jc w:val="center"/>
              <w:rPr>
                <w:color w:val="auto"/>
                <w:sz w:val="21"/>
                <w:szCs w:val="21"/>
                <w:highlight w:val="none"/>
              </w:rPr>
            </w:pPr>
          </w:p>
        </w:tc>
        <w:tc>
          <w:tcPr>
            <w:tcW w:w="406" w:type="pct"/>
            <w:vAlign w:val="center"/>
          </w:tcPr>
          <w:p w14:paraId="00F0F172">
            <w:pPr>
              <w:pStyle w:val="124"/>
              <w:spacing w:line="240" w:lineRule="auto"/>
              <w:jc w:val="center"/>
              <w:rPr>
                <w:color w:val="auto"/>
                <w:sz w:val="21"/>
                <w:szCs w:val="21"/>
                <w:highlight w:val="none"/>
              </w:rPr>
            </w:pPr>
            <w:r>
              <w:rPr>
                <w:rFonts w:hint="eastAsia"/>
                <w:color w:val="auto"/>
                <w:sz w:val="21"/>
                <w:szCs w:val="21"/>
                <w:highlight w:val="none"/>
                <w:lang w:val="en-US" w:eastAsia="zh-CN"/>
              </w:rPr>
              <w:t>30</w:t>
            </w:r>
            <w:r>
              <w:rPr>
                <w:rFonts w:hint="eastAsia"/>
                <w:color w:val="auto"/>
                <w:sz w:val="21"/>
                <w:szCs w:val="21"/>
                <w:highlight w:val="none"/>
              </w:rPr>
              <w:t xml:space="preserve"> m</w:t>
            </w:r>
          </w:p>
        </w:tc>
        <w:tc>
          <w:tcPr>
            <w:tcW w:w="508" w:type="pct"/>
            <w:vAlign w:val="center"/>
          </w:tcPr>
          <w:p w14:paraId="366B5238">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505" w:type="pct"/>
            <w:vAlign w:val="center"/>
          </w:tcPr>
          <w:p w14:paraId="4E3E03D6">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3C2617B6">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1C687B55">
            <w:pPr>
              <w:spacing w:line="240" w:lineRule="auto"/>
              <w:jc w:val="center"/>
              <w:rPr>
                <w:color w:val="auto"/>
                <w:sz w:val="21"/>
                <w:szCs w:val="21"/>
                <w:highlight w:val="none"/>
              </w:rPr>
            </w:pPr>
            <w:r>
              <w:rPr>
                <w:rFonts w:hint="eastAsia"/>
                <w:color w:val="auto"/>
                <w:sz w:val="21"/>
                <w:szCs w:val="21"/>
                <w:highlight w:val="none"/>
              </w:rPr>
              <w:t>10m</w:t>
            </w:r>
          </w:p>
        </w:tc>
      </w:tr>
      <w:tr w14:paraId="3A316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73CF09B0">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10</w:t>
            </w:r>
          </w:p>
        </w:tc>
        <w:tc>
          <w:tcPr>
            <w:tcW w:w="498" w:type="pct"/>
            <w:vAlign w:val="center"/>
          </w:tcPr>
          <w:p w14:paraId="68B39B8C">
            <w:pPr>
              <w:spacing w:line="240" w:lineRule="auto"/>
              <w:jc w:val="center"/>
              <w:rPr>
                <w:color w:val="auto"/>
                <w:kern w:val="0"/>
                <w:sz w:val="21"/>
                <w:szCs w:val="21"/>
                <w:highlight w:val="none"/>
              </w:rPr>
            </w:pPr>
            <w:r>
              <w:rPr>
                <w:rFonts w:hint="default" w:ascii="Times New Roman" w:hAnsi="Times New Roman" w:eastAsia="宋体" w:cs="Times New Roman"/>
                <w:color w:val="auto"/>
                <w:kern w:val="2"/>
                <w:sz w:val="21"/>
                <w:szCs w:val="21"/>
                <w:lang w:val="en-US" w:eastAsia="zh-CN" w:bidi="ar-SA"/>
              </w:rPr>
              <w:t>L型单主梁门式10吨起重机</w:t>
            </w:r>
          </w:p>
        </w:tc>
        <w:tc>
          <w:tcPr>
            <w:tcW w:w="212" w:type="pct"/>
            <w:vAlign w:val="center"/>
          </w:tcPr>
          <w:p w14:paraId="4D633861">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7276B801">
            <w:pPr>
              <w:pStyle w:val="124"/>
              <w:spacing w:line="240" w:lineRule="auto"/>
              <w:jc w:val="center"/>
              <w:rPr>
                <w:color w:val="auto"/>
                <w:sz w:val="21"/>
                <w:szCs w:val="21"/>
                <w:highlight w:val="none"/>
              </w:rPr>
            </w:pPr>
            <w:r>
              <w:rPr>
                <w:rFonts w:hint="eastAsia"/>
                <w:color w:val="auto"/>
                <w:sz w:val="21"/>
                <w:szCs w:val="21"/>
                <w:highlight w:val="none"/>
              </w:rPr>
              <w:t>65</w:t>
            </w:r>
          </w:p>
        </w:tc>
        <w:tc>
          <w:tcPr>
            <w:tcW w:w="177" w:type="pct"/>
            <w:vAlign w:val="center"/>
          </w:tcPr>
          <w:p w14:paraId="4F7DE53D">
            <w:pPr>
              <w:pStyle w:val="124"/>
              <w:spacing w:line="240" w:lineRule="auto"/>
              <w:jc w:val="center"/>
              <w:rPr>
                <w:color w:val="auto"/>
                <w:sz w:val="21"/>
                <w:szCs w:val="21"/>
                <w:highlight w:val="none"/>
              </w:rPr>
            </w:pPr>
            <w:r>
              <w:rPr>
                <w:rFonts w:hint="eastAsia"/>
                <w:color w:val="auto"/>
                <w:sz w:val="21"/>
                <w:szCs w:val="21"/>
                <w:highlight w:val="none"/>
              </w:rPr>
              <w:t>18</w:t>
            </w:r>
          </w:p>
        </w:tc>
        <w:tc>
          <w:tcPr>
            <w:tcW w:w="179" w:type="pct"/>
            <w:vAlign w:val="center"/>
          </w:tcPr>
          <w:p w14:paraId="2BD03E23">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6EEC8A8C">
            <w:pPr>
              <w:pStyle w:val="124"/>
              <w:spacing w:line="240" w:lineRule="auto"/>
              <w:jc w:val="center"/>
              <w:rPr>
                <w:rFonts w:hint="eastAsia" w:hAnsi="宋体"/>
                <w:color w:val="auto"/>
                <w:sz w:val="21"/>
                <w:szCs w:val="21"/>
                <w:highlight w:val="none"/>
              </w:rPr>
            </w:pPr>
            <w:r>
              <w:rPr>
                <w:rFonts w:hint="eastAsia"/>
                <w:color w:val="auto"/>
                <w:sz w:val="21"/>
                <w:szCs w:val="21"/>
                <w:highlight w:val="none"/>
              </w:rPr>
              <w:t>80</w:t>
            </w:r>
          </w:p>
        </w:tc>
        <w:tc>
          <w:tcPr>
            <w:tcW w:w="586" w:type="pct"/>
            <w:vAlign w:val="center"/>
          </w:tcPr>
          <w:p w14:paraId="038C01CB">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2D2D6FA3">
            <w:pPr>
              <w:pStyle w:val="124"/>
              <w:spacing w:line="240" w:lineRule="auto"/>
              <w:jc w:val="center"/>
              <w:rPr>
                <w:color w:val="auto"/>
                <w:sz w:val="21"/>
                <w:szCs w:val="21"/>
                <w:highlight w:val="none"/>
              </w:rPr>
            </w:pPr>
          </w:p>
        </w:tc>
        <w:tc>
          <w:tcPr>
            <w:tcW w:w="406" w:type="pct"/>
            <w:vAlign w:val="center"/>
          </w:tcPr>
          <w:p w14:paraId="43207E1B">
            <w:pPr>
              <w:pStyle w:val="124"/>
              <w:spacing w:line="240" w:lineRule="auto"/>
              <w:jc w:val="center"/>
              <w:rPr>
                <w:color w:val="auto"/>
                <w:sz w:val="21"/>
                <w:szCs w:val="21"/>
                <w:highlight w:val="none"/>
              </w:rPr>
            </w:pPr>
            <w:r>
              <w:rPr>
                <w:rFonts w:hint="eastAsia"/>
                <w:color w:val="auto"/>
                <w:sz w:val="21"/>
                <w:szCs w:val="21"/>
                <w:highlight w:val="none"/>
                <w:lang w:val="en-US" w:eastAsia="zh-CN"/>
              </w:rPr>
              <w:t>30</w:t>
            </w:r>
            <w:r>
              <w:rPr>
                <w:rFonts w:hint="eastAsia"/>
                <w:color w:val="auto"/>
                <w:sz w:val="21"/>
                <w:szCs w:val="21"/>
                <w:highlight w:val="none"/>
              </w:rPr>
              <w:t xml:space="preserve"> m</w:t>
            </w:r>
          </w:p>
        </w:tc>
        <w:tc>
          <w:tcPr>
            <w:tcW w:w="508" w:type="pct"/>
            <w:vAlign w:val="center"/>
          </w:tcPr>
          <w:p w14:paraId="5092ACFF">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505" w:type="pct"/>
            <w:vAlign w:val="center"/>
          </w:tcPr>
          <w:p w14:paraId="26038EA7">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7184523D">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309" w:type="pct"/>
            <w:vAlign w:val="center"/>
          </w:tcPr>
          <w:p w14:paraId="7C53E97D">
            <w:pPr>
              <w:spacing w:line="240" w:lineRule="auto"/>
              <w:jc w:val="center"/>
              <w:rPr>
                <w:color w:val="auto"/>
                <w:sz w:val="21"/>
                <w:szCs w:val="21"/>
                <w:highlight w:val="none"/>
              </w:rPr>
            </w:pPr>
            <w:r>
              <w:rPr>
                <w:rFonts w:hint="eastAsia"/>
                <w:color w:val="auto"/>
                <w:sz w:val="21"/>
                <w:szCs w:val="21"/>
                <w:highlight w:val="none"/>
              </w:rPr>
              <w:t>10m</w:t>
            </w:r>
          </w:p>
        </w:tc>
      </w:tr>
      <w:tr w14:paraId="42D53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 w:type="pct"/>
            <w:vAlign w:val="center"/>
          </w:tcPr>
          <w:p w14:paraId="133D39D2">
            <w:pPr>
              <w:autoSpaceDE w:val="0"/>
              <w:autoSpaceDN w:val="0"/>
              <w:spacing w:line="240" w:lineRule="auto"/>
              <w:jc w:val="center"/>
              <w:rPr>
                <w:color w:val="auto"/>
                <w:kern w:val="0"/>
                <w:sz w:val="21"/>
                <w:szCs w:val="21"/>
                <w:highlight w:val="none"/>
              </w:rPr>
            </w:pPr>
            <w:r>
              <w:rPr>
                <w:rFonts w:hint="eastAsia"/>
                <w:color w:val="auto"/>
                <w:kern w:val="0"/>
                <w:sz w:val="21"/>
                <w:szCs w:val="21"/>
                <w:highlight w:val="none"/>
              </w:rPr>
              <w:t>11</w:t>
            </w:r>
          </w:p>
        </w:tc>
        <w:tc>
          <w:tcPr>
            <w:tcW w:w="498" w:type="pct"/>
            <w:vAlign w:val="center"/>
          </w:tcPr>
          <w:p w14:paraId="2EDFE1E4">
            <w:pPr>
              <w:spacing w:line="240" w:lineRule="auto"/>
              <w:jc w:val="center"/>
              <w:rPr>
                <w:color w:val="auto"/>
                <w:kern w:val="0"/>
                <w:sz w:val="21"/>
                <w:szCs w:val="21"/>
                <w:highlight w:val="none"/>
              </w:rPr>
            </w:pPr>
            <w:r>
              <w:rPr>
                <w:rFonts w:hint="default"/>
                <w:color w:val="auto"/>
                <w:sz w:val="21"/>
                <w:szCs w:val="21"/>
                <w:lang w:val="en-US" w:eastAsia="zh-CN"/>
              </w:rPr>
              <w:t>电动葫芦门式10吨起重机</w:t>
            </w:r>
          </w:p>
        </w:tc>
        <w:tc>
          <w:tcPr>
            <w:tcW w:w="212" w:type="pct"/>
            <w:vAlign w:val="center"/>
          </w:tcPr>
          <w:p w14:paraId="5DE9AEEF">
            <w:pPr>
              <w:autoSpaceDE w:val="0"/>
              <w:autoSpaceDN w:val="0"/>
              <w:spacing w:line="240" w:lineRule="auto"/>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1</w:t>
            </w:r>
          </w:p>
        </w:tc>
        <w:tc>
          <w:tcPr>
            <w:tcW w:w="177" w:type="pct"/>
            <w:vAlign w:val="center"/>
          </w:tcPr>
          <w:p w14:paraId="68E8EF1F">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86</w:t>
            </w:r>
          </w:p>
        </w:tc>
        <w:tc>
          <w:tcPr>
            <w:tcW w:w="177" w:type="pct"/>
            <w:vAlign w:val="center"/>
          </w:tcPr>
          <w:p w14:paraId="4B2A7278">
            <w:pPr>
              <w:pStyle w:val="124"/>
              <w:spacing w:line="240" w:lineRule="auto"/>
              <w:jc w:val="center"/>
              <w:rPr>
                <w:color w:val="auto"/>
                <w:sz w:val="21"/>
                <w:szCs w:val="21"/>
                <w:highlight w:val="none"/>
              </w:rPr>
            </w:pPr>
            <w:r>
              <w:rPr>
                <w:rFonts w:hint="eastAsia"/>
                <w:color w:val="auto"/>
                <w:sz w:val="21"/>
                <w:szCs w:val="21"/>
                <w:highlight w:val="none"/>
              </w:rPr>
              <w:t>18</w:t>
            </w:r>
          </w:p>
        </w:tc>
        <w:tc>
          <w:tcPr>
            <w:tcW w:w="179" w:type="pct"/>
            <w:vAlign w:val="center"/>
          </w:tcPr>
          <w:p w14:paraId="36764940">
            <w:pPr>
              <w:pStyle w:val="124"/>
              <w:spacing w:line="240" w:lineRule="auto"/>
              <w:jc w:val="center"/>
              <w:rPr>
                <w:color w:val="auto"/>
                <w:sz w:val="21"/>
                <w:szCs w:val="21"/>
                <w:highlight w:val="none"/>
              </w:rPr>
            </w:pPr>
            <w:r>
              <w:rPr>
                <w:rFonts w:hint="eastAsia"/>
                <w:color w:val="auto"/>
                <w:sz w:val="21"/>
                <w:szCs w:val="21"/>
                <w:highlight w:val="none"/>
              </w:rPr>
              <w:t>1.2</w:t>
            </w:r>
          </w:p>
        </w:tc>
        <w:tc>
          <w:tcPr>
            <w:tcW w:w="648" w:type="pct"/>
            <w:vAlign w:val="center"/>
          </w:tcPr>
          <w:p w14:paraId="72E4E60D">
            <w:pPr>
              <w:pStyle w:val="124"/>
              <w:spacing w:line="240" w:lineRule="auto"/>
              <w:jc w:val="center"/>
              <w:rPr>
                <w:rFonts w:hint="default" w:hAnsi="宋体" w:eastAsia="宋体"/>
                <w:color w:val="auto"/>
                <w:sz w:val="21"/>
                <w:szCs w:val="21"/>
                <w:highlight w:val="none"/>
                <w:lang w:val="en-US" w:eastAsia="zh-CN"/>
              </w:rPr>
            </w:pPr>
            <w:r>
              <w:rPr>
                <w:rFonts w:hint="eastAsia"/>
                <w:color w:val="auto"/>
                <w:sz w:val="21"/>
                <w:szCs w:val="21"/>
                <w:highlight w:val="none"/>
                <w:lang w:val="en-US" w:eastAsia="zh-CN"/>
              </w:rPr>
              <w:t>80</w:t>
            </w:r>
          </w:p>
        </w:tc>
        <w:tc>
          <w:tcPr>
            <w:tcW w:w="586" w:type="pct"/>
            <w:vAlign w:val="center"/>
          </w:tcPr>
          <w:p w14:paraId="525A7DB4">
            <w:pPr>
              <w:pStyle w:val="124"/>
              <w:spacing w:line="240" w:lineRule="auto"/>
              <w:jc w:val="center"/>
              <w:rPr>
                <w:rFonts w:hint="eastAsia" w:hAnsi="宋体"/>
                <w:color w:val="auto"/>
                <w:sz w:val="21"/>
                <w:szCs w:val="21"/>
                <w:highlight w:val="none"/>
              </w:rPr>
            </w:pPr>
            <w:r>
              <w:rPr>
                <w:rFonts w:hAnsi="宋体"/>
                <w:color w:val="auto"/>
                <w:sz w:val="21"/>
                <w:szCs w:val="21"/>
                <w:highlight w:val="none"/>
              </w:rPr>
              <w:t>减振</w:t>
            </w:r>
            <w:r>
              <w:rPr>
                <w:color w:val="auto"/>
                <w:sz w:val="21"/>
                <w:szCs w:val="21"/>
                <w:highlight w:val="none"/>
              </w:rPr>
              <w:t>+</w:t>
            </w:r>
            <w:r>
              <w:rPr>
                <w:rFonts w:hAnsi="宋体"/>
                <w:color w:val="auto"/>
                <w:sz w:val="21"/>
                <w:szCs w:val="21"/>
                <w:highlight w:val="none"/>
              </w:rPr>
              <w:t>厂房隔音</w:t>
            </w:r>
          </w:p>
        </w:tc>
        <w:tc>
          <w:tcPr>
            <w:tcW w:w="254" w:type="pct"/>
            <w:vMerge w:val="continue"/>
            <w:vAlign w:val="center"/>
          </w:tcPr>
          <w:p w14:paraId="74953B54">
            <w:pPr>
              <w:pStyle w:val="124"/>
              <w:spacing w:line="240" w:lineRule="auto"/>
              <w:jc w:val="center"/>
              <w:rPr>
                <w:color w:val="auto"/>
                <w:sz w:val="21"/>
                <w:szCs w:val="21"/>
                <w:highlight w:val="none"/>
              </w:rPr>
            </w:pPr>
          </w:p>
        </w:tc>
        <w:tc>
          <w:tcPr>
            <w:tcW w:w="406" w:type="pct"/>
            <w:vAlign w:val="center"/>
          </w:tcPr>
          <w:p w14:paraId="1C11F6A9">
            <w:pPr>
              <w:pStyle w:val="124"/>
              <w:spacing w:line="240" w:lineRule="auto"/>
              <w:jc w:val="center"/>
              <w:rPr>
                <w:color w:val="auto"/>
                <w:sz w:val="21"/>
                <w:szCs w:val="21"/>
                <w:highlight w:val="none"/>
              </w:rPr>
            </w:pPr>
            <w:r>
              <w:rPr>
                <w:rFonts w:hint="eastAsia"/>
                <w:color w:val="auto"/>
                <w:sz w:val="21"/>
                <w:szCs w:val="21"/>
                <w:highlight w:val="none"/>
                <w:lang w:val="en-US" w:eastAsia="zh-CN"/>
              </w:rPr>
              <w:t>30</w:t>
            </w:r>
            <w:r>
              <w:rPr>
                <w:rFonts w:hint="eastAsia"/>
                <w:color w:val="auto"/>
                <w:sz w:val="21"/>
                <w:szCs w:val="21"/>
                <w:highlight w:val="none"/>
              </w:rPr>
              <w:t>m</w:t>
            </w:r>
          </w:p>
        </w:tc>
        <w:tc>
          <w:tcPr>
            <w:tcW w:w="508" w:type="pct"/>
            <w:vAlign w:val="center"/>
          </w:tcPr>
          <w:p w14:paraId="78306FA8">
            <w:pPr>
              <w:pStyle w:val="124"/>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505" w:type="pct"/>
            <w:vAlign w:val="center"/>
          </w:tcPr>
          <w:p w14:paraId="75387E0F">
            <w:pPr>
              <w:pStyle w:val="124"/>
              <w:spacing w:line="240" w:lineRule="auto"/>
              <w:jc w:val="center"/>
              <w:rPr>
                <w:color w:val="auto"/>
                <w:sz w:val="21"/>
                <w:szCs w:val="21"/>
                <w:highlight w:val="none"/>
              </w:rPr>
            </w:pPr>
            <w:r>
              <w:rPr>
                <w:rFonts w:hint="eastAsia"/>
                <w:color w:val="auto"/>
                <w:sz w:val="21"/>
                <w:szCs w:val="21"/>
                <w:highlight w:val="none"/>
              </w:rPr>
              <w:t>≥10</w:t>
            </w:r>
          </w:p>
        </w:tc>
        <w:tc>
          <w:tcPr>
            <w:tcW w:w="323" w:type="pct"/>
            <w:vAlign w:val="center"/>
          </w:tcPr>
          <w:p w14:paraId="1348F35F">
            <w:pPr>
              <w:pStyle w:val="124"/>
              <w:spacing w:line="240" w:lineRule="auto"/>
              <w:jc w:val="center"/>
              <w:rPr>
                <w:rFonts w:hint="eastAsia" w:eastAsia="宋体"/>
                <w:color w:val="auto"/>
                <w:sz w:val="21"/>
                <w:szCs w:val="21"/>
                <w:highlight w:val="none"/>
                <w:lang w:eastAsia="zh-CN"/>
              </w:rPr>
            </w:pPr>
            <w:r>
              <w:rPr>
                <w:rFonts w:hint="eastAsia"/>
                <w:color w:val="auto"/>
                <w:sz w:val="21"/>
                <w:szCs w:val="21"/>
                <w:highlight w:val="none"/>
              </w:rPr>
              <w:t>5</w:t>
            </w:r>
            <w:r>
              <w:rPr>
                <w:rFonts w:hint="eastAsia"/>
                <w:color w:val="auto"/>
                <w:sz w:val="21"/>
                <w:szCs w:val="21"/>
                <w:highlight w:val="none"/>
                <w:lang w:val="en-US" w:eastAsia="zh-CN"/>
              </w:rPr>
              <w:t>0</w:t>
            </w:r>
          </w:p>
        </w:tc>
        <w:tc>
          <w:tcPr>
            <w:tcW w:w="309" w:type="pct"/>
            <w:vAlign w:val="center"/>
          </w:tcPr>
          <w:p w14:paraId="70AD48F8">
            <w:pPr>
              <w:spacing w:line="240" w:lineRule="auto"/>
              <w:jc w:val="center"/>
              <w:rPr>
                <w:color w:val="auto"/>
                <w:sz w:val="21"/>
                <w:szCs w:val="21"/>
                <w:highlight w:val="none"/>
              </w:rPr>
            </w:pPr>
            <w:r>
              <w:rPr>
                <w:rFonts w:hint="eastAsia"/>
                <w:color w:val="auto"/>
                <w:sz w:val="21"/>
                <w:szCs w:val="21"/>
                <w:highlight w:val="none"/>
              </w:rPr>
              <w:t>10m</w:t>
            </w:r>
          </w:p>
        </w:tc>
      </w:tr>
    </w:tbl>
    <w:p w14:paraId="3282827B">
      <w:pPr>
        <w:tabs>
          <w:tab w:val="left" w:pos="1260"/>
        </w:tabs>
        <w:jc w:val="left"/>
        <w:rPr>
          <w:color w:val="002DC7"/>
        </w:rPr>
        <w:sectPr>
          <w:pgSz w:w="16838" w:h="11906" w:orient="landscape"/>
          <w:pgMar w:top="1797" w:right="1440" w:bottom="1508"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40"/>
        <w:tblW w:w="88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8662"/>
      </w:tblGrid>
      <w:tr w14:paraId="32AE7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vAlign w:val="center"/>
          </w:tcPr>
          <w:p w14:paraId="3FE302F7">
            <w:pPr>
              <w:spacing w:line="360" w:lineRule="auto"/>
              <w:jc w:val="center"/>
              <w:rPr>
                <w:color w:val="002DC7"/>
                <w:sz w:val="24"/>
              </w:rPr>
            </w:pPr>
            <w:r>
              <w:rPr>
                <w:rFonts w:hint="eastAsia" w:hAnsi="宋体"/>
                <w:color w:val="auto"/>
                <w:kern w:val="0"/>
                <w:sz w:val="24"/>
              </w:rPr>
              <w:t>运营期环境影响和保护措施</w:t>
            </w:r>
          </w:p>
        </w:tc>
        <w:tc>
          <w:tcPr>
            <w:tcW w:w="8439" w:type="dxa"/>
          </w:tcPr>
          <w:p w14:paraId="02F59420">
            <w:pPr>
              <w:pStyle w:val="57"/>
              <w:ind w:firstLine="482" w:firstLineChars="200"/>
              <w:rPr>
                <w:b/>
                <w:bCs/>
                <w:color w:val="auto"/>
              </w:rPr>
            </w:pPr>
            <w:r>
              <w:rPr>
                <w:rFonts w:hint="eastAsia"/>
                <w:b/>
                <w:bCs/>
                <w:color w:val="auto"/>
              </w:rPr>
              <w:t>2、噪声预测</w:t>
            </w:r>
          </w:p>
          <w:p w14:paraId="224053A9">
            <w:pPr>
              <w:spacing w:line="360" w:lineRule="auto"/>
              <w:ind w:firstLine="480" w:firstLineChars="200"/>
              <w:rPr>
                <w:color w:val="auto"/>
                <w:sz w:val="24"/>
                <w:szCs w:val="24"/>
              </w:rPr>
            </w:pPr>
            <w:r>
              <w:rPr>
                <w:color w:val="auto"/>
                <w:kern w:val="0"/>
                <w:sz w:val="24"/>
                <w:szCs w:val="24"/>
              </w:rPr>
              <w:t>根据噪声的传播规律可知，从噪声源至受声点的噪声衰减总量是由噪声源到受声点的距离、车间墙体隔声量、空气吸收和绿化带阻滞及建筑屏障的衰减综合而成。</w:t>
            </w:r>
            <w:r>
              <w:rPr>
                <w:color w:val="auto"/>
                <w:sz w:val="24"/>
                <w:szCs w:val="24"/>
              </w:rPr>
              <w:t>根据项目设备声源特征和声学环境的特点，视设备声源为点源，声场为半自由声场，依据《环境影响评价技术导则</w:t>
            </w:r>
            <w:r>
              <w:rPr>
                <w:rFonts w:hint="eastAsia"/>
                <w:color w:val="auto"/>
                <w:sz w:val="24"/>
                <w:szCs w:val="24"/>
              </w:rPr>
              <w:t xml:space="preserve"> </w:t>
            </w:r>
            <w:r>
              <w:rPr>
                <w:color w:val="auto"/>
                <w:sz w:val="24"/>
                <w:szCs w:val="24"/>
              </w:rPr>
              <w:t>声环境》，选用无指向性声源几何发散衰减预测模式预测厂界噪声。</w:t>
            </w:r>
          </w:p>
          <w:p w14:paraId="18D6518B">
            <w:pPr>
              <w:pStyle w:val="18"/>
              <w:numPr>
                <w:ilvl w:val="0"/>
                <w:numId w:val="0"/>
              </w:numPr>
              <w:spacing w:line="360" w:lineRule="auto"/>
              <w:ind w:left="840" w:leftChars="0" w:hanging="360" w:firstLineChars="0"/>
              <w:rPr>
                <w:color w:val="auto"/>
                <w:sz w:val="24"/>
                <w:szCs w:val="24"/>
              </w:rPr>
            </w:pPr>
            <w:r>
              <w:rPr>
                <w:rFonts w:hint="default" w:ascii="Times New Roman" w:hAnsi="Times New Roman" w:eastAsia="宋体" w:cs="Times New Roman"/>
                <w:color w:val="auto"/>
                <w:kern w:val="2"/>
                <w:sz w:val="24"/>
                <w:szCs w:val="24"/>
                <w:lang w:val="en-US" w:eastAsia="zh-CN" w:bidi="ar-SA"/>
              </w:rPr>
              <w:t>①</w:t>
            </w:r>
            <w:r>
              <w:rPr>
                <w:color w:val="auto"/>
                <w:sz w:val="24"/>
                <w:szCs w:val="24"/>
              </w:rPr>
              <w:t>点声源预测模式</w:t>
            </w:r>
          </w:p>
          <w:p w14:paraId="7102EF20">
            <w:pPr>
              <w:tabs>
                <w:tab w:val="left" w:pos="-160"/>
              </w:tabs>
              <w:spacing w:line="360" w:lineRule="auto"/>
              <w:jc w:val="center"/>
              <w:rPr>
                <w:color w:val="auto"/>
                <w:kern w:val="24"/>
                <w:sz w:val="24"/>
                <w:szCs w:val="20"/>
              </w:rPr>
            </w:pPr>
            <m:oMathPara>
              <m:oMath>
                <m:r>
                  <m:rPr/>
                  <w:rPr>
                    <w:rFonts w:ascii="Cambria Math" w:hAnsi="Cambria Math"/>
                    <w:color w:val="auto"/>
                    <w:kern w:val="24"/>
                    <w:sz w:val="24"/>
                    <w:szCs w:val="20"/>
                  </w:rPr>
                  <m:t>LA(r)=</m:t>
                </m:r>
                <m:sSub>
                  <m:sSubPr>
                    <m:ctrlPr>
                      <w:rPr>
                        <w:rFonts w:ascii="Cambria Math" w:hAnsi="Cambria Math"/>
                        <w:i/>
                        <w:color w:val="auto"/>
                        <w:kern w:val="24"/>
                        <w:sz w:val="24"/>
                        <w:szCs w:val="20"/>
                      </w:rPr>
                    </m:ctrlPr>
                  </m:sSubPr>
                  <m:e>
                    <m:r>
                      <m:rPr/>
                      <w:rPr>
                        <w:rFonts w:ascii="Cambria Math" w:hAnsi="Cambria Math"/>
                        <w:color w:val="auto"/>
                        <w:kern w:val="24"/>
                        <w:sz w:val="24"/>
                        <w:szCs w:val="20"/>
                      </w:rPr>
                      <m:t>L</m:t>
                    </m:r>
                    <m:ctrlPr>
                      <w:rPr>
                        <w:rFonts w:ascii="Cambria Math" w:hAnsi="Cambria Math"/>
                        <w:i/>
                        <w:color w:val="auto"/>
                        <w:kern w:val="24"/>
                        <w:sz w:val="24"/>
                        <w:szCs w:val="20"/>
                      </w:rPr>
                    </m:ctrlPr>
                  </m:e>
                  <m:sub>
                    <m:r>
                      <m:rPr/>
                      <w:rPr>
                        <w:rFonts w:ascii="Cambria Math" w:hAnsi="Cambria Math"/>
                        <w:color w:val="auto"/>
                        <w:kern w:val="24"/>
                        <w:sz w:val="24"/>
                        <w:szCs w:val="20"/>
                      </w:rPr>
                      <m:t>WA</m:t>
                    </m:r>
                    <m:ctrlPr>
                      <w:rPr>
                        <w:rFonts w:ascii="Cambria Math" w:hAnsi="Cambria Math"/>
                        <w:i/>
                        <w:color w:val="auto"/>
                        <w:kern w:val="24"/>
                        <w:sz w:val="24"/>
                        <w:szCs w:val="20"/>
                      </w:rPr>
                    </m:ctrlPr>
                  </m:sub>
                </m:sSub>
                <m:r>
                  <m:rPr/>
                  <w:rPr>
                    <w:rFonts w:ascii="Cambria Math" w:hAnsi="Cambria Math"/>
                    <w:color w:val="auto"/>
                    <w:kern w:val="24"/>
                    <w:sz w:val="24"/>
                    <w:szCs w:val="20"/>
                  </w:rPr>
                  <m:t>−</m:t>
                </m:r>
                <m:r>
                  <m:rPr/>
                  <w:rPr>
                    <w:rFonts w:hint="eastAsia" w:ascii="Cambria Math" w:hAnsi="Cambria Math"/>
                    <w:color w:val="auto"/>
                    <w:kern w:val="24"/>
                    <w:sz w:val="24"/>
                    <w:szCs w:val="20"/>
                  </w:rPr>
                  <m:t>20</m:t>
                </m:r>
                <m:r>
                  <m:rPr>
                    <m:sty m:val="p"/>
                  </m:rPr>
                  <w:rPr>
                    <w:rFonts w:ascii="Cambria Math" w:hAnsi="Cambria Math"/>
                    <w:color w:val="auto"/>
                    <w:kern w:val="24"/>
                    <w:sz w:val="24"/>
                    <w:szCs w:val="20"/>
                  </w:rPr>
                  <m:t>lg⁡</m:t>
                </m:r>
                <m:r>
                  <m:rPr/>
                  <w:rPr>
                    <w:rFonts w:ascii="Cambria Math" w:hAnsi="Cambria Math"/>
                    <w:color w:val="auto"/>
                    <w:kern w:val="24"/>
                    <w:sz w:val="24"/>
                    <w:szCs w:val="20"/>
                  </w:rPr>
                  <m:t>(r)</m:t>
                </m:r>
              </m:oMath>
            </m:oMathPara>
          </w:p>
          <w:p w14:paraId="189C9038">
            <w:pPr>
              <w:tabs>
                <w:tab w:val="left" w:pos="-160"/>
              </w:tabs>
              <w:spacing w:line="360" w:lineRule="auto"/>
              <w:jc w:val="center"/>
              <w:rPr>
                <w:color w:val="auto"/>
                <w:kern w:val="24"/>
                <w:sz w:val="24"/>
                <w:szCs w:val="20"/>
              </w:rPr>
            </w:pPr>
            <w:r>
              <w:rPr>
                <w:color w:val="auto"/>
                <w:kern w:val="24"/>
                <w:sz w:val="24"/>
                <w:szCs w:val="20"/>
              </w:rPr>
              <w:t>式中：A(r)——距噪声源r m处预测点的A声级（dB(A)）；</w:t>
            </w:r>
          </w:p>
          <w:p w14:paraId="495575E8">
            <w:pPr>
              <w:tabs>
                <w:tab w:val="left" w:pos="-160"/>
              </w:tabs>
              <w:spacing w:line="360" w:lineRule="auto"/>
              <w:ind w:firstLine="2040" w:firstLineChars="850"/>
              <w:rPr>
                <w:color w:val="auto"/>
                <w:kern w:val="24"/>
                <w:sz w:val="24"/>
                <w:szCs w:val="20"/>
              </w:rPr>
            </w:pPr>
            <w:r>
              <w:rPr>
                <w:color w:val="auto"/>
                <w:kern w:val="24"/>
                <w:sz w:val="24"/>
                <w:szCs w:val="20"/>
              </w:rPr>
              <w:t>L</w:t>
            </w:r>
            <w:r>
              <w:rPr>
                <w:color w:val="auto"/>
                <w:kern w:val="24"/>
                <w:sz w:val="24"/>
                <w:szCs w:val="20"/>
                <w:vertAlign w:val="subscript"/>
              </w:rPr>
              <w:t xml:space="preserve">WA </w:t>
            </w:r>
            <w:r>
              <w:rPr>
                <w:color w:val="auto"/>
                <w:kern w:val="24"/>
                <w:sz w:val="24"/>
                <w:szCs w:val="20"/>
              </w:rPr>
              <w:t>——点声源的A声级（dB(A)）；</w:t>
            </w:r>
          </w:p>
          <w:p w14:paraId="6E991CA5">
            <w:pPr>
              <w:spacing w:line="360" w:lineRule="auto"/>
              <w:ind w:firstLine="2040" w:firstLineChars="850"/>
              <w:rPr>
                <w:color w:val="auto"/>
                <w:kern w:val="24"/>
                <w:sz w:val="24"/>
                <w:szCs w:val="20"/>
              </w:rPr>
            </w:pPr>
            <w:r>
              <w:rPr>
                <w:color w:val="auto"/>
                <w:kern w:val="24"/>
                <w:sz w:val="24"/>
                <w:szCs w:val="20"/>
              </w:rPr>
              <w:t>r ——点声源至预测点的距离（m）</w:t>
            </w:r>
            <w:r>
              <w:rPr>
                <w:rFonts w:hint="eastAsia"/>
                <w:color w:val="auto"/>
                <w:kern w:val="24"/>
                <w:sz w:val="24"/>
                <w:szCs w:val="20"/>
              </w:rPr>
              <w:t>；</w:t>
            </w:r>
          </w:p>
          <w:p w14:paraId="02ECDE35">
            <w:pPr>
              <w:pStyle w:val="18"/>
              <w:numPr>
                <w:ilvl w:val="0"/>
                <w:numId w:val="0"/>
              </w:numPr>
              <w:spacing w:line="360" w:lineRule="auto"/>
              <w:ind w:left="840" w:leftChars="0" w:hanging="360" w:firstLineChars="0"/>
              <w:rPr>
                <w:color w:val="auto"/>
                <w:spacing w:val="-4"/>
                <w:sz w:val="24"/>
                <w:szCs w:val="24"/>
              </w:rPr>
            </w:pPr>
            <w:r>
              <w:rPr>
                <w:rFonts w:hint="default" w:ascii="Times New Roman" w:hAnsi="Times New Roman" w:eastAsia="宋体" w:cs="Times New Roman"/>
                <w:color w:val="auto"/>
                <w:spacing w:val="-4"/>
                <w:kern w:val="2"/>
                <w:sz w:val="24"/>
                <w:szCs w:val="24"/>
                <w:lang w:val="en-US" w:eastAsia="zh-CN" w:bidi="ar-SA"/>
              </w:rPr>
              <w:t>②</w:t>
            </w:r>
            <w:r>
              <w:rPr>
                <w:color w:val="auto"/>
                <w:sz w:val="24"/>
                <w:szCs w:val="24"/>
              </w:rPr>
              <w:t>多声源叠加</w:t>
            </w:r>
            <w:r>
              <w:rPr>
                <w:color w:val="auto"/>
                <w:spacing w:val="-4"/>
                <w:sz w:val="24"/>
                <w:szCs w:val="24"/>
              </w:rPr>
              <w:t>模式</w:t>
            </w:r>
          </w:p>
          <w:p w14:paraId="541538E5">
            <w:pPr>
              <w:spacing w:line="360" w:lineRule="auto"/>
              <w:jc w:val="center"/>
              <w:rPr>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r>
                  <m:rPr/>
                  <w:rPr>
                    <w:rFonts w:ascii="Cambria Math" w:hAnsi="Cambria Math"/>
                    <w:color w:val="auto"/>
                    <w:sz w:val="24"/>
                    <w:szCs w:val="24"/>
                  </w:rPr>
                  <m:t>=10</m:t>
                </m:r>
                <m:r>
                  <m:rPr>
                    <m:sty m:val="p"/>
                  </m:rPr>
                  <w:rPr>
                    <w:rFonts w:ascii="Cambria Math" w:hAnsi="Cambria Math"/>
                    <w:color w:val="auto"/>
                    <w:sz w:val="24"/>
                    <w:szCs w:val="24"/>
                  </w:rPr>
                  <m:t>lg⁡</m:t>
                </m:r>
                <m:r>
                  <m:rPr/>
                  <w:rPr>
                    <w:rFonts w:ascii="Cambria Math" w:hAnsi="Cambria Math"/>
                    <w:color w:val="auto"/>
                    <w:sz w:val="24"/>
                    <w:szCs w:val="24"/>
                  </w:rPr>
                  <m:t>(</m:t>
                </m:r>
                <m:nary>
                  <m:naryPr>
                    <m:chr m:val="∑"/>
                    <m:limLoc m:val="undOvr"/>
                    <m:ctrlPr>
                      <w:rPr>
                        <w:rFonts w:ascii="Cambria Math" w:hAnsi="Cambria Math"/>
                        <w:i/>
                        <w:color w:val="auto"/>
                        <w:sz w:val="24"/>
                        <w:szCs w:val="24"/>
                      </w:rPr>
                    </m:ctrlPr>
                  </m:naryPr>
                  <m:sub>
                    <m:r>
                      <m:rPr/>
                      <w:rPr>
                        <w:rFonts w:ascii="Cambria Math" w:hAnsi="Cambria Math"/>
                        <w:color w:val="auto"/>
                        <w:sz w:val="24"/>
                        <w:szCs w:val="24"/>
                      </w:rPr>
                      <m:t>i=1</m:t>
                    </m:r>
                    <m:ctrlPr>
                      <w:rPr>
                        <w:rFonts w:ascii="Cambria Math" w:hAnsi="Cambria Math"/>
                        <w:i/>
                        <w:color w:val="auto"/>
                        <w:sz w:val="24"/>
                        <w:szCs w:val="24"/>
                      </w:rPr>
                    </m:ctrlPr>
                  </m:sub>
                  <m:sup>
                    <m:r>
                      <m:rPr/>
                      <w:rPr>
                        <w:rFonts w:ascii="Cambria Math" w:hAnsi="Cambria Math"/>
                        <w:color w:val="auto"/>
                        <w:sz w:val="24"/>
                        <w:szCs w:val="24"/>
                      </w:rPr>
                      <m:t>n</m:t>
                    </m:r>
                    <m:ctrlPr>
                      <w:rPr>
                        <w:rFonts w:ascii="Cambria Math" w:hAnsi="Cambria Math"/>
                        <w:i/>
                        <w:color w:val="auto"/>
                        <w:sz w:val="24"/>
                        <w:szCs w:val="24"/>
                      </w:rPr>
                    </m:ctrlPr>
                  </m:sup>
                  <m:e>
                    <m:sSup>
                      <m:sSupPr>
                        <m:ctrlPr>
                          <w:rPr>
                            <w:rFonts w:ascii="Cambria Math" w:hAnsi="Cambria Math"/>
                            <w:i/>
                            <w:color w:val="auto"/>
                            <w:sz w:val="24"/>
                            <w:szCs w:val="24"/>
                          </w:rPr>
                        </m:ctrlPr>
                      </m:sSupPr>
                      <m:e>
                        <m:r>
                          <m:rPr/>
                          <w:rPr>
                            <w:rFonts w:ascii="Cambria Math" w:hAnsi="Cambria Math"/>
                            <w:color w:val="auto"/>
                            <w:sz w:val="24"/>
                            <w:szCs w:val="24"/>
                          </w:rPr>
                          <m:t>10</m:t>
                        </m:r>
                        <m:ctrlPr>
                          <w:rPr>
                            <w:rFonts w:ascii="Cambria Math" w:hAnsi="Cambria Math"/>
                            <w:i/>
                            <w:color w:val="auto"/>
                            <w:sz w:val="24"/>
                            <w:szCs w:val="24"/>
                          </w:rPr>
                        </m:ctrlPr>
                      </m:e>
                      <m:sup>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hint="eastAsia" w:ascii="Cambria Math" w:hAnsi="Cambria Math"/>
                                <w:color w:val="auto"/>
                                <w:sz w:val="24"/>
                                <w:szCs w:val="24"/>
                              </w:rPr>
                              <m:t>i</m:t>
                            </m:r>
                            <m:ctrlPr>
                              <w:rPr>
                                <w:rFonts w:ascii="Cambria Math" w:hAnsi="Cambria Math"/>
                                <w:i/>
                                <w:color w:val="auto"/>
                                <w:sz w:val="24"/>
                                <w:szCs w:val="24"/>
                              </w:rPr>
                            </m:ctrlPr>
                          </m:sub>
                        </m:sSub>
                        <m:r>
                          <m:rPr/>
                          <w:rPr>
                            <w:rFonts w:ascii="Cambria Math" w:hAnsi="Cambria Math"/>
                            <w:color w:val="auto"/>
                            <w:sz w:val="24"/>
                            <w:szCs w:val="24"/>
                          </w:rPr>
                          <m:t>/10</m:t>
                        </m:r>
                        <m:ctrlPr>
                          <w:rPr>
                            <w:rFonts w:ascii="Cambria Math" w:hAnsi="Cambria Math"/>
                            <w:i/>
                            <w:color w:val="auto"/>
                            <w:sz w:val="24"/>
                            <w:szCs w:val="24"/>
                          </w:rPr>
                        </m:ctrlPr>
                      </m:sup>
                    </m:sSup>
                    <m:ctrlPr>
                      <w:rPr>
                        <w:rFonts w:ascii="Cambria Math" w:hAnsi="Cambria Math"/>
                        <w:i/>
                        <w:color w:val="auto"/>
                        <w:sz w:val="24"/>
                        <w:szCs w:val="24"/>
                      </w:rPr>
                    </m:ctrlPr>
                  </m:e>
                </m:nary>
                <m:r>
                  <m:rPr/>
                  <w:rPr>
                    <w:rFonts w:ascii="Cambria Math" w:hAnsi="Cambria Math"/>
                    <w:color w:val="auto"/>
                    <w:sz w:val="24"/>
                    <w:szCs w:val="24"/>
                  </w:rPr>
                  <m:t>)</m:t>
                </m:r>
              </m:oMath>
            </m:oMathPara>
          </w:p>
          <w:p w14:paraId="4D349863">
            <w:pPr>
              <w:spacing w:line="360" w:lineRule="auto"/>
              <w:jc w:val="center"/>
              <w:rPr>
                <w:color w:val="auto"/>
                <w:sz w:val="24"/>
                <w:szCs w:val="28"/>
              </w:rPr>
            </w:pPr>
            <w:r>
              <w:rPr>
                <w:color w:val="auto"/>
                <w:sz w:val="24"/>
                <w:szCs w:val="28"/>
              </w:rPr>
              <w:t>式中: L</w:t>
            </w:r>
            <w:r>
              <w:rPr>
                <w:color w:val="auto"/>
                <w:sz w:val="24"/>
                <w:szCs w:val="28"/>
                <w:vertAlign w:val="subscript"/>
              </w:rPr>
              <w:t>0</w:t>
            </w:r>
            <w:r>
              <w:rPr>
                <w:color w:val="auto"/>
                <w:kern w:val="24"/>
                <w:sz w:val="24"/>
                <w:szCs w:val="20"/>
              </w:rPr>
              <w:t>——</w:t>
            </w:r>
            <w:r>
              <w:rPr>
                <w:color w:val="auto"/>
                <w:sz w:val="24"/>
                <w:szCs w:val="28"/>
              </w:rPr>
              <w:t>叠加后总声压级，dB(A)；</w:t>
            </w:r>
          </w:p>
          <w:p w14:paraId="75C6EDB8">
            <w:pPr>
              <w:spacing w:line="360" w:lineRule="auto"/>
              <w:ind w:firstLine="2040" w:firstLineChars="850"/>
              <w:rPr>
                <w:color w:val="auto"/>
                <w:sz w:val="24"/>
                <w:szCs w:val="28"/>
              </w:rPr>
            </w:pPr>
            <w:r>
              <w:rPr>
                <w:color w:val="auto"/>
                <w:sz w:val="24"/>
                <w:szCs w:val="28"/>
              </w:rPr>
              <w:t>n</w:t>
            </w:r>
            <w:r>
              <w:rPr>
                <w:color w:val="auto"/>
                <w:kern w:val="24"/>
                <w:sz w:val="24"/>
                <w:szCs w:val="20"/>
              </w:rPr>
              <w:t>——</w:t>
            </w:r>
            <w:r>
              <w:rPr>
                <w:color w:val="auto"/>
                <w:sz w:val="24"/>
                <w:szCs w:val="28"/>
              </w:rPr>
              <w:t xml:space="preserve"> 声源级数；</w:t>
            </w:r>
          </w:p>
          <w:p w14:paraId="6B9AB14A">
            <w:pPr>
              <w:spacing w:line="360" w:lineRule="auto"/>
              <w:ind w:firstLine="2040" w:firstLineChars="850"/>
              <w:rPr>
                <w:color w:val="auto"/>
                <w:sz w:val="24"/>
                <w:szCs w:val="28"/>
              </w:rPr>
            </w:pPr>
            <w:r>
              <w:rPr>
                <w:color w:val="auto"/>
                <w:sz w:val="24"/>
                <w:szCs w:val="28"/>
              </w:rPr>
              <w:t>L</w:t>
            </w:r>
            <w:r>
              <w:rPr>
                <w:color w:val="auto"/>
                <w:sz w:val="24"/>
                <w:szCs w:val="28"/>
                <w:vertAlign w:val="subscript"/>
              </w:rPr>
              <w:t>i</w:t>
            </w:r>
            <w:r>
              <w:rPr>
                <w:color w:val="auto"/>
                <w:sz w:val="24"/>
                <w:szCs w:val="28"/>
              </w:rPr>
              <w:t xml:space="preserve"> </w:t>
            </w:r>
            <w:r>
              <w:rPr>
                <w:color w:val="auto"/>
                <w:kern w:val="24"/>
                <w:sz w:val="24"/>
                <w:szCs w:val="20"/>
              </w:rPr>
              <w:t>——</w:t>
            </w:r>
            <w:r>
              <w:rPr>
                <w:color w:val="auto"/>
                <w:sz w:val="24"/>
                <w:szCs w:val="28"/>
              </w:rPr>
              <w:t>各声源对某点的声压值，dB(A)</w:t>
            </w:r>
            <w:r>
              <w:rPr>
                <w:rFonts w:hint="eastAsia"/>
                <w:color w:val="auto"/>
                <w:sz w:val="24"/>
                <w:szCs w:val="28"/>
              </w:rPr>
              <w:t>；</w:t>
            </w:r>
          </w:p>
          <w:p w14:paraId="2890510E">
            <w:pPr>
              <w:spacing w:line="360" w:lineRule="auto"/>
              <w:ind w:firstLine="464" w:firstLineChars="200"/>
              <w:rPr>
                <w:color w:val="auto"/>
                <w:spacing w:val="-4"/>
                <w:sz w:val="24"/>
                <w:szCs w:val="24"/>
              </w:rPr>
            </w:pPr>
            <w:r>
              <w:rPr>
                <w:rFonts w:hint="eastAsia"/>
                <w:color w:val="auto"/>
                <w:spacing w:val="-4"/>
                <w:sz w:val="24"/>
                <w:szCs w:val="24"/>
              </w:rPr>
              <w:t>运营期间，企业仅仅昼间进行生产活动，运营期噪声预测结果只考虑昼间，预测中同时考虑其他因素引起的衰减。预测结果见下表</w:t>
            </w:r>
            <w:r>
              <w:rPr>
                <w:color w:val="auto"/>
                <w:spacing w:val="-4"/>
                <w:sz w:val="24"/>
                <w:szCs w:val="24"/>
              </w:rPr>
              <w:t>：</w:t>
            </w:r>
          </w:p>
          <w:p w14:paraId="43825296">
            <w:pPr>
              <w:pStyle w:val="22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表4-16</w:t>
            </w:r>
            <w:r>
              <w:rPr>
                <w:rFonts w:hint="default" w:ascii="Times New Roman" w:hAnsi="Times New Roman" w:cs="Times New Roman"/>
                <w:bCs/>
                <w:color w:val="auto"/>
                <w:sz w:val="24"/>
                <w:szCs w:val="24"/>
                <w:lang w:val="en-US" w:eastAsia="zh-CN"/>
              </w:rPr>
              <w:t xml:space="preserve"> </w:t>
            </w:r>
            <w:r>
              <w:rPr>
                <w:rFonts w:hint="default" w:ascii="Times New Roman" w:hAnsi="Times New Roman" w:cs="Times New Roman"/>
                <w:bCs/>
                <w:color w:val="auto"/>
                <w:sz w:val="24"/>
                <w:szCs w:val="24"/>
              </w:rPr>
              <w:t>项目厂界噪声预测结果   单位dB（A）</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84"/>
              <w:gridCol w:w="3135"/>
              <w:gridCol w:w="3127"/>
            </w:tblGrid>
            <w:tr w14:paraId="42AA1A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Merge w:val="restart"/>
                  <w:vAlign w:val="center"/>
                </w:tcPr>
                <w:p w14:paraId="79A72FC9">
                  <w:pPr>
                    <w:pStyle w:val="2"/>
                    <w:spacing w:after="0" w:line="276" w:lineRule="auto"/>
                    <w:ind w:left="0" w:leftChars="0"/>
                    <w:jc w:val="center"/>
                    <w:rPr>
                      <w:b/>
                      <w:bCs/>
                      <w:color w:val="auto"/>
                      <w:szCs w:val="21"/>
                    </w:rPr>
                  </w:pPr>
                  <w:r>
                    <w:rPr>
                      <w:rFonts w:hAnsi="宋体"/>
                      <w:b/>
                      <w:bCs/>
                      <w:color w:val="auto"/>
                      <w:szCs w:val="21"/>
                    </w:rPr>
                    <w:t>预测点</w:t>
                  </w:r>
                </w:p>
              </w:tc>
              <w:tc>
                <w:tcPr>
                  <w:tcW w:w="1856" w:type="pct"/>
                  <w:vAlign w:val="center"/>
                </w:tcPr>
                <w:p w14:paraId="1DE1366C">
                  <w:pPr>
                    <w:pStyle w:val="2"/>
                    <w:spacing w:after="0" w:line="276" w:lineRule="auto"/>
                    <w:ind w:left="0" w:leftChars="0"/>
                    <w:jc w:val="center"/>
                    <w:rPr>
                      <w:rFonts w:hint="eastAsia" w:hAnsi="宋体"/>
                      <w:b/>
                      <w:bCs/>
                      <w:color w:val="auto"/>
                      <w:szCs w:val="21"/>
                    </w:rPr>
                  </w:pPr>
                  <w:r>
                    <w:rPr>
                      <w:rFonts w:hAnsi="宋体"/>
                      <w:b/>
                      <w:bCs/>
                      <w:color w:val="auto"/>
                      <w:szCs w:val="21"/>
                    </w:rPr>
                    <w:t>贡献值</w:t>
                  </w:r>
                </w:p>
              </w:tc>
              <w:tc>
                <w:tcPr>
                  <w:tcW w:w="1851" w:type="pct"/>
                  <w:vAlign w:val="center"/>
                </w:tcPr>
                <w:p w14:paraId="63F17F36">
                  <w:pPr>
                    <w:pStyle w:val="2"/>
                    <w:spacing w:after="0" w:line="276" w:lineRule="auto"/>
                    <w:ind w:left="0" w:leftChars="0"/>
                    <w:jc w:val="center"/>
                    <w:rPr>
                      <w:rFonts w:hint="eastAsia" w:hAnsi="宋体"/>
                      <w:b/>
                      <w:bCs/>
                      <w:color w:val="auto"/>
                      <w:szCs w:val="21"/>
                    </w:rPr>
                  </w:pPr>
                  <w:r>
                    <w:rPr>
                      <w:rFonts w:hint="eastAsia" w:hAnsi="宋体"/>
                      <w:b/>
                      <w:bCs/>
                      <w:color w:val="auto"/>
                      <w:szCs w:val="21"/>
                    </w:rPr>
                    <w:t>评价标准</w:t>
                  </w:r>
                </w:p>
              </w:tc>
            </w:tr>
            <w:tr w14:paraId="482C8B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Merge w:val="continue"/>
                  <w:vAlign w:val="center"/>
                </w:tcPr>
                <w:p w14:paraId="12C2B3F6">
                  <w:pPr>
                    <w:pStyle w:val="2"/>
                    <w:spacing w:after="0" w:line="276" w:lineRule="auto"/>
                    <w:ind w:left="0" w:leftChars="0"/>
                    <w:jc w:val="center"/>
                    <w:rPr>
                      <w:rFonts w:hint="eastAsia" w:hAnsi="宋体"/>
                      <w:b/>
                      <w:bCs/>
                      <w:color w:val="auto"/>
                      <w:szCs w:val="21"/>
                    </w:rPr>
                  </w:pPr>
                </w:p>
              </w:tc>
              <w:tc>
                <w:tcPr>
                  <w:tcW w:w="1856" w:type="pct"/>
                  <w:vAlign w:val="center"/>
                </w:tcPr>
                <w:p w14:paraId="527EAB19">
                  <w:pPr>
                    <w:pStyle w:val="2"/>
                    <w:spacing w:after="0" w:line="276" w:lineRule="auto"/>
                    <w:ind w:left="0" w:leftChars="0"/>
                    <w:jc w:val="center"/>
                    <w:rPr>
                      <w:rFonts w:hint="eastAsia" w:hAnsi="宋体"/>
                      <w:b/>
                      <w:bCs/>
                      <w:color w:val="auto"/>
                      <w:szCs w:val="21"/>
                    </w:rPr>
                  </w:pPr>
                  <w:r>
                    <w:rPr>
                      <w:rFonts w:hint="eastAsia" w:hAnsi="宋体"/>
                      <w:b/>
                      <w:bCs/>
                      <w:color w:val="auto"/>
                      <w:szCs w:val="21"/>
                    </w:rPr>
                    <w:t>昼间</w:t>
                  </w:r>
                </w:p>
              </w:tc>
              <w:tc>
                <w:tcPr>
                  <w:tcW w:w="1851" w:type="pct"/>
                  <w:vAlign w:val="center"/>
                </w:tcPr>
                <w:p w14:paraId="6076C9E7">
                  <w:pPr>
                    <w:pStyle w:val="2"/>
                    <w:spacing w:after="0" w:line="276" w:lineRule="auto"/>
                    <w:ind w:left="0" w:leftChars="0"/>
                    <w:jc w:val="center"/>
                    <w:rPr>
                      <w:rFonts w:hint="eastAsia" w:hAnsi="宋体"/>
                      <w:b/>
                      <w:bCs/>
                      <w:color w:val="auto"/>
                      <w:szCs w:val="21"/>
                    </w:rPr>
                  </w:pPr>
                  <w:r>
                    <w:rPr>
                      <w:rFonts w:hint="eastAsia" w:hAnsi="宋体"/>
                      <w:b/>
                      <w:bCs/>
                      <w:color w:val="auto"/>
                      <w:szCs w:val="21"/>
                    </w:rPr>
                    <w:t>昼间</w:t>
                  </w:r>
                </w:p>
              </w:tc>
            </w:tr>
            <w:tr w14:paraId="289C44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Align w:val="center"/>
                </w:tcPr>
                <w:p w14:paraId="6FEB76ED">
                  <w:pPr>
                    <w:pStyle w:val="2"/>
                    <w:spacing w:after="0" w:line="276" w:lineRule="auto"/>
                    <w:ind w:left="0" w:leftChars="0"/>
                    <w:jc w:val="center"/>
                    <w:rPr>
                      <w:color w:val="auto"/>
                      <w:szCs w:val="21"/>
                    </w:rPr>
                  </w:pPr>
                  <w:r>
                    <w:rPr>
                      <w:rFonts w:hAnsi="宋体"/>
                      <w:color w:val="auto"/>
                      <w:szCs w:val="21"/>
                    </w:rPr>
                    <w:t>东厂界</w:t>
                  </w:r>
                </w:p>
              </w:tc>
              <w:tc>
                <w:tcPr>
                  <w:tcW w:w="1856" w:type="pct"/>
                  <w:vAlign w:val="center"/>
                </w:tcPr>
                <w:p w14:paraId="373E63E0">
                  <w:pPr>
                    <w:spacing w:line="276" w:lineRule="auto"/>
                    <w:jc w:val="center"/>
                    <w:rPr>
                      <w:color w:val="auto"/>
                      <w:szCs w:val="21"/>
                    </w:rPr>
                  </w:pPr>
                  <w:r>
                    <w:rPr>
                      <w:rFonts w:hint="eastAsia"/>
                      <w:color w:val="auto"/>
                      <w:szCs w:val="21"/>
                    </w:rPr>
                    <w:t>5</w:t>
                  </w:r>
                  <w:r>
                    <w:rPr>
                      <w:rFonts w:hint="eastAsia"/>
                      <w:color w:val="auto"/>
                      <w:szCs w:val="21"/>
                      <w:lang w:val="en-US" w:eastAsia="zh-CN"/>
                    </w:rPr>
                    <w:t>2</w:t>
                  </w:r>
                  <w:r>
                    <w:rPr>
                      <w:rFonts w:hint="eastAsia"/>
                      <w:color w:val="auto"/>
                      <w:szCs w:val="21"/>
                    </w:rPr>
                    <w:t>.3</w:t>
                  </w:r>
                </w:p>
              </w:tc>
              <w:tc>
                <w:tcPr>
                  <w:tcW w:w="1851" w:type="pct"/>
                  <w:vAlign w:val="center"/>
                </w:tcPr>
                <w:p w14:paraId="6F8A52ED">
                  <w:pPr>
                    <w:widowControl/>
                    <w:spacing w:line="276" w:lineRule="auto"/>
                    <w:jc w:val="center"/>
                    <w:textAlignment w:val="center"/>
                    <w:rPr>
                      <w:color w:val="auto"/>
                      <w:szCs w:val="21"/>
                    </w:rPr>
                  </w:pPr>
                  <w:r>
                    <w:rPr>
                      <w:rFonts w:hint="eastAsia"/>
                      <w:color w:val="auto"/>
                      <w:szCs w:val="21"/>
                    </w:rPr>
                    <w:t>65</w:t>
                  </w:r>
                </w:p>
              </w:tc>
            </w:tr>
            <w:tr w14:paraId="4E1695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Align w:val="center"/>
                </w:tcPr>
                <w:p w14:paraId="0DEAE384">
                  <w:pPr>
                    <w:pStyle w:val="2"/>
                    <w:spacing w:after="0" w:line="276" w:lineRule="auto"/>
                    <w:ind w:left="0" w:leftChars="0"/>
                    <w:jc w:val="center"/>
                    <w:rPr>
                      <w:color w:val="auto"/>
                      <w:szCs w:val="21"/>
                    </w:rPr>
                  </w:pPr>
                  <w:r>
                    <w:rPr>
                      <w:rFonts w:hAnsi="宋体"/>
                      <w:color w:val="auto"/>
                      <w:szCs w:val="21"/>
                    </w:rPr>
                    <w:t>南厂界</w:t>
                  </w:r>
                </w:p>
              </w:tc>
              <w:tc>
                <w:tcPr>
                  <w:tcW w:w="1856" w:type="pct"/>
                  <w:vAlign w:val="center"/>
                </w:tcPr>
                <w:p w14:paraId="0726F50E">
                  <w:pPr>
                    <w:spacing w:line="276" w:lineRule="auto"/>
                    <w:jc w:val="center"/>
                    <w:rPr>
                      <w:color w:val="auto"/>
                      <w:szCs w:val="21"/>
                    </w:rPr>
                  </w:pPr>
                  <w:r>
                    <w:rPr>
                      <w:rFonts w:hint="eastAsia"/>
                      <w:color w:val="auto"/>
                      <w:szCs w:val="21"/>
                    </w:rPr>
                    <w:t>52.4</w:t>
                  </w:r>
                </w:p>
              </w:tc>
              <w:tc>
                <w:tcPr>
                  <w:tcW w:w="1851" w:type="pct"/>
                </w:tcPr>
                <w:p w14:paraId="7C93D31A">
                  <w:pPr>
                    <w:widowControl/>
                    <w:spacing w:line="276" w:lineRule="auto"/>
                    <w:jc w:val="center"/>
                    <w:textAlignment w:val="center"/>
                    <w:rPr>
                      <w:color w:val="auto"/>
                      <w:szCs w:val="21"/>
                    </w:rPr>
                  </w:pPr>
                  <w:r>
                    <w:rPr>
                      <w:rFonts w:hint="eastAsia"/>
                      <w:color w:val="auto"/>
                      <w:szCs w:val="21"/>
                    </w:rPr>
                    <w:t>65</w:t>
                  </w:r>
                </w:p>
              </w:tc>
            </w:tr>
            <w:tr w14:paraId="72965A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Align w:val="center"/>
                </w:tcPr>
                <w:p w14:paraId="536EDED8">
                  <w:pPr>
                    <w:pStyle w:val="2"/>
                    <w:spacing w:after="0" w:line="276" w:lineRule="auto"/>
                    <w:ind w:left="0" w:leftChars="0"/>
                    <w:jc w:val="center"/>
                    <w:rPr>
                      <w:color w:val="auto"/>
                      <w:szCs w:val="21"/>
                    </w:rPr>
                  </w:pPr>
                  <w:r>
                    <w:rPr>
                      <w:rFonts w:hAnsi="宋体"/>
                      <w:color w:val="auto"/>
                      <w:szCs w:val="21"/>
                    </w:rPr>
                    <w:t>西厂界</w:t>
                  </w:r>
                </w:p>
              </w:tc>
              <w:tc>
                <w:tcPr>
                  <w:tcW w:w="1856" w:type="pct"/>
                  <w:vAlign w:val="center"/>
                </w:tcPr>
                <w:p w14:paraId="5F67EE6A">
                  <w:pPr>
                    <w:spacing w:line="276" w:lineRule="auto"/>
                    <w:jc w:val="center"/>
                    <w:rPr>
                      <w:color w:val="auto"/>
                      <w:szCs w:val="21"/>
                    </w:rPr>
                  </w:pPr>
                  <w:r>
                    <w:rPr>
                      <w:rFonts w:hint="eastAsia"/>
                      <w:color w:val="auto"/>
                      <w:szCs w:val="21"/>
                    </w:rPr>
                    <w:t>5</w:t>
                  </w:r>
                  <w:r>
                    <w:rPr>
                      <w:rFonts w:hint="eastAsia"/>
                      <w:color w:val="auto"/>
                      <w:szCs w:val="21"/>
                      <w:lang w:val="en-US" w:eastAsia="zh-CN"/>
                    </w:rPr>
                    <w:t>3</w:t>
                  </w:r>
                  <w:r>
                    <w:rPr>
                      <w:rFonts w:hint="eastAsia"/>
                      <w:color w:val="auto"/>
                      <w:szCs w:val="21"/>
                    </w:rPr>
                    <w:t>.7</w:t>
                  </w:r>
                </w:p>
              </w:tc>
              <w:tc>
                <w:tcPr>
                  <w:tcW w:w="1851" w:type="pct"/>
                </w:tcPr>
                <w:p w14:paraId="31325291">
                  <w:pPr>
                    <w:widowControl/>
                    <w:spacing w:line="276" w:lineRule="auto"/>
                    <w:jc w:val="center"/>
                    <w:textAlignment w:val="center"/>
                    <w:rPr>
                      <w:color w:val="auto"/>
                      <w:szCs w:val="21"/>
                    </w:rPr>
                  </w:pPr>
                  <w:r>
                    <w:rPr>
                      <w:rFonts w:hint="eastAsia"/>
                      <w:color w:val="auto"/>
                      <w:szCs w:val="21"/>
                    </w:rPr>
                    <w:t>65</w:t>
                  </w:r>
                </w:p>
              </w:tc>
            </w:tr>
            <w:tr w14:paraId="2156B9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93" w:type="pct"/>
                  <w:vAlign w:val="center"/>
                </w:tcPr>
                <w:p w14:paraId="0D16A6BE">
                  <w:pPr>
                    <w:pStyle w:val="2"/>
                    <w:spacing w:after="0" w:line="276" w:lineRule="auto"/>
                    <w:ind w:left="0" w:leftChars="0"/>
                    <w:jc w:val="center"/>
                    <w:rPr>
                      <w:color w:val="auto"/>
                      <w:szCs w:val="21"/>
                    </w:rPr>
                  </w:pPr>
                  <w:r>
                    <w:rPr>
                      <w:rFonts w:hAnsi="宋体"/>
                      <w:color w:val="auto"/>
                      <w:szCs w:val="21"/>
                    </w:rPr>
                    <w:t>北厂界</w:t>
                  </w:r>
                </w:p>
              </w:tc>
              <w:tc>
                <w:tcPr>
                  <w:tcW w:w="1856" w:type="pct"/>
                  <w:vAlign w:val="center"/>
                </w:tcPr>
                <w:p w14:paraId="3907769B">
                  <w:pPr>
                    <w:spacing w:line="276" w:lineRule="auto"/>
                    <w:jc w:val="center"/>
                    <w:rPr>
                      <w:color w:val="auto"/>
                      <w:szCs w:val="21"/>
                    </w:rPr>
                  </w:pPr>
                  <w:r>
                    <w:rPr>
                      <w:rFonts w:hint="eastAsia"/>
                      <w:color w:val="auto"/>
                      <w:szCs w:val="21"/>
                    </w:rPr>
                    <w:t>5</w:t>
                  </w:r>
                  <w:r>
                    <w:rPr>
                      <w:rFonts w:hint="eastAsia"/>
                      <w:color w:val="auto"/>
                      <w:szCs w:val="21"/>
                      <w:lang w:val="en-US" w:eastAsia="zh-CN"/>
                    </w:rPr>
                    <w:t>2</w:t>
                  </w:r>
                  <w:r>
                    <w:rPr>
                      <w:rFonts w:hint="eastAsia"/>
                      <w:color w:val="auto"/>
                      <w:szCs w:val="21"/>
                    </w:rPr>
                    <w:t>.7</w:t>
                  </w:r>
                </w:p>
              </w:tc>
              <w:tc>
                <w:tcPr>
                  <w:tcW w:w="1851" w:type="pct"/>
                </w:tcPr>
                <w:p w14:paraId="6E5DD8E5">
                  <w:pPr>
                    <w:widowControl/>
                    <w:spacing w:line="276" w:lineRule="auto"/>
                    <w:jc w:val="center"/>
                    <w:textAlignment w:val="center"/>
                    <w:rPr>
                      <w:color w:val="auto"/>
                      <w:szCs w:val="21"/>
                    </w:rPr>
                  </w:pPr>
                  <w:r>
                    <w:rPr>
                      <w:rFonts w:hint="eastAsia"/>
                      <w:color w:val="auto"/>
                      <w:szCs w:val="21"/>
                    </w:rPr>
                    <w:t>65</w:t>
                  </w:r>
                </w:p>
              </w:tc>
            </w:tr>
          </w:tbl>
          <w:p w14:paraId="170655A2">
            <w:pPr>
              <w:spacing w:line="360" w:lineRule="auto"/>
              <w:ind w:firstLine="480" w:firstLineChars="200"/>
              <w:rPr>
                <w:color w:val="auto"/>
                <w:sz w:val="24"/>
                <w:szCs w:val="28"/>
              </w:rPr>
            </w:pPr>
            <w:r>
              <w:rPr>
                <w:color w:val="auto"/>
                <w:sz w:val="24"/>
                <w:szCs w:val="24"/>
              </w:rPr>
              <w:t>综上所述，本项目建设运营，对周围声环境影响较小。</w:t>
            </w:r>
            <w:r>
              <w:rPr>
                <w:rFonts w:hint="eastAsia"/>
                <w:color w:val="auto"/>
                <w:sz w:val="24"/>
                <w:szCs w:val="28"/>
              </w:rPr>
              <w:t>根据预测结果可知，项目东、南、西、北昼间厂界噪声均</w:t>
            </w:r>
            <w:r>
              <w:rPr>
                <w:color w:val="auto"/>
                <w:sz w:val="24"/>
                <w:szCs w:val="28"/>
              </w:rPr>
              <w:t>能够满足《工业企业厂界环境噪声排放标准》(GB12348-2008)</w:t>
            </w:r>
            <w:r>
              <w:rPr>
                <w:rFonts w:hint="eastAsia"/>
                <w:color w:val="auto"/>
                <w:sz w:val="24"/>
                <w:szCs w:val="28"/>
              </w:rPr>
              <w:t>中3</w:t>
            </w:r>
            <w:r>
              <w:rPr>
                <w:color w:val="auto"/>
                <w:sz w:val="24"/>
                <w:szCs w:val="28"/>
              </w:rPr>
              <w:t>类</w:t>
            </w:r>
            <w:r>
              <w:rPr>
                <w:rFonts w:hint="eastAsia"/>
                <w:color w:val="auto"/>
                <w:sz w:val="24"/>
                <w:szCs w:val="28"/>
              </w:rPr>
              <w:t>标准，</w:t>
            </w:r>
            <w:r>
              <w:rPr>
                <w:color w:val="auto"/>
                <w:sz w:val="24"/>
                <w:szCs w:val="28"/>
              </w:rPr>
              <w:t>对周边环境影响较小。</w:t>
            </w:r>
          </w:p>
          <w:p w14:paraId="690FF1E1">
            <w:pPr>
              <w:autoSpaceDE w:val="0"/>
              <w:autoSpaceDN w:val="0"/>
              <w:adjustRightInd w:val="0"/>
              <w:spacing w:line="360" w:lineRule="auto"/>
              <w:ind w:firstLine="480" w:firstLineChars="200"/>
              <w:rPr>
                <w:rFonts w:hint="eastAsia" w:hAnsi="宋体"/>
                <w:color w:val="auto"/>
                <w:sz w:val="24"/>
              </w:rPr>
            </w:pPr>
            <w:r>
              <w:rPr>
                <w:rFonts w:hint="eastAsia" w:hAnsi="宋体"/>
                <w:color w:val="auto"/>
                <w:sz w:val="24"/>
              </w:rPr>
              <w:t>根据建设单位提供资料，各类生产设施均置于室内，主要噪声源距离厂界较远，但为了进一步降低噪声对周围环境的影响，建议企业应采取以下措施：</w:t>
            </w:r>
          </w:p>
          <w:p w14:paraId="23BF3043">
            <w:pPr>
              <w:autoSpaceDE w:val="0"/>
              <w:autoSpaceDN w:val="0"/>
              <w:spacing w:line="360" w:lineRule="auto"/>
              <w:ind w:firstLine="480" w:firstLineChars="200"/>
              <w:rPr>
                <w:rFonts w:ascii="宋体" w:cs="宋体"/>
                <w:color w:val="auto"/>
                <w:kern w:val="0"/>
                <w:sz w:val="24"/>
              </w:rPr>
            </w:pPr>
            <w:r>
              <w:rPr>
                <w:rFonts w:hAnsi="宋体"/>
                <w:color w:val="auto"/>
                <w:sz w:val="24"/>
              </w:rPr>
              <w:t>（</w:t>
            </w:r>
            <w:r>
              <w:rPr>
                <w:color w:val="auto"/>
                <w:sz w:val="24"/>
              </w:rPr>
              <w:t>1</w:t>
            </w:r>
            <w:r>
              <w:rPr>
                <w:rFonts w:hAnsi="宋体"/>
                <w:color w:val="auto"/>
                <w:sz w:val="24"/>
              </w:rPr>
              <w:t>）在高噪声设备机器底面安装垫木或者橡胶减振垫，用地脚螺栓固定，减小了设备运行时的振动和振动引起的噪声；</w:t>
            </w:r>
          </w:p>
          <w:p w14:paraId="78AB46EA">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）合理布局，将生产设备集中布置在厂房</w:t>
            </w:r>
            <w:r>
              <w:rPr>
                <w:rFonts w:hint="eastAsia" w:hAnsi="宋体"/>
                <w:color w:val="auto"/>
                <w:sz w:val="24"/>
              </w:rPr>
              <w:t>中部</w:t>
            </w:r>
            <w:r>
              <w:rPr>
                <w:rFonts w:hAnsi="宋体"/>
                <w:color w:val="auto"/>
                <w:sz w:val="24"/>
              </w:rPr>
              <w:t>；</w:t>
            </w:r>
          </w:p>
          <w:p w14:paraId="5DCC7146">
            <w:pPr>
              <w:spacing w:line="360" w:lineRule="auto"/>
              <w:ind w:firstLine="480" w:firstLineChars="200"/>
              <w:rPr>
                <w:rFonts w:hint="eastAsia" w:hAnsi="宋体"/>
                <w:color w:val="auto"/>
                <w:sz w:val="24"/>
              </w:rPr>
            </w:pPr>
            <w:r>
              <w:rPr>
                <w:rFonts w:hAnsi="宋体"/>
                <w:color w:val="auto"/>
                <w:sz w:val="24"/>
              </w:rPr>
              <w:t>（</w:t>
            </w:r>
            <w:r>
              <w:rPr>
                <w:color w:val="auto"/>
                <w:sz w:val="24"/>
              </w:rPr>
              <w:t>3</w:t>
            </w:r>
            <w:r>
              <w:rPr>
                <w:rFonts w:hAnsi="宋体"/>
                <w:color w:val="auto"/>
                <w:sz w:val="24"/>
              </w:rPr>
              <w:t>）加强噪声设备的维修管理，避免因不正常运行所导致的噪声增大；</w:t>
            </w:r>
          </w:p>
          <w:p w14:paraId="0722646C">
            <w:pPr>
              <w:pStyle w:val="57"/>
              <w:spacing w:line="360" w:lineRule="auto"/>
              <w:ind w:firstLine="482" w:firstLineChars="200"/>
              <w:rPr>
                <w:b/>
                <w:bCs/>
                <w:color w:val="auto"/>
              </w:rPr>
            </w:pPr>
            <w:r>
              <w:rPr>
                <w:rFonts w:hint="eastAsia"/>
                <w:b/>
                <w:bCs/>
                <w:color w:val="auto"/>
              </w:rPr>
              <w:t>3、环境噪声监测计划</w:t>
            </w:r>
          </w:p>
          <w:p w14:paraId="4D733C7B">
            <w:pPr>
              <w:pStyle w:val="57"/>
              <w:spacing w:line="360" w:lineRule="auto"/>
              <w:ind w:firstLine="480" w:firstLineChars="200"/>
              <w:jc w:val="both"/>
              <w:rPr>
                <w:b w:val="0"/>
                <w:bCs w:val="0"/>
                <w:color w:val="auto"/>
              </w:rPr>
            </w:pPr>
            <w:r>
              <w:rPr>
                <w:rFonts w:hint="eastAsia"/>
                <w:b w:val="0"/>
                <w:bCs w:val="0"/>
                <w:color w:val="auto"/>
              </w:rPr>
              <w:t>根据《排污单位自行监测技术指南 总则》（HJ819-2017），厂界声环境监测计划见下表。监测计划见表 4-17。</w:t>
            </w:r>
          </w:p>
          <w:p w14:paraId="58E40BD4">
            <w:pPr>
              <w:pStyle w:val="220"/>
              <w:rPr>
                <w:bCs/>
                <w:color w:val="auto"/>
                <w:sz w:val="24"/>
                <w:szCs w:val="24"/>
              </w:rPr>
            </w:pPr>
            <w:r>
              <w:rPr>
                <w:bCs/>
                <w:color w:val="auto"/>
                <w:sz w:val="24"/>
                <w:szCs w:val="24"/>
              </w:rPr>
              <w:t>表4-1</w:t>
            </w:r>
            <w:r>
              <w:rPr>
                <w:rFonts w:hint="eastAsia"/>
                <w:bCs/>
                <w:color w:val="auto"/>
                <w:sz w:val="24"/>
                <w:szCs w:val="24"/>
              </w:rPr>
              <w:t>7 噪声排放监测计划一览表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416"/>
              <w:gridCol w:w="1569"/>
              <w:gridCol w:w="1157"/>
              <w:gridCol w:w="1429"/>
              <w:gridCol w:w="2106"/>
            </w:tblGrid>
            <w:tr w14:paraId="2B274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5" w:type="pct"/>
                  <w:vAlign w:val="center"/>
                </w:tcPr>
                <w:p w14:paraId="3FA6B95B">
                  <w:pPr>
                    <w:pStyle w:val="2"/>
                    <w:spacing w:after="0"/>
                    <w:ind w:left="0" w:leftChars="0"/>
                    <w:jc w:val="center"/>
                    <w:rPr>
                      <w:b/>
                      <w:bCs/>
                      <w:color w:val="auto"/>
                      <w:szCs w:val="21"/>
                    </w:rPr>
                  </w:pPr>
                  <w:r>
                    <w:rPr>
                      <w:rFonts w:hint="eastAsia" w:hAnsi="宋体"/>
                      <w:b/>
                      <w:bCs/>
                      <w:color w:val="auto"/>
                      <w:szCs w:val="21"/>
                    </w:rPr>
                    <w:t>序号</w:t>
                  </w:r>
                </w:p>
              </w:tc>
              <w:tc>
                <w:tcPr>
                  <w:tcW w:w="838" w:type="pct"/>
                  <w:vAlign w:val="center"/>
                </w:tcPr>
                <w:p w14:paraId="7A219CC4">
                  <w:pPr>
                    <w:pStyle w:val="2"/>
                    <w:spacing w:after="0"/>
                    <w:ind w:left="0" w:leftChars="0"/>
                    <w:jc w:val="center"/>
                    <w:rPr>
                      <w:b/>
                      <w:bCs/>
                      <w:color w:val="auto"/>
                      <w:szCs w:val="21"/>
                    </w:rPr>
                  </w:pPr>
                  <w:r>
                    <w:rPr>
                      <w:rFonts w:hint="eastAsia"/>
                      <w:b/>
                      <w:bCs/>
                      <w:color w:val="auto"/>
                      <w:szCs w:val="21"/>
                    </w:rPr>
                    <w:t>监测点位</w:t>
                  </w:r>
                </w:p>
              </w:tc>
              <w:tc>
                <w:tcPr>
                  <w:tcW w:w="929" w:type="pct"/>
                  <w:vAlign w:val="center"/>
                </w:tcPr>
                <w:p w14:paraId="7687FAB2">
                  <w:pPr>
                    <w:pStyle w:val="2"/>
                    <w:spacing w:after="0"/>
                    <w:ind w:left="0" w:leftChars="0"/>
                    <w:jc w:val="center"/>
                    <w:rPr>
                      <w:rFonts w:hint="eastAsia" w:hAnsi="宋体"/>
                      <w:b/>
                      <w:bCs/>
                      <w:color w:val="auto"/>
                      <w:szCs w:val="21"/>
                    </w:rPr>
                  </w:pPr>
                  <w:r>
                    <w:rPr>
                      <w:rFonts w:hint="eastAsia"/>
                      <w:b/>
                      <w:bCs/>
                      <w:color w:val="auto"/>
                      <w:szCs w:val="21"/>
                    </w:rPr>
                    <w:t>监测项目</w:t>
                  </w:r>
                </w:p>
              </w:tc>
              <w:tc>
                <w:tcPr>
                  <w:tcW w:w="685" w:type="pct"/>
                  <w:vAlign w:val="center"/>
                </w:tcPr>
                <w:p w14:paraId="59A9634B">
                  <w:pPr>
                    <w:pStyle w:val="2"/>
                    <w:spacing w:after="0"/>
                    <w:ind w:left="0" w:leftChars="0"/>
                    <w:jc w:val="center"/>
                    <w:rPr>
                      <w:rFonts w:hint="eastAsia" w:hAnsi="宋体"/>
                      <w:b/>
                      <w:bCs/>
                      <w:color w:val="auto"/>
                      <w:szCs w:val="21"/>
                    </w:rPr>
                  </w:pPr>
                  <w:r>
                    <w:rPr>
                      <w:rFonts w:hint="eastAsia" w:hAnsi="宋体"/>
                      <w:b/>
                      <w:bCs/>
                      <w:color w:val="auto"/>
                      <w:szCs w:val="21"/>
                    </w:rPr>
                    <w:t>频率</w:t>
                  </w:r>
                </w:p>
              </w:tc>
              <w:tc>
                <w:tcPr>
                  <w:tcW w:w="846" w:type="pct"/>
                  <w:vAlign w:val="center"/>
                </w:tcPr>
                <w:p w14:paraId="52530BFD">
                  <w:pPr>
                    <w:pStyle w:val="2"/>
                    <w:spacing w:after="0"/>
                    <w:ind w:left="0" w:leftChars="0"/>
                    <w:jc w:val="center"/>
                    <w:rPr>
                      <w:rFonts w:hint="eastAsia" w:hAnsi="宋体"/>
                      <w:b/>
                      <w:bCs/>
                      <w:color w:val="auto"/>
                      <w:szCs w:val="21"/>
                    </w:rPr>
                  </w:pPr>
                  <w:r>
                    <w:rPr>
                      <w:rFonts w:hint="eastAsia" w:hAnsi="宋体"/>
                      <w:b/>
                      <w:bCs/>
                      <w:color w:val="auto"/>
                      <w:szCs w:val="21"/>
                    </w:rPr>
                    <w:t>实施单位</w:t>
                  </w:r>
                </w:p>
              </w:tc>
              <w:tc>
                <w:tcPr>
                  <w:tcW w:w="1247" w:type="pct"/>
                  <w:vAlign w:val="center"/>
                </w:tcPr>
                <w:p w14:paraId="56FFB749">
                  <w:pPr>
                    <w:pStyle w:val="2"/>
                    <w:spacing w:after="0"/>
                    <w:ind w:left="0" w:leftChars="0"/>
                    <w:jc w:val="center"/>
                    <w:rPr>
                      <w:rFonts w:hint="eastAsia" w:hAnsi="宋体"/>
                      <w:b/>
                      <w:bCs/>
                      <w:color w:val="auto"/>
                      <w:szCs w:val="21"/>
                    </w:rPr>
                  </w:pPr>
                  <w:r>
                    <w:rPr>
                      <w:rFonts w:hint="eastAsia" w:hAnsi="宋体"/>
                      <w:b/>
                      <w:bCs/>
                      <w:color w:val="auto"/>
                      <w:szCs w:val="21"/>
                    </w:rPr>
                    <w:t>执行标准</w:t>
                  </w:r>
                </w:p>
              </w:tc>
            </w:tr>
            <w:tr w14:paraId="448537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5" w:type="pct"/>
                  <w:vAlign w:val="center"/>
                </w:tcPr>
                <w:p w14:paraId="1C96EC5B">
                  <w:pPr>
                    <w:pStyle w:val="2"/>
                    <w:spacing w:after="0"/>
                    <w:ind w:left="0" w:leftChars="0"/>
                    <w:jc w:val="center"/>
                    <w:rPr>
                      <w:rFonts w:hint="eastAsia" w:hAnsi="宋体"/>
                      <w:color w:val="auto"/>
                      <w:szCs w:val="21"/>
                    </w:rPr>
                  </w:pPr>
                  <w:r>
                    <w:rPr>
                      <w:rFonts w:hint="eastAsia" w:hAnsi="宋体"/>
                      <w:color w:val="auto"/>
                      <w:szCs w:val="21"/>
                    </w:rPr>
                    <w:t>1</w:t>
                  </w:r>
                </w:p>
              </w:tc>
              <w:tc>
                <w:tcPr>
                  <w:tcW w:w="838" w:type="pct"/>
                  <w:vAlign w:val="center"/>
                </w:tcPr>
                <w:p w14:paraId="64F61A53">
                  <w:pPr>
                    <w:pStyle w:val="2"/>
                    <w:spacing w:after="0"/>
                    <w:ind w:left="0" w:leftChars="0"/>
                    <w:jc w:val="center"/>
                    <w:rPr>
                      <w:rFonts w:hint="eastAsia" w:hAnsi="宋体"/>
                      <w:color w:val="auto"/>
                      <w:szCs w:val="21"/>
                    </w:rPr>
                  </w:pPr>
                  <w:r>
                    <w:rPr>
                      <w:rFonts w:hint="eastAsia" w:hAnsi="宋体"/>
                      <w:color w:val="auto"/>
                      <w:szCs w:val="21"/>
                    </w:rPr>
                    <w:t>项目四周外1m各一个监测点</w:t>
                  </w:r>
                </w:p>
              </w:tc>
              <w:tc>
                <w:tcPr>
                  <w:tcW w:w="929" w:type="pct"/>
                  <w:vAlign w:val="center"/>
                </w:tcPr>
                <w:p w14:paraId="505CD5FE">
                  <w:pPr>
                    <w:pStyle w:val="2"/>
                    <w:spacing w:after="0"/>
                    <w:ind w:left="0" w:leftChars="0"/>
                    <w:jc w:val="center"/>
                    <w:rPr>
                      <w:rFonts w:hint="eastAsia" w:hAnsi="宋体"/>
                      <w:color w:val="auto"/>
                      <w:szCs w:val="21"/>
                    </w:rPr>
                  </w:pPr>
                  <w:r>
                    <w:rPr>
                      <w:rFonts w:hint="eastAsia" w:hAnsi="宋体"/>
                      <w:color w:val="auto"/>
                      <w:szCs w:val="21"/>
                    </w:rPr>
                    <w:t>等效连续A声级（Leq）</w:t>
                  </w:r>
                </w:p>
              </w:tc>
              <w:tc>
                <w:tcPr>
                  <w:tcW w:w="685" w:type="pct"/>
                  <w:vAlign w:val="center"/>
                </w:tcPr>
                <w:p w14:paraId="148A4412">
                  <w:pPr>
                    <w:pStyle w:val="2"/>
                    <w:ind w:left="0" w:leftChars="0"/>
                    <w:jc w:val="center"/>
                    <w:rPr>
                      <w:rFonts w:hint="eastAsia" w:hAnsi="宋体"/>
                      <w:color w:val="auto"/>
                      <w:szCs w:val="21"/>
                    </w:rPr>
                  </w:pPr>
                  <w:r>
                    <w:rPr>
                      <w:rFonts w:hint="eastAsia" w:hAnsi="宋体"/>
                      <w:color w:val="auto"/>
                      <w:szCs w:val="21"/>
                    </w:rPr>
                    <w:t>1次/季度</w:t>
                  </w:r>
                </w:p>
              </w:tc>
              <w:tc>
                <w:tcPr>
                  <w:tcW w:w="846" w:type="pct"/>
                  <w:vAlign w:val="center"/>
                </w:tcPr>
                <w:p w14:paraId="1762355E">
                  <w:pPr>
                    <w:pStyle w:val="2"/>
                    <w:spacing w:after="0"/>
                    <w:ind w:left="0" w:leftChars="0"/>
                    <w:jc w:val="center"/>
                    <w:rPr>
                      <w:rFonts w:hint="eastAsia" w:hAnsi="宋体"/>
                      <w:color w:val="auto"/>
                      <w:szCs w:val="21"/>
                    </w:rPr>
                  </w:pPr>
                  <w:r>
                    <w:rPr>
                      <w:rFonts w:hint="eastAsia" w:hAnsi="宋体"/>
                      <w:color w:val="auto"/>
                      <w:szCs w:val="21"/>
                    </w:rPr>
                    <w:t>有资质的监测单位</w:t>
                  </w:r>
                </w:p>
              </w:tc>
              <w:tc>
                <w:tcPr>
                  <w:tcW w:w="1247" w:type="pct"/>
                  <w:vAlign w:val="center"/>
                </w:tcPr>
                <w:p w14:paraId="2DA60DEC">
                  <w:pPr>
                    <w:pStyle w:val="2"/>
                    <w:spacing w:after="0"/>
                    <w:ind w:left="0" w:leftChars="0"/>
                    <w:jc w:val="center"/>
                    <w:rPr>
                      <w:rFonts w:hint="eastAsia" w:hAnsi="宋体"/>
                      <w:color w:val="auto"/>
                      <w:szCs w:val="21"/>
                    </w:rPr>
                  </w:pPr>
                  <w:r>
                    <w:rPr>
                      <w:rFonts w:hint="eastAsia" w:hAnsi="宋体"/>
                      <w:color w:val="auto"/>
                      <w:szCs w:val="21"/>
                    </w:rPr>
                    <w:t>《工业企业厂界环境噪声排放标准》（GB12348- 2008）</w:t>
                  </w:r>
                </w:p>
                <w:p w14:paraId="5670E81B">
                  <w:pPr>
                    <w:pStyle w:val="2"/>
                    <w:spacing w:after="0"/>
                    <w:ind w:left="0" w:leftChars="0"/>
                    <w:jc w:val="center"/>
                    <w:rPr>
                      <w:rFonts w:hint="eastAsia" w:hAnsi="宋体"/>
                      <w:color w:val="auto"/>
                      <w:szCs w:val="21"/>
                    </w:rPr>
                  </w:pPr>
                  <w:r>
                    <w:rPr>
                      <w:rFonts w:hint="eastAsia" w:hAnsi="宋体"/>
                      <w:color w:val="auto"/>
                      <w:szCs w:val="21"/>
                    </w:rPr>
                    <w:t>3类标准要求</w:t>
                  </w:r>
                </w:p>
              </w:tc>
            </w:tr>
          </w:tbl>
          <w:p w14:paraId="45B639A6">
            <w:pPr>
              <w:spacing w:line="360" w:lineRule="auto"/>
              <w:ind w:firstLine="482" w:firstLineChars="200"/>
              <w:jc w:val="left"/>
              <w:rPr>
                <w:b/>
                <w:snapToGrid w:val="0"/>
                <w:color w:val="auto"/>
                <w:kern w:val="0"/>
                <w:sz w:val="24"/>
              </w:rPr>
            </w:pPr>
            <w:r>
              <w:rPr>
                <w:rFonts w:hint="eastAsia"/>
                <w:b/>
                <w:snapToGrid w:val="0"/>
                <w:color w:val="auto"/>
                <w:kern w:val="0"/>
                <w:sz w:val="24"/>
              </w:rPr>
              <w:t>四、</w:t>
            </w:r>
            <w:r>
              <w:rPr>
                <w:rFonts w:hint="eastAsia" w:hAnsi="宋体"/>
                <w:b/>
                <w:snapToGrid w:val="0"/>
                <w:color w:val="auto"/>
                <w:kern w:val="0"/>
                <w:sz w:val="24"/>
              </w:rPr>
              <w:t>固体</w:t>
            </w:r>
            <w:r>
              <w:rPr>
                <w:rFonts w:hAnsi="宋体"/>
                <w:b/>
                <w:snapToGrid w:val="0"/>
                <w:color w:val="auto"/>
                <w:kern w:val="0"/>
                <w:sz w:val="24"/>
              </w:rPr>
              <w:t>废物处置措施</w:t>
            </w:r>
          </w:p>
          <w:p w14:paraId="7ACE5F8E">
            <w:pPr>
              <w:pStyle w:val="57"/>
              <w:spacing w:line="360" w:lineRule="auto"/>
              <w:ind w:firstLine="480" w:firstLineChars="200"/>
              <w:jc w:val="both"/>
              <w:rPr>
                <w:rFonts w:hint="eastAsia" w:hAnsi="宋体"/>
                <w:b w:val="0"/>
                <w:bCs w:val="0"/>
                <w:color w:val="002DC7"/>
                <w:kern w:val="2"/>
                <w:szCs w:val="22"/>
              </w:rPr>
            </w:pPr>
            <w:r>
              <w:rPr>
                <w:rFonts w:hint="eastAsia" w:hAnsi="宋体"/>
                <w:b w:val="0"/>
                <w:bCs w:val="0"/>
                <w:color w:val="auto"/>
                <w:kern w:val="2"/>
                <w:szCs w:val="22"/>
              </w:rPr>
              <w:t>根据《固体废物鉴别标准通则》（GB34330-2017）、《国家危险废物名录》（2025年版）及《危险废物鉴别标准通则》（GB5085.7-2019）对本项目工程分析产生的固废进行鉴别。</w:t>
            </w:r>
            <w:r>
              <w:rPr>
                <w:rFonts w:hAnsi="宋体"/>
                <w:b w:val="0"/>
                <w:bCs w:val="0"/>
                <w:color w:val="auto"/>
                <w:kern w:val="2"/>
                <w:szCs w:val="22"/>
              </w:rPr>
              <w:t>本项目生产过程中的固体废物</w:t>
            </w:r>
            <w:r>
              <w:rPr>
                <w:rFonts w:hint="eastAsia" w:hAnsi="宋体"/>
                <w:b w:val="0"/>
                <w:bCs w:val="0"/>
                <w:color w:val="auto"/>
                <w:kern w:val="2"/>
                <w:szCs w:val="22"/>
                <w:lang w:val="en-US" w:eastAsia="zh-CN"/>
              </w:rPr>
              <w:t>一般固体废物和危险废物，一般固体废物</w:t>
            </w:r>
            <w:r>
              <w:rPr>
                <w:rFonts w:hAnsi="宋体"/>
                <w:b w:val="0"/>
                <w:bCs w:val="0"/>
                <w:color w:val="auto"/>
                <w:kern w:val="2"/>
                <w:szCs w:val="22"/>
              </w:rPr>
              <w:t>主要</w:t>
            </w:r>
            <w:r>
              <w:rPr>
                <w:rFonts w:hint="eastAsia" w:hAnsi="宋体"/>
                <w:b w:val="0"/>
                <w:bCs w:val="0"/>
                <w:color w:val="auto"/>
                <w:kern w:val="2"/>
                <w:szCs w:val="22"/>
                <w:lang w:val="en-US" w:eastAsia="zh-CN"/>
              </w:rPr>
              <w:t>为</w:t>
            </w:r>
            <w:r>
              <w:rPr>
                <w:rFonts w:hint="eastAsia" w:hAnsi="宋体"/>
                <w:b w:val="0"/>
                <w:bCs w:val="0"/>
                <w:color w:val="auto"/>
                <w:kern w:val="2"/>
                <w:szCs w:val="22"/>
              </w:rPr>
              <w:t>职工生活垃圾、</w:t>
            </w:r>
            <w:r>
              <w:rPr>
                <w:rFonts w:hint="eastAsia" w:hAnsi="宋体"/>
                <w:b w:val="0"/>
                <w:bCs w:val="0"/>
                <w:color w:val="auto"/>
                <w:kern w:val="2"/>
                <w:szCs w:val="22"/>
                <w:lang w:val="en-US" w:eastAsia="zh-CN"/>
              </w:rPr>
              <w:t>废切割边角料、废脱模剂包装桶、除尘灰、</w:t>
            </w:r>
            <w:r>
              <w:rPr>
                <w:rFonts w:hint="eastAsia" w:ascii="Times New Roman" w:hAnsi="Times New Roman" w:eastAsia="宋体" w:cs="Times New Roman"/>
                <w:b w:val="0"/>
                <w:bCs w:val="0"/>
                <w:color w:val="000000" w:themeColor="text1"/>
                <w:sz w:val="24"/>
                <w:szCs w:val="24"/>
                <w14:textFill>
                  <w14:solidFill>
                    <w14:schemeClr w14:val="tx1"/>
                  </w14:solidFill>
                </w14:textFill>
              </w:rPr>
              <w:t>沉淀池沉渣、废布袋</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危险废物为废机油、废机油桶。</w:t>
            </w:r>
          </w:p>
          <w:p w14:paraId="5A34CB03">
            <w:pPr>
              <w:pStyle w:val="57"/>
              <w:adjustRightInd/>
              <w:spacing w:line="360" w:lineRule="auto"/>
              <w:ind w:firstLine="480" w:firstLineChars="200"/>
              <w:rPr>
                <w:b w:val="0"/>
                <w:bCs w:val="0"/>
                <w:color w:val="auto"/>
              </w:rPr>
            </w:pPr>
            <w:r>
              <w:rPr>
                <w:rFonts w:hint="eastAsia"/>
                <w:b w:val="0"/>
                <w:bCs w:val="0"/>
                <w:color w:val="auto"/>
              </w:rPr>
              <w:t>1、一般工业固体废物</w:t>
            </w:r>
          </w:p>
          <w:p w14:paraId="365D18D1">
            <w:pPr>
              <w:pStyle w:val="57"/>
              <w:adjustRightInd/>
              <w:spacing w:line="360" w:lineRule="auto"/>
              <w:ind w:firstLine="480" w:firstLineChars="200"/>
              <w:rPr>
                <w:rFonts w:hint="eastAsia" w:hAnsi="宋体"/>
                <w:b w:val="0"/>
                <w:bCs w:val="0"/>
                <w:color w:val="auto"/>
                <w:kern w:val="2"/>
                <w:szCs w:val="22"/>
              </w:rPr>
            </w:pPr>
            <w:r>
              <w:rPr>
                <w:rFonts w:hint="eastAsia" w:hAnsi="宋体"/>
                <w:b w:val="0"/>
                <w:bCs w:val="0"/>
                <w:color w:val="auto"/>
                <w:kern w:val="2"/>
                <w:szCs w:val="22"/>
              </w:rPr>
              <w:t>①职工生活垃圾</w:t>
            </w:r>
          </w:p>
          <w:p w14:paraId="2C8DE4E4">
            <w:pPr>
              <w:pStyle w:val="57"/>
              <w:spacing w:line="360" w:lineRule="auto"/>
              <w:ind w:firstLine="480" w:firstLineChars="200"/>
              <w:jc w:val="both"/>
              <w:rPr>
                <w:rFonts w:hint="eastAsia" w:hAnsi="宋体"/>
                <w:b w:val="0"/>
                <w:bCs w:val="0"/>
                <w:color w:val="auto"/>
                <w:kern w:val="2"/>
                <w:szCs w:val="22"/>
              </w:rPr>
            </w:pPr>
            <w:r>
              <w:rPr>
                <w:rFonts w:hint="eastAsia" w:hAnsi="宋体"/>
                <w:b w:val="0"/>
                <w:bCs w:val="0"/>
                <w:color w:val="auto"/>
                <w:kern w:val="2"/>
                <w:szCs w:val="22"/>
              </w:rPr>
              <w:t>本项目员工生活垃圾产生量按0.5kg/人*d计，项目人数共</w:t>
            </w:r>
            <w:r>
              <w:rPr>
                <w:rFonts w:hint="eastAsia" w:hAnsi="宋体"/>
                <w:b w:val="0"/>
                <w:bCs w:val="0"/>
                <w:color w:val="auto"/>
                <w:kern w:val="2"/>
                <w:szCs w:val="22"/>
                <w:lang w:val="en-US" w:eastAsia="zh-CN"/>
              </w:rPr>
              <w:t>60</w:t>
            </w:r>
            <w:r>
              <w:rPr>
                <w:rFonts w:hint="eastAsia" w:hAnsi="宋体"/>
                <w:b w:val="0"/>
                <w:bCs w:val="0"/>
                <w:color w:val="auto"/>
                <w:kern w:val="2"/>
                <w:szCs w:val="22"/>
              </w:rPr>
              <w:t>人，年运行300天，生活垃圾产生量</w:t>
            </w:r>
            <w:r>
              <w:rPr>
                <w:rFonts w:hint="eastAsia" w:hAnsi="宋体"/>
                <w:b w:val="0"/>
                <w:bCs w:val="0"/>
                <w:color w:val="auto"/>
                <w:kern w:val="2"/>
                <w:szCs w:val="22"/>
                <w:lang w:val="en-US" w:eastAsia="zh-CN"/>
              </w:rPr>
              <w:t>9</w:t>
            </w:r>
            <w:r>
              <w:rPr>
                <w:rFonts w:hint="eastAsia" w:hAnsi="宋体"/>
                <w:b w:val="0"/>
                <w:bCs w:val="0"/>
                <w:color w:val="auto"/>
                <w:kern w:val="2"/>
                <w:szCs w:val="22"/>
              </w:rPr>
              <w:t>t/a。生活垃圾属于《固体废物分类与代码目录》中S64其他垃圾，固废代码：900-099-S64。生活垃圾由垃圾桶分类收集，交由环卫部门处置。</w:t>
            </w:r>
          </w:p>
          <w:p w14:paraId="5A92C5EF">
            <w:pPr>
              <w:pStyle w:val="57"/>
              <w:adjustRightInd/>
              <w:spacing w:line="360" w:lineRule="auto"/>
              <w:ind w:firstLine="480" w:firstLineChars="200"/>
              <w:rPr>
                <w:rFonts w:hint="eastAsia" w:hAnsi="宋体"/>
                <w:b w:val="0"/>
                <w:bCs w:val="0"/>
                <w:color w:val="002DC7"/>
                <w:kern w:val="2"/>
                <w:szCs w:val="22"/>
              </w:rPr>
            </w:pPr>
            <w:r>
              <w:rPr>
                <w:rFonts w:hint="eastAsia" w:hAnsi="宋体"/>
                <w:b w:val="0"/>
                <w:bCs w:val="0"/>
                <w:color w:val="auto"/>
                <w:kern w:val="2"/>
                <w:szCs w:val="22"/>
              </w:rPr>
              <w:t>②</w:t>
            </w:r>
            <w:r>
              <w:rPr>
                <w:rFonts w:hint="eastAsia" w:hAnsi="宋体"/>
                <w:b w:val="0"/>
                <w:bCs w:val="0"/>
                <w:color w:val="auto"/>
                <w:kern w:val="2"/>
                <w:szCs w:val="22"/>
                <w:lang w:val="en-US" w:eastAsia="zh-CN"/>
              </w:rPr>
              <w:t>废切割边角料</w:t>
            </w:r>
          </w:p>
          <w:p w14:paraId="4BC04A20">
            <w:pPr>
              <w:pStyle w:val="57"/>
              <w:adjustRightInd/>
              <w:spacing w:line="360" w:lineRule="auto"/>
              <w:ind w:firstLine="480" w:firstLineChars="200"/>
              <w:jc w:val="both"/>
              <w:rPr>
                <w:rFonts w:hint="eastAsia" w:hAnsi="宋体"/>
                <w:b w:val="0"/>
                <w:bCs w:val="0"/>
                <w:color w:val="002DC7"/>
                <w:kern w:val="2"/>
                <w:szCs w:val="22"/>
              </w:rPr>
            </w:pPr>
            <w:r>
              <w:rPr>
                <w:rFonts w:hint="eastAsia" w:hAnsi="宋体"/>
                <w:b w:val="0"/>
                <w:bCs w:val="0"/>
                <w:color w:val="auto"/>
                <w:kern w:val="2"/>
                <w:szCs w:val="22"/>
              </w:rPr>
              <w:t>项目</w:t>
            </w:r>
            <w:r>
              <w:rPr>
                <w:rFonts w:hint="eastAsia" w:hAnsi="宋体"/>
                <w:b w:val="0"/>
                <w:bCs w:val="0"/>
                <w:color w:val="auto"/>
                <w:kern w:val="2"/>
                <w:szCs w:val="22"/>
                <w:lang w:val="en-US" w:eastAsia="zh-CN"/>
              </w:rPr>
              <w:t>项目生茶过程中钢筋加工会产生废切割边角料，根据企业设计资料，废切割边角料年产生量为3.5t/a，废切割边角料</w:t>
            </w:r>
            <w:r>
              <w:rPr>
                <w:rFonts w:hint="eastAsia" w:hAnsi="宋体"/>
                <w:b w:val="0"/>
                <w:bCs w:val="0"/>
                <w:color w:val="auto"/>
                <w:kern w:val="2"/>
                <w:szCs w:val="22"/>
              </w:rPr>
              <w:t>属于《固体废物分类与代码目录》中SW17可再生类废物，固废代码：900-099-S17。暂存于厂区一般固废库，定期外售。</w:t>
            </w:r>
          </w:p>
          <w:p w14:paraId="34BBBC40">
            <w:pPr>
              <w:pStyle w:val="57"/>
              <w:spacing w:line="360" w:lineRule="auto"/>
              <w:ind w:firstLine="480" w:firstLineChars="200"/>
              <w:jc w:val="both"/>
              <w:rPr>
                <w:rFonts w:hint="eastAsia" w:hAnsi="宋体"/>
                <w:b w:val="0"/>
                <w:bCs w:val="0"/>
                <w:color w:val="auto"/>
                <w:kern w:val="2"/>
                <w:szCs w:val="22"/>
                <w:highlight w:val="none"/>
              </w:rPr>
            </w:pPr>
            <w:r>
              <w:rPr>
                <w:rFonts w:hint="eastAsia" w:ascii="宋体" w:hAnsi="宋体"/>
                <w:b w:val="0"/>
                <w:bCs w:val="0"/>
                <w:color w:val="auto"/>
                <w:kern w:val="2"/>
                <w:szCs w:val="22"/>
                <w:highlight w:val="none"/>
              </w:rPr>
              <w:t>③</w:t>
            </w:r>
            <w:r>
              <w:rPr>
                <w:rFonts w:hint="eastAsia" w:hAnsi="宋体"/>
                <w:b w:val="0"/>
                <w:bCs w:val="0"/>
                <w:color w:val="auto"/>
                <w:kern w:val="2"/>
                <w:szCs w:val="22"/>
                <w:highlight w:val="none"/>
                <w:lang w:val="en-US" w:eastAsia="zh-CN"/>
              </w:rPr>
              <w:t>废脱模剂包装桶</w:t>
            </w:r>
          </w:p>
          <w:p w14:paraId="2131AD0E">
            <w:pPr>
              <w:pStyle w:val="57"/>
              <w:adjustRightInd/>
              <w:spacing w:line="360" w:lineRule="auto"/>
              <w:ind w:firstLine="480" w:firstLineChars="200"/>
              <w:rPr>
                <w:rFonts w:hint="default" w:hAnsi="宋体" w:eastAsia="宋体"/>
                <w:b w:val="0"/>
                <w:bCs w:val="0"/>
                <w:color w:val="auto"/>
                <w:kern w:val="2"/>
                <w:szCs w:val="22"/>
                <w:highlight w:val="none"/>
                <w:lang w:val="en-US" w:eastAsia="zh-CN"/>
              </w:rPr>
            </w:pPr>
            <w:r>
              <w:rPr>
                <w:rFonts w:hint="eastAsia" w:ascii="Times New Roman" w:hAnsi="Times New Roman" w:eastAsia="宋体" w:cs="Times New Roman"/>
                <w:b w:val="0"/>
                <w:bCs w:val="0"/>
                <w:color w:val="000000" w:themeColor="text1"/>
                <w:sz w:val="24"/>
                <w:szCs w:val="24"/>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脱模剂</w:t>
            </w:r>
            <w:r>
              <w:rPr>
                <w:rFonts w:hint="eastAsia" w:cs="Times New Roman"/>
                <w:b w:val="0"/>
                <w:bCs w:val="0"/>
                <w:color w:val="000000" w:themeColor="text1"/>
                <w:sz w:val="24"/>
                <w:szCs w:val="24"/>
                <w:lang w:val="en-US" w:eastAsia="zh-CN"/>
                <w14:textFill>
                  <w14:solidFill>
                    <w14:schemeClr w14:val="tx1"/>
                  </w14:solidFill>
                </w14:textFill>
              </w:rPr>
              <w:t>成分主要为植物油、硅油和水，对照《危险化学品目录》2022调整版、《化学品分类和标签规范第18部分：急性毒性》（GB30000.18-2013）及《化学品分类和标签规范第28部分：对水生环境的危害》（GB30000.28-2013）脱模剂不属于危险化学品，则</w:t>
            </w:r>
            <w:r>
              <w:rPr>
                <w:rFonts w:hint="eastAsia" w:hAnsi="宋体"/>
                <w:b w:val="0"/>
                <w:bCs w:val="0"/>
                <w:color w:val="auto"/>
                <w:kern w:val="2"/>
                <w:szCs w:val="22"/>
                <w:highlight w:val="none"/>
                <w:lang w:val="en-US" w:eastAsia="zh-CN"/>
              </w:rPr>
              <w:t>废脱模剂包装桶</w:t>
            </w:r>
            <w:r>
              <w:rPr>
                <w:rFonts w:hint="eastAsia" w:cs="Times New Roman"/>
                <w:b w:val="0"/>
                <w:bCs w:val="0"/>
                <w:color w:val="000000" w:themeColor="text1"/>
                <w:sz w:val="24"/>
                <w:szCs w:val="24"/>
                <w:lang w:val="en-US" w:eastAsia="zh-CN"/>
                <w14:textFill>
                  <w14:solidFill>
                    <w14:schemeClr w14:val="tx1"/>
                  </w14:solidFill>
                </w14:textFill>
              </w:rPr>
              <w:t>视为一般固体废物，</w:t>
            </w:r>
            <w:r>
              <w:rPr>
                <w:rFonts w:hint="eastAsia" w:hAnsi="宋体"/>
                <w:b w:val="0"/>
                <w:bCs w:val="0"/>
                <w:color w:val="auto"/>
                <w:kern w:val="2"/>
                <w:szCs w:val="22"/>
                <w:highlight w:val="none"/>
                <w:lang w:val="en-US" w:eastAsia="zh-CN"/>
              </w:rPr>
              <w:t>脱模剂</w:t>
            </w:r>
            <w:r>
              <w:rPr>
                <w:rFonts w:hint="eastAsia" w:ascii="Times New Roman" w:hAnsi="Times New Roman" w:eastAsia="宋体" w:cs="Times New Roman"/>
                <w:b w:val="0"/>
                <w:bCs w:val="0"/>
                <w:color w:val="000000" w:themeColor="text1"/>
                <w:sz w:val="24"/>
                <w:szCs w:val="24"/>
                <w14:textFill>
                  <w14:solidFill>
                    <w14:schemeClr w14:val="tx1"/>
                  </w14:solidFill>
                </w14:textFill>
              </w:rPr>
              <w:t>年用量为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4"/>
                <w:szCs w:val="24"/>
                <w14:textFill>
                  <w14:solidFill>
                    <w14:schemeClr w14:val="tx1"/>
                  </w14:solidFill>
                </w14:textFill>
              </w:rPr>
              <w:t>t，包装规格为50kg/桶，废</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脱模剂包装桶</w:t>
            </w:r>
            <w:r>
              <w:rPr>
                <w:rFonts w:hint="eastAsia" w:ascii="Times New Roman" w:hAnsi="Times New Roman" w:eastAsia="宋体" w:cs="Times New Roman"/>
                <w:b w:val="0"/>
                <w:bCs w:val="0"/>
                <w:color w:val="000000" w:themeColor="text1"/>
                <w:sz w:val="24"/>
                <w:szCs w:val="24"/>
                <w14:textFill>
                  <w14:solidFill>
                    <w14:schemeClr w14:val="tx1"/>
                  </w14:solidFill>
                </w14:textFill>
              </w:rPr>
              <w:t>产生量为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200</w:t>
            </w:r>
            <w:r>
              <w:rPr>
                <w:rFonts w:hint="eastAsia" w:ascii="Times New Roman" w:hAnsi="Times New Roman" w:eastAsia="宋体" w:cs="Times New Roman"/>
                <w:b w:val="0"/>
                <w:bCs w:val="0"/>
                <w:color w:val="000000" w:themeColor="text1"/>
                <w:sz w:val="24"/>
                <w:szCs w:val="24"/>
                <w14:textFill>
                  <w14:solidFill>
                    <w14:schemeClr w14:val="tx1"/>
                  </w14:solidFill>
                </w14:textFill>
              </w:rPr>
              <w:t>个</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b w:val="0"/>
                <w:bCs w:val="0"/>
                <w:color w:val="000000" w:themeColor="text1"/>
                <w:sz w:val="24"/>
                <w:szCs w:val="24"/>
                <w14:textFill>
                  <w14:solidFill>
                    <w14:schemeClr w14:val="tx1"/>
                  </w14:solidFill>
                </w14:textFill>
              </w:rPr>
              <w:t>，单个废</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脱模剂包装桶</w:t>
            </w:r>
            <w:r>
              <w:rPr>
                <w:rFonts w:hint="eastAsia" w:ascii="Times New Roman" w:hAnsi="Times New Roman" w:eastAsia="宋体" w:cs="Times New Roman"/>
                <w:b w:val="0"/>
                <w:bCs w:val="0"/>
                <w:color w:val="000000" w:themeColor="text1"/>
                <w:sz w:val="24"/>
                <w:szCs w:val="24"/>
                <w14:textFill>
                  <w14:solidFill>
                    <w14:schemeClr w14:val="tx1"/>
                  </w14:solidFill>
                </w14:textFill>
              </w:rPr>
              <w:t>重量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约</w:t>
            </w:r>
            <w:r>
              <w:rPr>
                <w:rFonts w:hint="eastAsia" w:ascii="Times New Roman" w:hAnsi="Times New Roman" w:eastAsia="宋体" w:cs="Times New Roman"/>
                <w:b w:val="0"/>
                <w:bCs w:val="0"/>
                <w:color w:val="000000" w:themeColor="text1"/>
                <w:sz w:val="24"/>
                <w:szCs w:val="24"/>
                <w14:textFill>
                  <w14:solidFill>
                    <w14:schemeClr w14:val="tx1"/>
                  </w14:solidFill>
                </w14:textFill>
              </w:rPr>
              <w:t>为2kg，故</w:t>
            </w:r>
            <w:r>
              <w:rPr>
                <w:rFonts w:hint="eastAsia" w:hAnsi="宋体"/>
                <w:b w:val="0"/>
                <w:bCs w:val="0"/>
                <w:color w:val="auto"/>
                <w:kern w:val="2"/>
                <w:szCs w:val="22"/>
                <w:lang w:val="en-US" w:eastAsia="zh-CN"/>
              </w:rPr>
              <w:t>废脱模剂包装桶</w:t>
            </w:r>
            <w:r>
              <w:rPr>
                <w:rFonts w:hint="eastAsia" w:ascii="Times New Roman" w:hAnsi="Times New Roman" w:eastAsia="宋体" w:cs="Times New Roman"/>
                <w:b w:val="0"/>
                <w:bCs w:val="0"/>
                <w:color w:val="000000" w:themeColor="text1"/>
                <w:sz w:val="24"/>
                <w:szCs w:val="24"/>
                <w14:textFill>
                  <w14:solidFill>
                    <w14:schemeClr w14:val="tx1"/>
                  </w14:solidFill>
                </w14:textFill>
              </w:rPr>
              <w:t>产生量约为0.4t/a。</w:t>
            </w:r>
            <w:r>
              <w:rPr>
                <w:rFonts w:hint="eastAsia" w:hAnsi="宋体"/>
                <w:b w:val="0"/>
                <w:bCs w:val="0"/>
                <w:color w:val="auto"/>
                <w:kern w:val="2"/>
                <w:szCs w:val="22"/>
                <w:lang w:val="en-US" w:eastAsia="zh-CN"/>
              </w:rPr>
              <w:t>废脱模剂包装桶</w:t>
            </w:r>
            <w:r>
              <w:rPr>
                <w:rFonts w:hint="eastAsia" w:hAnsi="宋体"/>
                <w:b w:val="0"/>
                <w:bCs w:val="0"/>
                <w:color w:val="auto"/>
                <w:kern w:val="2"/>
                <w:szCs w:val="22"/>
              </w:rPr>
              <w:t>属于《固体废物分类与代码目录》中SW17可再生类废物，固废代码：900-099-S17。下料废料收集后暂存于一般固废库，外售综合利用。</w:t>
            </w:r>
          </w:p>
          <w:p w14:paraId="76C87A54">
            <w:pPr>
              <w:pStyle w:val="57"/>
              <w:adjustRightInd/>
              <w:spacing w:line="360" w:lineRule="auto"/>
              <w:ind w:firstLine="480" w:firstLineChars="200"/>
              <w:rPr>
                <w:rFonts w:hint="eastAsia" w:hAnsi="宋体"/>
                <w:b w:val="0"/>
                <w:bCs w:val="0"/>
                <w:color w:val="auto"/>
                <w:kern w:val="2"/>
                <w:szCs w:val="22"/>
              </w:rPr>
            </w:pPr>
            <w:r>
              <w:rPr>
                <w:rFonts w:hint="eastAsia" w:ascii="宋体" w:hAnsi="宋体"/>
                <w:b w:val="0"/>
                <w:bCs w:val="0"/>
                <w:color w:val="auto"/>
                <w:kern w:val="2"/>
                <w:szCs w:val="22"/>
                <w:highlight w:val="none"/>
              </w:rPr>
              <w:t>④</w:t>
            </w:r>
            <w:r>
              <w:rPr>
                <w:rFonts w:hint="eastAsia" w:ascii="宋体" w:hAnsi="宋体"/>
                <w:b w:val="0"/>
                <w:bCs w:val="0"/>
                <w:color w:val="auto"/>
                <w:kern w:val="2"/>
                <w:szCs w:val="22"/>
                <w:lang w:val="en-US" w:eastAsia="zh-CN"/>
              </w:rPr>
              <w:t>除尘灰</w:t>
            </w:r>
          </w:p>
          <w:p w14:paraId="3105D817">
            <w:pPr>
              <w:pStyle w:val="57"/>
              <w:spacing w:line="360" w:lineRule="auto"/>
              <w:ind w:firstLine="480" w:firstLineChars="200"/>
              <w:jc w:val="both"/>
              <w:rPr>
                <w:rFonts w:ascii="Times New Roman" w:hAnsi="Times New Roman" w:eastAsia="宋体" w:cs="Times New Roman"/>
                <w:b w:val="0"/>
                <w:bCs w:val="0"/>
                <w:color w:val="000000" w:themeColor="text1"/>
                <w:sz w:val="24"/>
                <w:szCs w:val="24"/>
                <w14:textFill>
                  <w14:solidFill>
                    <w14:schemeClr w14:val="tx1"/>
                  </w14:solidFill>
                </w14:textFill>
              </w:rPr>
            </w:pPr>
            <w:r>
              <w:rPr>
                <w:rFonts w:hint="eastAsia" w:hAnsi="宋体"/>
                <w:b w:val="0"/>
                <w:bCs w:val="0"/>
                <w:color w:val="auto"/>
                <w:kern w:val="2"/>
                <w:szCs w:val="22"/>
                <w:lang w:val="en-US" w:eastAsia="zh-CN"/>
              </w:rPr>
              <w:t>根据工程分析可知，</w:t>
            </w:r>
            <w:r>
              <w:rPr>
                <w:rFonts w:ascii="Times New Roman" w:hAnsi="Times New Roman" w:eastAsia="宋体" w:cs="Times New Roman"/>
                <w:b w:val="0"/>
                <w:bCs w:val="0"/>
                <w:color w:val="auto"/>
                <w:sz w:val="24"/>
                <w:szCs w:val="24"/>
              </w:rPr>
              <w:t>布袋</w:t>
            </w:r>
            <w:r>
              <w:rPr>
                <w:rFonts w:ascii="Times New Roman" w:hAnsi="Times New Roman" w:eastAsia="宋体" w:cs="Times New Roman"/>
                <w:b w:val="0"/>
                <w:bCs w:val="0"/>
                <w:color w:val="000000" w:themeColor="text1"/>
                <w:sz w:val="24"/>
                <w:szCs w:val="24"/>
                <w14:textFill>
                  <w14:solidFill>
                    <w14:schemeClr w14:val="tx1"/>
                  </w14:solidFill>
                </w14:textFill>
              </w:rPr>
              <w:t>除尘器收集</w:t>
            </w:r>
            <w:r>
              <w:rPr>
                <w:rFonts w:hint="eastAsia" w:ascii="Times New Roman" w:hAnsi="Times New Roman" w:eastAsia="宋体" w:cs="Times New Roman"/>
                <w:b w:val="0"/>
                <w:bCs w:val="0"/>
                <w:color w:val="000000" w:themeColor="text1"/>
                <w:sz w:val="24"/>
                <w:szCs w:val="24"/>
                <w14:textFill>
                  <w14:solidFill>
                    <w14:schemeClr w14:val="tx1"/>
                  </w14:solidFill>
                </w14:textFill>
              </w:rPr>
              <w:t>的除尘灰量为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57.66</w:t>
            </w:r>
            <w:r>
              <w:rPr>
                <w:rFonts w:ascii="Times New Roman" w:hAnsi="Times New Roman" w:eastAsia="宋体" w:cs="Times New Roman"/>
                <w:b w:val="0"/>
                <w:bCs w:val="0"/>
                <w:color w:val="000000" w:themeColor="text1"/>
                <w:sz w:val="24"/>
                <w:szCs w:val="24"/>
                <w14:textFill>
                  <w14:solidFill>
                    <w14:schemeClr w14:val="tx1"/>
                  </w14:solidFill>
                </w14:textFill>
              </w:rPr>
              <w:t>t/a。</w:t>
            </w:r>
            <w:r>
              <w:rPr>
                <w:rFonts w:hint="eastAsia" w:ascii="Times New Roman" w:hAnsi="Times New Roman" w:eastAsia="宋体" w:cs="Times New Roman"/>
                <w:b w:val="0"/>
                <w:bCs w:val="0"/>
                <w:color w:val="000000" w:themeColor="text1"/>
                <w:sz w:val="24"/>
                <w:szCs w:val="24"/>
                <w14:textFill>
                  <w14:solidFill>
                    <w14:schemeClr w14:val="tx1"/>
                  </w14:solidFill>
                </w14:textFill>
              </w:rPr>
              <w:t>除尘灰</w:t>
            </w:r>
            <w:r>
              <w:rPr>
                <w:rFonts w:ascii="Times New Roman" w:hAnsi="Times New Roman" w:eastAsia="宋体" w:cs="Times New Roman"/>
                <w:b w:val="0"/>
                <w:bCs w:val="0"/>
                <w:color w:val="000000" w:themeColor="text1"/>
                <w:sz w:val="24"/>
                <w:szCs w:val="24"/>
                <w14:textFill>
                  <w14:solidFill>
                    <w14:schemeClr w14:val="tx1"/>
                  </w14:solidFill>
                </w14:textFill>
              </w:rPr>
              <w:t>属于《固体废物分类与代码目录》中SW</w:t>
            </w:r>
            <w:r>
              <w:rPr>
                <w:rFonts w:hint="eastAsia" w:ascii="Times New Roman" w:hAnsi="Times New Roman" w:eastAsia="宋体" w:cs="Times New Roman"/>
                <w:b w:val="0"/>
                <w:bCs w:val="0"/>
                <w:color w:val="000000" w:themeColor="text1"/>
                <w:sz w:val="24"/>
                <w:szCs w:val="24"/>
                <w14:textFill>
                  <w14:solidFill>
                    <w14:schemeClr w14:val="tx1"/>
                  </w14:solidFill>
                </w14:textFill>
              </w:rPr>
              <w:t>59其他工业固体废物</w:t>
            </w:r>
            <w:r>
              <w:rPr>
                <w:rFonts w:ascii="Times New Roman" w:hAnsi="Times New Roman" w:eastAsia="宋体" w:cs="Times New Roman"/>
                <w:b w:val="0"/>
                <w:bCs w:val="0"/>
                <w:color w:val="000000" w:themeColor="text1"/>
                <w:sz w:val="24"/>
                <w:szCs w:val="24"/>
                <w14:textFill>
                  <w14:solidFill>
                    <w14:schemeClr w14:val="tx1"/>
                  </w14:solidFill>
                </w14:textFill>
              </w:rPr>
              <w:t>，固废代码：900-099-S</w:t>
            </w:r>
            <w:r>
              <w:rPr>
                <w:rFonts w:hint="eastAsia" w:ascii="Times New Roman" w:hAnsi="Times New Roman" w:eastAsia="宋体" w:cs="Times New Roman"/>
                <w:b w:val="0"/>
                <w:bCs w:val="0"/>
                <w:color w:val="000000" w:themeColor="text1"/>
                <w:sz w:val="24"/>
                <w:szCs w:val="24"/>
                <w14:textFill>
                  <w14:solidFill>
                    <w14:schemeClr w14:val="tx1"/>
                  </w14:solidFill>
                </w14:textFill>
              </w:rPr>
              <w:t>59</w:t>
            </w:r>
            <w:r>
              <w:rPr>
                <w:rFonts w:ascii="Times New Roman" w:hAnsi="Times New Roman" w:eastAsia="宋体" w:cs="Times New Roman"/>
                <w:b w:val="0"/>
                <w:bCs w:val="0"/>
                <w:color w:val="000000" w:themeColor="text1"/>
                <w:sz w:val="24"/>
                <w:szCs w:val="24"/>
                <w14:textFill>
                  <w14:solidFill>
                    <w14:schemeClr w14:val="tx1"/>
                  </w14:solidFill>
                </w14:textFill>
              </w:rPr>
              <w:t>。</w:t>
            </w:r>
            <w:r>
              <w:rPr>
                <w:rFonts w:hint="eastAsia" w:ascii="Times New Roman" w:hAnsi="Times New Roman" w:eastAsia="宋体" w:cs="Times New Roman"/>
                <w:b w:val="0"/>
                <w:bCs w:val="0"/>
                <w:color w:val="000000" w:themeColor="text1"/>
                <w:sz w:val="24"/>
                <w:szCs w:val="24"/>
                <w14:textFill>
                  <w14:solidFill>
                    <w14:schemeClr w14:val="tx1"/>
                  </w14:solidFill>
                </w14:textFill>
              </w:rPr>
              <w:t>除尘灰收集后作为原料回用于生产</w:t>
            </w:r>
            <w:r>
              <w:rPr>
                <w:rFonts w:ascii="Times New Roman" w:hAnsi="Times New Roman" w:eastAsia="宋体" w:cs="Times New Roman"/>
                <w:b w:val="0"/>
                <w:bCs w:val="0"/>
                <w:color w:val="000000" w:themeColor="text1"/>
                <w:sz w:val="24"/>
                <w:szCs w:val="24"/>
                <w14:textFill>
                  <w14:solidFill>
                    <w14:schemeClr w14:val="tx1"/>
                  </w14:solidFill>
                </w14:textFill>
              </w:rPr>
              <w:t>。</w:t>
            </w:r>
          </w:p>
          <w:p w14:paraId="7C9DC0F1">
            <w:pPr>
              <w:pStyle w:val="57"/>
              <w:adjustRightInd/>
              <w:spacing w:line="360" w:lineRule="auto"/>
              <w:ind w:firstLine="480" w:firstLineChars="200"/>
              <w:rPr>
                <w:rFonts w:hint="eastAsia" w:hAnsi="宋体"/>
                <w:b w:val="0"/>
                <w:bCs w:val="0"/>
                <w:color w:val="002DC7"/>
                <w:kern w:val="2"/>
                <w:szCs w:val="22"/>
              </w:rPr>
            </w:pPr>
            <w:r>
              <w:rPr>
                <w:rFonts w:hint="eastAsia" w:ascii="宋体" w:hAnsi="宋体"/>
                <w:b w:val="0"/>
                <w:bCs w:val="0"/>
                <w:color w:val="auto"/>
                <w:kern w:val="2"/>
                <w:szCs w:val="22"/>
              </w:rPr>
              <w:t>⑤</w:t>
            </w:r>
            <w:r>
              <w:rPr>
                <w:rFonts w:hint="default" w:ascii="Times New Roman" w:hAnsi="Times New Roman" w:eastAsia="宋体" w:cs="Times New Roman"/>
                <w:b w:val="0"/>
                <w:bCs w:val="0"/>
                <w:snapToGrid w:val="0"/>
                <w:color w:val="000000"/>
                <w:kern w:val="0"/>
                <w:sz w:val="24"/>
                <w:szCs w:val="21"/>
                <w:u w:val="none"/>
                <w:lang w:val="en-US" w:eastAsia="en-US" w:bidi="ar-SA"/>
              </w:rPr>
              <w:t>沉淀池沉渣</w:t>
            </w:r>
          </w:p>
          <w:p w14:paraId="3B6375E0">
            <w:pPr>
              <w:pStyle w:val="57"/>
              <w:adjustRightInd/>
              <w:spacing w:line="360" w:lineRule="auto"/>
              <w:ind w:firstLine="480" w:firstLineChars="200"/>
              <w:rPr>
                <w:rFonts w:hint="eastAsia" w:hAnsi="宋体" w:eastAsia="宋体"/>
                <w:b w:val="0"/>
                <w:bCs w:val="0"/>
                <w:color w:val="auto"/>
                <w:kern w:val="2"/>
                <w:szCs w:val="22"/>
                <w:lang w:val="en-US" w:eastAsia="zh-CN"/>
              </w:rPr>
            </w:pPr>
            <w:r>
              <w:rPr>
                <w:rFonts w:hint="eastAsia" w:ascii="Times New Roman" w:hAnsi="Times New Roman" w:eastAsia="宋体" w:cs="Times New Roman"/>
                <w:b w:val="0"/>
                <w:bCs w:val="0"/>
                <w:color w:val="000000" w:themeColor="text1"/>
                <w:sz w:val="24"/>
                <w:szCs w:val="24"/>
                <w14:textFill>
                  <w14:solidFill>
                    <w14:schemeClr w14:val="tx1"/>
                  </w14:solidFill>
                </w14:textFill>
              </w:rPr>
              <w:t>项目沉淀池沉渣主要来源于</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搅拌机</w:t>
            </w:r>
            <w:r>
              <w:rPr>
                <w:rFonts w:hint="eastAsia" w:ascii="Times New Roman" w:hAnsi="Times New Roman" w:eastAsia="宋体" w:cs="Times New Roman"/>
                <w:b w:val="0"/>
                <w:bCs w:val="0"/>
                <w:color w:val="000000" w:themeColor="text1"/>
                <w:sz w:val="24"/>
                <w:szCs w:val="24"/>
                <w14:textFill>
                  <w14:solidFill>
                    <w14:schemeClr w14:val="tx1"/>
                  </w14:solidFill>
                </w14:textFill>
              </w:rPr>
              <w:t>清洗废水经三级沉淀池沉淀后的细砂。类比同类型项目，设备清洗废水SS产生浓度约为2000mg/L左右，经过厂区沉淀池沉淀后，SS浓度为约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4"/>
                <w:szCs w:val="24"/>
                <w14:textFill>
                  <w14:solidFill>
                    <w14:schemeClr w14:val="tx1"/>
                  </w14:solidFill>
                </w14:textFill>
              </w:rPr>
              <w:t>00mg/L。本项目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搅拌机</w:t>
            </w:r>
            <w:r>
              <w:rPr>
                <w:rFonts w:hint="eastAsia" w:ascii="Times New Roman" w:hAnsi="Times New Roman" w:eastAsia="宋体" w:cs="Times New Roman"/>
                <w:b w:val="0"/>
                <w:bCs w:val="0"/>
                <w:color w:val="000000" w:themeColor="text1"/>
                <w:sz w:val="24"/>
                <w:szCs w:val="24"/>
                <w14:textFill>
                  <w14:solidFill>
                    <w14:schemeClr w14:val="tx1"/>
                  </w14:solidFill>
                </w14:textFill>
              </w:rPr>
              <w:t>清洗废水产生量为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0.3</w:t>
            </w:r>
            <w:r>
              <w:rPr>
                <w:rFonts w:hint="eastAsia" w:ascii="Times New Roman" w:hAnsi="Times New Roman" w:eastAsia="宋体" w:cs="Times New Roman"/>
                <w:b w:val="0"/>
                <w:bCs w:val="0"/>
                <w:color w:val="000000" w:themeColor="text1"/>
                <w:sz w:val="24"/>
                <w:szCs w:val="24"/>
                <w14:textFill>
                  <w14:solidFill>
                    <w14:schemeClr w14:val="tx1"/>
                  </w14:solidFill>
                </w14:textFill>
              </w:rPr>
              <w:t>t/d</w:t>
            </w:r>
            <w:r>
              <w:rPr>
                <w:rFonts w:hint="eastAsia" w:cs="Times New Roman"/>
                <w:b w:val="0"/>
                <w:bCs w:val="0"/>
                <w:color w:val="000000" w:themeColor="text1"/>
                <w:sz w:val="24"/>
                <w:szCs w:val="24"/>
                <w:lang w:eastAsia="zh-CN"/>
                <w14:textFill>
                  <w14:solidFill>
                    <w14:schemeClr w14:val="tx1"/>
                  </w14:solidFill>
                </w14:textFill>
              </w:rPr>
              <w:t>、</w:t>
            </w:r>
            <w:r>
              <w:rPr>
                <w:rFonts w:hint="eastAsia"/>
                <w:b w:val="0"/>
                <w:bCs w:val="0"/>
                <w:color w:val="auto"/>
                <w:lang w:val="en-US" w:eastAsia="zh-CN"/>
              </w:rPr>
              <w:t>车辆清洗废水0.53</w:t>
            </w:r>
            <w:r>
              <w:rPr>
                <w:rFonts w:hint="eastAsia" w:ascii="Times New Roman" w:hAnsi="Times New Roman" w:eastAsia="宋体" w:cs="Times New Roman"/>
                <w:b w:val="0"/>
                <w:bCs w:val="0"/>
                <w:color w:val="000000" w:themeColor="text1"/>
                <w:sz w:val="24"/>
                <w:szCs w:val="24"/>
                <w14:textFill>
                  <w14:solidFill>
                    <w14:schemeClr w14:val="tx1"/>
                  </w14:solidFill>
                </w14:textFill>
              </w:rPr>
              <w:t>t/d。干沉渣产生量为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eastAsia" w:cs="Times New Roman"/>
                <w:b w:val="0"/>
                <w:bCs w:val="0"/>
                <w:color w:val="000000" w:themeColor="text1"/>
                <w:sz w:val="24"/>
                <w:szCs w:val="24"/>
                <w:lang w:val="en-US" w:eastAsia="zh-CN"/>
                <w14:textFill>
                  <w14:solidFill>
                    <w14:schemeClr w14:val="tx1"/>
                  </w14:solidFill>
                </w14:textFill>
              </w:rPr>
              <w:t>374</w:t>
            </w:r>
            <w:r>
              <w:rPr>
                <w:rFonts w:hint="eastAsia" w:ascii="Times New Roman" w:hAnsi="Times New Roman" w:eastAsia="宋体" w:cs="Times New Roman"/>
                <w:b w:val="0"/>
                <w:bCs w:val="0"/>
                <w:color w:val="000000" w:themeColor="text1"/>
                <w:sz w:val="24"/>
                <w:szCs w:val="24"/>
                <w14:textFill>
                  <w14:solidFill>
                    <w14:schemeClr w14:val="tx1"/>
                  </w14:solidFill>
                </w14:textFill>
              </w:rPr>
              <w:t>t/a，含水率约90%，故沉淀池沉渣产生量为</w:t>
            </w:r>
            <w:r>
              <w:rPr>
                <w:rFonts w:hint="eastAsia" w:cs="Times New Roman"/>
                <w:b w:val="0"/>
                <w:bCs w:val="0"/>
                <w:color w:val="000000" w:themeColor="text1"/>
                <w:sz w:val="24"/>
                <w:szCs w:val="24"/>
                <w:lang w:val="en-US" w:eastAsia="zh-CN"/>
                <w14:textFill>
                  <w14:solidFill>
                    <w14:schemeClr w14:val="tx1"/>
                  </w14:solidFill>
                </w14:textFill>
              </w:rPr>
              <w:t>3.74</w:t>
            </w:r>
            <w:r>
              <w:rPr>
                <w:rFonts w:hint="eastAsia" w:ascii="Times New Roman" w:hAnsi="Times New Roman" w:eastAsia="宋体" w:cs="Times New Roman"/>
                <w:b w:val="0"/>
                <w:bCs w:val="0"/>
                <w:color w:val="000000" w:themeColor="text1"/>
                <w:sz w:val="24"/>
                <w:szCs w:val="24"/>
                <w14:textFill>
                  <w14:solidFill>
                    <w14:schemeClr w14:val="tx1"/>
                  </w14:solidFill>
                </w14:textFill>
              </w:rPr>
              <w:t>t/a。沉淀池沉渣</w:t>
            </w:r>
            <w:r>
              <w:rPr>
                <w:rFonts w:ascii="Times New Roman" w:hAnsi="Times New Roman" w:eastAsia="宋体" w:cs="Times New Roman"/>
                <w:b w:val="0"/>
                <w:bCs w:val="0"/>
                <w:color w:val="000000" w:themeColor="text1"/>
                <w:sz w:val="24"/>
                <w:szCs w:val="24"/>
                <w14:textFill>
                  <w14:solidFill>
                    <w14:schemeClr w14:val="tx1"/>
                  </w14:solidFill>
                </w14:textFill>
              </w:rPr>
              <w:t>属于《固体废物分类与代码目录》中SW</w:t>
            </w:r>
            <w:r>
              <w:rPr>
                <w:rFonts w:hint="eastAsia" w:ascii="Times New Roman" w:hAnsi="Times New Roman" w:eastAsia="宋体" w:cs="Times New Roman"/>
                <w:b w:val="0"/>
                <w:bCs w:val="0"/>
                <w:color w:val="000000" w:themeColor="text1"/>
                <w:sz w:val="24"/>
                <w:szCs w:val="24"/>
                <w14:textFill>
                  <w14:solidFill>
                    <w14:schemeClr w14:val="tx1"/>
                  </w14:solidFill>
                </w14:textFill>
              </w:rPr>
              <w:t>07污泥</w:t>
            </w:r>
            <w:r>
              <w:rPr>
                <w:rFonts w:ascii="Times New Roman" w:hAnsi="Times New Roman" w:eastAsia="宋体" w:cs="Times New Roman"/>
                <w:b w:val="0"/>
                <w:bCs w:val="0"/>
                <w:color w:val="000000" w:themeColor="text1"/>
                <w:sz w:val="24"/>
                <w:szCs w:val="24"/>
                <w14:textFill>
                  <w14:solidFill>
                    <w14:schemeClr w14:val="tx1"/>
                  </w14:solidFill>
                </w14:textFill>
              </w:rPr>
              <w:t>，固废代码：900-099-S</w:t>
            </w:r>
            <w:r>
              <w:rPr>
                <w:rFonts w:hint="eastAsia" w:ascii="Times New Roman" w:hAnsi="Times New Roman" w:eastAsia="宋体" w:cs="Times New Roman"/>
                <w:b w:val="0"/>
                <w:bCs w:val="0"/>
                <w:color w:val="000000" w:themeColor="text1"/>
                <w:sz w:val="24"/>
                <w:szCs w:val="24"/>
                <w14:textFill>
                  <w14:solidFill>
                    <w14:schemeClr w14:val="tx1"/>
                  </w14:solidFill>
                </w14:textFill>
              </w:rPr>
              <w:t>07，收集后作为原料回用于生产</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04C7A176">
            <w:pPr>
              <w:pStyle w:val="57"/>
              <w:adjustRightInd/>
              <w:spacing w:line="360" w:lineRule="auto"/>
              <w:ind w:firstLine="480" w:firstLineChars="200"/>
              <w:rPr>
                <w:rFonts w:hint="eastAsia" w:hAnsi="宋体"/>
                <w:b w:val="0"/>
                <w:bCs w:val="0"/>
                <w:color w:val="auto"/>
                <w:kern w:val="2"/>
                <w:szCs w:val="22"/>
              </w:rPr>
            </w:pPr>
            <w:r>
              <w:rPr>
                <w:rFonts w:hint="default" w:ascii="Times New Roman" w:hAnsi="Times New Roman" w:eastAsia="宋体" w:cs="Times New Roman"/>
                <w:b w:val="0"/>
                <w:bCs w:val="0"/>
                <w:snapToGrid w:val="0"/>
                <w:color w:val="000000"/>
                <w:kern w:val="0"/>
                <w:sz w:val="24"/>
                <w:szCs w:val="21"/>
                <w:u w:val="none"/>
                <w:lang w:val="en-US" w:eastAsia="en-US" w:bidi="ar-SA"/>
              </w:rPr>
              <w:t>⑥</w:t>
            </w:r>
            <w:r>
              <w:rPr>
                <w:rFonts w:hint="eastAsia" w:ascii="Times New Roman" w:hAnsi="Times New Roman" w:eastAsia="宋体" w:cs="Times New Roman"/>
                <w:b w:val="0"/>
                <w:bCs w:val="0"/>
                <w:color w:val="000000" w:themeColor="text1"/>
                <w:sz w:val="24"/>
                <w:szCs w:val="24"/>
                <w14:textFill>
                  <w14:solidFill>
                    <w14:schemeClr w14:val="tx1"/>
                  </w14:solidFill>
                </w14:textFill>
              </w:rPr>
              <w:t>废布袋</w:t>
            </w:r>
          </w:p>
          <w:p w14:paraId="51C945A5">
            <w:pPr>
              <w:pStyle w:val="57"/>
              <w:adjustRightInd/>
              <w:spacing w:line="360" w:lineRule="auto"/>
              <w:ind w:firstLine="480" w:firstLineChars="200"/>
              <w:rPr>
                <w:rFonts w:hint="eastAsia" w:hAnsi="宋体" w:eastAsia="宋体"/>
                <w:b w:val="0"/>
                <w:bCs w:val="0"/>
                <w:color w:val="auto"/>
                <w:kern w:val="2"/>
                <w:szCs w:val="22"/>
                <w:lang w:eastAsia="zh-CN"/>
              </w:rPr>
            </w:pPr>
            <w:r>
              <w:rPr>
                <w:rFonts w:hint="eastAsia" w:ascii="Times New Roman" w:hAnsi="Times New Roman" w:eastAsia="宋体" w:cs="Times New Roman"/>
                <w:b w:val="0"/>
                <w:bCs w:val="0"/>
                <w:color w:val="000000" w:themeColor="text1"/>
                <w:sz w:val="24"/>
                <w:szCs w:val="24"/>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布袋</w:t>
            </w:r>
            <w:r>
              <w:rPr>
                <w:rFonts w:hint="eastAsia" w:ascii="Times New Roman" w:hAnsi="Times New Roman" w:eastAsia="宋体" w:cs="Times New Roman"/>
                <w:b w:val="0"/>
                <w:bCs w:val="0"/>
                <w:color w:val="000000" w:themeColor="text1"/>
                <w:sz w:val="24"/>
                <w:szCs w:val="24"/>
                <w14:textFill>
                  <w14:solidFill>
                    <w14:schemeClr w14:val="tx1"/>
                  </w14:solidFill>
                </w14:textFill>
              </w:rPr>
              <w:t>除尘器内的布袋需定期更换，每年约产生0.05t的废布袋</w:t>
            </w:r>
            <w:r>
              <w:rPr>
                <w:rFonts w:ascii="Times New Roman" w:hAnsi="Times New Roman" w:eastAsia="宋体" w:cs="Times New Roman"/>
                <w:b w:val="0"/>
                <w:bCs w:val="0"/>
                <w:color w:val="000000" w:themeColor="text1"/>
                <w:sz w:val="24"/>
                <w:szCs w:val="24"/>
                <w14:textFill>
                  <w14:solidFill>
                    <w14:schemeClr w14:val="tx1"/>
                  </w14:solidFill>
                </w14:textFill>
              </w:rPr>
              <w:t>。</w:t>
            </w:r>
            <w:r>
              <w:rPr>
                <w:rFonts w:hint="eastAsia" w:ascii="Times New Roman" w:hAnsi="Times New Roman" w:eastAsia="宋体" w:cs="Times New Roman"/>
                <w:b w:val="0"/>
                <w:bCs w:val="0"/>
                <w:color w:val="000000" w:themeColor="text1"/>
                <w:sz w:val="24"/>
                <w:szCs w:val="24"/>
                <w14:textFill>
                  <w14:solidFill>
                    <w14:schemeClr w14:val="tx1"/>
                  </w14:solidFill>
                </w14:textFill>
              </w:rPr>
              <w:t>废布袋</w:t>
            </w:r>
            <w:r>
              <w:rPr>
                <w:rFonts w:ascii="Times New Roman" w:hAnsi="Times New Roman" w:eastAsia="宋体" w:cs="Times New Roman"/>
                <w:b w:val="0"/>
                <w:bCs w:val="0"/>
                <w:color w:val="000000" w:themeColor="text1"/>
                <w:sz w:val="24"/>
                <w:szCs w:val="24"/>
                <w14:textFill>
                  <w14:solidFill>
                    <w14:schemeClr w14:val="tx1"/>
                  </w14:solidFill>
                </w14:textFill>
              </w:rPr>
              <w:t>属于《固体废物分类与代码目录》中SW59其他工业固体废物，固废代码：900-0</w:t>
            </w:r>
            <w:r>
              <w:rPr>
                <w:rFonts w:hint="eastAsia" w:ascii="Times New Roman" w:hAnsi="Times New Roman" w:eastAsia="宋体" w:cs="Times New Roman"/>
                <w:b w:val="0"/>
                <w:bCs w:val="0"/>
                <w:color w:val="000000" w:themeColor="text1"/>
                <w:sz w:val="24"/>
                <w:szCs w:val="24"/>
                <w14:textFill>
                  <w14:solidFill>
                    <w14:schemeClr w14:val="tx1"/>
                  </w14:solidFill>
                </w14:textFill>
              </w:rPr>
              <w:t>0</w:t>
            </w:r>
            <w:r>
              <w:rPr>
                <w:rFonts w:ascii="Times New Roman" w:hAnsi="Times New Roman" w:eastAsia="宋体" w:cs="Times New Roman"/>
                <w:b w:val="0"/>
                <w:bCs w:val="0"/>
                <w:color w:val="000000" w:themeColor="text1"/>
                <w:sz w:val="24"/>
                <w:szCs w:val="24"/>
                <w14:textFill>
                  <w14:solidFill>
                    <w14:schemeClr w14:val="tx1"/>
                  </w14:solidFill>
                </w14:textFill>
              </w:rPr>
              <w:t>9-S59。暂存于厂区一般固废库，定期外售</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08EFE6AA">
            <w:pPr>
              <w:pStyle w:val="57"/>
              <w:adjustRightInd/>
              <w:spacing w:line="360" w:lineRule="auto"/>
              <w:ind w:firstLine="480" w:firstLineChars="200"/>
              <w:rPr>
                <w:b w:val="0"/>
                <w:bCs w:val="0"/>
                <w:color w:val="auto"/>
              </w:rPr>
            </w:pPr>
            <w:r>
              <w:rPr>
                <w:rFonts w:hint="eastAsia" w:hAnsi="宋体"/>
                <w:b w:val="0"/>
                <w:bCs w:val="0"/>
                <w:color w:val="auto"/>
                <w:kern w:val="2"/>
                <w:szCs w:val="22"/>
              </w:rPr>
              <w:t>2、</w:t>
            </w:r>
            <w:r>
              <w:rPr>
                <w:rFonts w:hint="eastAsia"/>
                <w:b w:val="0"/>
                <w:bCs w:val="0"/>
                <w:color w:val="auto"/>
              </w:rPr>
              <w:t>危险废物</w:t>
            </w:r>
          </w:p>
          <w:p w14:paraId="7670B90F">
            <w:pPr>
              <w:pStyle w:val="57"/>
              <w:adjustRightInd/>
              <w:spacing w:line="360" w:lineRule="auto"/>
              <w:ind w:firstLine="480" w:firstLineChars="200"/>
              <w:rPr>
                <w:rFonts w:hint="eastAsia" w:hAnsi="宋体" w:eastAsia="宋体"/>
                <w:b w:val="0"/>
                <w:bCs w:val="0"/>
                <w:color w:val="auto"/>
                <w:kern w:val="2"/>
                <w:szCs w:val="22"/>
                <w:lang w:eastAsia="zh-CN"/>
              </w:rPr>
            </w:pPr>
            <w:r>
              <w:rPr>
                <w:rFonts w:hint="eastAsia" w:hAnsi="宋体"/>
                <w:b w:val="0"/>
                <w:bCs w:val="0"/>
                <w:color w:val="auto"/>
                <w:kern w:val="2"/>
                <w:szCs w:val="22"/>
              </w:rPr>
              <w:t>①</w:t>
            </w:r>
            <w:r>
              <w:rPr>
                <w:rFonts w:hint="eastAsia" w:hAnsi="宋体"/>
                <w:b w:val="0"/>
                <w:bCs w:val="0"/>
                <w:color w:val="auto"/>
                <w:kern w:val="2"/>
                <w:szCs w:val="22"/>
                <w:lang w:val="en-US" w:eastAsia="zh-CN"/>
              </w:rPr>
              <w:t>废机油</w:t>
            </w:r>
          </w:p>
          <w:p w14:paraId="4987BBB0">
            <w:pPr>
              <w:pStyle w:val="57"/>
              <w:spacing w:line="360" w:lineRule="auto"/>
              <w:ind w:firstLine="480" w:firstLineChars="200"/>
              <w:jc w:val="both"/>
              <w:rPr>
                <w:rFonts w:hint="eastAsia" w:hAnsi="宋体" w:eastAsia="宋体"/>
                <w:b w:val="0"/>
                <w:bCs w:val="0"/>
                <w:color w:val="auto"/>
                <w:kern w:val="2"/>
                <w:szCs w:val="22"/>
                <w:lang w:eastAsia="zh-CN"/>
              </w:rPr>
            </w:pPr>
            <w:r>
              <w:rPr>
                <w:rFonts w:hint="eastAsia" w:ascii="Times New Roman" w:hAnsi="Times New Roman" w:eastAsia="宋体" w:cs="Times New Roman"/>
                <w:b w:val="0"/>
                <w:bCs w:val="0"/>
                <w:color w:val="000000" w:themeColor="text1"/>
                <w:sz w:val="24"/>
                <w:szCs w:val="24"/>
                <w14:textFill>
                  <w14:solidFill>
                    <w14:schemeClr w14:val="tx1"/>
                  </w14:solidFill>
                </w14:textFill>
              </w:rPr>
              <w:t>项目生产过程中会使用机油对设备进行润滑，废机油产量为0.05t/a</w:t>
            </w:r>
            <w:r>
              <w:rPr>
                <w:rFonts w:ascii="Times New Roman" w:hAnsi="Times New Roman" w:eastAsia="宋体" w:cs="Times New Roman"/>
                <w:b w:val="0"/>
                <w:bCs w:val="0"/>
                <w:color w:val="000000" w:themeColor="text1"/>
                <w:sz w:val="24"/>
                <w:szCs w:val="24"/>
                <w14:textFill>
                  <w14:solidFill>
                    <w14:schemeClr w14:val="tx1"/>
                  </w14:solidFill>
                </w14:textFill>
              </w:rPr>
              <w:t>。</w:t>
            </w:r>
            <w:r>
              <w:rPr>
                <w:rFonts w:hint="eastAsia" w:ascii="Times New Roman" w:hAnsi="Times New Roman" w:eastAsia="宋体" w:cs="Times New Roman"/>
                <w:b w:val="0"/>
                <w:bCs w:val="0"/>
                <w:color w:val="000000" w:themeColor="text1"/>
                <w:sz w:val="24"/>
                <w:szCs w:val="24"/>
                <w14:textFill>
                  <w14:solidFill>
                    <w14:schemeClr w14:val="tx1"/>
                  </w14:solidFill>
                </w14:textFill>
              </w:rPr>
              <w:t>废机油</w:t>
            </w:r>
            <w:r>
              <w:rPr>
                <w:rFonts w:ascii="Times New Roman" w:hAnsi="Times New Roman" w:eastAsia="宋体" w:cs="Times New Roman"/>
                <w:b w:val="0"/>
                <w:bCs w:val="0"/>
                <w:color w:val="000000" w:themeColor="text1"/>
                <w:sz w:val="24"/>
                <w:szCs w:val="24"/>
                <w14:textFill>
                  <w14:solidFill>
                    <w14:schemeClr w14:val="tx1"/>
                  </w14:solidFill>
                </w14:textFill>
              </w:rPr>
              <w:t>属于《国家危险废物名录》（202</w:t>
            </w:r>
            <w:r>
              <w:rPr>
                <w:rFonts w:hint="eastAsia" w:ascii="Times New Roman" w:hAnsi="Times New Roman" w:eastAsia="宋体" w:cs="Times New Roman"/>
                <w:b w:val="0"/>
                <w:bCs w:val="0"/>
                <w:color w:val="000000" w:themeColor="text1"/>
                <w:sz w:val="24"/>
                <w:szCs w:val="24"/>
                <w14:textFill>
                  <w14:solidFill>
                    <w14:schemeClr w14:val="tx1"/>
                  </w14:solidFill>
                </w14:textFill>
              </w:rPr>
              <w:t>5</w:t>
            </w:r>
            <w:r>
              <w:rPr>
                <w:rFonts w:ascii="Times New Roman" w:hAnsi="Times New Roman" w:eastAsia="宋体" w:cs="Times New Roman"/>
                <w:b w:val="0"/>
                <w:bCs w:val="0"/>
                <w:color w:val="000000" w:themeColor="text1"/>
                <w:sz w:val="24"/>
                <w:szCs w:val="24"/>
                <w14:textFill>
                  <w14:solidFill>
                    <w14:schemeClr w14:val="tx1"/>
                  </w14:solidFill>
                </w14:textFill>
              </w:rPr>
              <w:t>年版）中HW</w:t>
            </w:r>
            <w:r>
              <w:rPr>
                <w:rFonts w:hint="eastAsia" w:ascii="Times New Roman" w:hAnsi="Times New Roman" w:eastAsia="宋体" w:cs="Times New Roman"/>
                <w:b w:val="0"/>
                <w:bCs w:val="0"/>
                <w:color w:val="000000" w:themeColor="text1"/>
                <w:sz w:val="24"/>
                <w:szCs w:val="24"/>
                <w14:textFill>
                  <w14:solidFill>
                    <w14:schemeClr w14:val="tx1"/>
                  </w14:solidFill>
                </w14:textFill>
              </w:rPr>
              <w:t>08废矿物油与含矿物油废物</w:t>
            </w:r>
            <w:r>
              <w:rPr>
                <w:rFonts w:ascii="Times New Roman" w:hAnsi="Times New Roman" w:eastAsia="宋体" w:cs="Times New Roman"/>
                <w:b w:val="0"/>
                <w:bCs w:val="0"/>
                <w:color w:val="000000" w:themeColor="text1"/>
                <w:sz w:val="24"/>
                <w:szCs w:val="24"/>
                <w14:textFill>
                  <w14:solidFill>
                    <w14:schemeClr w14:val="tx1"/>
                  </w14:solidFill>
                </w14:textFill>
              </w:rPr>
              <w:t>，危废代码900-</w:t>
            </w:r>
            <w:r>
              <w:rPr>
                <w:rFonts w:hint="eastAsia" w:ascii="Times New Roman" w:hAnsi="Times New Roman" w:eastAsia="宋体" w:cs="Times New Roman"/>
                <w:b w:val="0"/>
                <w:bCs w:val="0"/>
                <w:color w:val="000000" w:themeColor="text1"/>
                <w:sz w:val="24"/>
                <w:szCs w:val="24"/>
                <w14:textFill>
                  <w14:solidFill>
                    <w14:schemeClr w14:val="tx1"/>
                  </w14:solidFill>
                </w14:textFill>
              </w:rPr>
              <w:t>214</w:t>
            </w:r>
            <w:r>
              <w:rPr>
                <w:rFonts w:ascii="Times New Roman" w:hAnsi="Times New Roman" w:eastAsia="宋体" w:cs="Times New Roman"/>
                <w:b w:val="0"/>
                <w:bCs w:val="0"/>
                <w:color w:val="000000" w:themeColor="text1"/>
                <w:sz w:val="24"/>
                <w:szCs w:val="24"/>
                <w14:textFill>
                  <w14:solidFill>
                    <w14:schemeClr w14:val="tx1"/>
                  </w14:solidFill>
                </w14:textFill>
              </w:rPr>
              <w:t>-</w:t>
            </w:r>
            <w:r>
              <w:rPr>
                <w:rFonts w:hint="eastAsia" w:ascii="Times New Roman" w:hAnsi="Times New Roman" w:eastAsia="宋体" w:cs="Times New Roman"/>
                <w:b w:val="0"/>
                <w:bCs w:val="0"/>
                <w:color w:val="000000" w:themeColor="text1"/>
                <w:sz w:val="24"/>
                <w:szCs w:val="24"/>
                <w14:textFill>
                  <w14:solidFill>
                    <w14:schemeClr w14:val="tx1"/>
                  </w14:solidFill>
                </w14:textFill>
              </w:rPr>
              <w:t>08</w:t>
            </w:r>
            <w:r>
              <w:rPr>
                <w:rFonts w:ascii="Times New Roman" w:hAnsi="Times New Roman" w:eastAsia="宋体" w:cs="Times New Roman"/>
                <w:b w:val="0"/>
                <w:bCs w:val="0"/>
                <w:color w:val="000000" w:themeColor="text1"/>
                <w:sz w:val="24"/>
                <w:szCs w:val="24"/>
                <w14:textFill>
                  <w14:solidFill>
                    <w14:schemeClr w14:val="tx1"/>
                  </w14:solidFill>
                </w14:textFill>
              </w:rPr>
              <w:t>。厂区危废暂存间暂存，定期交由有资质单位处置</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5CCBF63C">
            <w:pPr>
              <w:pStyle w:val="57"/>
              <w:spacing w:line="360" w:lineRule="auto"/>
              <w:ind w:firstLine="480" w:firstLineChars="200"/>
              <w:jc w:val="both"/>
              <w:rPr>
                <w:rFonts w:hint="default" w:ascii="Times New Roman" w:hAnsi="Times New Roman" w:eastAsia="宋体" w:cs="Times New Roman"/>
                <w:b w:val="0"/>
                <w:bCs w:val="0"/>
                <w:snapToGrid w:val="0"/>
                <w:color w:val="000000"/>
                <w:kern w:val="0"/>
                <w:sz w:val="24"/>
                <w:szCs w:val="21"/>
                <w:u w:val="none"/>
                <w:lang w:val="en-US" w:eastAsia="en-US" w:bidi="ar-SA"/>
              </w:rPr>
            </w:pPr>
            <w:r>
              <w:rPr>
                <w:rFonts w:hint="default" w:ascii="Times New Roman" w:hAnsi="Times New Roman" w:eastAsia="宋体" w:cs="Times New Roman"/>
                <w:b w:val="0"/>
                <w:bCs w:val="0"/>
                <w:snapToGrid w:val="0"/>
                <w:color w:val="000000"/>
                <w:kern w:val="0"/>
                <w:sz w:val="24"/>
                <w:szCs w:val="21"/>
                <w:u w:val="none"/>
                <w:lang w:val="en-US" w:eastAsia="en-US" w:bidi="ar-SA"/>
              </w:rPr>
              <w:t>②</w:t>
            </w:r>
            <w:r>
              <w:rPr>
                <w:rFonts w:ascii="Times New Roman" w:hAnsi="Times New Roman" w:eastAsia="宋体" w:cs="Times New Roman"/>
                <w:b w:val="0"/>
                <w:bCs w:val="0"/>
                <w:color w:val="000000" w:themeColor="text1"/>
                <w:sz w:val="24"/>
                <w:szCs w:val="24"/>
                <w14:textFill>
                  <w14:solidFill>
                    <w14:schemeClr w14:val="tx1"/>
                  </w14:solidFill>
                </w14:textFill>
              </w:rPr>
              <w:t>废</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机</w:t>
            </w:r>
            <w:r>
              <w:rPr>
                <w:rFonts w:hint="eastAsia" w:ascii="Times New Roman" w:hAnsi="Times New Roman" w:eastAsia="宋体" w:cs="Times New Roman"/>
                <w:b w:val="0"/>
                <w:bCs w:val="0"/>
                <w:color w:val="000000" w:themeColor="text1"/>
                <w:sz w:val="24"/>
                <w:szCs w:val="24"/>
                <w14:textFill>
                  <w14:solidFill>
                    <w14:schemeClr w14:val="tx1"/>
                  </w14:solidFill>
                </w14:textFill>
              </w:rPr>
              <w:t>油桶</w:t>
            </w:r>
          </w:p>
          <w:p w14:paraId="64A048F6">
            <w:pPr>
              <w:pStyle w:val="57"/>
              <w:spacing w:line="360" w:lineRule="auto"/>
              <w:ind w:firstLine="480" w:firstLineChars="200"/>
              <w:jc w:val="both"/>
              <w:rPr>
                <w:rFonts w:hint="eastAsia" w:hAnsi="宋体" w:eastAsia="宋体"/>
                <w:b w:val="0"/>
                <w:bCs w:val="0"/>
                <w:color w:val="auto"/>
                <w:kern w:val="2"/>
                <w:szCs w:val="22"/>
                <w:lang w:eastAsia="zh-CN"/>
              </w:rPr>
            </w:pPr>
            <w:r>
              <w:rPr>
                <w:rFonts w:hint="eastAsia" w:ascii="Times New Roman" w:hAnsi="Times New Roman" w:eastAsia="宋体" w:cs="Times New Roman"/>
                <w:b w:val="0"/>
                <w:bCs w:val="0"/>
                <w:color w:val="000000" w:themeColor="text1"/>
                <w:sz w:val="24"/>
                <w:szCs w:val="24"/>
                <w14:textFill>
                  <w14:solidFill>
                    <w14:schemeClr w14:val="tx1"/>
                  </w14:solidFill>
                </w14:textFill>
              </w:rPr>
              <w:t>项目机油年用量为0.1t，包装规格为50kg/桶，废油桶产生量为2个，单个废油桶重量为2kg，故废油桶产生量约为0.004t/a。</w:t>
            </w:r>
            <w:r>
              <w:rPr>
                <w:rFonts w:ascii="Times New Roman" w:hAnsi="Times New Roman" w:eastAsia="宋体" w:cs="Times New Roman"/>
                <w:b w:val="0"/>
                <w:bCs w:val="0"/>
                <w:color w:val="000000" w:themeColor="text1"/>
                <w:sz w:val="24"/>
                <w:szCs w:val="24"/>
                <w14:textFill>
                  <w14:solidFill>
                    <w14:schemeClr w14:val="tx1"/>
                  </w14:solidFill>
                </w14:textFill>
              </w:rPr>
              <w:t>废</w:t>
            </w:r>
            <w:r>
              <w:rPr>
                <w:rFonts w:hint="eastAsia" w:ascii="Times New Roman" w:hAnsi="Times New Roman" w:eastAsia="宋体" w:cs="Times New Roman"/>
                <w:b w:val="0"/>
                <w:bCs w:val="0"/>
                <w:color w:val="000000" w:themeColor="text1"/>
                <w:sz w:val="24"/>
                <w:szCs w:val="24"/>
                <w14:textFill>
                  <w14:solidFill>
                    <w14:schemeClr w14:val="tx1"/>
                  </w14:solidFill>
                </w14:textFill>
              </w:rPr>
              <w:t>油桶</w:t>
            </w:r>
            <w:r>
              <w:rPr>
                <w:rFonts w:ascii="Times New Roman" w:hAnsi="Times New Roman" w:eastAsia="宋体" w:cs="Times New Roman"/>
                <w:b w:val="0"/>
                <w:bCs w:val="0"/>
                <w:color w:val="000000" w:themeColor="text1"/>
                <w:sz w:val="24"/>
                <w:szCs w:val="24"/>
                <w14:textFill>
                  <w14:solidFill>
                    <w14:schemeClr w14:val="tx1"/>
                  </w14:solidFill>
                </w14:textFill>
              </w:rPr>
              <w:t>属于《国家危险废物名录》（202</w:t>
            </w:r>
            <w:r>
              <w:rPr>
                <w:rFonts w:hint="eastAsia" w:ascii="Times New Roman" w:hAnsi="Times New Roman" w:eastAsia="宋体" w:cs="Times New Roman"/>
                <w:b w:val="0"/>
                <w:bCs w:val="0"/>
                <w:color w:val="000000" w:themeColor="text1"/>
                <w:sz w:val="24"/>
                <w:szCs w:val="24"/>
                <w14:textFill>
                  <w14:solidFill>
                    <w14:schemeClr w14:val="tx1"/>
                  </w14:solidFill>
                </w14:textFill>
              </w:rPr>
              <w:t>5</w:t>
            </w:r>
            <w:r>
              <w:rPr>
                <w:rFonts w:ascii="Times New Roman" w:hAnsi="Times New Roman" w:eastAsia="宋体" w:cs="Times New Roman"/>
                <w:b w:val="0"/>
                <w:bCs w:val="0"/>
                <w:color w:val="000000" w:themeColor="text1"/>
                <w:sz w:val="24"/>
                <w:szCs w:val="24"/>
                <w14:textFill>
                  <w14:solidFill>
                    <w14:schemeClr w14:val="tx1"/>
                  </w14:solidFill>
                </w14:textFill>
              </w:rPr>
              <w:t>年版）中HW49其他废物，危废代码900-0</w:t>
            </w:r>
            <w:r>
              <w:rPr>
                <w:rFonts w:hint="eastAsia" w:ascii="Times New Roman" w:hAnsi="Times New Roman" w:eastAsia="宋体" w:cs="Times New Roman"/>
                <w:b w:val="0"/>
                <w:bCs w:val="0"/>
                <w:color w:val="000000" w:themeColor="text1"/>
                <w:sz w:val="24"/>
                <w:szCs w:val="24"/>
                <w14:textFill>
                  <w14:solidFill>
                    <w14:schemeClr w14:val="tx1"/>
                  </w14:solidFill>
                </w14:textFill>
              </w:rPr>
              <w:t>41</w:t>
            </w:r>
            <w:r>
              <w:rPr>
                <w:rFonts w:ascii="Times New Roman" w:hAnsi="Times New Roman" w:eastAsia="宋体" w:cs="Times New Roman"/>
                <w:b w:val="0"/>
                <w:bCs w:val="0"/>
                <w:color w:val="000000" w:themeColor="text1"/>
                <w:sz w:val="24"/>
                <w:szCs w:val="24"/>
                <w14:textFill>
                  <w14:solidFill>
                    <w14:schemeClr w14:val="tx1"/>
                  </w14:solidFill>
                </w14:textFill>
              </w:rPr>
              <w:t>-49。厂区危废暂存间暂存，定期交由有资质单位处置</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27EC4533">
            <w:pPr>
              <w:pStyle w:val="57"/>
              <w:adjustRightInd/>
              <w:spacing w:line="360" w:lineRule="auto"/>
              <w:jc w:val="center"/>
              <w:rPr>
                <w:b/>
                <w:color w:val="auto"/>
              </w:rPr>
            </w:pPr>
            <w:r>
              <w:rPr>
                <w:b/>
                <w:color w:val="auto"/>
              </w:rPr>
              <w:t>表4-1</w:t>
            </w:r>
            <w:r>
              <w:rPr>
                <w:rFonts w:hint="eastAsia"/>
                <w:b/>
                <w:color w:val="auto"/>
              </w:rPr>
              <w:t>8 建设项目固体废物分析结果汇总表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427"/>
              <w:gridCol w:w="649"/>
              <w:gridCol w:w="726"/>
              <w:gridCol w:w="741"/>
              <w:gridCol w:w="749"/>
              <w:gridCol w:w="874"/>
              <w:gridCol w:w="1270"/>
              <w:gridCol w:w="1353"/>
              <w:gridCol w:w="715"/>
              <w:gridCol w:w="942"/>
            </w:tblGrid>
            <w:tr w14:paraId="77AE61B3">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2E27713F">
                  <w:pPr>
                    <w:topLinePunct/>
                    <w:jc w:val="center"/>
                    <w:rPr>
                      <w:b/>
                      <w:color w:val="auto"/>
                      <w:kern w:val="0"/>
                      <w:szCs w:val="21"/>
                    </w:rPr>
                  </w:pPr>
                  <w:r>
                    <w:rPr>
                      <w:rFonts w:hint="eastAsia"/>
                      <w:b/>
                      <w:color w:val="auto"/>
                      <w:kern w:val="0"/>
                      <w:szCs w:val="21"/>
                    </w:rPr>
                    <w:t>序号</w:t>
                  </w:r>
                </w:p>
              </w:tc>
              <w:tc>
                <w:tcPr>
                  <w:tcW w:w="384" w:type="pct"/>
                  <w:tcBorders>
                    <w:tl2br w:val="nil"/>
                    <w:tr2bl w:val="nil"/>
                  </w:tcBorders>
                  <w:vAlign w:val="center"/>
                </w:tcPr>
                <w:p w14:paraId="3A304ECF">
                  <w:pPr>
                    <w:topLinePunct/>
                    <w:jc w:val="center"/>
                    <w:rPr>
                      <w:b/>
                      <w:color w:val="auto"/>
                      <w:kern w:val="0"/>
                      <w:szCs w:val="21"/>
                    </w:rPr>
                  </w:pPr>
                  <w:r>
                    <w:rPr>
                      <w:rFonts w:hint="eastAsia"/>
                      <w:b/>
                      <w:color w:val="auto"/>
                      <w:kern w:val="0"/>
                      <w:szCs w:val="21"/>
                    </w:rPr>
                    <w:t>固体废物名称</w:t>
                  </w:r>
                </w:p>
              </w:tc>
              <w:tc>
                <w:tcPr>
                  <w:tcW w:w="429" w:type="pct"/>
                  <w:tcBorders>
                    <w:tl2br w:val="nil"/>
                    <w:tr2bl w:val="nil"/>
                  </w:tcBorders>
                  <w:vAlign w:val="center"/>
                </w:tcPr>
                <w:p w14:paraId="6A4C3BA1">
                  <w:pPr>
                    <w:topLinePunct/>
                    <w:jc w:val="center"/>
                    <w:rPr>
                      <w:b/>
                      <w:color w:val="auto"/>
                      <w:kern w:val="0"/>
                      <w:szCs w:val="21"/>
                    </w:rPr>
                  </w:pPr>
                  <w:r>
                    <w:rPr>
                      <w:rFonts w:hint="eastAsia"/>
                      <w:b/>
                      <w:color w:val="auto"/>
                      <w:kern w:val="0"/>
                      <w:szCs w:val="21"/>
                    </w:rPr>
                    <w:t>产生工序</w:t>
                  </w:r>
                </w:p>
              </w:tc>
              <w:tc>
                <w:tcPr>
                  <w:tcW w:w="438" w:type="pct"/>
                  <w:tcBorders>
                    <w:tl2br w:val="nil"/>
                    <w:tr2bl w:val="nil"/>
                  </w:tcBorders>
                  <w:vAlign w:val="center"/>
                </w:tcPr>
                <w:p w14:paraId="099886ED">
                  <w:pPr>
                    <w:topLinePunct/>
                    <w:jc w:val="center"/>
                    <w:rPr>
                      <w:b/>
                      <w:color w:val="auto"/>
                      <w:kern w:val="0"/>
                      <w:szCs w:val="21"/>
                    </w:rPr>
                  </w:pPr>
                  <w:r>
                    <w:rPr>
                      <w:rFonts w:hint="eastAsia"/>
                      <w:b/>
                      <w:color w:val="auto"/>
                      <w:kern w:val="0"/>
                      <w:szCs w:val="21"/>
                    </w:rPr>
                    <w:t>形态</w:t>
                  </w:r>
                </w:p>
              </w:tc>
              <w:tc>
                <w:tcPr>
                  <w:tcW w:w="443" w:type="pct"/>
                  <w:tcBorders>
                    <w:tl2br w:val="nil"/>
                    <w:tr2bl w:val="nil"/>
                  </w:tcBorders>
                  <w:vAlign w:val="center"/>
                </w:tcPr>
                <w:p w14:paraId="3B7CFA1B">
                  <w:pPr>
                    <w:topLinePunct/>
                    <w:jc w:val="center"/>
                    <w:rPr>
                      <w:b/>
                      <w:color w:val="auto"/>
                      <w:kern w:val="0"/>
                      <w:szCs w:val="21"/>
                    </w:rPr>
                  </w:pPr>
                  <w:r>
                    <w:rPr>
                      <w:rFonts w:hint="eastAsia"/>
                      <w:b/>
                      <w:color w:val="auto"/>
                      <w:kern w:val="0"/>
                      <w:szCs w:val="21"/>
                    </w:rPr>
                    <w:t>主要成分</w:t>
                  </w:r>
                </w:p>
              </w:tc>
              <w:tc>
                <w:tcPr>
                  <w:tcW w:w="517" w:type="pct"/>
                  <w:tcBorders>
                    <w:tl2br w:val="nil"/>
                    <w:tr2bl w:val="nil"/>
                  </w:tcBorders>
                  <w:vAlign w:val="center"/>
                </w:tcPr>
                <w:p w14:paraId="4493A6A4">
                  <w:pPr>
                    <w:topLinePunct/>
                    <w:jc w:val="center"/>
                    <w:rPr>
                      <w:b/>
                      <w:color w:val="auto"/>
                      <w:kern w:val="0"/>
                      <w:szCs w:val="21"/>
                    </w:rPr>
                  </w:pPr>
                  <w:r>
                    <w:rPr>
                      <w:rFonts w:hint="eastAsia"/>
                      <w:b/>
                      <w:color w:val="auto"/>
                      <w:kern w:val="0"/>
                      <w:szCs w:val="21"/>
                    </w:rPr>
                    <w:t>属性</w:t>
                  </w:r>
                </w:p>
              </w:tc>
              <w:tc>
                <w:tcPr>
                  <w:tcW w:w="751" w:type="pct"/>
                  <w:tcBorders>
                    <w:tl2br w:val="nil"/>
                    <w:tr2bl w:val="nil"/>
                  </w:tcBorders>
                  <w:vAlign w:val="center"/>
                </w:tcPr>
                <w:p w14:paraId="6F6CAA55">
                  <w:pPr>
                    <w:topLinePunct/>
                    <w:jc w:val="center"/>
                    <w:rPr>
                      <w:b/>
                      <w:color w:val="auto"/>
                      <w:kern w:val="0"/>
                      <w:szCs w:val="21"/>
                    </w:rPr>
                  </w:pPr>
                  <w:r>
                    <w:rPr>
                      <w:rFonts w:hint="eastAsia"/>
                      <w:b/>
                      <w:color w:val="auto"/>
                      <w:kern w:val="0"/>
                      <w:szCs w:val="21"/>
                    </w:rPr>
                    <w:t>废物类别</w:t>
                  </w:r>
                </w:p>
              </w:tc>
              <w:tc>
                <w:tcPr>
                  <w:tcW w:w="800" w:type="pct"/>
                  <w:tcBorders>
                    <w:tl2br w:val="nil"/>
                    <w:tr2bl w:val="nil"/>
                  </w:tcBorders>
                  <w:vAlign w:val="center"/>
                </w:tcPr>
                <w:p w14:paraId="36CF6708">
                  <w:pPr>
                    <w:topLinePunct/>
                    <w:jc w:val="center"/>
                    <w:rPr>
                      <w:b/>
                      <w:color w:val="auto"/>
                      <w:kern w:val="0"/>
                      <w:szCs w:val="21"/>
                    </w:rPr>
                  </w:pPr>
                  <w:r>
                    <w:rPr>
                      <w:rFonts w:hint="eastAsia"/>
                      <w:b/>
                      <w:color w:val="auto"/>
                      <w:kern w:val="0"/>
                      <w:szCs w:val="21"/>
                    </w:rPr>
                    <w:t>固废代码</w:t>
                  </w:r>
                </w:p>
              </w:tc>
              <w:tc>
                <w:tcPr>
                  <w:tcW w:w="423" w:type="pct"/>
                  <w:tcBorders>
                    <w:tl2br w:val="nil"/>
                    <w:tr2bl w:val="nil"/>
                  </w:tcBorders>
                  <w:vAlign w:val="center"/>
                </w:tcPr>
                <w:p w14:paraId="4DB063F7">
                  <w:pPr>
                    <w:topLinePunct/>
                    <w:jc w:val="center"/>
                    <w:rPr>
                      <w:b/>
                      <w:color w:val="auto"/>
                      <w:kern w:val="0"/>
                      <w:szCs w:val="21"/>
                    </w:rPr>
                  </w:pPr>
                  <w:r>
                    <w:rPr>
                      <w:rFonts w:hint="eastAsia"/>
                      <w:b/>
                      <w:color w:val="auto"/>
                      <w:kern w:val="0"/>
                      <w:szCs w:val="21"/>
                    </w:rPr>
                    <w:t>产生量</w:t>
                  </w:r>
                </w:p>
              </w:tc>
              <w:tc>
                <w:tcPr>
                  <w:tcW w:w="557" w:type="pct"/>
                  <w:tcBorders>
                    <w:tl2br w:val="nil"/>
                    <w:tr2bl w:val="nil"/>
                  </w:tcBorders>
                  <w:vAlign w:val="center"/>
                </w:tcPr>
                <w:p w14:paraId="02F7CE34">
                  <w:pPr>
                    <w:topLinePunct/>
                    <w:jc w:val="center"/>
                    <w:rPr>
                      <w:b/>
                      <w:color w:val="auto"/>
                      <w:kern w:val="0"/>
                      <w:szCs w:val="21"/>
                    </w:rPr>
                  </w:pPr>
                  <w:r>
                    <w:rPr>
                      <w:rFonts w:hint="eastAsia"/>
                      <w:b/>
                      <w:color w:val="auto"/>
                      <w:kern w:val="0"/>
                      <w:szCs w:val="21"/>
                    </w:rPr>
                    <w:t>处理措施</w:t>
                  </w:r>
                </w:p>
              </w:tc>
            </w:tr>
            <w:tr w14:paraId="5AE52544">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77E714CD">
                  <w:pPr>
                    <w:jc w:val="center"/>
                    <w:rPr>
                      <w:color w:val="auto"/>
                      <w:szCs w:val="21"/>
                    </w:rPr>
                  </w:pPr>
                  <w:r>
                    <w:rPr>
                      <w:rFonts w:hint="eastAsia"/>
                      <w:color w:val="auto"/>
                      <w:szCs w:val="21"/>
                    </w:rPr>
                    <w:t>1</w:t>
                  </w:r>
                </w:p>
              </w:tc>
              <w:tc>
                <w:tcPr>
                  <w:tcW w:w="384" w:type="pct"/>
                  <w:tcBorders>
                    <w:tl2br w:val="nil"/>
                    <w:tr2bl w:val="nil"/>
                  </w:tcBorders>
                  <w:vAlign w:val="center"/>
                </w:tcPr>
                <w:p w14:paraId="7715E84B">
                  <w:pPr>
                    <w:topLinePunct/>
                    <w:jc w:val="center"/>
                    <w:rPr>
                      <w:color w:val="auto"/>
                      <w:szCs w:val="21"/>
                    </w:rPr>
                  </w:pPr>
                  <w:r>
                    <w:rPr>
                      <w:rFonts w:hint="eastAsia"/>
                      <w:color w:val="auto"/>
                      <w:szCs w:val="21"/>
                    </w:rPr>
                    <w:t>职工生活垃圾</w:t>
                  </w:r>
                </w:p>
              </w:tc>
              <w:tc>
                <w:tcPr>
                  <w:tcW w:w="429" w:type="pct"/>
                  <w:tcBorders>
                    <w:tl2br w:val="nil"/>
                    <w:tr2bl w:val="nil"/>
                  </w:tcBorders>
                  <w:vAlign w:val="center"/>
                </w:tcPr>
                <w:p w14:paraId="1E7D6DC6">
                  <w:pPr>
                    <w:topLinePunct/>
                    <w:jc w:val="center"/>
                    <w:rPr>
                      <w:color w:val="auto"/>
                      <w:szCs w:val="21"/>
                    </w:rPr>
                  </w:pPr>
                  <w:r>
                    <w:rPr>
                      <w:rFonts w:hint="eastAsia"/>
                      <w:color w:val="auto"/>
                      <w:szCs w:val="21"/>
                    </w:rPr>
                    <w:t>办公生活</w:t>
                  </w:r>
                </w:p>
              </w:tc>
              <w:tc>
                <w:tcPr>
                  <w:tcW w:w="438" w:type="pct"/>
                  <w:tcBorders>
                    <w:tl2br w:val="nil"/>
                    <w:tr2bl w:val="nil"/>
                  </w:tcBorders>
                  <w:vAlign w:val="center"/>
                </w:tcPr>
                <w:p w14:paraId="4CE90764">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22CD6597">
                  <w:pPr>
                    <w:topLinePunct/>
                    <w:jc w:val="center"/>
                    <w:rPr>
                      <w:color w:val="auto"/>
                      <w:szCs w:val="21"/>
                    </w:rPr>
                  </w:pPr>
                  <w:r>
                    <w:rPr>
                      <w:rFonts w:hint="eastAsia"/>
                      <w:color w:val="auto"/>
                      <w:szCs w:val="21"/>
                    </w:rPr>
                    <w:t>/</w:t>
                  </w:r>
                </w:p>
              </w:tc>
              <w:tc>
                <w:tcPr>
                  <w:tcW w:w="517" w:type="pct"/>
                  <w:tcBorders>
                    <w:tl2br w:val="nil"/>
                    <w:tr2bl w:val="nil"/>
                  </w:tcBorders>
                  <w:vAlign w:val="center"/>
                </w:tcPr>
                <w:p w14:paraId="3CBF18AA">
                  <w:pPr>
                    <w:topLinePunct/>
                    <w:jc w:val="center"/>
                    <w:rPr>
                      <w:color w:val="auto"/>
                      <w:szCs w:val="21"/>
                    </w:rPr>
                  </w:pPr>
                  <w:r>
                    <w:rPr>
                      <w:rFonts w:hint="eastAsia"/>
                      <w:color w:val="auto"/>
                      <w:szCs w:val="21"/>
                    </w:rPr>
                    <w:t>/</w:t>
                  </w:r>
                </w:p>
              </w:tc>
              <w:tc>
                <w:tcPr>
                  <w:tcW w:w="751" w:type="pct"/>
                  <w:tcBorders>
                    <w:tl2br w:val="nil"/>
                    <w:tr2bl w:val="nil"/>
                  </w:tcBorders>
                  <w:vAlign w:val="center"/>
                </w:tcPr>
                <w:p w14:paraId="0A21FE30">
                  <w:pPr>
                    <w:topLinePunct/>
                    <w:jc w:val="center"/>
                    <w:rPr>
                      <w:color w:val="auto"/>
                      <w:szCs w:val="21"/>
                    </w:rPr>
                  </w:pPr>
                  <w:r>
                    <w:rPr>
                      <w:rFonts w:hint="eastAsia"/>
                      <w:color w:val="auto"/>
                      <w:szCs w:val="21"/>
                    </w:rPr>
                    <w:t>S61</w:t>
                  </w:r>
                </w:p>
                <w:p w14:paraId="55213567">
                  <w:pPr>
                    <w:topLinePunct/>
                    <w:jc w:val="center"/>
                    <w:rPr>
                      <w:color w:val="auto"/>
                      <w:szCs w:val="21"/>
                    </w:rPr>
                  </w:pPr>
                  <w:r>
                    <w:rPr>
                      <w:rFonts w:hint="eastAsia"/>
                      <w:color w:val="auto"/>
                      <w:szCs w:val="21"/>
                    </w:rPr>
                    <w:t>其他垃圾</w:t>
                  </w:r>
                </w:p>
              </w:tc>
              <w:tc>
                <w:tcPr>
                  <w:tcW w:w="800" w:type="pct"/>
                  <w:tcBorders>
                    <w:tl2br w:val="nil"/>
                    <w:tr2bl w:val="nil"/>
                  </w:tcBorders>
                  <w:vAlign w:val="center"/>
                </w:tcPr>
                <w:p w14:paraId="760A9292">
                  <w:pPr>
                    <w:topLinePunct/>
                    <w:jc w:val="center"/>
                    <w:rPr>
                      <w:color w:val="auto"/>
                      <w:szCs w:val="21"/>
                    </w:rPr>
                  </w:pPr>
                  <w:r>
                    <w:rPr>
                      <w:color w:val="auto"/>
                      <w:szCs w:val="21"/>
                    </w:rPr>
                    <w:t>900-099-S64</w:t>
                  </w:r>
                </w:p>
              </w:tc>
              <w:tc>
                <w:tcPr>
                  <w:tcW w:w="423" w:type="pct"/>
                  <w:tcBorders>
                    <w:tl2br w:val="nil"/>
                    <w:tr2bl w:val="nil"/>
                  </w:tcBorders>
                  <w:vAlign w:val="center"/>
                </w:tcPr>
                <w:p w14:paraId="0EA5E94C">
                  <w:pPr>
                    <w:topLinePunct/>
                    <w:jc w:val="center"/>
                    <w:rPr>
                      <w:rFonts w:hint="eastAsia" w:eastAsia="宋体"/>
                      <w:color w:val="auto"/>
                      <w:szCs w:val="21"/>
                      <w:lang w:eastAsia="zh-CN"/>
                    </w:rPr>
                  </w:pPr>
                  <w:r>
                    <w:rPr>
                      <w:rFonts w:hint="eastAsia"/>
                      <w:color w:val="auto"/>
                      <w:szCs w:val="21"/>
                      <w:lang w:val="en-US" w:eastAsia="zh-CN"/>
                    </w:rPr>
                    <w:t>9</w:t>
                  </w:r>
                </w:p>
              </w:tc>
              <w:tc>
                <w:tcPr>
                  <w:tcW w:w="557" w:type="pct"/>
                  <w:tcBorders>
                    <w:tl2br w:val="nil"/>
                    <w:tr2bl w:val="nil"/>
                  </w:tcBorders>
                  <w:vAlign w:val="center"/>
                </w:tcPr>
                <w:p w14:paraId="0DF3BEA3">
                  <w:pPr>
                    <w:widowControl/>
                    <w:jc w:val="center"/>
                    <w:rPr>
                      <w:color w:val="auto"/>
                      <w:szCs w:val="21"/>
                    </w:rPr>
                  </w:pPr>
                  <w:r>
                    <w:rPr>
                      <w:rFonts w:hint="eastAsia"/>
                      <w:color w:val="auto"/>
                      <w:szCs w:val="21"/>
                    </w:rPr>
                    <w:t>垃圾桶分类收集，交由环卫部门处置</w:t>
                  </w:r>
                </w:p>
              </w:tc>
            </w:tr>
            <w:tr w14:paraId="5AADB4E7">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23D3886F">
                  <w:pPr>
                    <w:jc w:val="center"/>
                    <w:rPr>
                      <w:color w:val="auto"/>
                      <w:szCs w:val="21"/>
                    </w:rPr>
                  </w:pPr>
                  <w:r>
                    <w:rPr>
                      <w:rFonts w:hint="eastAsia"/>
                      <w:color w:val="auto"/>
                      <w:szCs w:val="21"/>
                    </w:rPr>
                    <w:t>2</w:t>
                  </w:r>
                </w:p>
              </w:tc>
              <w:tc>
                <w:tcPr>
                  <w:tcW w:w="384" w:type="pct"/>
                  <w:tcBorders>
                    <w:tl2br w:val="nil"/>
                    <w:tr2bl w:val="nil"/>
                  </w:tcBorders>
                  <w:vAlign w:val="center"/>
                </w:tcPr>
                <w:p w14:paraId="0525BEEE">
                  <w:pPr>
                    <w:topLinePunct/>
                    <w:jc w:val="center"/>
                    <w:rPr>
                      <w:color w:val="auto"/>
                      <w:szCs w:val="21"/>
                    </w:rPr>
                  </w:pPr>
                  <w:r>
                    <w:rPr>
                      <w:rFonts w:hint="eastAsia" w:hAnsi="宋体"/>
                      <w:color w:val="auto"/>
                      <w:kern w:val="2"/>
                      <w:szCs w:val="22"/>
                      <w:lang w:val="en-US" w:eastAsia="zh-CN"/>
                    </w:rPr>
                    <w:t>废切割边角料</w:t>
                  </w:r>
                </w:p>
              </w:tc>
              <w:tc>
                <w:tcPr>
                  <w:tcW w:w="429" w:type="pct"/>
                  <w:tcBorders>
                    <w:tl2br w:val="nil"/>
                    <w:tr2bl w:val="nil"/>
                  </w:tcBorders>
                  <w:vAlign w:val="center"/>
                </w:tcPr>
                <w:p w14:paraId="141A5135">
                  <w:pPr>
                    <w:topLinePunct/>
                    <w:jc w:val="center"/>
                    <w:rPr>
                      <w:rFonts w:hint="default" w:eastAsia="宋体"/>
                      <w:color w:val="auto"/>
                      <w:szCs w:val="21"/>
                      <w:lang w:val="en-US" w:eastAsia="zh-CN"/>
                    </w:rPr>
                  </w:pPr>
                  <w:r>
                    <w:rPr>
                      <w:rFonts w:hint="eastAsia"/>
                      <w:color w:val="auto"/>
                      <w:szCs w:val="21"/>
                      <w:lang w:val="en-US" w:eastAsia="zh-CN"/>
                    </w:rPr>
                    <w:t>钢筋加工</w:t>
                  </w:r>
                </w:p>
              </w:tc>
              <w:tc>
                <w:tcPr>
                  <w:tcW w:w="438" w:type="pct"/>
                  <w:tcBorders>
                    <w:tl2br w:val="nil"/>
                    <w:tr2bl w:val="nil"/>
                  </w:tcBorders>
                  <w:vAlign w:val="center"/>
                </w:tcPr>
                <w:p w14:paraId="50AA2031">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29A1CBA6">
                  <w:pPr>
                    <w:topLinePunct/>
                    <w:jc w:val="center"/>
                    <w:rPr>
                      <w:rFonts w:hint="default" w:eastAsia="宋体"/>
                      <w:color w:val="auto"/>
                      <w:szCs w:val="21"/>
                      <w:lang w:val="en-US" w:eastAsia="zh-CN"/>
                    </w:rPr>
                  </w:pPr>
                  <w:r>
                    <w:rPr>
                      <w:rFonts w:hint="eastAsia"/>
                      <w:color w:val="auto"/>
                      <w:szCs w:val="21"/>
                      <w:lang w:val="en-US" w:eastAsia="zh-CN"/>
                    </w:rPr>
                    <w:t>钢筋</w:t>
                  </w:r>
                </w:p>
              </w:tc>
              <w:tc>
                <w:tcPr>
                  <w:tcW w:w="517" w:type="pct"/>
                  <w:tcBorders>
                    <w:tl2br w:val="nil"/>
                    <w:tr2bl w:val="nil"/>
                  </w:tcBorders>
                  <w:vAlign w:val="center"/>
                </w:tcPr>
                <w:p w14:paraId="3F0E5C99">
                  <w:pPr>
                    <w:topLinePunct/>
                    <w:jc w:val="center"/>
                    <w:rPr>
                      <w:color w:val="auto"/>
                      <w:szCs w:val="21"/>
                    </w:rPr>
                  </w:pPr>
                  <w:r>
                    <w:rPr>
                      <w:rFonts w:hint="eastAsia"/>
                      <w:color w:val="auto"/>
                      <w:szCs w:val="21"/>
                    </w:rPr>
                    <w:t>一般工业固体废物</w:t>
                  </w:r>
                </w:p>
              </w:tc>
              <w:tc>
                <w:tcPr>
                  <w:tcW w:w="751" w:type="pct"/>
                  <w:tcBorders>
                    <w:tl2br w:val="nil"/>
                    <w:tr2bl w:val="nil"/>
                  </w:tcBorders>
                  <w:vAlign w:val="center"/>
                </w:tcPr>
                <w:p w14:paraId="25032363">
                  <w:pPr>
                    <w:topLinePunct/>
                    <w:jc w:val="center"/>
                    <w:rPr>
                      <w:color w:val="auto"/>
                      <w:szCs w:val="21"/>
                    </w:rPr>
                  </w:pPr>
                  <w:r>
                    <w:rPr>
                      <w:rFonts w:hint="eastAsia"/>
                      <w:color w:val="auto"/>
                      <w:szCs w:val="21"/>
                    </w:rPr>
                    <w:t>SW17可再生类废物</w:t>
                  </w:r>
                </w:p>
              </w:tc>
              <w:tc>
                <w:tcPr>
                  <w:tcW w:w="800" w:type="pct"/>
                  <w:tcBorders>
                    <w:tl2br w:val="nil"/>
                    <w:tr2bl w:val="nil"/>
                  </w:tcBorders>
                  <w:vAlign w:val="center"/>
                </w:tcPr>
                <w:p w14:paraId="04716396">
                  <w:pPr>
                    <w:topLinePunct/>
                    <w:jc w:val="center"/>
                    <w:rPr>
                      <w:color w:val="auto"/>
                      <w:szCs w:val="21"/>
                    </w:rPr>
                  </w:pPr>
                  <w:r>
                    <w:rPr>
                      <w:color w:val="auto"/>
                      <w:szCs w:val="21"/>
                    </w:rPr>
                    <w:t>900-099-S17</w:t>
                  </w:r>
                </w:p>
              </w:tc>
              <w:tc>
                <w:tcPr>
                  <w:tcW w:w="423" w:type="pct"/>
                  <w:tcBorders>
                    <w:tl2br w:val="nil"/>
                    <w:tr2bl w:val="nil"/>
                  </w:tcBorders>
                  <w:vAlign w:val="center"/>
                </w:tcPr>
                <w:p w14:paraId="0D062412">
                  <w:pPr>
                    <w:topLinePunct/>
                    <w:jc w:val="center"/>
                    <w:rPr>
                      <w:rFonts w:hint="default" w:eastAsia="宋体"/>
                      <w:color w:val="auto"/>
                      <w:szCs w:val="21"/>
                      <w:lang w:val="en-US" w:eastAsia="zh-CN"/>
                    </w:rPr>
                  </w:pPr>
                  <w:r>
                    <w:rPr>
                      <w:rFonts w:hint="eastAsia"/>
                      <w:color w:val="auto"/>
                      <w:szCs w:val="21"/>
                      <w:lang w:val="en-US" w:eastAsia="zh-CN"/>
                    </w:rPr>
                    <w:t>3.5</w:t>
                  </w:r>
                </w:p>
              </w:tc>
              <w:tc>
                <w:tcPr>
                  <w:tcW w:w="557" w:type="pct"/>
                  <w:vMerge w:val="restart"/>
                  <w:tcBorders>
                    <w:tl2br w:val="nil"/>
                    <w:tr2bl w:val="nil"/>
                  </w:tcBorders>
                  <w:vAlign w:val="center"/>
                </w:tcPr>
                <w:p w14:paraId="3FA29151">
                  <w:pPr>
                    <w:widowControl/>
                    <w:jc w:val="center"/>
                    <w:rPr>
                      <w:color w:val="002DC7"/>
                      <w:szCs w:val="21"/>
                    </w:rPr>
                  </w:pPr>
                  <w:r>
                    <w:rPr>
                      <w:rFonts w:hint="eastAsia"/>
                      <w:color w:val="auto"/>
                      <w:szCs w:val="21"/>
                    </w:rPr>
                    <w:t>暂存于厂区一般固废库，定期外售</w:t>
                  </w:r>
                </w:p>
              </w:tc>
            </w:tr>
            <w:tr w14:paraId="39808A3D">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382116AC">
                  <w:pPr>
                    <w:jc w:val="center"/>
                    <w:rPr>
                      <w:rFonts w:hint="eastAsia" w:eastAsia="宋体"/>
                      <w:color w:val="auto"/>
                      <w:szCs w:val="21"/>
                      <w:lang w:eastAsia="zh-CN"/>
                    </w:rPr>
                  </w:pPr>
                  <w:r>
                    <w:rPr>
                      <w:rFonts w:hint="eastAsia"/>
                      <w:color w:val="auto"/>
                      <w:szCs w:val="21"/>
                      <w:lang w:val="en-US" w:eastAsia="zh-CN"/>
                    </w:rPr>
                    <w:t>3</w:t>
                  </w:r>
                </w:p>
              </w:tc>
              <w:tc>
                <w:tcPr>
                  <w:tcW w:w="384" w:type="pct"/>
                  <w:tcBorders>
                    <w:tl2br w:val="nil"/>
                    <w:tr2bl w:val="nil"/>
                  </w:tcBorders>
                  <w:vAlign w:val="center"/>
                </w:tcPr>
                <w:p w14:paraId="686FA8E3">
                  <w:pPr>
                    <w:topLinePunct/>
                    <w:jc w:val="center"/>
                    <w:rPr>
                      <w:color w:val="auto"/>
                      <w:szCs w:val="21"/>
                    </w:rPr>
                  </w:pPr>
                  <w:r>
                    <w:rPr>
                      <w:rFonts w:hint="eastAsia"/>
                      <w:color w:val="auto"/>
                      <w:szCs w:val="21"/>
                      <w:lang w:val="en-US" w:eastAsia="zh-CN"/>
                    </w:rPr>
                    <w:t>废脱模剂包装桶</w:t>
                  </w:r>
                </w:p>
              </w:tc>
              <w:tc>
                <w:tcPr>
                  <w:tcW w:w="429" w:type="pct"/>
                  <w:tcBorders>
                    <w:tl2br w:val="nil"/>
                    <w:tr2bl w:val="nil"/>
                  </w:tcBorders>
                  <w:vAlign w:val="center"/>
                </w:tcPr>
                <w:p w14:paraId="1EAEF597">
                  <w:pPr>
                    <w:topLinePunct/>
                    <w:jc w:val="center"/>
                    <w:rPr>
                      <w:rFonts w:hint="default" w:eastAsia="宋体"/>
                      <w:color w:val="auto"/>
                      <w:szCs w:val="21"/>
                      <w:lang w:val="en-US" w:eastAsia="zh-CN"/>
                    </w:rPr>
                  </w:pPr>
                  <w:r>
                    <w:rPr>
                      <w:rFonts w:hint="eastAsia"/>
                      <w:color w:val="auto"/>
                      <w:szCs w:val="21"/>
                      <w:lang w:val="en-US" w:eastAsia="zh-CN"/>
                    </w:rPr>
                    <w:t>脱模</w:t>
                  </w:r>
                </w:p>
              </w:tc>
              <w:tc>
                <w:tcPr>
                  <w:tcW w:w="438" w:type="pct"/>
                  <w:tcBorders>
                    <w:tl2br w:val="nil"/>
                    <w:tr2bl w:val="nil"/>
                  </w:tcBorders>
                  <w:vAlign w:val="center"/>
                </w:tcPr>
                <w:p w14:paraId="391075A0">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477D57D0">
                  <w:pPr>
                    <w:topLinePunct/>
                    <w:jc w:val="center"/>
                    <w:rPr>
                      <w:rFonts w:hint="default" w:eastAsia="宋体"/>
                      <w:color w:val="auto"/>
                      <w:szCs w:val="21"/>
                      <w:lang w:val="en-US" w:eastAsia="zh-CN"/>
                    </w:rPr>
                  </w:pPr>
                  <w:r>
                    <w:rPr>
                      <w:rFonts w:hint="eastAsia"/>
                      <w:color w:val="auto"/>
                      <w:szCs w:val="21"/>
                      <w:lang w:val="en-US" w:eastAsia="zh-CN"/>
                    </w:rPr>
                    <w:t>植物油、水</w:t>
                  </w:r>
                </w:p>
              </w:tc>
              <w:tc>
                <w:tcPr>
                  <w:tcW w:w="517" w:type="pct"/>
                  <w:tcBorders>
                    <w:tl2br w:val="nil"/>
                    <w:tr2bl w:val="nil"/>
                  </w:tcBorders>
                  <w:vAlign w:val="center"/>
                </w:tcPr>
                <w:p w14:paraId="2E9E947D">
                  <w:pPr>
                    <w:topLinePunct/>
                    <w:jc w:val="center"/>
                    <w:rPr>
                      <w:color w:val="auto"/>
                      <w:szCs w:val="21"/>
                    </w:rPr>
                  </w:pPr>
                  <w:r>
                    <w:rPr>
                      <w:rFonts w:hint="eastAsia"/>
                      <w:color w:val="auto"/>
                      <w:szCs w:val="21"/>
                    </w:rPr>
                    <w:t>一般工业固体废物</w:t>
                  </w:r>
                </w:p>
              </w:tc>
              <w:tc>
                <w:tcPr>
                  <w:tcW w:w="751" w:type="pct"/>
                  <w:tcBorders>
                    <w:tl2br w:val="nil"/>
                    <w:tr2bl w:val="nil"/>
                  </w:tcBorders>
                  <w:vAlign w:val="center"/>
                </w:tcPr>
                <w:p w14:paraId="14B355A8">
                  <w:pPr>
                    <w:topLinePunct/>
                    <w:jc w:val="center"/>
                    <w:rPr>
                      <w:color w:val="auto"/>
                      <w:szCs w:val="21"/>
                    </w:rPr>
                  </w:pPr>
                  <w:r>
                    <w:rPr>
                      <w:rFonts w:hint="eastAsia"/>
                      <w:color w:val="auto"/>
                      <w:szCs w:val="21"/>
                    </w:rPr>
                    <w:t>SW17可再生类废物</w:t>
                  </w:r>
                </w:p>
              </w:tc>
              <w:tc>
                <w:tcPr>
                  <w:tcW w:w="800" w:type="pct"/>
                  <w:tcBorders>
                    <w:tl2br w:val="nil"/>
                    <w:tr2bl w:val="nil"/>
                  </w:tcBorders>
                  <w:vAlign w:val="center"/>
                </w:tcPr>
                <w:p w14:paraId="3EE9C421">
                  <w:pPr>
                    <w:topLinePunct/>
                    <w:jc w:val="center"/>
                    <w:rPr>
                      <w:color w:val="auto"/>
                      <w:szCs w:val="21"/>
                    </w:rPr>
                  </w:pPr>
                  <w:r>
                    <w:rPr>
                      <w:color w:val="auto"/>
                      <w:szCs w:val="21"/>
                    </w:rPr>
                    <w:t>900-099-S17</w:t>
                  </w:r>
                </w:p>
              </w:tc>
              <w:tc>
                <w:tcPr>
                  <w:tcW w:w="423" w:type="pct"/>
                  <w:tcBorders>
                    <w:tl2br w:val="nil"/>
                    <w:tr2bl w:val="nil"/>
                  </w:tcBorders>
                  <w:shd w:val="clear" w:color="auto" w:fill="auto"/>
                  <w:vAlign w:val="center"/>
                </w:tcPr>
                <w:p w14:paraId="29160560">
                  <w:pPr>
                    <w:topLinePunct/>
                    <w:jc w:val="center"/>
                    <w:rPr>
                      <w:color w:val="auto"/>
                      <w:szCs w:val="21"/>
                    </w:rPr>
                  </w:pPr>
                  <w:r>
                    <w:rPr>
                      <w:rFonts w:hint="eastAsia"/>
                      <w:color w:val="auto"/>
                      <w:szCs w:val="21"/>
                      <w:lang w:val="en-US" w:eastAsia="zh-CN"/>
                    </w:rPr>
                    <w:t>0.</w:t>
                  </w:r>
                  <w:r>
                    <w:rPr>
                      <w:rFonts w:hint="eastAsia"/>
                      <w:color w:val="auto"/>
                      <w:szCs w:val="21"/>
                    </w:rPr>
                    <w:t>4</w:t>
                  </w:r>
                </w:p>
              </w:tc>
              <w:tc>
                <w:tcPr>
                  <w:tcW w:w="557" w:type="pct"/>
                  <w:vMerge w:val="continue"/>
                  <w:tcBorders>
                    <w:tl2br w:val="nil"/>
                    <w:tr2bl w:val="nil"/>
                  </w:tcBorders>
                  <w:vAlign w:val="center"/>
                </w:tcPr>
                <w:p w14:paraId="4CD8F01E">
                  <w:pPr>
                    <w:widowControl/>
                    <w:jc w:val="center"/>
                    <w:rPr>
                      <w:color w:val="002DC7"/>
                      <w:szCs w:val="21"/>
                    </w:rPr>
                  </w:pPr>
                </w:p>
              </w:tc>
            </w:tr>
            <w:tr w14:paraId="4018D500">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331C6273">
                  <w:pPr>
                    <w:jc w:val="center"/>
                    <w:rPr>
                      <w:rFonts w:hint="eastAsia" w:eastAsia="宋体"/>
                      <w:color w:val="auto"/>
                      <w:szCs w:val="21"/>
                      <w:lang w:val="en-US" w:eastAsia="zh-CN"/>
                    </w:rPr>
                  </w:pPr>
                  <w:r>
                    <w:rPr>
                      <w:rFonts w:hint="eastAsia"/>
                      <w:color w:val="auto"/>
                      <w:szCs w:val="21"/>
                      <w:lang w:val="en-US" w:eastAsia="zh-CN"/>
                    </w:rPr>
                    <w:t>4</w:t>
                  </w:r>
                </w:p>
              </w:tc>
              <w:tc>
                <w:tcPr>
                  <w:tcW w:w="384" w:type="pct"/>
                  <w:tcBorders>
                    <w:tl2br w:val="nil"/>
                    <w:tr2bl w:val="nil"/>
                  </w:tcBorders>
                  <w:vAlign w:val="center"/>
                </w:tcPr>
                <w:p w14:paraId="614D0D54">
                  <w:pPr>
                    <w:topLinePunct/>
                    <w:jc w:val="center"/>
                    <w:rPr>
                      <w:rFonts w:hint="default"/>
                      <w:color w:val="auto"/>
                      <w:szCs w:val="21"/>
                      <w:lang w:val="en-US" w:eastAsia="zh-CN"/>
                    </w:rPr>
                  </w:pPr>
                  <w:r>
                    <w:rPr>
                      <w:rFonts w:hint="eastAsia"/>
                      <w:color w:val="auto"/>
                      <w:szCs w:val="21"/>
                      <w:lang w:val="en-US" w:eastAsia="zh-CN"/>
                    </w:rPr>
                    <w:t>废布袋</w:t>
                  </w:r>
                </w:p>
              </w:tc>
              <w:tc>
                <w:tcPr>
                  <w:tcW w:w="429" w:type="pct"/>
                  <w:tcBorders>
                    <w:tl2br w:val="nil"/>
                    <w:tr2bl w:val="nil"/>
                  </w:tcBorders>
                  <w:vAlign w:val="center"/>
                </w:tcPr>
                <w:p w14:paraId="648A381B">
                  <w:pPr>
                    <w:topLinePunct/>
                    <w:jc w:val="center"/>
                    <w:rPr>
                      <w:rFonts w:hint="eastAsia"/>
                      <w:color w:val="auto"/>
                      <w:szCs w:val="21"/>
                      <w:lang w:val="en-US" w:eastAsia="zh-CN"/>
                    </w:rPr>
                  </w:pPr>
                  <w:r>
                    <w:rPr>
                      <w:rFonts w:hint="eastAsia"/>
                      <w:color w:val="auto"/>
                      <w:szCs w:val="21"/>
                      <w:lang w:val="en-US" w:eastAsia="zh-CN"/>
                    </w:rPr>
                    <w:t>废气治理</w:t>
                  </w:r>
                </w:p>
              </w:tc>
              <w:tc>
                <w:tcPr>
                  <w:tcW w:w="438" w:type="pct"/>
                  <w:tcBorders>
                    <w:tl2br w:val="nil"/>
                    <w:tr2bl w:val="nil"/>
                  </w:tcBorders>
                  <w:vAlign w:val="center"/>
                </w:tcPr>
                <w:p w14:paraId="58FE71AF">
                  <w:pPr>
                    <w:topLinePunct/>
                    <w:jc w:val="center"/>
                    <w:rPr>
                      <w:rFonts w:hint="eastAsia"/>
                      <w:color w:val="auto"/>
                      <w:szCs w:val="21"/>
                    </w:rPr>
                  </w:pPr>
                  <w:r>
                    <w:rPr>
                      <w:rFonts w:hint="eastAsia"/>
                      <w:color w:val="auto"/>
                      <w:szCs w:val="21"/>
                    </w:rPr>
                    <w:t>固态</w:t>
                  </w:r>
                </w:p>
              </w:tc>
              <w:tc>
                <w:tcPr>
                  <w:tcW w:w="443" w:type="pct"/>
                  <w:tcBorders>
                    <w:tl2br w:val="nil"/>
                    <w:tr2bl w:val="nil"/>
                  </w:tcBorders>
                  <w:vAlign w:val="center"/>
                </w:tcPr>
                <w:p w14:paraId="1A7D70F5">
                  <w:pPr>
                    <w:topLinePunct/>
                    <w:jc w:val="center"/>
                    <w:rPr>
                      <w:rFonts w:hint="eastAsia"/>
                      <w:color w:val="auto"/>
                      <w:szCs w:val="21"/>
                      <w:lang w:val="en-US" w:eastAsia="zh-CN"/>
                    </w:rPr>
                  </w:pPr>
                  <w:r>
                    <w:rPr>
                      <w:rFonts w:hint="eastAsia"/>
                      <w:color w:val="auto"/>
                      <w:szCs w:val="21"/>
                      <w:lang w:val="en-US" w:eastAsia="zh-CN"/>
                    </w:rPr>
                    <w:t>/</w:t>
                  </w:r>
                </w:p>
              </w:tc>
              <w:tc>
                <w:tcPr>
                  <w:tcW w:w="517" w:type="pct"/>
                  <w:tcBorders>
                    <w:tl2br w:val="nil"/>
                    <w:tr2bl w:val="nil"/>
                  </w:tcBorders>
                  <w:vAlign w:val="center"/>
                </w:tcPr>
                <w:p w14:paraId="2DAE270F">
                  <w:pPr>
                    <w:topLinePunct/>
                    <w:jc w:val="center"/>
                    <w:rPr>
                      <w:rFonts w:hint="eastAsia"/>
                      <w:color w:val="auto"/>
                      <w:szCs w:val="21"/>
                    </w:rPr>
                  </w:pPr>
                  <w:r>
                    <w:rPr>
                      <w:rFonts w:hint="eastAsia"/>
                      <w:color w:val="auto"/>
                      <w:szCs w:val="21"/>
                    </w:rPr>
                    <w:t>一般工业固体废物</w:t>
                  </w:r>
                </w:p>
              </w:tc>
              <w:tc>
                <w:tcPr>
                  <w:tcW w:w="751" w:type="pct"/>
                  <w:tcBorders>
                    <w:tl2br w:val="nil"/>
                    <w:tr2bl w:val="nil"/>
                  </w:tcBorders>
                  <w:vAlign w:val="center"/>
                </w:tcPr>
                <w:p w14:paraId="2168CE3C">
                  <w:pPr>
                    <w:topLinePunct/>
                    <w:jc w:val="center"/>
                    <w:rPr>
                      <w:rFonts w:hint="eastAsia"/>
                      <w:color w:val="auto"/>
                      <w:szCs w:val="21"/>
                    </w:rPr>
                  </w:pPr>
                  <w:r>
                    <w:rPr>
                      <w:color w:val="auto"/>
                      <w:szCs w:val="21"/>
                    </w:rPr>
                    <w:t>SW</w:t>
                  </w:r>
                  <w:r>
                    <w:rPr>
                      <w:rFonts w:hint="eastAsia"/>
                      <w:color w:val="auto"/>
                      <w:szCs w:val="21"/>
                    </w:rPr>
                    <w:t>59其他工业固体废物</w:t>
                  </w:r>
                </w:p>
              </w:tc>
              <w:tc>
                <w:tcPr>
                  <w:tcW w:w="800" w:type="pct"/>
                  <w:tcBorders>
                    <w:tl2br w:val="nil"/>
                    <w:tr2bl w:val="nil"/>
                  </w:tcBorders>
                  <w:shd w:val="clear" w:color="auto" w:fill="auto"/>
                  <w:vAlign w:val="center"/>
                </w:tcPr>
                <w:p w14:paraId="086BB912">
                  <w:pPr>
                    <w:topLinePunct/>
                    <w:jc w:val="center"/>
                    <w:rPr>
                      <w:color w:val="auto"/>
                      <w:szCs w:val="21"/>
                    </w:rPr>
                  </w:pPr>
                  <w:r>
                    <w:rPr>
                      <w:color w:val="auto"/>
                      <w:szCs w:val="21"/>
                    </w:rPr>
                    <w:t>900-099-S</w:t>
                  </w:r>
                  <w:r>
                    <w:rPr>
                      <w:rFonts w:hint="eastAsia"/>
                      <w:color w:val="auto"/>
                      <w:szCs w:val="21"/>
                      <w:lang w:val="en-US" w:eastAsia="zh-CN"/>
                    </w:rPr>
                    <w:t>59</w:t>
                  </w:r>
                </w:p>
              </w:tc>
              <w:tc>
                <w:tcPr>
                  <w:tcW w:w="423" w:type="pct"/>
                  <w:tcBorders>
                    <w:tl2br w:val="nil"/>
                    <w:tr2bl w:val="nil"/>
                  </w:tcBorders>
                  <w:shd w:val="clear" w:color="auto" w:fill="auto"/>
                  <w:vAlign w:val="center"/>
                </w:tcPr>
                <w:p w14:paraId="480D55F1">
                  <w:pPr>
                    <w:topLinePunct/>
                    <w:jc w:val="center"/>
                    <w:rPr>
                      <w:rFonts w:hint="default" w:eastAsia="宋体"/>
                      <w:color w:val="auto"/>
                      <w:szCs w:val="21"/>
                      <w:lang w:val="en-US" w:eastAsia="zh-CN"/>
                    </w:rPr>
                  </w:pPr>
                  <w:r>
                    <w:rPr>
                      <w:rFonts w:hint="eastAsia"/>
                      <w:color w:val="auto"/>
                      <w:szCs w:val="21"/>
                      <w:lang w:val="en-US" w:eastAsia="zh-CN"/>
                    </w:rPr>
                    <w:t>0.05</w:t>
                  </w:r>
                </w:p>
              </w:tc>
              <w:tc>
                <w:tcPr>
                  <w:tcW w:w="557" w:type="pct"/>
                  <w:vMerge w:val="continue"/>
                  <w:tcBorders>
                    <w:tl2br w:val="nil"/>
                    <w:tr2bl w:val="nil"/>
                  </w:tcBorders>
                  <w:shd w:val="clear" w:color="auto" w:fill="auto"/>
                  <w:vAlign w:val="center"/>
                </w:tcPr>
                <w:p w14:paraId="332FA7FB">
                  <w:pPr>
                    <w:widowControl/>
                    <w:jc w:val="center"/>
                    <w:rPr>
                      <w:color w:val="002DC7"/>
                      <w:szCs w:val="21"/>
                    </w:rPr>
                  </w:pPr>
                </w:p>
              </w:tc>
            </w:tr>
            <w:tr w14:paraId="0AC74E3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134409C0">
                  <w:pPr>
                    <w:jc w:val="center"/>
                    <w:rPr>
                      <w:rFonts w:hint="eastAsia" w:eastAsia="宋体"/>
                      <w:color w:val="auto"/>
                      <w:szCs w:val="21"/>
                      <w:lang w:eastAsia="zh-CN"/>
                    </w:rPr>
                  </w:pPr>
                  <w:r>
                    <w:rPr>
                      <w:rFonts w:hint="eastAsia"/>
                      <w:color w:val="auto"/>
                      <w:szCs w:val="21"/>
                      <w:lang w:val="en-US" w:eastAsia="zh-CN"/>
                    </w:rPr>
                    <w:t>5</w:t>
                  </w:r>
                </w:p>
              </w:tc>
              <w:tc>
                <w:tcPr>
                  <w:tcW w:w="384" w:type="pct"/>
                  <w:tcBorders>
                    <w:tl2br w:val="nil"/>
                    <w:tr2bl w:val="nil"/>
                  </w:tcBorders>
                  <w:vAlign w:val="center"/>
                </w:tcPr>
                <w:p w14:paraId="3436B815">
                  <w:pPr>
                    <w:topLinePunct/>
                    <w:jc w:val="center"/>
                    <w:rPr>
                      <w:color w:val="002DC7"/>
                      <w:szCs w:val="21"/>
                    </w:rPr>
                  </w:pPr>
                  <w:r>
                    <w:rPr>
                      <w:rFonts w:hint="eastAsia" w:ascii="宋体" w:hAnsi="宋体"/>
                      <w:color w:val="auto"/>
                      <w:kern w:val="2"/>
                      <w:szCs w:val="22"/>
                      <w:lang w:val="en-US" w:eastAsia="zh-CN"/>
                    </w:rPr>
                    <w:t>除尘灰</w:t>
                  </w:r>
                </w:p>
              </w:tc>
              <w:tc>
                <w:tcPr>
                  <w:tcW w:w="429" w:type="pct"/>
                  <w:tcBorders>
                    <w:tl2br w:val="nil"/>
                    <w:tr2bl w:val="nil"/>
                  </w:tcBorders>
                  <w:vAlign w:val="center"/>
                </w:tcPr>
                <w:p w14:paraId="3240D359">
                  <w:pPr>
                    <w:topLinePunct/>
                    <w:jc w:val="center"/>
                    <w:rPr>
                      <w:rFonts w:hint="default" w:eastAsia="宋体"/>
                      <w:color w:val="auto"/>
                      <w:szCs w:val="21"/>
                      <w:lang w:val="en-US" w:eastAsia="zh-CN"/>
                    </w:rPr>
                  </w:pPr>
                  <w:r>
                    <w:rPr>
                      <w:rFonts w:hint="eastAsia"/>
                      <w:color w:val="auto"/>
                      <w:szCs w:val="21"/>
                      <w:lang w:val="en-US" w:eastAsia="zh-CN"/>
                    </w:rPr>
                    <w:t>废气治理</w:t>
                  </w:r>
                </w:p>
              </w:tc>
              <w:tc>
                <w:tcPr>
                  <w:tcW w:w="438" w:type="pct"/>
                  <w:tcBorders>
                    <w:tl2br w:val="nil"/>
                    <w:tr2bl w:val="nil"/>
                  </w:tcBorders>
                  <w:vAlign w:val="center"/>
                </w:tcPr>
                <w:p w14:paraId="7BF8CF60">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1338921C">
                  <w:pPr>
                    <w:topLinePunct/>
                    <w:jc w:val="center"/>
                    <w:rPr>
                      <w:rFonts w:hint="eastAsia" w:eastAsia="宋体"/>
                      <w:color w:val="auto"/>
                      <w:szCs w:val="21"/>
                      <w:lang w:eastAsia="zh-CN"/>
                    </w:rPr>
                  </w:pPr>
                  <w:r>
                    <w:rPr>
                      <w:rFonts w:hint="eastAsia"/>
                      <w:color w:val="auto"/>
                      <w:szCs w:val="21"/>
                      <w:lang w:val="en-US" w:eastAsia="zh-CN"/>
                    </w:rPr>
                    <w:t>/</w:t>
                  </w:r>
                </w:p>
              </w:tc>
              <w:tc>
                <w:tcPr>
                  <w:tcW w:w="517" w:type="pct"/>
                  <w:tcBorders>
                    <w:tl2br w:val="nil"/>
                    <w:tr2bl w:val="nil"/>
                  </w:tcBorders>
                  <w:vAlign w:val="center"/>
                </w:tcPr>
                <w:p w14:paraId="7C49F5F0">
                  <w:pPr>
                    <w:topLinePunct/>
                    <w:jc w:val="center"/>
                    <w:rPr>
                      <w:color w:val="auto"/>
                      <w:szCs w:val="21"/>
                    </w:rPr>
                  </w:pPr>
                  <w:r>
                    <w:rPr>
                      <w:rFonts w:hint="eastAsia"/>
                      <w:color w:val="auto"/>
                      <w:szCs w:val="21"/>
                    </w:rPr>
                    <w:t>一般工业固体废物</w:t>
                  </w:r>
                </w:p>
              </w:tc>
              <w:tc>
                <w:tcPr>
                  <w:tcW w:w="751" w:type="pct"/>
                  <w:tcBorders>
                    <w:tl2br w:val="nil"/>
                    <w:tr2bl w:val="nil"/>
                  </w:tcBorders>
                  <w:vAlign w:val="center"/>
                </w:tcPr>
                <w:p w14:paraId="3C6CFA1D">
                  <w:pPr>
                    <w:topLinePunct/>
                    <w:jc w:val="center"/>
                    <w:rPr>
                      <w:color w:val="auto"/>
                      <w:szCs w:val="21"/>
                    </w:rPr>
                  </w:pPr>
                  <w:r>
                    <w:rPr>
                      <w:color w:val="auto"/>
                      <w:szCs w:val="21"/>
                    </w:rPr>
                    <w:t>SW</w:t>
                  </w:r>
                  <w:r>
                    <w:rPr>
                      <w:rFonts w:hint="eastAsia"/>
                      <w:color w:val="auto"/>
                      <w:szCs w:val="21"/>
                    </w:rPr>
                    <w:t>59其他工业固体废物</w:t>
                  </w:r>
                </w:p>
              </w:tc>
              <w:tc>
                <w:tcPr>
                  <w:tcW w:w="800" w:type="pct"/>
                  <w:tcBorders>
                    <w:tl2br w:val="nil"/>
                    <w:tr2bl w:val="nil"/>
                  </w:tcBorders>
                  <w:vAlign w:val="center"/>
                </w:tcPr>
                <w:p w14:paraId="3BC4032D">
                  <w:pPr>
                    <w:topLinePunct/>
                    <w:jc w:val="center"/>
                    <w:rPr>
                      <w:rFonts w:hint="default" w:eastAsia="宋体"/>
                      <w:color w:val="auto"/>
                      <w:szCs w:val="21"/>
                      <w:lang w:val="en-US" w:eastAsia="zh-CN"/>
                    </w:rPr>
                  </w:pPr>
                  <w:r>
                    <w:rPr>
                      <w:color w:val="auto"/>
                      <w:szCs w:val="21"/>
                    </w:rPr>
                    <w:t>900-099-S</w:t>
                  </w:r>
                  <w:r>
                    <w:rPr>
                      <w:rFonts w:hint="eastAsia"/>
                      <w:color w:val="auto"/>
                      <w:szCs w:val="21"/>
                      <w:lang w:val="en-US" w:eastAsia="zh-CN"/>
                    </w:rPr>
                    <w:t>59</w:t>
                  </w:r>
                </w:p>
              </w:tc>
              <w:tc>
                <w:tcPr>
                  <w:tcW w:w="423" w:type="pct"/>
                  <w:tcBorders>
                    <w:tl2br w:val="nil"/>
                    <w:tr2bl w:val="nil"/>
                  </w:tcBorders>
                  <w:vAlign w:val="center"/>
                </w:tcPr>
                <w:p w14:paraId="69BAAA9D">
                  <w:pPr>
                    <w:topLinePunct/>
                    <w:jc w:val="center"/>
                    <w:rPr>
                      <w:rFonts w:hint="default" w:eastAsia="宋体"/>
                      <w:color w:val="auto"/>
                      <w:szCs w:val="21"/>
                      <w:lang w:val="en-US" w:eastAsia="zh-CN"/>
                    </w:rPr>
                  </w:pPr>
                  <w:r>
                    <w:rPr>
                      <w:rFonts w:hint="eastAsia"/>
                      <w:color w:val="auto"/>
                      <w:szCs w:val="21"/>
                      <w:lang w:val="en-US" w:eastAsia="zh-CN"/>
                    </w:rPr>
                    <w:t>57.66</w:t>
                  </w:r>
                </w:p>
              </w:tc>
              <w:tc>
                <w:tcPr>
                  <w:tcW w:w="557" w:type="pct"/>
                  <w:vMerge w:val="restart"/>
                  <w:tcBorders>
                    <w:tl2br w:val="nil"/>
                    <w:tr2bl w:val="nil"/>
                  </w:tcBorders>
                  <w:vAlign w:val="center"/>
                </w:tcPr>
                <w:p w14:paraId="39303E00">
                  <w:pPr>
                    <w:widowControl/>
                    <w:jc w:val="center"/>
                    <w:rPr>
                      <w:rFonts w:hint="default" w:eastAsia="宋体"/>
                      <w:color w:val="auto"/>
                      <w:szCs w:val="21"/>
                      <w:lang w:val="en-US" w:eastAsia="zh-CN"/>
                    </w:rPr>
                  </w:pPr>
                  <w:r>
                    <w:rPr>
                      <w:rFonts w:hint="eastAsia"/>
                      <w:color w:val="auto"/>
                      <w:szCs w:val="21"/>
                      <w:lang w:val="en-US" w:eastAsia="zh-CN"/>
                    </w:rPr>
                    <w:t>回用于生产</w:t>
                  </w:r>
                </w:p>
              </w:tc>
            </w:tr>
            <w:tr w14:paraId="3D9479CA">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1B110B2C">
                  <w:pPr>
                    <w:jc w:val="center"/>
                    <w:rPr>
                      <w:rFonts w:hint="eastAsia" w:eastAsia="宋体"/>
                      <w:color w:val="auto"/>
                      <w:szCs w:val="21"/>
                      <w:lang w:eastAsia="zh-CN"/>
                    </w:rPr>
                  </w:pPr>
                  <w:r>
                    <w:rPr>
                      <w:rFonts w:hint="eastAsia"/>
                      <w:color w:val="auto"/>
                      <w:szCs w:val="21"/>
                      <w:lang w:val="en-US" w:eastAsia="zh-CN"/>
                    </w:rPr>
                    <w:t>6</w:t>
                  </w:r>
                </w:p>
              </w:tc>
              <w:tc>
                <w:tcPr>
                  <w:tcW w:w="384" w:type="pct"/>
                  <w:tcBorders>
                    <w:tl2br w:val="nil"/>
                    <w:tr2bl w:val="nil"/>
                  </w:tcBorders>
                  <w:vAlign w:val="center"/>
                </w:tcPr>
                <w:p w14:paraId="77E65360">
                  <w:pPr>
                    <w:topLinePunct/>
                    <w:jc w:val="center"/>
                    <w:rPr>
                      <w:color w:val="auto"/>
                      <w:szCs w:val="21"/>
                    </w:rPr>
                  </w:pPr>
                  <w:r>
                    <w:rPr>
                      <w:rFonts w:hint="default"/>
                      <w:color w:val="auto"/>
                      <w:szCs w:val="21"/>
                      <w:lang w:val="en-US" w:eastAsia="en-US"/>
                    </w:rPr>
                    <w:t>沉淀池沉渣</w:t>
                  </w:r>
                </w:p>
              </w:tc>
              <w:tc>
                <w:tcPr>
                  <w:tcW w:w="429" w:type="pct"/>
                  <w:tcBorders>
                    <w:tl2br w:val="nil"/>
                    <w:tr2bl w:val="nil"/>
                  </w:tcBorders>
                  <w:vAlign w:val="center"/>
                </w:tcPr>
                <w:p w14:paraId="5A197326">
                  <w:pPr>
                    <w:topLinePunct/>
                    <w:jc w:val="center"/>
                    <w:rPr>
                      <w:color w:val="auto"/>
                      <w:szCs w:val="21"/>
                    </w:rPr>
                  </w:pPr>
                  <w:r>
                    <w:rPr>
                      <w:rFonts w:hint="eastAsia"/>
                      <w:color w:val="auto"/>
                      <w:szCs w:val="21"/>
                      <w:lang w:val="en-US" w:eastAsia="zh-CN"/>
                    </w:rPr>
                    <w:t>废水处理</w:t>
                  </w:r>
                </w:p>
              </w:tc>
              <w:tc>
                <w:tcPr>
                  <w:tcW w:w="438" w:type="pct"/>
                  <w:tcBorders>
                    <w:tl2br w:val="nil"/>
                    <w:tr2bl w:val="nil"/>
                  </w:tcBorders>
                  <w:vAlign w:val="center"/>
                </w:tcPr>
                <w:p w14:paraId="1D635A97">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079707E9">
                  <w:pPr>
                    <w:topLinePunct/>
                    <w:jc w:val="center"/>
                    <w:rPr>
                      <w:rFonts w:hint="eastAsia" w:eastAsia="宋体"/>
                      <w:color w:val="auto"/>
                      <w:szCs w:val="21"/>
                      <w:lang w:eastAsia="zh-CN"/>
                    </w:rPr>
                  </w:pPr>
                  <w:r>
                    <w:rPr>
                      <w:rFonts w:hint="eastAsia"/>
                      <w:color w:val="auto"/>
                      <w:szCs w:val="21"/>
                      <w:lang w:val="en-US" w:eastAsia="zh-CN"/>
                    </w:rPr>
                    <w:t>/</w:t>
                  </w:r>
                </w:p>
              </w:tc>
              <w:tc>
                <w:tcPr>
                  <w:tcW w:w="517" w:type="pct"/>
                  <w:tcBorders>
                    <w:tl2br w:val="nil"/>
                    <w:tr2bl w:val="nil"/>
                  </w:tcBorders>
                  <w:vAlign w:val="center"/>
                </w:tcPr>
                <w:p w14:paraId="481719D6">
                  <w:pPr>
                    <w:topLinePunct/>
                    <w:jc w:val="center"/>
                    <w:rPr>
                      <w:color w:val="auto"/>
                      <w:szCs w:val="21"/>
                    </w:rPr>
                  </w:pPr>
                  <w:r>
                    <w:rPr>
                      <w:rFonts w:hint="eastAsia"/>
                      <w:color w:val="auto"/>
                      <w:szCs w:val="21"/>
                    </w:rPr>
                    <w:t>一般工业固体废物</w:t>
                  </w:r>
                </w:p>
              </w:tc>
              <w:tc>
                <w:tcPr>
                  <w:tcW w:w="751" w:type="pct"/>
                  <w:tcBorders>
                    <w:tl2br w:val="nil"/>
                    <w:tr2bl w:val="nil"/>
                  </w:tcBorders>
                  <w:vAlign w:val="center"/>
                </w:tcPr>
                <w:p w14:paraId="3946F651">
                  <w:pPr>
                    <w:topLinePunct/>
                    <w:jc w:val="center"/>
                    <w:rPr>
                      <w:color w:val="auto"/>
                      <w:szCs w:val="21"/>
                    </w:rPr>
                  </w:pPr>
                  <w:r>
                    <w:rPr>
                      <w:rFonts w:ascii="Times New Roman" w:hAnsi="Times New Roman" w:eastAsia="宋体" w:cs="Times New Roman"/>
                      <w:color w:val="auto"/>
                      <w:sz w:val="24"/>
                      <w:szCs w:val="24"/>
                    </w:rPr>
                    <w:t>SW</w:t>
                  </w:r>
                  <w:r>
                    <w:rPr>
                      <w:rFonts w:hint="eastAsia" w:ascii="Times New Roman" w:hAnsi="Times New Roman" w:eastAsia="宋体" w:cs="Times New Roman"/>
                      <w:color w:val="auto"/>
                      <w:sz w:val="24"/>
                      <w:szCs w:val="24"/>
                    </w:rPr>
                    <w:t>07污泥</w:t>
                  </w:r>
                </w:p>
              </w:tc>
              <w:tc>
                <w:tcPr>
                  <w:tcW w:w="800" w:type="pct"/>
                  <w:tcBorders>
                    <w:tl2br w:val="nil"/>
                    <w:tr2bl w:val="nil"/>
                  </w:tcBorders>
                  <w:vAlign w:val="center"/>
                </w:tcPr>
                <w:p w14:paraId="72645784">
                  <w:pPr>
                    <w:topLinePunct/>
                    <w:jc w:val="center"/>
                    <w:rPr>
                      <w:rFonts w:hint="default"/>
                      <w:color w:val="auto"/>
                      <w:szCs w:val="21"/>
                      <w:lang w:val="en-US"/>
                    </w:rPr>
                  </w:pPr>
                  <w:r>
                    <w:rPr>
                      <w:color w:val="auto"/>
                      <w:szCs w:val="21"/>
                    </w:rPr>
                    <w:t>900-099-S</w:t>
                  </w:r>
                  <w:r>
                    <w:rPr>
                      <w:rFonts w:hint="eastAsia"/>
                      <w:color w:val="auto"/>
                      <w:szCs w:val="21"/>
                      <w:lang w:val="en-US" w:eastAsia="zh-CN"/>
                    </w:rPr>
                    <w:t>07</w:t>
                  </w:r>
                </w:p>
              </w:tc>
              <w:tc>
                <w:tcPr>
                  <w:tcW w:w="423" w:type="pct"/>
                  <w:tcBorders>
                    <w:tl2br w:val="nil"/>
                    <w:tr2bl w:val="nil"/>
                  </w:tcBorders>
                  <w:vAlign w:val="center"/>
                </w:tcPr>
                <w:p w14:paraId="0E7E57D8">
                  <w:pPr>
                    <w:topLinePunct/>
                    <w:jc w:val="center"/>
                    <w:rPr>
                      <w:rFonts w:hint="default" w:eastAsia="宋体"/>
                      <w:color w:val="auto"/>
                      <w:szCs w:val="21"/>
                      <w:lang w:val="en-US" w:eastAsia="zh-CN"/>
                    </w:rPr>
                  </w:pPr>
                  <w:r>
                    <w:rPr>
                      <w:rFonts w:hint="eastAsia"/>
                      <w:color w:val="auto"/>
                      <w:szCs w:val="21"/>
                      <w:lang w:val="en-US" w:eastAsia="zh-CN"/>
                    </w:rPr>
                    <w:t>3.74</w:t>
                  </w:r>
                </w:p>
              </w:tc>
              <w:tc>
                <w:tcPr>
                  <w:tcW w:w="557" w:type="pct"/>
                  <w:vMerge w:val="continue"/>
                  <w:tcBorders>
                    <w:tl2br w:val="nil"/>
                    <w:tr2bl w:val="nil"/>
                  </w:tcBorders>
                  <w:vAlign w:val="center"/>
                </w:tcPr>
                <w:p w14:paraId="1FFCBABC">
                  <w:pPr>
                    <w:widowControl/>
                    <w:jc w:val="center"/>
                    <w:rPr>
                      <w:color w:val="002DC7"/>
                      <w:szCs w:val="21"/>
                    </w:rPr>
                  </w:pPr>
                </w:p>
              </w:tc>
            </w:tr>
            <w:tr w14:paraId="69B5D439">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04111CC5">
                  <w:pPr>
                    <w:jc w:val="center"/>
                    <w:rPr>
                      <w:color w:val="auto"/>
                      <w:szCs w:val="21"/>
                    </w:rPr>
                  </w:pPr>
                  <w:r>
                    <w:rPr>
                      <w:rFonts w:hint="eastAsia"/>
                      <w:color w:val="auto"/>
                      <w:szCs w:val="21"/>
                    </w:rPr>
                    <w:t>7</w:t>
                  </w:r>
                </w:p>
              </w:tc>
              <w:tc>
                <w:tcPr>
                  <w:tcW w:w="384" w:type="pct"/>
                  <w:tcBorders>
                    <w:tl2br w:val="nil"/>
                    <w:tr2bl w:val="nil"/>
                  </w:tcBorders>
                  <w:vAlign w:val="center"/>
                </w:tcPr>
                <w:p w14:paraId="1F8951A3">
                  <w:pPr>
                    <w:topLinePunct/>
                    <w:jc w:val="center"/>
                    <w:rPr>
                      <w:color w:val="auto"/>
                      <w:szCs w:val="21"/>
                    </w:rPr>
                  </w:pPr>
                  <w:r>
                    <w:rPr>
                      <w:rFonts w:hint="eastAsia" w:hAnsi="宋体"/>
                      <w:color w:val="auto"/>
                      <w:kern w:val="2"/>
                      <w:szCs w:val="22"/>
                      <w:lang w:val="en-US" w:eastAsia="zh-CN"/>
                    </w:rPr>
                    <w:t>废机油</w:t>
                  </w:r>
                </w:p>
              </w:tc>
              <w:tc>
                <w:tcPr>
                  <w:tcW w:w="429" w:type="pct"/>
                  <w:tcBorders>
                    <w:tl2br w:val="nil"/>
                    <w:tr2bl w:val="nil"/>
                  </w:tcBorders>
                  <w:vAlign w:val="center"/>
                </w:tcPr>
                <w:p w14:paraId="720DAA29">
                  <w:pPr>
                    <w:topLinePunct/>
                    <w:jc w:val="center"/>
                    <w:rPr>
                      <w:color w:val="auto"/>
                      <w:szCs w:val="21"/>
                    </w:rPr>
                  </w:pPr>
                  <w:r>
                    <w:rPr>
                      <w:rFonts w:hint="eastAsia"/>
                      <w:color w:val="auto"/>
                      <w:szCs w:val="21"/>
                    </w:rPr>
                    <w:t>设备维修</w:t>
                  </w:r>
                </w:p>
              </w:tc>
              <w:tc>
                <w:tcPr>
                  <w:tcW w:w="438" w:type="pct"/>
                  <w:tcBorders>
                    <w:tl2br w:val="nil"/>
                    <w:tr2bl w:val="nil"/>
                  </w:tcBorders>
                  <w:vAlign w:val="center"/>
                </w:tcPr>
                <w:p w14:paraId="1145DFD5">
                  <w:pPr>
                    <w:topLinePunct/>
                    <w:jc w:val="center"/>
                    <w:rPr>
                      <w:color w:val="auto"/>
                      <w:szCs w:val="21"/>
                    </w:rPr>
                  </w:pPr>
                  <w:r>
                    <w:rPr>
                      <w:rFonts w:hint="eastAsia"/>
                      <w:color w:val="auto"/>
                      <w:szCs w:val="21"/>
                    </w:rPr>
                    <w:t>液态</w:t>
                  </w:r>
                </w:p>
              </w:tc>
              <w:tc>
                <w:tcPr>
                  <w:tcW w:w="443" w:type="pct"/>
                  <w:tcBorders>
                    <w:tl2br w:val="nil"/>
                    <w:tr2bl w:val="nil"/>
                  </w:tcBorders>
                  <w:vAlign w:val="center"/>
                </w:tcPr>
                <w:p w14:paraId="40A8A873">
                  <w:pPr>
                    <w:topLinePunct/>
                    <w:jc w:val="center"/>
                    <w:rPr>
                      <w:color w:val="auto"/>
                      <w:szCs w:val="21"/>
                    </w:rPr>
                  </w:pPr>
                  <w:r>
                    <w:rPr>
                      <w:rFonts w:hint="eastAsia" w:hAnsi="宋体"/>
                      <w:color w:val="auto"/>
                      <w:kern w:val="2"/>
                      <w:szCs w:val="22"/>
                      <w:lang w:val="en-US" w:eastAsia="zh-CN"/>
                    </w:rPr>
                    <w:t>废机油</w:t>
                  </w:r>
                </w:p>
              </w:tc>
              <w:tc>
                <w:tcPr>
                  <w:tcW w:w="517" w:type="pct"/>
                  <w:tcBorders>
                    <w:tl2br w:val="nil"/>
                    <w:tr2bl w:val="nil"/>
                  </w:tcBorders>
                  <w:vAlign w:val="center"/>
                </w:tcPr>
                <w:p w14:paraId="215314DA">
                  <w:pPr>
                    <w:topLinePunct/>
                    <w:jc w:val="center"/>
                    <w:rPr>
                      <w:color w:val="auto"/>
                      <w:szCs w:val="21"/>
                    </w:rPr>
                  </w:pPr>
                  <w:r>
                    <w:rPr>
                      <w:rFonts w:hint="eastAsia"/>
                      <w:color w:val="auto"/>
                      <w:szCs w:val="21"/>
                    </w:rPr>
                    <w:t>危险废物</w:t>
                  </w:r>
                </w:p>
              </w:tc>
              <w:tc>
                <w:tcPr>
                  <w:tcW w:w="751" w:type="pct"/>
                  <w:tcBorders>
                    <w:tl2br w:val="nil"/>
                    <w:tr2bl w:val="nil"/>
                  </w:tcBorders>
                  <w:vAlign w:val="center"/>
                </w:tcPr>
                <w:p w14:paraId="0B53B734">
                  <w:pPr>
                    <w:topLinePunct/>
                    <w:jc w:val="center"/>
                    <w:rPr>
                      <w:color w:val="auto"/>
                      <w:szCs w:val="21"/>
                    </w:rPr>
                  </w:pPr>
                  <w:r>
                    <w:rPr>
                      <w:rFonts w:hint="eastAsia"/>
                      <w:color w:val="auto"/>
                      <w:szCs w:val="21"/>
                    </w:rPr>
                    <w:t>HW08废矿物油与含矿物油废物</w:t>
                  </w:r>
                </w:p>
              </w:tc>
              <w:tc>
                <w:tcPr>
                  <w:tcW w:w="800" w:type="pct"/>
                  <w:tcBorders>
                    <w:tl2br w:val="nil"/>
                    <w:tr2bl w:val="nil"/>
                  </w:tcBorders>
                  <w:vAlign w:val="center"/>
                </w:tcPr>
                <w:p w14:paraId="25A80EB9">
                  <w:pPr>
                    <w:topLinePunct/>
                    <w:jc w:val="center"/>
                    <w:rPr>
                      <w:color w:val="auto"/>
                      <w:szCs w:val="21"/>
                    </w:rPr>
                  </w:pPr>
                  <w:r>
                    <w:rPr>
                      <w:rFonts w:hint="eastAsia" w:hAnsi="宋体"/>
                      <w:color w:val="auto"/>
                    </w:rPr>
                    <w:t>900-218-08</w:t>
                  </w:r>
                </w:p>
              </w:tc>
              <w:tc>
                <w:tcPr>
                  <w:tcW w:w="423" w:type="pct"/>
                  <w:tcBorders>
                    <w:tl2br w:val="nil"/>
                    <w:tr2bl w:val="nil"/>
                  </w:tcBorders>
                  <w:vAlign w:val="center"/>
                </w:tcPr>
                <w:p w14:paraId="3B4997F7">
                  <w:pPr>
                    <w:topLinePunct/>
                    <w:jc w:val="center"/>
                    <w:rPr>
                      <w:color w:val="auto"/>
                      <w:szCs w:val="21"/>
                    </w:rPr>
                  </w:pPr>
                  <w:r>
                    <w:rPr>
                      <w:rFonts w:hint="eastAsia"/>
                      <w:color w:val="auto"/>
                      <w:szCs w:val="21"/>
                    </w:rPr>
                    <w:t>0.05</w:t>
                  </w:r>
                </w:p>
              </w:tc>
              <w:tc>
                <w:tcPr>
                  <w:tcW w:w="557" w:type="pct"/>
                  <w:vMerge w:val="restart"/>
                  <w:tcBorders>
                    <w:tl2br w:val="nil"/>
                    <w:tr2bl w:val="nil"/>
                  </w:tcBorders>
                  <w:vAlign w:val="center"/>
                </w:tcPr>
                <w:p w14:paraId="1157A085">
                  <w:pPr>
                    <w:widowControl/>
                    <w:jc w:val="center"/>
                    <w:rPr>
                      <w:color w:val="auto"/>
                      <w:szCs w:val="21"/>
                    </w:rPr>
                  </w:pPr>
                  <w:r>
                    <w:rPr>
                      <w:rFonts w:hint="eastAsia"/>
                      <w:color w:val="auto"/>
                      <w:szCs w:val="21"/>
                    </w:rPr>
                    <w:t>收集后暂存于危废库，委托有资质单位处置</w:t>
                  </w:r>
                </w:p>
              </w:tc>
            </w:tr>
            <w:tr w14:paraId="5E74A068">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c>
                <w:tcPr>
                  <w:tcW w:w="252" w:type="pct"/>
                  <w:tcBorders>
                    <w:tl2br w:val="nil"/>
                    <w:tr2bl w:val="nil"/>
                  </w:tcBorders>
                  <w:vAlign w:val="center"/>
                </w:tcPr>
                <w:p w14:paraId="7F9B7A9A">
                  <w:pPr>
                    <w:jc w:val="center"/>
                    <w:rPr>
                      <w:color w:val="auto"/>
                      <w:szCs w:val="21"/>
                    </w:rPr>
                  </w:pPr>
                  <w:r>
                    <w:rPr>
                      <w:rFonts w:hint="eastAsia"/>
                      <w:color w:val="auto"/>
                      <w:szCs w:val="21"/>
                    </w:rPr>
                    <w:t>8</w:t>
                  </w:r>
                </w:p>
              </w:tc>
              <w:tc>
                <w:tcPr>
                  <w:tcW w:w="384" w:type="pct"/>
                  <w:tcBorders>
                    <w:tl2br w:val="nil"/>
                    <w:tr2bl w:val="nil"/>
                  </w:tcBorders>
                  <w:vAlign w:val="center"/>
                </w:tcPr>
                <w:p w14:paraId="0ABB555E">
                  <w:pPr>
                    <w:topLinePunct/>
                    <w:jc w:val="center"/>
                    <w:rPr>
                      <w:color w:val="auto"/>
                      <w:szCs w:val="21"/>
                    </w:rPr>
                  </w:pPr>
                  <w:r>
                    <w:rPr>
                      <w:rFonts w:hint="eastAsia" w:hAnsi="宋体"/>
                      <w:color w:val="auto"/>
                      <w:kern w:val="2"/>
                      <w:szCs w:val="22"/>
                      <w:lang w:val="en-US" w:eastAsia="zh-CN"/>
                    </w:rPr>
                    <w:t>废机油</w:t>
                  </w:r>
                  <w:r>
                    <w:rPr>
                      <w:rFonts w:hint="eastAsia"/>
                      <w:color w:val="auto"/>
                      <w:szCs w:val="21"/>
                    </w:rPr>
                    <w:t>桶</w:t>
                  </w:r>
                </w:p>
              </w:tc>
              <w:tc>
                <w:tcPr>
                  <w:tcW w:w="429" w:type="pct"/>
                  <w:tcBorders>
                    <w:tl2br w:val="nil"/>
                    <w:tr2bl w:val="nil"/>
                  </w:tcBorders>
                  <w:vAlign w:val="center"/>
                </w:tcPr>
                <w:p w14:paraId="4FC6AE85">
                  <w:pPr>
                    <w:topLinePunct/>
                    <w:jc w:val="center"/>
                    <w:rPr>
                      <w:color w:val="auto"/>
                      <w:szCs w:val="21"/>
                    </w:rPr>
                  </w:pPr>
                  <w:r>
                    <w:rPr>
                      <w:rFonts w:hint="eastAsia"/>
                      <w:color w:val="auto"/>
                      <w:szCs w:val="21"/>
                    </w:rPr>
                    <w:t>包装</w:t>
                  </w:r>
                </w:p>
              </w:tc>
              <w:tc>
                <w:tcPr>
                  <w:tcW w:w="438" w:type="pct"/>
                  <w:tcBorders>
                    <w:tl2br w:val="nil"/>
                    <w:tr2bl w:val="nil"/>
                  </w:tcBorders>
                  <w:vAlign w:val="center"/>
                </w:tcPr>
                <w:p w14:paraId="14220713">
                  <w:pPr>
                    <w:topLinePunct/>
                    <w:jc w:val="center"/>
                    <w:rPr>
                      <w:color w:val="auto"/>
                      <w:szCs w:val="21"/>
                    </w:rPr>
                  </w:pPr>
                  <w:r>
                    <w:rPr>
                      <w:rFonts w:hint="eastAsia"/>
                      <w:color w:val="auto"/>
                      <w:szCs w:val="21"/>
                    </w:rPr>
                    <w:t>固态</w:t>
                  </w:r>
                </w:p>
              </w:tc>
              <w:tc>
                <w:tcPr>
                  <w:tcW w:w="443" w:type="pct"/>
                  <w:tcBorders>
                    <w:tl2br w:val="nil"/>
                    <w:tr2bl w:val="nil"/>
                  </w:tcBorders>
                  <w:vAlign w:val="center"/>
                </w:tcPr>
                <w:p w14:paraId="787626CF">
                  <w:pPr>
                    <w:topLinePunct/>
                    <w:jc w:val="center"/>
                    <w:rPr>
                      <w:color w:val="auto"/>
                      <w:szCs w:val="21"/>
                    </w:rPr>
                  </w:pPr>
                  <w:r>
                    <w:rPr>
                      <w:rFonts w:hint="eastAsia"/>
                      <w:color w:val="auto"/>
                      <w:szCs w:val="21"/>
                    </w:rPr>
                    <w:t>废包装桶</w:t>
                  </w:r>
                </w:p>
              </w:tc>
              <w:tc>
                <w:tcPr>
                  <w:tcW w:w="517" w:type="pct"/>
                  <w:tcBorders>
                    <w:tl2br w:val="nil"/>
                    <w:tr2bl w:val="nil"/>
                  </w:tcBorders>
                  <w:vAlign w:val="center"/>
                </w:tcPr>
                <w:p w14:paraId="67BBDB44">
                  <w:pPr>
                    <w:topLinePunct/>
                    <w:jc w:val="center"/>
                    <w:rPr>
                      <w:color w:val="auto"/>
                      <w:szCs w:val="21"/>
                    </w:rPr>
                  </w:pPr>
                  <w:r>
                    <w:rPr>
                      <w:rFonts w:hint="eastAsia"/>
                      <w:color w:val="auto"/>
                      <w:szCs w:val="21"/>
                    </w:rPr>
                    <w:t>危险废物</w:t>
                  </w:r>
                </w:p>
              </w:tc>
              <w:tc>
                <w:tcPr>
                  <w:tcW w:w="751" w:type="pct"/>
                  <w:tcBorders>
                    <w:tl2br w:val="nil"/>
                    <w:tr2bl w:val="nil"/>
                  </w:tcBorders>
                  <w:vAlign w:val="center"/>
                </w:tcPr>
                <w:p w14:paraId="2CD7BA83">
                  <w:pPr>
                    <w:topLinePunct/>
                    <w:jc w:val="center"/>
                    <w:rPr>
                      <w:color w:val="auto"/>
                      <w:szCs w:val="21"/>
                    </w:rPr>
                  </w:pPr>
                  <w:r>
                    <w:rPr>
                      <w:rFonts w:hint="eastAsia"/>
                      <w:color w:val="auto"/>
                      <w:szCs w:val="21"/>
                    </w:rPr>
                    <w:t>HW08废矿物油与含矿物油废物</w:t>
                  </w:r>
                </w:p>
              </w:tc>
              <w:tc>
                <w:tcPr>
                  <w:tcW w:w="800" w:type="pct"/>
                  <w:tcBorders>
                    <w:tl2br w:val="nil"/>
                    <w:tr2bl w:val="nil"/>
                  </w:tcBorders>
                  <w:vAlign w:val="center"/>
                </w:tcPr>
                <w:p w14:paraId="6B1B0243">
                  <w:pPr>
                    <w:topLinePunct/>
                    <w:jc w:val="center"/>
                    <w:rPr>
                      <w:color w:val="auto"/>
                      <w:szCs w:val="21"/>
                    </w:rPr>
                  </w:pPr>
                  <w:r>
                    <w:rPr>
                      <w:rFonts w:hint="eastAsia" w:hAnsi="宋体"/>
                      <w:color w:val="auto"/>
                    </w:rPr>
                    <w:t>900-249-08</w:t>
                  </w:r>
                </w:p>
              </w:tc>
              <w:tc>
                <w:tcPr>
                  <w:tcW w:w="423" w:type="pct"/>
                  <w:tcBorders>
                    <w:tl2br w:val="nil"/>
                    <w:tr2bl w:val="nil"/>
                  </w:tcBorders>
                  <w:vAlign w:val="center"/>
                </w:tcPr>
                <w:p w14:paraId="0632B9E8">
                  <w:pPr>
                    <w:topLinePunct/>
                    <w:jc w:val="center"/>
                    <w:rPr>
                      <w:color w:val="auto"/>
                      <w:szCs w:val="21"/>
                    </w:rPr>
                  </w:pPr>
                  <w:r>
                    <w:rPr>
                      <w:rFonts w:hint="eastAsia"/>
                      <w:color w:val="auto"/>
                      <w:szCs w:val="21"/>
                    </w:rPr>
                    <w:t>0.0</w:t>
                  </w:r>
                  <w:r>
                    <w:rPr>
                      <w:rFonts w:hint="eastAsia"/>
                      <w:color w:val="auto"/>
                      <w:szCs w:val="21"/>
                      <w:lang w:val="en-US" w:eastAsia="zh-CN"/>
                    </w:rPr>
                    <w:t>04</w:t>
                  </w:r>
                </w:p>
              </w:tc>
              <w:tc>
                <w:tcPr>
                  <w:tcW w:w="557" w:type="pct"/>
                  <w:vMerge w:val="continue"/>
                  <w:tcBorders>
                    <w:tl2br w:val="nil"/>
                    <w:tr2bl w:val="nil"/>
                  </w:tcBorders>
                  <w:vAlign w:val="center"/>
                </w:tcPr>
                <w:p w14:paraId="6312AC9B">
                  <w:pPr>
                    <w:widowControl/>
                    <w:jc w:val="center"/>
                    <w:rPr>
                      <w:color w:val="002DC7"/>
                      <w:szCs w:val="21"/>
                    </w:rPr>
                  </w:pPr>
                </w:p>
              </w:tc>
            </w:tr>
          </w:tbl>
          <w:p w14:paraId="2F317B54">
            <w:pPr>
              <w:pStyle w:val="57"/>
              <w:adjustRightInd/>
              <w:spacing w:line="360" w:lineRule="auto"/>
              <w:ind w:firstLine="482" w:firstLineChars="200"/>
              <w:rPr>
                <w:color w:val="auto"/>
              </w:rPr>
            </w:pPr>
            <w:r>
              <w:rPr>
                <w:rFonts w:hint="eastAsia"/>
                <w:color w:val="auto"/>
              </w:rPr>
              <w:t>3、一般固废库及危废库存储可行性分析</w:t>
            </w:r>
          </w:p>
          <w:p w14:paraId="185514DE">
            <w:pPr>
              <w:pStyle w:val="57"/>
              <w:adjustRightInd/>
              <w:spacing w:line="360" w:lineRule="auto"/>
              <w:jc w:val="center"/>
              <w:rPr>
                <w:b/>
                <w:color w:val="auto"/>
              </w:rPr>
            </w:pPr>
            <w:r>
              <w:rPr>
                <w:b/>
                <w:color w:val="auto"/>
              </w:rPr>
              <w:t>表4-</w:t>
            </w:r>
            <w:r>
              <w:rPr>
                <w:rFonts w:hint="eastAsia"/>
                <w:b/>
                <w:color w:val="auto"/>
              </w:rPr>
              <w:t>19</w:t>
            </w:r>
            <w:r>
              <w:rPr>
                <w:b/>
                <w:color w:val="auto"/>
              </w:rPr>
              <w:t xml:space="preserve"> 一般固废库基本情况表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2"/>
              <w:gridCol w:w="890"/>
              <w:gridCol w:w="826"/>
              <w:gridCol w:w="1691"/>
              <w:gridCol w:w="1522"/>
              <w:gridCol w:w="1350"/>
              <w:gridCol w:w="1280"/>
            </w:tblGrid>
            <w:tr w14:paraId="1E41D9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22" w:type="pct"/>
                  <w:vAlign w:val="center"/>
                </w:tcPr>
                <w:p w14:paraId="130E49D7">
                  <w:pPr>
                    <w:pStyle w:val="124"/>
                    <w:spacing w:line="240" w:lineRule="auto"/>
                    <w:rPr>
                      <w:b/>
                      <w:color w:val="auto"/>
                      <w:szCs w:val="21"/>
                    </w:rPr>
                  </w:pPr>
                  <w:r>
                    <w:rPr>
                      <w:rFonts w:hint="eastAsia" w:hAnsi="宋体"/>
                      <w:b/>
                      <w:color w:val="auto"/>
                      <w:szCs w:val="21"/>
                    </w:rPr>
                    <w:t>贮存场所</w:t>
                  </w:r>
                </w:p>
              </w:tc>
              <w:tc>
                <w:tcPr>
                  <w:tcW w:w="527" w:type="pct"/>
                  <w:vAlign w:val="center"/>
                </w:tcPr>
                <w:p w14:paraId="263371A2">
                  <w:pPr>
                    <w:pStyle w:val="124"/>
                    <w:spacing w:line="240" w:lineRule="auto"/>
                    <w:rPr>
                      <w:b/>
                      <w:color w:val="auto"/>
                      <w:szCs w:val="21"/>
                    </w:rPr>
                  </w:pPr>
                  <w:r>
                    <w:rPr>
                      <w:rFonts w:hint="eastAsia" w:hAnsi="宋体"/>
                      <w:b/>
                      <w:color w:val="auto"/>
                      <w:szCs w:val="21"/>
                    </w:rPr>
                    <w:t>占地面积</w:t>
                  </w:r>
                </w:p>
              </w:tc>
              <w:tc>
                <w:tcPr>
                  <w:tcW w:w="489" w:type="pct"/>
                  <w:vAlign w:val="center"/>
                </w:tcPr>
                <w:p w14:paraId="1E9B13FE">
                  <w:pPr>
                    <w:pStyle w:val="124"/>
                    <w:spacing w:line="240" w:lineRule="auto"/>
                    <w:rPr>
                      <w:b/>
                      <w:color w:val="auto"/>
                      <w:szCs w:val="21"/>
                    </w:rPr>
                  </w:pPr>
                  <w:r>
                    <w:rPr>
                      <w:rFonts w:hint="eastAsia" w:hAnsi="宋体"/>
                      <w:b/>
                      <w:color w:val="auto"/>
                      <w:szCs w:val="21"/>
                    </w:rPr>
                    <w:t>储存能力</w:t>
                  </w:r>
                </w:p>
              </w:tc>
              <w:tc>
                <w:tcPr>
                  <w:tcW w:w="1001" w:type="pct"/>
                  <w:vAlign w:val="center"/>
                </w:tcPr>
                <w:p w14:paraId="3A1E395A">
                  <w:pPr>
                    <w:pStyle w:val="124"/>
                    <w:spacing w:line="240" w:lineRule="auto"/>
                    <w:rPr>
                      <w:b/>
                      <w:color w:val="auto"/>
                      <w:szCs w:val="21"/>
                    </w:rPr>
                  </w:pPr>
                  <w:r>
                    <w:rPr>
                      <w:rFonts w:hint="eastAsia" w:hAnsi="宋体"/>
                      <w:b/>
                      <w:color w:val="auto"/>
                      <w:szCs w:val="21"/>
                    </w:rPr>
                    <w:t>固废名称</w:t>
                  </w:r>
                </w:p>
              </w:tc>
              <w:tc>
                <w:tcPr>
                  <w:tcW w:w="901" w:type="pct"/>
                  <w:vAlign w:val="center"/>
                </w:tcPr>
                <w:p w14:paraId="348AF282">
                  <w:pPr>
                    <w:pStyle w:val="124"/>
                    <w:spacing w:line="240" w:lineRule="auto"/>
                    <w:rPr>
                      <w:b/>
                      <w:color w:val="auto"/>
                      <w:szCs w:val="21"/>
                    </w:rPr>
                  </w:pPr>
                  <w:r>
                    <w:rPr>
                      <w:rFonts w:hint="eastAsia"/>
                      <w:b/>
                      <w:color w:val="auto"/>
                      <w:szCs w:val="21"/>
                    </w:rPr>
                    <w:t>产生量（t/a）</w:t>
                  </w:r>
                </w:p>
              </w:tc>
              <w:tc>
                <w:tcPr>
                  <w:tcW w:w="799" w:type="pct"/>
                  <w:vAlign w:val="center"/>
                </w:tcPr>
                <w:p w14:paraId="518643A3">
                  <w:pPr>
                    <w:pStyle w:val="124"/>
                    <w:spacing w:line="240" w:lineRule="auto"/>
                    <w:rPr>
                      <w:b/>
                      <w:color w:val="auto"/>
                      <w:szCs w:val="21"/>
                    </w:rPr>
                  </w:pPr>
                  <w:r>
                    <w:rPr>
                      <w:rFonts w:hint="eastAsia" w:hAnsi="宋体"/>
                      <w:b/>
                      <w:color w:val="auto"/>
                      <w:szCs w:val="21"/>
                    </w:rPr>
                    <w:t>贮存周期</w:t>
                  </w:r>
                </w:p>
              </w:tc>
              <w:tc>
                <w:tcPr>
                  <w:tcW w:w="758" w:type="pct"/>
                  <w:vAlign w:val="center"/>
                </w:tcPr>
                <w:p w14:paraId="26DD98F6">
                  <w:pPr>
                    <w:pStyle w:val="124"/>
                    <w:spacing w:line="240" w:lineRule="auto"/>
                    <w:rPr>
                      <w:b/>
                      <w:color w:val="auto"/>
                      <w:szCs w:val="21"/>
                    </w:rPr>
                  </w:pPr>
                  <w:r>
                    <w:rPr>
                      <w:rFonts w:hint="eastAsia" w:hAnsi="宋体"/>
                      <w:b/>
                      <w:color w:val="auto"/>
                      <w:szCs w:val="21"/>
                    </w:rPr>
                    <w:t>处理周期</w:t>
                  </w:r>
                </w:p>
              </w:tc>
            </w:tr>
            <w:tr w14:paraId="1B3CC4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2" w:type="pct"/>
                  <w:vMerge w:val="restart"/>
                  <w:vAlign w:val="center"/>
                </w:tcPr>
                <w:p w14:paraId="5F43DB4D">
                  <w:pPr>
                    <w:pStyle w:val="124"/>
                    <w:spacing w:line="240" w:lineRule="auto"/>
                    <w:rPr>
                      <w:rFonts w:hint="eastAsia" w:hAnsi="宋体"/>
                      <w:color w:val="auto"/>
                      <w:szCs w:val="21"/>
                    </w:rPr>
                  </w:pPr>
                  <w:r>
                    <w:rPr>
                      <w:rFonts w:hint="eastAsia" w:hAnsi="宋体"/>
                      <w:color w:val="auto"/>
                      <w:szCs w:val="21"/>
                    </w:rPr>
                    <w:t>一般固废库</w:t>
                  </w:r>
                </w:p>
              </w:tc>
              <w:tc>
                <w:tcPr>
                  <w:tcW w:w="527" w:type="pct"/>
                  <w:vMerge w:val="restart"/>
                  <w:vAlign w:val="center"/>
                </w:tcPr>
                <w:p w14:paraId="4940F416">
                  <w:pPr>
                    <w:pStyle w:val="124"/>
                    <w:spacing w:line="240" w:lineRule="auto"/>
                    <w:rPr>
                      <w:rFonts w:hint="eastAsia" w:hAnsi="宋体"/>
                      <w:color w:val="auto"/>
                      <w:szCs w:val="21"/>
                    </w:rPr>
                  </w:pPr>
                  <w:r>
                    <w:rPr>
                      <w:rFonts w:hint="eastAsia" w:hAnsi="宋体"/>
                      <w:color w:val="auto"/>
                      <w:szCs w:val="21"/>
                      <w:lang w:val="en-US" w:eastAsia="zh-CN"/>
                    </w:rPr>
                    <w:t>30</w:t>
                  </w:r>
                  <w:r>
                    <w:rPr>
                      <w:rFonts w:hint="eastAsia" w:hAnsi="宋体"/>
                      <w:color w:val="auto"/>
                      <w:szCs w:val="21"/>
                    </w:rPr>
                    <w:t>m</w:t>
                  </w:r>
                  <w:r>
                    <w:rPr>
                      <w:rFonts w:hint="eastAsia" w:hAnsi="宋体"/>
                      <w:color w:val="auto"/>
                      <w:szCs w:val="21"/>
                      <w:vertAlign w:val="superscript"/>
                    </w:rPr>
                    <w:t>2</w:t>
                  </w:r>
                </w:p>
              </w:tc>
              <w:tc>
                <w:tcPr>
                  <w:tcW w:w="489" w:type="pct"/>
                  <w:vMerge w:val="restart"/>
                  <w:vAlign w:val="center"/>
                </w:tcPr>
                <w:p w14:paraId="5BE0C509">
                  <w:pPr>
                    <w:pStyle w:val="124"/>
                    <w:spacing w:line="240" w:lineRule="auto"/>
                    <w:rPr>
                      <w:rFonts w:hint="eastAsia" w:hAnsi="宋体"/>
                      <w:color w:val="auto"/>
                      <w:szCs w:val="21"/>
                    </w:rPr>
                  </w:pPr>
                  <w:r>
                    <w:rPr>
                      <w:rFonts w:hint="eastAsia" w:hAnsi="宋体"/>
                      <w:color w:val="auto"/>
                      <w:szCs w:val="21"/>
                      <w:lang w:val="en-US" w:eastAsia="zh-CN"/>
                    </w:rPr>
                    <w:t>24</w:t>
                  </w:r>
                  <w:r>
                    <w:rPr>
                      <w:rFonts w:hint="eastAsia" w:hAnsi="宋体"/>
                      <w:color w:val="auto"/>
                      <w:szCs w:val="21"/>
                    </w:rPr>
                    <w:t>t</w:t>
                  </w:r>
                </w:p>
              </w:tc>
              <w:tc>
                <w:tcPr>
                  <w:tcW w:w="1001" w:type="pct"/>
                  <w:vAlign w:val="center"/>
                </w:tcPr>
                <w:p w14:paraId="1BA5CD1D">
                  <w:pPr>
                    <w:topLinePunct/>
                    <w:jc w:val="center"/>
                    <w:rPr>
                      <w:rFonts w:hint="eastAsia" w:hAnsi="宋体"/>
                      <w:color w:val="auto"/>
                      <w:szCs w:val="22"/>
                    </w:rPr>
                  </w:pPr>
                  <w:r>
                    <w:rPr>
                      <w:rFonts w:hint="eastAsia" w:hAnsi="宋体"/>
                      <w:color w:val="auto"/>
                      <w:kern w:val="2"/>
                      <w:szCs w:val="22"/>
                      <w:lang w:val="en-US" w:eastAsia="zh-CN"/>
                    </w:rPr>
                    <w:t>废切割边角料</w:t>
                  </w:r>
                </w:p>
              </w:tc>
              <w:tc>
                <w:tcPr>
                  <w:tcW w:w="901" w:type="pct"/>
                  <w:shd w:val="clear" w:color="auto" w:fill="auto"/>
                  <w:vAlign w:val="center"/>
                </w:tcPr>
                <w:p w14:paraId="42BA87C9">
                  <w:pPr>
                    <w:topLinePunct/>
                    <w:jc w:val="center"/>
                    <w:rPr>
                      <w:rFonts w:hint="eastAsia" w:hAnsi="宋体"/>
                      <w:color w:val="auto"/>
                      <w:szCs w:val="22"/>
                      <w:highlight w:val="none"/>
                    </w:rPr>
                  </w:pPr>
                  <w:r>
                    <w:rPr>
                      <w:rFonts w:hint="eastAsia"/>
                      <w:color w:val="auto"/>
                      <w:szCs w:val="21"/>
                      <w:highlight w:val="none"/>
                      <w:lang w:val="en-US" w:eastAsia="zh-CN"/>
                    </w:rPr>
                    <w:t>3.5</w:t>
                  </w:r>
                </w:p>
              </w:tc>
              <w:tc>
                <w:tcPr>
                  <w:tcW w:w="799" w:type="pct"/>
                  <w:vAlign w:val="center"/>
                </w:tcPr>
                <w:p w14:paraId="08F7F0FB">
                  <w:pPr>
                    <w:pStyle w:val="124"/>
                    <w:spacing w:line="240" w:lineRule="auto"/>
                    <w:rPr>
                      <w:rFonts w:hint="eastAsia" w:hAnsi="宋体"/>
                      <w:color w:val="auto"/>
                      <w:szCs w:val="21"/>
                    </w:rPr>
                  </w:pPr>
                  <w:r>
                    <w:rPr>
                      <w:rFonts w:hint="eastAsia" w:hAnsi="宋体"/>
                      <w:color w:val="auto"/>
                      <w:szCs w:val="21"/>
                    </w:rPr>
                    <w:t>三个月</w:t>
                  </w:r>
                </w:p>
              </w:tc>
              <w:tc>
                <w:tcPr>
                  <w:tcW w:w="758" w:type="pct"/>
                </w:tcPr>
                <w:p w14:paraId="2AE4812F">
                  <w:pPr>
                    <w:pStyle w:val="124"/>
                    <w:spacing w:line="240" w:lineRule="auto"/>
                    <w:rPr>
                      <w:rFonts w:hint="eastAsia" w:hAnsi="宋体"/>
                      <w:color w:val="auto"/>
                      <w:szCs w:val="21"/>
                    </w:rPr>
                  </w:pPr>
                  <w:r>
                    <w:rPr>
                      <w:rFonts w:hint="eastAsia" w:hAnsi="宋体"/>
                      <w:color w:val="auto"/>
                      <w:szCs w:val="21"/>
                    </w:rPr>
                    <w:t>三个月</w:t>
                  </w:r>
                </w:p>
              </w:tc>
            </w:tr>
            <w:tr w14:paraId="2F38BA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2" w:type="pct"/>
                  <w:vMerge w:val="continue"/>
                  <w:vAlign w:val="center"/>
                </w:tcPr>
                <w:p w14:paraId="35946000">
                  <w:pPr>
                    <w:pStyle w:val="124"/>
                    <w:spacing w:line="240" w:lineRule="auto"/>
                    <w:rPr>
                      <w:rFonts w:hint="eastAsia" w:hAnsi="宋体"/>
                      <w:color w:val="auto"/>
                      <w:szCs w:val="21"/>
                    </w:rPr>
                  </w:pPr>
                </w:p>
              </w:tc>
              <w:tc>
                <w:tcPr>
                  <w:tcW w:w="527" w:type="pct"/>
                  <w:vMerge w:val="continue"/>
                  <w:vAlign w:val="center"/>
                </w:tcPr>
                <w:p w14:paraId="18339FB1">
                  <w:pPr>
                    <w:pStyle w:val="124"/>
                    <w:spacing w:line="240" w:lineRule="auto"/>
                    <w:rPr>
                      <w:rFonts w:hint="eastAsia" w:hAnsi="宋体"/>
                      <w:color w:val="auto"/>
                      <w:szCs w:val="21"/>
                    </w:rPr>
                  </w:pPr>
                </w:p>
              </w:tc>
              <w:tc>
                <w:tcPr>
                  <w:tcW w:w="489" w:type="pct"/>
                  <w:vMerge w:val="continue"/>
                  <w:vAlign w:val="center"/>
                </w:tcPr>
                <w:p w14:paraId="0F820BEA">
                  <w:pPr>
                    <w:pStyle w:val="124"/>
                    <w:spacing w:line="240" w:lineRule="auto"/>
                    <w:rPr>
                      <w:rFonts w:hint="eastAsia" w:hAnsi="宋体"/>
                      <w:color w:val="auto"/>
                      <w:szCs w:val="21"/>
                    </w:rPr>
                  </w:pPr>
                </w:p>
              </w:tc>
              <w:tc>
                <w:tcPr>
                  <w:tcW w:w="1001" w:type="pct"/>
                  <w:vAlign w:val="center"/>
                </w:tcPr>
                <w:p w14:paraId="798B7E08">
                  <w:pPr>
                    <w:topLinePunct/>
                    <w:jc w:val="center"/>
                    <w:rPr>
                      <w:rFonts w:hint="eastAsia" w:hAnsi="宋体"/>
                      <w:color w:val="auto"/>
                      <w:szCs w:val="22"/>
                    </w:rPr>
                  </w:pPr>
                  <w:r>
                    <w:rPr>
                      <w:rFonts w:hint="eastAsia"/>
                      <w:color w:val="auto"/>
                      <w:szCs w:val="21"/>
                      <w:lang w:val="en-US" w:eastAsia="zh-CN"/>
                    </w:rPr>
                    <w:t>废脱模剂包装桶</w:t>
                  </w:r>
                </w:p>
              </w:tc>
              <w:tc>
                <w:tcPr>
                  <w:tcW w:w="901" w:type="pct"/>
                  <w:shd w:val="clear" w:color="auto" w:fill="auto"/>
                  <w:vAlign w:val="center"/>
                </w:tcPr>
                <w:p w14:paraId="776EEC71">
                  <w:pPr>
                    <w:topLinePunct/>
                    <w:jc w:val="center"/>
                    <w:rPr>
                      <w:rFonts w:hint="eastAsia" w:hAnsi="宋体"/>
                      <w:color w:val="auto"/>
                      <w:szCs w:val="22"/>
                      <w:highlight w:val="none"/>
                    </w:rPr>
                  </w:pPr>
                  <w:r>
                    <w:rPr>
                      <w:rFonts w:hint="eastAsia"/>
                      <w:color w:val="auto"/>
                      <w:szCs w:val="21"/>
                      <w:highlight w:val="none"/>
                      <w:lang w:val="en-US" w:eastAsia="zh-CN"/>
                    </w:rPr>
                    <w:t>0.</w:t>
                  </w:r>
                  <w:r>
                    <w:rPr>
                      <w:rFonts w:hint="eastAsia"/>
                      <w:color w:val="auto"/>
                      <w:szCs w:val="21"/>
                      <w:highlight w:val="none"/>
                    </w:rPr>
                    <w:t>4</w:t>
                  </w:r>
                </w:p>
              </w:tc>
              <w:tc>
                <w:tcPr>
                  <w:tcW w:w="799" w:type="pct"/>
                </w:tcPr>
                <w:p w14:paraId="7571AED9">
                  <w:pPr>
                    <w:pStyle w:val="124"/>
                    <w:spacing w:line="240" w:lineRule="auto"/>
                    <w:rPr>
                      <w:rFonts w:hint="eastAsia" w:hAnsi="宋体"/>
                      <w:color w:val="auto"/>
                      <w:szCs w:val="21"/>
                    </w:rPr>
                  </w:pPr>
                  <w:r>
                    <w:rPr>
                      <w:rFonts w:hint="eastAsia" w:hAnsi="宋体"/>
                      <w:color w:val="auto"/>
                      <w:szCs w:val="21"/>
                    </w:rPr>
                    <w:t>三个月</w:t>
                  </w:r>
                </w:p>
              </w:tc>
              <w:tc>
                <w:tcPr>
                  <w:tcW w:w="758" w:type="pct"/>
                </w:tcPr>
                <w:p w14:paraId="254DA828">
                  <w:pPr>
                    <w:pStyle w:val="124"/>
                    <w:spacing w:line="240" w:lineRule="auto"/>
                    <w:rPr>
                      <w:rFonts w:hint="eastAsia" w:hAnsi="宋体"/>
                      <w:color w:val="auto"/>
                      <w:szCs w:val="21"/>
                    </w:rPr>
                  </w:pPr>
                  <w:r>
                    <w:rPr>
                      <w:rFonts w:hint="eastAsia" w:hAnsi="宋体"/>
                      <w:color w:val="auto"/>
                      <w:szCs w:val="21"/>
                    </w:rPr>
                    <w:t>三个月</w:t>
                  </w:r>
                </w:p>
              </w:tc>
            </w:tr>
            <w:tr w14:paraId="6A0005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2" w:type="pct"/>
                  <w:vMerge w:val="continue"/>
                  <w:vAlign w:val="center"/>
                </w:tcPr>
                <w:p w14:paraId="2E5BAF5D">
                  <w:pPr>
                    <w:pStyle w:val="124"/>
                    <w:spacing w:line="240" w:lineRule="auto"/>
                    <w:rPr>
                      <w:rFonts w:hint="eastAsia" w:hAnsi="宋体"/>
                      <w:color w:val="auto"/>
                      <w:szCs w:val="21"/>
                    </w:rPr>
                  </w:pPr>
                </w:p>
              </w:tc>
              <w:tc>
                <w:tcPr>
                  <w:tcW w:w="527" w:type="pct"/>
                  <w:vMerge w:val="continue"/>
                  <w:vAlign w:val="center"/>
                </w:tcPr>
                <w:p w14:paraId="0E636193">
                  <w:pPr>
                    <w:pStyle w:val="124"/>
                    <w:spacing w:line="240" w:lineRule="auto"/>
                    <w:rPr>
                      <w:rFonts w:hint="eastAsia" w:hAnsi="宋体"/>
                      <w:color w:val="auto"/>
                      <w:szCs w:val="21"/>
                    </w:rPr>
                  </w:pPr>
                </w:p>
              </w:tc>
              <w:tc>
                <w:tcPr>
                  <w:tcW w:w="489" w:type="pct"/>
                  <w:vMerge w:val="continue"/>
                  <w:vAlign w:val="center"/>
                </w:tcPr>
                <w:p w14:paraId="15A2EF44">
                  <w:pPr>
                    <w:pStyle w:val="124"/>
                    <w:spacing w:line="240" w:lineRule="auto"/>
                    <w:rPr>
                      <w:rFonts w:hint="eastAsia" w:hAnsi="宋体"/>
                      <w:color w:val="auto"/>
                      <w:szCs w:val="21"/>
                    </w:rPr>
                  </w:pPr>
                </w:p>
              </w:tc>
              <w:tc>
                <w:tcPr>
                  <w:tcW w:w="1001" w:type="pct"/>
                  <w:vAlign w:val="center"/>
                </w:tcPr>
                <w:p w14:paraId="7007B81B">
                  <w:pPr>
                    <w:topLinePunct/>
                    <w:jc w:val="center"/>
                    <w:rPr>
                      <w:rFonts w:hint="eastAsia" w:hAnsi="宋体"/>
                      <w:color w:val="auto"/>
                      <w:szCs w:val="22"/>
                    </w:rPr>
                  </w:pPr>
                  <w:r>
                    <w:rPr>
                      <w:rFonts w:hint="eastAsia"/>
                      <w:color w:val="auto"/>
                      <w:szCs w:val="21"/>
                      <w:lang w:val="en-US" w:eastAsia="zh-CN"/>
                    </w:rPr>
                    <w:t>废布袋</w:t>
                  </w:r>
                </w:p>
              </w:tc>
              <w:tc>
                <w:tcPr>
                  <w:tcW w:w="901" w:type="pct"/>
                  <w:vAlign w:val="center"/>
                </w:tcPr>
                <w:p w14:paraId="732ED3AC">
                  <w:pPr>
                    <w:topLinePunct/>
                    <w:jc w:val="center"/>
                    <w:rPr>
                      <w:rFonts w:hint="eastAsia" w:hAnsi="宋体"/>
                      <w:color w:val="auto"/>
                      <w:szCs w:val="22"/>
                    </w:rPr>
                  </w:pPr>
                  <w:r>
                    <w:rPr>
                      <w:rFonts w:hint="eastAsia"/>
                      <w:color w:val="auto"/>
                      <w:szCs w:val="21"/>
                      <w:lang w:val="en-US" w:eastAsia="zh-CN"/>
                    </w:rPr>
                    <w:t>0.05</w:t>
                  </w:r>
                </w:p>
              </w:tc>
              <w:tc>
                <w:tcPr>
                  <w:tcW w:w="799" w:type="pct"/>
                </w:tcPr>
                <w:p w14:paraId="667B7507">
                  <w:pPr>
                    <w:pStyle w:val="124"/>
                    <w:spacing w:line="240" w:lineRule="auto"/>
                    <w:rPr>
                      <w:rFonts w:hint="eastAsia" w:hAnsi="宋体"/>
                      <w:color w:val="auto"/>
                      <w:szCs w:val="21"/>
                    </w:rPr>
                  </w:pPr>
                  <w:r>
                    <w:rPr>
                      <w:rFonts w:hint="eastAsia" w:hAnsi="宋体"/>
                      <w:color w:val="auto"/>
                      <w:szCs w:val="21"/>
                    </w:rPr>
                    <w:t>三个月</w:t>
                  </w:r>
                </w:p>
              </w:tc>
              <w:tc>
                <w:tcPr>
                  <w:tcW w:w="758" w:type="pct"/>
                </w:tcPr>
                <w:p w14:paraId="29457E03">
                  <w:pPr>
                    <w:pStyle w:val="124"/>
                    <w:spacing w:line="240" w:lineRule="auto"/>
                    <w:rPr>
                      <w:rFonts w:hint="eastAsia" w:hAnsi="宋体"/>
                      <w:color w:val="auto"/>
                      <w:szCs w:val="21"/>
                    </w:rPr>
                  </w:pPr>
                  <w:r>
                    <w:rPr>
                      <w:rFonts w:hint="eastAsia" w:hAnsi="宋体"/>
                      <w:color w:val="auto"/>
                      <w:szCs w:val="21"/>
                    </w:rPr>
                    <w:t>三个月</w:t>
                  </w:r>
                </w:p>
              </w:tc>
            </w:tr>
            <w:tr w14:paraId="709E61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2" w:type="pct"/>
                  <w:vMerge w:val="continue"/>
                  <w:vAlign w:val="center"/>
                </w:tcPr>
                <w:p w14:paraId="24237407">
                  <w:pPr>
                    <w:pStyle w:val="124"/>
                    <w:spacing w:line="240" w:lineRule="auto"/>
                    <w:rPr>
                      <w:rFonts w:hint="eastAsia" w:hAnsi="宋体"/>
                      <w:color w:val="auto"/>
                      <w:szCs w:val="21"/>
                    </w:rPr>
                  </w:pPr>
                </w:p>
              </w:tc>
              <w:tc>
                <w:tcPr>
                  <w:tcW w:w="527" w:type="pct"/>
                  <w:vMerge w:val="continue"/>
                  <w:vAlign w:val="center"/>
                </w:tcPr>
                <w:p w14:paraId="601923C5">
                  <w:pPr>
                    <w:pStyle w:val="124"/>
                    <w:spacing w:line="240" w:lineRule="auto"/>
                    <w:rPr>
                      <w:rFonts w:hint="eastAsia" w:hAnsi="宋体"/>
                      <w:color w:val="auto"/>
                      <w:szCs w:val="21"/>
                    </w:rPr>
                  </w:pPr>
                </w:p>
              </w:tc>
              <w:tc>
                <w:tcPr>
                  <w:tcW w:w="489" w:type="pct"/>
                  <w:vMerge w:val="continue"/>
                  <w:vAlign w:val="center"/>
                </w:tcPr>
                <w:p w14:paraId="6C1F08DA">
                  <w:pPr>
                    <w:pStyle w:val="124"/>
                    <w:spacing w:line="240" w:lineRule="auto"/>
                    <w:rPr>
                      <w:rFonts w:hint="eastAsia" w:hAnsi="宋体"/>
                      <w:color w:val="auto"/>
                      <w:szCs w:val="21"/>
                    </w:rPr>
                  </w:pPr>
                </w:p>
              </w:tc>
              <w:tc>
                <w:tcPr>
                  <w:tcW w:w="1001" w:type="pct"/>
                  <w:vAlign w:val="center"/>
                </w:tcPr>
                <w:p w14:paraId="0A3CDC6E">
                  <w:pPr>
                    <w:topLinePunct/>
                    <w:jc w:val="center"/>
                    <w:rPr>
                      <w:rFonts w:hint="eastAsia"/>
                      <w:color w:val="auto"/>
                      <w:szCs w:val="21"/>
                    </w:rPr>
                  </w:pPr>
                  <w:r>
                    <w:rPr>
                      <w:rFonts w:hint="eastAsia" w:ascii="宋体" w:hAnsi="宋体"/>
                      <w:color w:val="auto"/>
                      <w:kern w:val="2"/>
                      <w:szCs w:val="22"/>
                      <w:lang w:val="en-US" w:eastAsia="zh-CN"/>
                    </w:rPr>
                    <w:t>除尘灰</w:t>
                  </w:r>
                </w:p>
              </w:tc>
              <w:tc>
                <w:tcPr>
                  <w:tcW w:w="901" w:type="pct"/>
                  <w:vAlign w:val="center"/>
                </w:tcPr>
                <w:p w14:paraId="2B24F42B">
                  <w:pPr>
                    <w:topLinePunct/>
                    <w:jc w:val="center"/>
                    <w:rPr>
                      <w:rFonts w:hint="eastAsia" w:hAnsi="宋体"/>
                      <w:color w:val="auto"/>
                      <w:szCs w:val="22"/>
                    </w:rPr>
                  </w:pPr>
                  <w:r>
                    <w:rPr>
                      <w:rFonts w:hint="eastAsia"/>
                      <w:color w:val="auto"/>
                      <w:szCs w:val="21"/>
                      <w:lang w:val="en-US" w:eastAsia="zh-CN"/>
                    </w:rPr>
                    <w:t>57.66</w:t>
                  </w:r>
                </w:p>
              </w:tc>
              <w:tc>
                <w:tcPr>
                  <w:tcW w:w="799" w:type="pct"/>
                </w:tcPr>
                <w:p w14:paraId="2170E22A">
                  <w:pPr>
                    <w:pStyle w:val="124"/>
                    <w:spacing w:line="240" w:lineRule="auto"/>
                    <w:rPr>
                      <w:rFonts w:hint="eastAsia" w:hAnsi="宋体"/>
                      <w:color w:val="auto"/>
                      <w:szCs w:val="21"/>
                    </w:rPr>
                  </w:pPr>
                  <w:r>
                    <w:rPr>
                      <w:rFonts w:hint="eastAsia" w:hAnsi="宋体"/>
                      <w:color w:val="auto"/>
                      <w:szCs w:val="21"/>
                    </w:rPr>
                    <w:t>三个月</w:t>
                  </w:r>
                </w:p>
              </w:tc>
              <w:tc>
                <w:tcPr>
                  <w:tcW w:w="758" w:type="pct"/>
                </w:tcPr>
                <w:p w14:paraId="678D8B22">
                  <w:pPr>
                    <w:pStyle w:val="124"/>
                    <w:spacing w:line="240" w:lineRule="auto"/>
                    <w:rPr>
                      <w:rFonts w:hint="eastAsia" w:hAnsi="宋体"/>
                      <w:color w:val="auto"/>
                      <w:szCs w:val="21"/>
                    </w:rPr>
                  </w:pPr>
                  <w:r>
                    <w:rPr>
                      <w:rFonts w:hint="eastAsia" w:hAnsi="宋体"/>
                      <w:color w:val="auto"/>
                      <w:szCs w:val="21"/>
                    </w:rPr>
                    <w:t>三个月</w:t>
                  </w:r>
                </w:p>
              </w:tc>
            </w:tr>
            <w:tr w14:paraId="22D860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2" w:type="pct"/>
                  <w:vMerge w:val="continue"/>
                  <w:vAlign w:val="center"/>
                </w:tcPr>
                <w:p w14:paraId="61654BF0">
                  <w:pPr>
                    <w:pStyle w:val="124"/>
                    <w:spacing w:line="240" w:lineRule="auto"/>
                    <w:rPr>
                      <w:rFonts w:hint="eastAsia" w:hAnsi="宋体"/>
                      <w:color w:val="auto"/>
                      <w:szCs w:val="21"/>
                    </w:rPr>
                  </w:pPr>
                </w:p>
              </w:tc>
              <w:tc>
                <w:tcPr>
                  <w:tcW w:w="527" w:type="pct"/>
                  <w:vMerge w:val="continue"/>
                  <w:vAlign w:val="center"/>
                </w:tcPr>
                <w:p w14:paraId="5669F7ED">
                  <w:pPr>
                    <w:pStyle w:val="124"/>
                    <w:spacing w:line="240" w:lineRule="auto"/>
                    <w:rPr>
                      <w:rFonts w:hint="eastAsia" w:hAnsi="宋体"/>
                      <w:color w:val="auto"/>
                      <w:szCs w:val="21"/>
                    </w:rPr>
                  </w:pPr>
                </w:p>
              </w:tc>
              <w:tc>
                <w:tcPr>
                  <w:tcW w:w="489" w:type="pct"/>
                  <w:vMerge w:val="continue"/>
                  <w:vAlign w:val="center"/>
                </w:tcPr>
                <w:p w14:paraId="14CC154B">
                  <w:pPr>
                    <w:pStyle w:val="124"/>
                    <w:spacing w:line="240" w:lineRule="auto"/>
                    <w:rPr>
                      <w:rFonts w:hint="eastAsia" w:hAnsi="宋体"/>
                      <w:color w:val="auto"/>
                      <w:szCs w:val="21"/>
                    </w:rPr>
                  </w:pPr>
                </w:p>
              </w:tc>
              <w:tc>
                <w:tcPr>
                  <w:tcW w:w="1001" w:type="pct"/>
                  <w:vAlign w:val="center"/>
                </w:tcPr>
                <w:p w14:paraId="578485D0">
                  <w:pPr>
                    <w:topLinePunct/>
                    <w:jc w:val="center"/>
                    <w:rPr>
                      <w:rFonts w:hint="eastAsia"/>
                      <w:color w:val="auto"/>
                      <w:szCs w:val="21"/>
                    </w:rPr>
                  </w:pPr>
                  <w:r>
                    <w:rPr>
                      <w:rFonts w:hint="default"/>
                      <w:color w:val="auto"/>
                      <w:szCs w:val="21"/>
                      <w:lang w:val="en-US" w:eastAsia="en-US"/>
                    </w:rPr>
                    <w:t>沉淀池沉渣</w:t>
                  </w:r>
                </w:p>
              </w:tc>
              <w:tc>
                <w:tcPr>
                  <w:tcW w:w="901" w:type="pct"/>
                  <w:vAlign w:val="center"/>
                </w:tcPr>
                <w:p w14:paraId="62EC1C99">
                  <w:pPr>
                    <w:topLinePunct/>
                    <w:jc w:val="center"/>
                    <w:rPr>
                      <w:rFonts w:hint="default" w:hAnsi="宋体"/>
                      <w:color w:val="auto"/>
                      <w:szCs w:val="22"/>
                      <w:lang w:val="en-US"/>
                    </w:rPr>
                  </w:pPr>
                  <w:r>
                    <w:rPr>
                      <w:rFonts w:hint="eastAsia"/>
                      <w:color w:val="auto"/>
                      <w:szCs w:val="21"/>
                      <w:lang w:val="en-US" w:eastAsia="zh-CN"/>
                    </w:rPr>
                    <w:t>3.74</w:t>
                  </w:r>
                </w:p>
              </w:tc>
              <w:tc>
                <w:tcPr>
                  <w:tcW w:w="799" w:type="pct"/>
                </w:tcPr>
                <w:p w14:paraId="647928F2">
                  <w:pPr>
                    <w:pStyle w:val="124"/>
                    <w:spacing w:line="240" w:lineRule="auto"/>
                    <w:rPr>
                      <w:rFonts w:hint="eastAsia" w:hAnsi="宋体"/>
                      <w:color w:val="auto"/>
                      <w:szCs w:val="21"/>
                    </w:rPr>
                  </w:pPr>
                  <w:r>
                    <w:rPr>
                      <w:rFonts w:hint="eastAsia" w:hAnsi="宋体"/>
                      <w:color w:val="auto"/>
                      <w:szCs w:val="21"/>
                    </w:rPr>
                    <w:t>三个月</w:t>
                  </w:r>
                </w:p>
              </w:tc>
              <w:tc>
                <w:tcPr>
                  <w:tcW w:w="758" w:type="pct"/>
                </w:tcPr>
                <w:p w14:paraId="7F81F0DE">
                  <w:pPr>
                    <w:pStyle w:val="124"/>
                    <w:spacing w:line="240" w:lineRule="auto"/>
                    <w:rPr>
                      <w:rFonts w:hint="eastAsia" w:hAnsi="宋体"/>
                      <w:color w:val="auto"/>
                      <w:szCs w:val="21"/>
                    </w:rPr>
                  </w:pPr>
                  <w:r>
                    <w:rPr>
                      <w:rFonts w:hint="eastAsia" w:hAnsi="宋体"/>
                      <w:color w:val="auto"/>
                      <w:szCs w:val="21"/>
                    </w:rPr>
                    <w:t>三个月</w:t>
                  </w:r>
                </w:p>
              </w:tc>
            </w:tr>
          </w:tbl>
          <w:p w14:paraId="1DD4FDCD">
            <w:pPr>
              <w:pStyle w:val="57"/>
              <w:adjustRightInd/>
              <w:spacing w:line="360" w:lineRule="auto"/>
              <w:jc w:val="center"/>
              <w:rPr>
                <w:b/>
                <w:color w:val="auto"/>
              </w:rPr>
            </w:pPr>
            <w:r>
              <w:rPr>
                <w:b/>
                <w:color w:val="auto"/>
              </w:rPr>
              <w:t>表4-</w:t>
            </w:r>
            <w:r>
              <w:rPr>
                <w:rFonts w:hint="eastAsia"/>
                <w:b/>
                <w:color w:val="auto"/>
              </w:rPr>
              <w:t>20</w:t>
            </w:r>
            <w:r>
              <w:rPr>
                <w:b/>
                <w:color w:val="auto"/>
              </w:rPr>
              <w:t xml:space="preserve">  </w:t>
            </w:r>
            <w:r>
              <w:rPr>
                <w:rFonts w:hint="eastAsia"/>
                <w:b/>
                <w:color w:val="auto"/>
              </w:rPr>
              <w:t>危</w:t>
            </w:r>
            <w:r>
              <w:rPr>
                <w:b/>
                <w:color w:val="auto"/>
              </w:rPr>
              <w:t>废库基本情况表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9"/>
              <w:gridCol w:w="834"/>
              <w:gridCol w:w="834"/>
              <w:gridCol w:w="1703"/>
              <w:gridCol w:w="1188"/>
              <w:gridCol w:w="1875"/>
              <w:gridCol w:w="1118"/>
            </w:tblGrid>
            <w:tr w14:paraId="423E58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26" w:type="pct"/>
                  <w:vAlign w:val="center"/>
                </w:tcPr>
                <w:p w14:paraId="0F196DC1">
                  <w:pPr>
                    <w:pStyle w:val="124"/>
                    <w:spacing w:line="240" w:lineRule="auto"/>
                    <w:rPr>
                      <w:b/>
                      <w:color w:val="auto"/>
                      <w:szCs w:val="21"/>
                    </w:rPr>
                  </w:pPr>
                  <w:r>
                    <w:rPr>
                      <w:rFonts w:hint="eastAsia" w:hAnsi="宋体"/>
                      <w:b/>
                      <w:color w:val="auto"/>
                      <w:szCs w:val="21"/>
                    </w:rPr>
                    <w:t>贮存场所</w:t>
                  </w:r>
                </w:p>
              </w:tc>
              <w:tc>
                <w:tcPr>
                  <w:tcW w:w="494" w:type="pct"/>
                  <w:vAlign w:val="center"/>
                </w:tcPr>
                <w:p w14:paraId="5D943524">
                  <w:pPr>
                    <w:pStyle w:val="124"/>
                    <w:spacing w:line="240" w:lineRule="auto"/>
                    <w:rPr>
                      <w:b/>
                      <w:color w:val="auto"/>
                      <w:szCs w:val="21"/>
                    </w:rPr>
                  </w:pPr>
                  <w:r>
                    <w:rPr>
                      <w:rFonts w:hint="eastAsia" w:hAnsi="宋体"/>
                      <w:b/>
                      <w:color w:val="auto"/>
                      <w:szCs w:val="21"/>
                    </w:rPr>
                    <w:t>占地面积</w:t>
                  </w:r>
                </w:p>
              </w:tc>
              <w:tc>
                <w:tcPr>
                  <w:tcW w:w="494" w:type="pct"/>
                  <w:vAlign w:val="center"/>
                </w:tcPr>
                <w:p w14:paraId="19C7907B">
                  <w:pPr>
                    <w:pStyle w:val="124"/>
                    <w:spacing w:line="240" w:lineRule="auto"/>
                    <w:rPr>
                      <w:b/>
                      <w:color w:val="auto"/>
                      <w:szCs w:val="21"/>
                    </w:rPr>
                  </w:pPr>
                  <w:r>
                    <w:rPr>
                      <w:rFonts w:hint="eastAsia" w:hAnsi="宋体"/>
                      <w:b/>
                      <w:color w:val="auto"/>
                      <w:szCs w:val="21"/>
                    </w:rPr>
                    <w:t>储存能力</w:t>
                  </w:r>
                </w:p>
              </w:tc>
              <w:tc>
                <w:tcPr>
                  <w:tcW w:w="1008" w:type="pct"/>
                  <w:vAlign w:val="center"/>
                </w:tcPr>
                <w:p w14:paraId="1706E53A">
                  <w:pPr>
                    <w:pStyle w:val="124"/>
                    <w:spacing w:line="240" w:lineRule="auto"/>
                    <w:rPr>
                      <w:b/>
                      <w:color w:val="auto"/>
                      <w:szCs w:val="21"/>
                    </w:rPr>
                  </w:pPr>
                  <w:r>
                    <w:rPr>
                      <w:rFonts w:hint="eastAsia" w:hAnsi="宋体"/>
                      <w:b/>
                      <w:color w:val="auto"/>
                      <w:szCs w:val="21"/>
                    </w:rPr>
                    <w:t>固废名称</w:t>
                  </w:r>
                </w:p>
              </w:tc>
              <w:tc>
                <w:tcPr>
                  <w:tcW w:w="703" w:type="pct"/>
                  <w:vAlign w:val="center"/>
                </w:tcPr>
                <w:p w14:paraId="7E948FFF">
                  <w:pPr>
                    <w:pStyle w:val="124"/>
                    <w:spacing w:line="240" w:lineRule="auto"/>
                    <w:rPr>
                      <w:b/>
                      <w:color w:val="auto"/>
                      <w:szCs w:val="21"/>
                    </w:rPr>
                  </w:pPr>
                  <w:r>
                    <w:rPr>
                      <w:rFonts w:hint="eastAsia"/>
                      <w:b/>
                      <w:color w:val="auto"/>
                      <w:szCs w:val="21"/>
                    </w:rPr>
                    <w:t>产生量（t/a）</w:t>
                  </w:r>
                </w:p>
              </w:tc>
              <w:tc>
                <w:tcPr>
                  <w:tcW w:w="1110" w:type="pct"/>
                  <w:vAlign w:val="center"/>
                </w:tcPr>
                <w:p w14:paraId="2465371A">
                  <w:pPr>
                    <w:pStyle w:val="124"/>
                    <w:spacing w:line="240" w:lineRule="auto"/>
                    <w:rPr>
                      <w:b/>
                      <w:color w:val="auto"/>
                      <w:szCs w:val="21"/>
                    </w:rPr>
                  </w:pPr>
                  <w:r>
                    <w:rPr>
                      <w:rFonts w:hint="eastAsia" w:hAnsi="宋体"/>
                      <w:b/>
                      <w:color w:val="auto"/>
                      <w:szCs w:val="21"/>
                    </w:rPr>
                    <w:t>贮存周期</w:t>
                  </w:r>
                </w:p>
              </w:tc>
              <w:tc>
                <w:tcPr>
                  <w:tcW w:w="662" w:type="pct"/>
                  <w:vAlign w:val="center"/>
                </w:tcPr>
                <w:p w14:paraId="59FFB7E3">
                  <w:pPr>
                    <w:pStyle w:val="124"/>
                    <w:spacing w:line="240" w:lineRule="auto"/>
                    <w:rPr>
                      <w:b/>
                      <w:color w:val="auto"/>
                      <w:szCs w:val="21"/>
                    </w:rPr>
                  </w:pPr>
                  <w:r>
                    <w:rPr>
                      <w:rFonts w:hint="eastAsia" w:hAnsi="宋体"/>
                      <w:b/>
                      <w:color w:val="auto"/>
                      <w:szCs w:val="21"/>
                    </w:rPr>
                    <w:t>处理周期</w:t>
                  </w:r>
                </w:p>
              </w:tc>
            </w:tr>
            <w:tr w14:paraId="48E5AE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6" w:type="pct"/>
                  <w:vMerge w:val="restart"/>
                  <w:vAlign w:val="center"/>
                </w:tcPr>
                <w:p w14:paraId="452A73E2">
                  <w:pPr>
                    <w:pStyle w:val="124"/>
                    <w:spacing w:line="240" w:lineRule="auto"/>
                    <w:rPr>
                      <w:rFonts w:hint="eastAsia" w:hAnsi="宋体" w:eastAsia="宋体"/>
                      <w:color w:val="auto"/>
                      <w:szCs w:val="21"/>
                      <w:lang w:val="en-US" w:eastAsia="zh-CN"/>
                    </w:rPr>
                  </w:pPr>
                  <w:r>
                    <w:rPr>
                      <w:rFonts w:hint="eastAsia" w:hAnsi="宋体"/>
                      <w:color w:val="auto"/>
                      <w:szCs w:val="21"/>
                      <w:lang w:val="en-US" w:eastAsia="zh-CN"/>
                    </w:rPr>
                    <w:t>危废库</w:t>
                  </w:r>
                </w:p>
              </w:tc>
              <w:tc>
                <w:tcPr>
                  <w:tcW w:w="494" w:type="pct"/>
                  <w:vMerge w:val="restart"/>
                  <w:vAlign w:val="center"/>
                </w:tcPr>
                <w:p w14:paraId="08AC9174">
                  <w:pPr>
                    <w:pStyle w:val="124"/>
                    <w:spacing w:line="240" w:lineRule="auto"/>
                    <w:rPr>
                      <w:rFonts w:hint="default" w:hAnsi="宋体" w:eastAsia="宋体"/>
                      <w:color w:val="auto"/>
                      <w:szCs w:val="21"/>
                      <w:lang w:val="en-US" w:eastAsia="zh-CN"/>
                    </w:rPr>
                  </w:pPr>
                  <w:r>
                    <w:rPr>
                      <w:rFonts w:hint="eastAsia" w:hAnsi="宋体"/>
                      <w:color w:val="auto"/>
                      <w:szCs w:val="21"/>
                      <w:lang w:val="en-US" w:eastAsia="zh-CN"/>
                    </w:rPr>
                    <w:t>10</w:t>
                  </w:r>
                </w:p>
              </w:tc>
              <w:tc>
                <w:tcPr>
                  <w:tcW w:w="494" w:type="pct"/>
                  <w:vMerge w:val="restart"/>
                  <w:vAlign w:val="center"/>
                </w:tcPr>
                <w:p w14:paraId="5F54B547">
                  <w:pPr>
                    <w:pStyle w:val="124"/>
                    <w:spacing w:line="240" w:lineRule="auto"/>
                    <w:rPr>
                      <w:rFonts w:hint="default" w:hAnsi="宋体" w:eastAsia="宋体"/>
                      <w:color w:val="auto"/>
                      <w:szCs w:val="21"/>
                      <w:lang w:val="en-US" w:eastAsia="zh-CN"/>
                    </w:rPr>
                  </w:pPr>
                  <w:r>
                    <w:rPr>
                      <w:rFonts w:hint="eastAsia" w:hAnsi="宋体"/>
                      <w:color w:val="auto"/>
                      <w:szCs w:val="21"/>
                      <w:lang w:val="en-US" w:eastAsia="zh-CN"/>
                    </w:rPr>
                    <w:t>8</w:t>
                  </w:r>
                </w:p>
              </w:tc>
              <w:tc>
                <w:tcPr>
                  <w:tcW w:w="1008" w:type="pct"/>
                  <w:vAlign w:val="center"/>
                </w:tcPr>
                <w:p w14:paraId="5FFC6064">
                  <w:pPr>
                    <w:pStyle w:val="124"/>
                    <w:spacing w:line="240" w:lineRule="auto"/>
                    <w:rPr>
                      <w:rFonts w:hint="eastAsia" w:hAnsi="宋体"/>
                      <w:color w:val="auto"/>
                      <w:szCs w:val="22"/>
                    </w:rPr>
                  </w:pPr>
                  <w:r>
                    <w:rPr>
                      <w:rFonts w:hint="eastAsia"/>
                      <w:color w:val="auto"/>
                      <w:szCs w:val="21"/>
                    </w:rPr>
                    <w:t>废</w:t>
                  </w:r>
                  <w:r>
                    <w:rPr>
                      <w:rFonts w:hint="eastAsia"/>
                      <w:color w:val="auto"/>
                      <w:szCs w:val="21"/>
                      <w:lang w:val="en-US" w:eastAsia="zh-CN"/>
                    </w:rPr>
                    <w:t>机</w:t>
                  </w:r>
                  <w:r>
                    <w:rPr>
                      <w:rFonts w:hint="eastAsia"/>
                      <w:color w:val="auto"/>
                      <w:szCs w:val="21"/>
                    </w:rPr>
                    <w:t>油</w:t>
                  </w:r>
                </w:p>
              </w:tc>
              <w:tc>
                <w:tcPr>
                  <w:tcW w:w="703" w:type="pct"/>
                  <w:vAlign w:val="center"/>
                </w:tcPr>
                <w:p w14:paraId="700AB497">
                  <w:pPr>
                    <w:pStyle w:val="124"/>
                    <w:spacing w:line="240" w:lineRule="auto"/>
                    <w:rPr>
                      <w:rFonts w:hint="eastAsia" w:hAnsi="宋体"/>
                      <w:color w:val="auto"/>
                      <w:szCs w:val="22"/>
                    </w:rPr>
                  </w:pPr>
                  <w:r>
                    <w:rPr>
                      <w:rFonts w:hint="eastAsia" w:hAnsi="宋体"/>
                      <w:color w:val="auto"/>
                      <w:szCs w:val="22"/>
                    </w:rPr>
                    <w:t>0.05</w:t>
                  </w:r>
                </w:p>
              </w:tc>
              <w:tc>
                <w:tcPr>
                  <w:tcW w:w="1110" w:type="pct"/>
                  <w:vAlign w:val="center"/>
                </w:tcPr>
                <w:p w14:paraId="65BF0402">
                  <w:pPr>
                    <w:pStyle w:val="124"/>
                    <w:spacing w:line="240" w:lineRule="auto"/>
                    <w:rPr>
                      <w:rFonts w:hint="eastAsia" w:hAnsi="宋体"/>
                      <w:color w:val="auto"/>
                      <w:szCs w:val="21"/>
                    </w:rPr>
                  </w:pPr>
                  <w:r>
                    <w:rPr>
                      <w:rFonts w:hint="eastAsia" w:hAnsi="宋体"/>
                      <w:color w:val="auto"/>
                      <w:szCs w:val="21"/>
                    </w:rPr>
                    <w:t>三个月</w:t>
                  </w:r>
                </w:p>
              </w:tc>
              <w:tc>
                <w:tcPr>
                  <w:tcW w:w="662" w:type="pct"/>
                  <w:vAlign w:val="center"/>
                </w:tcPr>
                <w:p w14:paraId="6C09A401">
                  <w:pPr>
                    <w:pStyle w:val="124"/>
                    <w:spacing w:line="240" w:lineRule="auto"/>
                    <w:rPr>
                      <w:rFonts w:hint="eastAsia" w:hAnsi="宋体"/>
                      <w:color w:val="auto"/>
                      <w:szCs w:val="21"/>
                    </w:rPr>
                  </w:pPr>
                  <w:r>
                    <w:rPr>
                      <w:rFonts w:hint="eastAsia" w:hAnsi="宋体"/>
                      <w:color w:val="auto"/>
                      <w:szCs w:val="21"/>
                    </w:rPr>
                    <w:t>三个月</w:t>
                  </w:r>
                </w:p>
              </w:tc>
            </w:tr>
            <w:tr w14:paraId="743BDC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jc w:val="center"/>
              </w:trPr>
              <w:tc>
                <w:tcPr>
                  <w:tcW w:w="526" w:type="pct"/>
                  <w:vMerge w:val="continue"/>
                  <w:vAlign w:val="center"/>
                </w:tcPr>
                <w:p w14:paraId="2E5313F2">
                  <w:pPr>
                    <w:pStyle w:val="124"/>
                    <w:spacing w:line="240" w:lineRule="auto"/>
                    <w:rPr>
                      <w:rFonts w:hint="eastAsia" w:hAnsi="宋体"/>
                      <w:color w:val="auto"/>
                      <w:szCs w:val="21"/>
                    </w:rPr>
                  </w:pPr>
                </w:p>
              </w:tc>
              <w:tc>
                <w:tcPr>
                  <w:tcW w:w="494" w:type="pct"/>
                  <w:vMerge w:val="continue"/>
                  <w:vAlign w:val="center"/>
                </w:tcPr>
                <w:p w14:paraId="443101FB">
                  <w:pPr>
                    <w:pStyle w:val="124"/>
                    <w:spacing w:line="240" w:lineRule="auto"/>
                    <w:rPr>
                      <w:rFonts w:hint="eastAsia" w:hAnsi="宋体"/>
                      <w:color w:val="auto"/>
                      <w:szCs w:val="21"/>
                    </w:rPr>
                  </w:pPr>
                </w:p>
              </w:tc>
              <w:tc>
                <w:tcPr>
                  <w:tcW w:w="494" w:type="pct"/>
                  <w:vMerge w:val="continue"/>
                  <w:vAlign w:val="center"/>
                </w:tcPr>
                <w:p w14:paraId="2725D692">
                  <w:pPr>
                    <w:pStyle w:val="124"/>
                    <w:spacing w:line="240" w:lineRule="auto"/>
                    <w:rPr>
                      <w:rFonts w:hint="eastAsia" w:hAnsi="宋体"/>
                      <w:color w:val="auto"/>
                      <w:szCs w:val="21"/>
                    </w:rPr>
                  </w:pPr>
                </w:p>
              </w:tc>
              <w:tc>
                <w:tcPr>
                  <w:tcW w:w="1008" w:type="pct"/>
                  <w:vAlign w:val="center"/>
                </w:tcPr>
                <w:p w14:paraId="73E483DD">
                  <w:pPr>
                    <w:pStyle w:val="124"/>
                    <w:spacing w:line="240" w:lineRule="auto"/>
                    <w:rPr>
                      <w:rFonts w:hint="eastAsia" w:hAnsi="宋体"/>
                      <w:color w:val="auto"/>
                      <w:szCs w:val="22"/>
                    </w:rPr>
                  </w:pPr>
                  <w:r>
                    <w:rPr>
                      <w:rFonts w:hint="eastAsia"/>
                      <w:color w:val="auto"/>
                      <w:szCs w:val="21"/>
                    </w:rPr>
                    <w:t>废</w:t>
                  </w:r>
                  <w:r>
                    <w:rPr>
                      <w:rFonts w:hint="eastAsia"/>
                      <w:color w:val="auto"/>
                      <w:szCs w:val="21"/>
                      <w:lang w:val="en-US" w:eastAsia="zh-CN"/>
                    </w:rPr>
                    <w:t>机</w:t>
                  </w:r>
                  <w:r>
                    <w:rPr>
                      <w:rFonts w:hint="eastAsia"/>
                      <w:color w:val="auto"/>
                      <w:szCs w:val="21"/>
                    </w:rPr>
                    <w:t>油桶</w:t>
                  </w:r>
                </w:p>
              </w:tc>
              <w:tc>
                <w:tcPr>
                  <w:tcW w:w="703" w:type="pct"/>
                  <w:vAlign w:val="center"/>
                </w:tcPr>
                <w:p w14:paraId="20A3B6B0">
                  <w:pPr>
                    <w:pStyle w:val="124"/>
                    <w:spacing w:line="240" w:lineRule="auto"/>
                    <w:rPr>
                      <w:rFonts w:hint="eastAsia" w:hAnsi="宋体"/>
                      <w:color w:val="auto"/>
                      <w:szCs w:val="22"/>
                    </w:rPr>
                  </w:pPr>
                  <w:r>
                    <w:rPr>
                      <w:rFonts w:hint="eastAsia" w:hAnsi="宋体"/>
                      <w:color w:val="auto"/>
                      <w:szCs w:val="22"/>
                    </w:rPr>
                    <w:t>0.0</w:t>
                  </w:r>
                  <w:r>
                    <w:rPr>
                      <w:rFonts w:hint="eastAsia" w:hAnsi="宋体"/>
                      <w:color w:val="auto"/>
                      <w:szCs w:val="22"/>
                      <w:lang w:val="en-US" w:eastAsia="zh-CN"/>
                    </w:rPr>
                    <w:t>04</w:t>
                  </w:r>
                </w:p>
              </w:tc>
              <w:tc>
                <w:tcPr>
                  <w:tcW w:w="1110" w:type="pct"/>
                  <w:vAlign w:val="center"/>
                </w:tcPr>
                <w:p w14:paraId="43A44C16">
                  <w:pPr>
                    <w:pStyle w:val="124"/>
                    <w:spacing w:line="240" w:lineRule="auto"/>
                    <w:rPr>
                      <w:rFonts w:hint="eastAsia" w:hAnsi="宋体"/>
                      <w:color w:val="auto"/>
                      <w:szCs w:val="21"/>
                    </w:rPr>
                  </w:pPr>
                  <w:r>
                    <w:rPr>
                      <w:rFonts w:hint="eastAsia" w:hAnsi="宋体"/>
                      <w:color w:val="auto"/>
                      <w:szCs w:val="21"/>
                    </w:rPr>
                    <w:t>三个月</w:t>
                  </w:r>
                </w:p>
              </w:tc>
              <w:tc>
                <w:tcPr>
                  <w:tcW w:w="662" w:type="pct"/>
                  <w:vAlign w:val="center"/>
                </w:tcPr>
                <w:p w14:paraId="1107D325">
                  <w:pPr>
                    <w:pStyle w:val="124"/>
                    <w:spacing w:line="240" w:lineRule="auto"/>
                    <w:rPr>
                      <w:rFonts w:hint="eastAsia" w:hAnsi="宋体"/>
                      <w:color w:val="auto"/>
                      <w:szCs w:val="21"/>
                    </w:rPr>
                  </w:pPr>
                  <w:r>
                    <w:rPr>
                      <w:rFonts w:hint="eastAsia" w:hAnsi="宋体"/>
                      <w:color w:val="auto"/>
                      <w:szCs w:val="21"/>
                    </w:rPr>
                    <w:t>三个月</w:t>
                  </w:r>
                </w:p>
              </w:tc>
            </w:tr>
          </w:tbl>
          <w:p w14:paraId="0052A57A">
            <w:pPr>
              <w:pStyle w:val="57"/>
              <w:spacing w:line="360" w:lineRule="auto"/>
              <w:ind w:firstLine="480" w:firstLineChars="200"/>
              <w:jc w:val="both"/>
              <w:rPr>
                <w:b w:val="0"/>
                <w:bCs w:val="0"/>
                <w:color w:val="auto"/>
              </w:rPr>
            </w:pPr>
            <w:r>
              <w:rPr>
                <w:rFonts w:hint="eastAsia"/>
                <w:b w:val="0"/>
                <w:bCs w:val="0"/>
                <w:color w:val="auto"/>
              </w:rPr>
              <w:t>综上所述，本项目一般固废产生量为</w:t>
            </w:r>
            <w:r>
              <w:rPr>
                <w:rFonts w:hint="eastAsia"/>
                <w:b w:val="0"/>
                <w:bCs w:val="0"/>
                <w:color w:val="auto"/>
                <w:lang w:val="en-US" w:eastAsia="zh-CN"/>
              </w:rPr>
              <w:t>65.35</w:t>
            </w:r>
            <w:r>
              <w:rPr>
                <w:rFonts w:hint="eastAsia"/>
                <w:b w:val="0"/>
                <w:bCs w:val="0"/>
                <w:color w:val="auto"/>
              </w:rPr>
              <w:t>t/a，危废产生量为</w:t>
            </w:r>
            <w:r>
              <w:rPr>
                <w:rFonts w:hint="eastAsia"/>
                <w:b w:val="0"/>
                <w:bCs w:val="0"/>
                <w:color w:val="auto"/>
                <w:lang w:val="en-US" w:eastAsia="zh-CN"/>
              </w:rPr>
              <w:t>0.054</w:t>
            </w:r>
            <w:r>
              <w:rPr>
                <w:rFonts w:hint="eastAsia"/>
                <w:b w:val="0"/>
                <w:bCs w:val="0"/>
                <w:color w:val="auto"/>
              </w:rPr>
              <w:t>t/a，结合废物贮存周期分析，则一般固废库和危废库存储是可行的。</w:t>
            </w:r>
          </w:p>
          <w:p w14:paraId="7DA2F162">
            <w:pPr>
              <w:pStyle w:val="57"/>
              <w:adjustRightInd/>
              <w:spacing w:line="360" w:lineRule="auto"/>
              <w:ind w:firstLine="482" w:firstLineChars="200"/>
              <w:jc w:val="both"/>
              <w:rPr>
                <w:color w:val="auto"/>
              </w:rPr>
            </w:pPr>
            <w:r>
              <w:rPr>
                <w:rFonts w:hint="eastAsia"/>
                <w:color w:val="auto"/>
              </w:rPr>
              <w:t>4、一般工业固体废物环境影响分析</w:t>
            </w:r>
          </w:p>
          <w:p w14:paraId="6F132FDC">
            <w:pPr>
              <w:spacing w:line="360" w:lineRule="auto"/>
              <w:ind w:firstLine="480" w:firstLineChars="200"/>
              <w:rPr>
                <w:color w:val="auto"/>
                <w:sz w:val="24"/>
              </w:rPr>
            </w:pPr>
            <w:r>
              <w:rPr>
                <w:color w:val="auto"/>
                <w:sz w:val="24"/>
              </w:rPr>
              <w:t>本项目</w:t>
            </w:r>
            <w:r>
              <w:rPr>
                <w:rFonts w:hint="eastAsia"/>
                <w:color w:val="auto"/>
                <w:sz w:val="24"/>
              </w:rPr>
              <w:t>一般工业固废的暂存场所一般固废库位于</w:t>
            </w:r>
            <w:r>
              <w:rPr>
                <w:rFonts w:hint="eastAsia"/>
                <w:color w:val="auto"/>
                <w:sz w:val="24"/>
                <w:lang w:val="en-US" w:eastAsia="zh-CN"/>
              </w:rPr>
              <w:t>生产车间</w:t>
            </w:r>
            <w:r>
              <w:rPr>
                <w:rFonts w:hint="eastAsia"/>
                <w:color w:val="auto"/>
                <w:sz w:val="24"/>
              </w:rPr>
              <w:t>东侧，占地面积</w:t>
            </w:r>
            <w:r>
              <w:rPr>
                <w:rFonts w:hint="eastAsia"/>
                <w:color w:val="auto"/>
                <w:sz w:val="24"/>
                <w:lang w:val="en-US" w:eastAsia="zh-CN"/>
              </w:rPr>
              <w:t>30</w:t>
            </w:r>
            <w:r>
              <w:rPr>
                <w:rFonts w:hint="eastAsia"/>
                <w:color w:val="auto"/>
                <w:sz w:val="24"/>
              </w:rPr>
              <w:t>m</w:t>
            </w:r>
            <w:r>
              <w:rPr>
                <w:rFonts w:hint="eastAsia"/>
                <w:color w:val="auto"/>
                <w:sz w:val="24"/>
                <w:vertAlign w:val="superscript"/>
              </w:rPr>
              <w:t>2</w:t>
            </w:r>
            <w:r>
              <w:rPr>
                <w:rFonts w:hint="eastAsia"/>
                <w:color w:val="auto"/>
                <w:sz w:val="24"/>
              </w:rPr>
              <w:t>，需参照</w:t>
            </w:r>
            <w:r>
              <w:rPr>
                <w:color w:val="auto"/>
                <w:kern w:val="0"/>
                <w:sz w:val="24"/>
                <w:szCs w:val="24"/>
              </w:rPr>
              <w:t>《一般工业固体废物贮存和填埋污染控制标准》（GB18599-20</w:t>
            </w:r>
            <w:r>
              <w:rPr>
                <w:rFonts w:hint="eastAsia"/>
                <w:color w:val="auto"/>
                <w:kern w:val="0"/>
                <w:sz w:val="24"/>
                <w:szCs w:val="24"/>
              </w:rPr>
              <w:t>20</w:t>
            </w:r>
            <w:r>
              <w:rPr>
                <w:color w:val="auto"/>
                <w:kern w:val="0"/>
                <w:sz w:val="24"/>
                <w:szCs w:val="24"/>
              </w:rPr>
              <w:t>）</w:t>
            </w:r>
            <w:r>
              <w:rPr>
                <w:rFonts w:hint="eastAsia"/>
                <w:color w:val="auto"/>
                <w:kern w:val="0"/>
                <w:sz w:val="24"/>
                <w:szCs w:val="24"/>
              </w:rPr>
              <w:t>中有关</w:t>
            </w:r>
            <w:r>
              <w:rPr>
                <w:rFonts w:hint="eastAsia"/>
                <w:color w:val="auto"/>
                <w:sz w:val="24"/>
              </w:rPr>
              <w:t>要求建设，具体要求如下：</w:t>
            </w:r>
          </w:p>
          <w:p w14:paraId="4E1FF94A">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）贮存、处置场的建设类型，须与将要堆放的一般工业固体废物的类别相一致。</w:t>
            </w:r>
          </w:p>
          <w:p w14:paraId="3BAB7B27">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）贮存、处置场应采取防止粉尘污染的措施。</w:t>
            </w:r>
          </w:p>
          <w:p w14:paraId="3CA056E4">
            <w:pPr>
              <w:spacing w:line="360" w:lineRule="auto"/>
              <w:ind w:firstLine="480" w:firstLineChars="200"/>
              <w:rPr>
                <w:color w:val="auto"/>
                <w:sz w:val="24"/>
              </w:rPr>
            </w:pPr>
            <w:r>
              <w:rPr>
                <w:rFonts w:hint="eastAsia"/>
                <w:color w:val="auto"/>
                <w:sz w:val="24"/>
              </w:rPr>
              <w:t>（3）为保障设施、设备正常运营，必要时应采取措施防止地基下沉，尤其是防止不均匀或局部下沉。</w:t>
            </w:r>
          </w:p>
          <w:p w14:paraId="6E324CDB">
            <w:pPr>
              <w:spacing w:line="360" w:lineRule="auto"/>
              <w:ind w:firstLine="480" w:firstLineChars="200"/>
              <w:rPr>
                <w:color w:val="auto"/>
                <w:sz w:val="24"/>
                <w:szCs w:val="24"/>
              </w:rPr>
            </w:pPr>
            <w:r>
              <w:rPr>
                <w:rFonts w:hint="eastAsia"/>
                <w:color w:val="auto"/>
                <w:sz w:val="24"/>
              </w:rPr>
              <w:t>（4）按照《环境保护图形标志—固体废物贮存（处置）场》（</w:t>
            </w:r>
            <w:r>
              <w:rPr>
                <w:color w:val="auto"/>
                <w:sz w:val="24"/>
              </w:rPr>
              <w:t>GB1556.2-1995</w:t>
            </w:r>
            <w:r>
              <w:rPr>
                <w:rFonts w:hint="eastAsia"/>
                <w:color w:val="auto"/>
                <w:sz w:val="24"/>
              </w:rPr>
              <w:t>）及其修改单的要求设置提示性和警示性图形标志。</w:t>
            </w:r>
          </w:p>
          <w:p w14:paraId="1ABB5A35">
            <w:pPr>
              <w:spacing w:line="360" w:lineRule="auto"/>
              <w:ind w:firstLine="480" w:firstLineChars="200"/>
              <w:rPr>
                <w:color w:val="auto"/>
                <w:sz w:val="24"/>
              </w:rPr>
            </w:pPr>
            <w:r>
              <w:rPr>
                <w:rFonts w:hint="eastAsia"/>
                <w:color w:val="auto"/>
                <w:sz w:val="24"/>
              </w:rPr>
              <w:t>一般工业固体废物收集管理要求：</w:t>
            </w:r>
          </w:p>
          <w:p w14:paraId="2080656B">
            <w:pPr>
              <w:spacing w:line="360" w:lineRule="auto"/>
              <w:ind w:firstLine="480" w:firstLineChars="200"/>
              <w:rPr>
                <w:color w:val="auto"/>
                <w:sz w:val="24"/>
              </w:rPr>
            </w:pPr>
            <w:r>
              <w:rPr>
                <w:rFonts w:hint="eastAsia"/>
                <w:color w:val="auto"/>
                <w:sz w:val="24"/>
              </w:rPr>
              <w:t>（1）产生固体废物的单位和个人，应当采取措施，防止或者减少固体废物对环境的污染，对所造成的环境污染依法承担责任。</w:t>
            </w:r>
          </w:p>
          <w:p w14:paraId="78BF7C41">
            <w:pPr>
              <w:spacing w:line="360" w:lineRule="auto"/>
              <w:ind w:firstLine="480" w:firstLineChars="200"/>
              <w:rPr>
                <w:color w:val="auto"/>
                <w:sz w:val="24"/>
              </w:rPr>
            </w:pPr>
            <w:r>
              <w:rPr>
                <w:rFonts w:hint="eastAsia"/>
                <w:color w:val="auto"/>
                <w:sz w:val="24"/>
              </w:rPr>
              <w:t>（2）产生固体废物的单位和其他生产经营者，应当采取防扬散、防流失、防渗漏或者其他防止污染环境的措施，不得擅自倾倒、堆放、丢弃、遗撒固体废物。</w:t>
            </w:r>
          </w:p>
          <w:p w14:paraId="650EC744">
            <w:pPr>
              <w:spacing w:line="360" w:lineRule="auto"/>
              <w:ind w:firstLine="480" w:firstLineChars="200"/>
              <w:rPr>
                <w:color w:val="auto"/>
                <w:sz w:val="24"/>
              </w:rPr>
            </w:pPr>
            <w:r>
              <w:rPr>
                <w:rFonts w:hint="eastAsia"/>
                <w:color w:val="auto"/>
                <w:sz w:val="24"/>
              </w:rPr>
              <w:t>（3）禁止任何单位或者个人向江河、湖泊、运河、渠道、水库及其最高水位线以下的滩地和岸坡以及法律法规规定的其他地点倾倒、堆放、贮存固体废物。同时禁止向生活垃圾收集设施中投放工业固体废物。</w:t>
            </w:r>
          </w:p>
          <w:p w14:paraId="02FF6D13">
            <w:pPr>
              <w:spacing w:line="360" w:lineRule="auto"/>
              <w:ind w:firstLine="480" w:firstLineChars="200"/>
              <w:rPr>
                <w:color w:val="auto"/>
                <w:sz w:val="24"/>
              </w:rPr>
            </w:pPr>
            <w:r>
              <w:rPr>
                <w:rFonts w:hint="eastAsia"/>
                <w:color w:val="auto"/>
                <w:sz w:val="24"/>
              </w:rPr>
              <w:t>（4）产生固体废物的单位，应当依法及时公开固体废物污染环境防治信息，主动接受社会监督。</w:t>
            </w:r>
          </w:p>
          <w:p w14:paraId="1C081E90">
            <w:pPr>
              <w:spacing w:line="360" w:lineRule="auto"/>
              <w:ind w:firstLine="480" w:firstLineChars="200"/>
              <w:rPr>
                <w:color w:val="auto"/>
                <w:sz w:val="24"/>
              </w:rPr>
            </w:pPr>
            <w:r>
              <w:rPr>
                <w:rFonts w:hint="eastAsia"/>
                <w:color w:val="auto"/>
                <w:sz w:val="24"/>
              </w:rPr>
              <w:t>（5）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E8937AD">
            <w:pPr>
              <w:pStyle w:val="57"/>
              <w:adjustRightInd/>
              <w:spacing w:line="360" w:lineRule="auto"/>
              <w:ind w:firstLine="482" w:firstLineChars="200"/>
              <w:rPr>
                <w:color w:val="auto"/>
              </w:rPr>
            </w:pPr>
            <w:r>
              <w:rPr>
                <w:rFonts w:hint="eastAsia"/>
                <w:color w:val="auto"/>
              </w:rPr>
              <w:t>5、危险废物环境影响分析</w:t>
            </w:r>
          </w:p>
          <w:p w14:paraId="7129F5FC">
            <w:pPr>
              <w:spacing w:line="360" w:lineRule="auto"/>
              <w:ind w:firstLine="480" w:firstLineChars="200"/>
              <w:rPr>
                <w:color w:val="auto"/>
                <w:sz w:val="24"/>
              </w:rPr>
            </w:pPr>
            <w:r>
              <w:rPr>
                <w:color w:val="auto"/>
                <w:sz w:val="24"/>
              </w:rPr>
              <w:t>本项目运营期有</w:t>
            </w:r>
            <w:r>
              <w:rPr>
                <w:rFonts w:hint="eastAsia" w:hAnsi="宋体"/>
                <w:color w:val="auto"/>
                <w:sz w:val="24"/>
              </w:rPr>
              <w:t>废</w:t>
            </w:r>
            <w:r>
              <w:rPr>
                <w:rFonts w:hint="eastAsia" w:hAnsi="宋体"/>
                <w:color w:val="auto"/>
                <w:sz w:val="24"/>
                <w:lang w:val="en-US" w:eastAsia="zh-CN"/>
              </w:rPr>
              <w:t>机</w:t>
            </w:r>
            <w:r>
              <w:rPr>
                <w:rFonts w:hint="eastAsia" w:hAnsi="宋体"/>
                <w:color w:val="auto"/>
                <w:sz w:val="24"/>
              </w:rPr>
              <w:t>油、废</w:t>
            </w:r>
            <w:r>
              <w:rPr>
                <w:rFonts w:hint="eastAsia" w:hAnsi="宋体"/>
                <w:color w:val="auto"/>
                <w:sz w:val="24"/>
                <w:lang w:val="en-US" w:eastAsia="zh-CN"/>
              </w:rPr>
              <w:t>机</w:t>
            </w:r>
            <w:r>
              <w:rPr>
                <w:rFonts w:hint="eastAsia" w:hAnsi="宋体"/>
                <w:color w:val="auto"/>
                <w:sz w:val="24"/>
              </w:rPr>
              <w:t>油桶</w:t>
            </w:r>
            <w:r>
              <w:rPr>
                <w:rFonts w:hint="eastAsia"/>
                <w:color w:val="auto"/>
                <w:sz w:val="24"/>
              </w:rPr>
              <w:t>，属于危险废物，危废库位于</w:t>
            </w:r>
            <w:r>
              <w:rPr>
                <w:rFonts w:hint="eastAsia"/>
                <w:color w:val="auto"/>
                <w:sz w:val="24"/>
                <w:lang w:val="en-US" w:eastAsia="zh-CN"/>
              </w:rPr>
              <w:t>生产车间西</w:t>
            </w:r>
            <w:r>
              <w:rPr>
                <w:rFonts w:hint="eastAsia"/>
                <w:color w:val="auto"/>
                <w:sz w:val="24"/>
              </w:rPr>
              <w:t>侧</w:t>
            </w:r>
            <w:r>
              <w:rPr>
                <w:rFonts w:hint="eastAsia"/>
                <w:color w:val="auto"/>
                <w:sz w:val="24"/>
                <w:lang w:val="en-US" w:eastAsia="zh-CN"/>
              </w:rPr>
              <w:t>紧邻一般固废库</w:t>
            </w:r>
            <w:r>
              <w:rPr>
                <w:rFonts w:hint="eastAsia"/>
                <w:color w:val="auto"/>
                <w:sz w:val="24"/>
              </w:rPr>
              <w:t>，</w:t>
            </w:r>
            <w:r>
              <w:rPr>
                <w:color w:val="auto"/>
                <w:sz w:val="24"/>
              </w:rPr>
              <w:t>占地面积</w:t>
            </w:r>
            <w:r>
              <w:rPr>
                <w:rFonts w:hint="eastAsia"/>
                <w:color w:val="auto"/>
                <w:sz w:val="24"/>
                <w:lang w:val="en-US" w:eastAsia="zh-CN"/>
              </w:rPr>
              <w:t>10</w:t>
            </w:r>
            <w:r>
              <w:rPr>
                <w:color w:val="auto"/>
                <w:sz w:val="24"/>
              </w:rPr>
              <w:t>m</w:t>
            </w:r>
            <w:r>
              <w:rPr>
                <w:color w:val="auto"/>
                <w:sz w:val="24"/>
                <w:vertAlign w:val="superscript"/>
              </w:rPr>
              <w:t>2</w:t>
            </w:r>
            <w:r>
              <w:rPr>
                <w:rFonts w:hint="eastAsia"/>
                <w:color w:val="auto"/>
                <w:sz w:val="24"/>
              </w:rPr>
              <w:t>，用于</w:t>
            </w:r>
            <w:r>
              <w:rPr>
                <w:color w:val="auto"/>
                <w:sz w:val="24"/>
              </w:rPr>
              <w:t>危险废物暂存</w:t>
            </w:r>
            <w:r>
              <w:rPr>
                <w:rFonts w:hint="eastAsia"/>
                <w:color w:val="auto"/>
                <w:sz w:val="24"/>
              </w:rPr>
              <w:t>。</w:t>
            </w:r>
            <w:r>
              <w:rPr>
                <w:color w:val="auto"/>
                <w:sz w:val="24"/>
              </w:rPr>
              <w:t>危险废物按处理要求分类分开存放，并设隔离间隔断，禁止将不相容的危险废物在同一容器内混装，同时做好</w:t>
            </w:r>
            <w:r>
              <w:rPr>
                <w:rFonts w:ascii="宋体" w:hAnsi="宋体"/>
                <w:color w:val="auto"/>
                <w:sz w:val="24"/>
              </w:rPr>
              <w:t>“</w:t>
            </w:r>
            <w:r>
              <w:rPr>
                <w:color w:val="auto"/>
                <w:sz w:val="24"/>
              </w:rPr>
              <w:t>防风、防雨、防晒、防渗漏、防丢失、防扩散</w:t>
            </w:r>
            <w:r>
              <w:rPr>
                <w:rFonts w:ascii="宋体" w:hAnsi="宋体"/>
                <w:color w:val="auto"/>
                <w:sz w:val="24"/>
              </w:rPr>
              <w:t>”</w:t>
            </w:r>
            <w:r>
              <w:rPr>
                <w:color w:val="auto"/>
                <w:sz w:val="24"/>
              </w:rPr>
              <w:t>，</w:t>
            </w:r>
            <w:r>
              <w:rPr>
                <w:rFonts w:hAnsi="宋体"/>
                <w:color w:val="auto"/>
                <w:sz w:val="24"/>
              </w:rPr>
              <w:t>根据《危险废物贮存污染控制标准》（</w:t>
            </w:r>
            <w:r>
              <w:rPr>
                <w:color w:val="auto"/>
                <w:sz w:val="24"/>
              </w:rPr>
              <w:t>G18597-20</w:t>
            </w:r>
            <w:r>
              <w:rPr>
                <w:rFonts w:hint="eastAsia"/>
                <w:color w:val="auto"/>
                <w:sz w:val="24"/>
              </w:rPr>
              <w:t>23</w:t>
            </w:r>
            <w:r>
              <w:rPr>
                <w:rFonts w:hAnsi="宋体"/>
                <w:color w:val="auto"/>
                <w:sz w:val="24"/>
              </w:rPr>
              <w:t>）</w:t>
            </w:r>
            <w:r>
              <w:rPr>
                <w:rFonts w:hint="eastAsia" w:hAnsi="宋体"/>
                <w:color w:val="auto"/>
                <w:sz w:val="24"/>
              </w:rPr>
              <w:t>中</w:t>
            </w:r>
            <w:r>
              <w:rPr>
                <w:rFonts w:hAnsi="宋体"/>
                <w:color w:val="auto"/>
                <w:sz w:val="24"/>
              </w:rPr>
              <w:t>要求，危险废物堆放场地相关要求如下：</w:t>
            </w:r>
          </w:p>
          <w:p w14:paraId="71CEB469">
            <w:pPr>
              <w:adjustRightInd w:val="0"/>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）地面与裙脚要用坚固、防渗的材料建造，建筑材料必须与危险废物相容；</w:t>
            </w:r>
          </w:p>
          <w:p w14:paraId="21EC27B1">
            <w:pPr>
              <w:adjustRightInd w:val="0"/>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）用以存放装载液体、半固体危险废物容器的地方，必须有耐腐蚀的硬化地面，且表面无裂隙；</w:t>
            </w:r>
          </w:p>
          <w:p w14:paraId="7BBB7B67">
            <w:pPr>
              <w:adjustRightInd w:val="0"/>
              <w:spacing w:line="360" w:lineRule="auto"/>
              <w:ind w:firstLine="480" w:firstLineChars="200"/>
              <w:rPr>
                <w:color w:val="auto"/>
                <w:sz w:val="24"/>
              </w:rPr>
            </w:pPr>
            <w:r>
              <w:rPr>
                <w:rFonts w:hAnsi="宋体"/>
                <w:color w:val="auto"/>
                <w:sz w:val="24"/>
              </w:rPr>
              <w:t>（</w:t>
            </w:r>
            <w:r>
              <w:rPr>
                <w:color w:val="auto"/>
                <w:sz w:val="24"/>
              </w:rPr>
              <w:t>3</w:t>
            </w:r>
            <w:r>
              <w:rPr>
                <w:rFonts w:hAnsi="宋体"/>
                <w:color w:val="auto"/>
                <w:sz w:val="24"/>
              </w:rPr>
              <w:t>）基础必须防渗，防渗层为至少</w:t>
            </w:r>
            <w:r>
              <w:rPr>
                <w:color w:val="auto"/>
                <w:sz w:val="24"/>
              </w:rPr>
              <w:t>1</w:t>
            </w:r>
            <w:r>
              <w:rPr>
                <w:rFonts w:hAnsi="宋体"/>
                <w:color w:val="auto"/>
                <w:sz w:val="24"/>
              </w:rPr>
              <w:t>米厚粘土层（渗透系数</w:t>
            </w:r>
            <w:r>
              <w:rPr>
                <w:color w:val="auto"/>
                <w:sz w:val="24"/>
              </w:rPr>
              <w:t>≤10</w:t>
            </w:r>
            <w:r>
              <w:rPr>
                <w:color w:val="auto"/>
                <w:sz w:val="24"/>
                <w:vertAlign w:val="superscript"/>
              </w:rPr>
              <w:t>-7</w:t>
            </w:r>
            <w:r>
              <w:rPr>
                <w:rFonts w:hAnsi="宋体"/>
                <w:color w:val="auto"/>
                <w:sz w:val="24"/>
              </w:rPr>
              <w:t>厘米</w:t>
            </w:r>
            <w:r>
              <w:rPr>
                <w:color w:val="auto"/>
                <w:sz w:val="24"/>
              </w:rPr>
              <w:t>/</w:t>
            </w:r>
            <w:r>
              <w:rPr>
                <w:rFonts w:hAnsi="宋体"/>
                <w:color w:val="auto"/>
                <w:sz w:val="24"/>
              </w:rPr>
              <w:t>秒），或</w:t>
            </w:r>
            <w:r>
              <w:rPr>
                <w:color w:val="auto"/>
                <w:sz w:val="24"/>
              </w:rPr>
              <w:t>2</w:t>
            </w:r>
            <w:r>
              <w:rPr>
                <w:rFonts w:hAnsi="宋体"/>
                <w:color w:val="auto"/>
                <w:sz w:val="24"/>
              </w:rPr>
              <w:t>毫米厚高密度聚乙烯，或至少</w:t>
            </w:r>
            <w:r>
              <w:rPr>
                <w:color w:val="auto"/>
                <w:sz w:val="24"/>
              </w:rPr>
              <w:t>2</w:t>
            </w:r>
            <w:r>
              <w:rPr>
                <w:rFonts w:hAnsi="宋体"/>
                <w:color w:val="auto"/>
                <w:sz w:val="24"/>
              </w:rPr>
              <w:t>毫米厚的其它人工材料，渗透系数</w:t>
            </w:r>
            <w:r>
              <w:rPr>
                <w:color w:val="auto"/>
                <w:sz w:val="24"/>
              </w:rPr>
              <w:t>≤10</w:t>
            </w:r>
            <w:r>
              <w:rPr>
                <w:color w:val="auto"/>
                <w:sz w:val="24"/>
                <w:vertAlign w:val="superscript"/>
              </w:rPr>
              <w:t>-10</w:t>
            </w:r>
            <w:r>
              <w:rPr>
                <w:rFonts w:hAnsi="宋体"/>
                <w:color w:val="auto"/>
                <w:sz w:val="24"/>
              </w:rPr>
              <w:t>厘米</w:t>
            </w:r>
            <w:r>
              <w:rPr>
                <w:color w:val="auto"/>
                <w:sz w:val="24"/>
              </w:rPr>
              <w:t>/</w:t>
            </w:r>
            <w:r>
              <w:rPr>
                <w:rFonts w:hAnsi="宋体"/>
                <w:color w:val="auto"/>
                <w:sz w:val="24"/>
              </w:rPr>
              <w:t>秒；</w:t>
            </w:r>
          </w:p>
          <w:p w14:paraId="627A10E8">
            <w:pPr>
              <w:adjustRightInd w:val="0"/>
              <w:spacing w:line="360" w:lineRule="auto"/>
              <w:ind w:firstLine="480" w:firstLineChars="200"/>
              <w:rPr>
                <w:color w:val="auto"/>
                <w:sz w:val="24"/>
              </w:rPr>
            </w:pPr>
            <w:r>
              <w:rPr>
                <w:rFonts w:hAnsi="宋体"/>
                <w:color w:val="auto"/>
                <w:sz w:val="24"/>
              </w:rPr>
              <w:t>（</w:t>
            </w:r>
            <w:r>
              <w:rPr>
                <w:color w:val="auto"/>
                <w:sz w:val="24"/>
              </w:rPr>
              <w:t>4</w:t>
            </w:r>
            <w:r>
              <w:rPr>
                <w:rFonts w:hAnsi="宋体"/>
                <w:color w:val="auto"/>
                <w:sz w:val="24"/>
              </w:rPr>
              <w:t>）所有产生的危险废物均应适用符合标准要求的容器盛装，装载危险废物的容器及材质要满足相应的强度要求，且必须完好无损；</w:t>
            </w:r>
          </w:p>
          <w:p w14:paraId="7FE78319">
            <w:pPr>
              <w:adjustRightInd w:val="0"/>
              <w:spacing w:line="360" w:lineRule="auto"/>
              <w:ind w:firstLine="480" w:firstLineChars="200"/>
              <w:rPr>
                <w:color w:val="auto"/>
                <w:sz w:val="24"/>
              </w:rPr>
            </w:pPr>
            <w:r>
              <w:rPr>
                <w:rFonts w:hAnsi="宋体"/>
                <w:color w:val="auto"/>
                <w:sz w:val="24"/>
              </w:rPr>
              <w:t>（</w:t>
            </w:r>
            <w:r>
              <w:rPr>
                <w:color w:val="auto"/>
                <w:sz w:val="24"/>
              </w:rPr>
              <w:t>5</w:t>
            </w:r>
            <w:r>
              <w:rPr>
                <w:rFonts w:hAnsi="宋体"/>
                <w:color w:val="auto"/>
                <w:sz w:val="24"/>
              </w:rPr>
              <w:t>）</w:t>
            </w:r>
            <w:r>
              <w:rPr>
                <w:rFonts w:hAnsi="宋体"/>
                <w:bCs/>
                <w:color w:val="auto"/>
                <w:sz w:val="24"/>
              </w:rPr>
              <w:t>危险废物贮存间需按</w:t>
            </w:r>
            <w:r>
              <w:rPr>
                <w:rFonts w:ascii="宋体" w:hAnsi="宋体"/>
                <w:bCs/>
                <w:color w:val="auto"/>
                <w:sz w:val="24"/>
              </w:rPr>
              <w:t>照“双人双锁”制度</w:t>
            </w:r>
            <w:r>
              <w:rPr>
                <w:rFonts w:hAnsi="宋体"/>
                <w:bCs/>
                <w:color w:val="auto"/>
                <w:sz w:val="24"/>
              </w:rPr>
              <w:t>管理。（两把钥匙分别由两个危废负责人管理，不得一人管理）</w:t>
            </w:r>
            <w:r>
              <w:rPr>
                <w:rFonts w:hAnsi="宋体"/>
                <w:color w:val="auto"/>
                <w:sz w:val="24"/>
              </w:rPr>
              <w:t>；</w:t>
            </w:r>
          </w:p>
          <w:p w14:paraId="6F9D48B8">
            <w:pPr>
              <w:adjustRightInd w:val="0"/>
              <w:spacing w:line="360" w:lineRule="auto"/>
              <w:ind w:firstLine="480" w:firstLineChars="200"/>
              <w:rPr>
                <w:color w:val="auto"/>
                <w:sz w:val="24"/>
              </w:rPr>
            </w:pPr>
            <w:r>
              <w:rPr>
                <w:rFonts w:hAnsi="宋体"/>
                <w:color w:val="auto"/>
                <w:sz w:val="24"/>
              </w:rPr>
              <w:t>（</w:t>
            </w:r>
            <w:r>
              <w:rPr>
                <w:color w:val="auto"/>
                <w:sz w:val="24"/>
              </w:rPr>
              <w:t>6</w:t>
            </w:r>
            <w:r>
              <w:rPr>
                <w:rFonts w:hAnsi="宋体"/>
                <w:color w:val="auto"/>
                <w:sz w:val="24"/>
              </w:rPr>
              <w:t>）危险废物贮存间的地面与裙脚要用坚固、防渗的材料建造，建筑材料必须与危险废物相容，应设计堵截</w:t>
            </w:r>
            <w:r>
              <w:rPr>
                <w:rFonts w:hint="eastAsia" w:hAnsi="宋体"/>
                <w:color w:val="auto"/>
                <w:sz w:val="24"/>
              </w:rPr>
              <w:t>泄漏</w:t>
            </w:r>
            <w:r>
              <w:rPr>
                <w:rFonts w:hAnsi="宋体"/>
                <w:color w:val="auto"/>
                <w:sz w:val="24"/>
              </w:rPr>
              <w:t>的裙脚，地面与裙脚所围建的溶剂不低于堵截最大容器的最大储量或总储量的五分之一，不相容的危险废物必须分开存放，并设有隔离间隔断；</w:t>
            </w:r>
          </w:p>
          <w:p w14:paraId="7FFBB7BF">
            <w:pPr>
              <w:adjustRightInd w:val="0"/>
              <w:spacing w:line="360" w:lineRule="auto"/>
              <w:ind w:firstLine="480" w:firstLineChars="200"/>
              <w:rPr>
                <w:color w:val="auto"/>
                <w:sz w:val="24"/>
              </w:rPr>
            </w:pPr>
            <w:r>
              <w:rPr>
                <w:rFonts w:hAnsi="宋体"/>
                <w:color w:val="auto"/>
                <w:sz w:val="24"/>
              </w:rPr>
              <w:t>（</w:t>
            </w:r>
            <w:r>
              <w:rPr>
                <w:color w:val="auto"/>
                <w:sz w:val="24"/>
              </w:rPr>
              <w:t>7</w:t>
            </w:r>
            <w:r>
              <w:rPr>
                <w:rFonts w:hAnsi="宋体"/>
                <w:color w:val="auto"/>
                <w:sz w:val="24"/>
              </w:rPr>
              <w:t>）建立危险废物台账管理制度，</w:t>
            </w:r>
            <w:r>
              <w:rPr>
                <w:rFonts w:hAnsi="宋体"/>
                <w:bCs/>
                <w:color w:val="auto"/>
                <w:sz w:val="24"/>
              </w:rPr>
              <w:t>台账悬挂于危废间内，记录上须注明危险废物的名称、来源、数量、特性和包装容器的类别、入库日期、存放库位、废物出库日期及接受单位名称。危险废物的记录和货单在危险废物回取后应继续保留三年；</w:t>
            </w:r>
          </w:p>
          <w:p w14:paraId="76C512CB">
            <w:pPr>
              <w:adjustRightInd w:val="0"/>
              <w:spacing w:line="360" w:lineRule="auto"/>
              <w:ind w:firstLine="480" w:firstLineChars="200"/>
              <w:rPr>
                <w:rFonts w:hint="eastAsia" w:hAnsi="宋体"/>
                <w:color w:val="auto"/>
                <w:sz w:val="24"/>
              </w:rPr>
            </w:pPr>
            <w:r>
              <w:rPr>
                <w:rFonts w:hAnsi="宋体"/>
                <w:color w:val="auto"/>
                <w:sz w:val="24"/>
              </w:rPr>
              <w:t>（</w:t>
            </w:r>
            <w:r>
              <w:rPr>
                <w:color w:val="auto"/>
                <w:sz w:val="24"/>
              </w:rPr>
              <w:t>8</w:t>
            </w:r>
            <w:r>
              <w:rPr>
                <w:rFonts w:hAnsi="宋体"/>
                <w:color w:val="auto"/>
                <w:sz w:val="24"/>
              </w:rPr>
              <w:t>）必须定期对贮存的危险废物包装容器及贮存设施进行检查，发现破损，应及时采取措施清理更换；</w:t>
            </w:r>
          </w:p>
          <w:p w14:paraId="016EF20E">
            <w:pPr>
              <w:pStyle w:val="57"/>
              <w:adjustRightInd/>
              <w:spacing w:line="360" w:lineRule="auto"/>
              <w:ind w:firstLine="480" w:firstLineChars="200"/>
              <w:jc w:val="both"/>
              <w:rPr>
                <w:b w:val="0"/>
                <w:bCs w:val="0"/>
                <w:color w:val="auto"/>
              </w:rPr>
            </w:pPr>
            <w:r>
              <w:rPr>
                <w:rFonts w:hint="eastAsia"/>
                <w:b w:val="0"/>
                <w:bCs w:val="0"/>
                <w:color w:val="auto"/>
              </w:rPr>
              <w:t>（9）危险废物应进行密闭包装，包装桶或袋外部应张贴危险废物标签。废液压油暂存区应设置导流沟或者防漏托盘；</w:t>
            </w:r>
          </w:p>
          <w:p w14:paraId="1848C3C0">
            <w:pPr>
              <w:adjustRightInd w:val="0"/>
              <w:spacing w:line="360" w:lineRule="auto"/>
              <w:ind w:firstLine="480" w:firstLineChars="200"/>
              <w:rPr>
                <w:rFonts w:hint="eastAsia" w:hAnsi="宋体"/>
                <w:bCs/>
                <w:color w:val="auto"/>
                <w:sz w:val="24"/>
              </w:rPr>
            </w:pPr>
            <w:r>
              <w:rPr>
                <w:rFonts w:hAnsi="宋体"/>
                <w:color w:val="auto"/>
                <w:sz w:val="24"/>
              </w:rPr>
              <w:t>（</w:t>
            </w:r>
            <w:r>
              <w:rPr>
                <w:rFonts w:hint="eastAsia"/>
                <w:color w:val="auto"/>
                <w:sz w:val="24"/>
              </w:rPr>
              <w:t>10</w:t>
            </w:r>
            <w:r>
              <w:rPr>
                <w:rFonts w:hAnsi="宋体"/>
                <w:color w:val="auto"/>
                <w:sz w:val="24"/>
              </w:rPr>
              <w:t>）危险废物贮存设施必须按照《环境保护图形标志固体废物贮存（处置）场》（</w:t>
            </w:r>
            <w:r>
              <w:rPr>
                <w:color w:val="auto"/>
                <w:sz w:val="24"/>
              </w:rPr>
              <w:t>GB15562.2-1995</w:t>
            </w:r>
            <w:r>
              <w:rPr>
                <w:rFonts w:hAnsi="宋体"/>
                <w:color w:val="auto"/>
                <w:sz w:val="24"/>
              </w:rPr>
              <w:t>）</w:t>
            </w:r>
            <w:r>
              <w:rPr>
                <w:rFonts w:hint="eastAsia" w:hAnsi="宋体"/>
                <w:color w:val="auto"/>
                <w:sz w:val="24"/>
              </w:rPr>
              <w:t>及其修改单</w:t>
            </w:r>
            <w:r>
              <w:rPr>
                <w:rFonts w:hAnsi="宋体"/>
                <w:color w:val="auto"/>
                <w:sz w:val="24"/>
              </w:rPr>
              <w:t>的规定设置警示标志。</w:t>
            </w:r>
            <w:r>
              <w:rPr>
                <w:rFonts w:hAnsi="宋体"/>
                <w:bCs/>
                <w:color w:val="auto"/>
                <w:sz w:val="24"/>
              </w:rPr>
              <w:t>危险废物贮存间门口需张贴标准规范的危险废物标识和危废信息板，屋内张贴企业《危险废物管理制度》。</w:t>
            </w:r>
          </w:p>
          <w:p w14:paraId="3A8A6D3A">
            <w:pPr>
              <w:spacing w:line="360" w:lineRule="auto"/>
              <w:ind w:firstLine="482" w:firstLineChars="200"/>
              <w:jc w:val="left"/>
              <w:rPr>
                <w:b/>
                <w:snapToGrid w:val="0"/>
                <w:color w:val="auto"/>
                <w:kern w:val="0"/>
                <w:sz w:val="24"/>
              </w:rPr>
            </w:pPr>
            <w:r>
              <w:rPr>
                <w:rFonts w:hint="eastAsia"/>
                <w:b/>
                <w:snapToGrid w:val="0"/>
                <w:color w:val="auto"/>
                <w:kern w:val="0"/>
                <w:sz w:val="24"/>
              </w:rPr>
              <w:t>五、土壤、地下水环境影响分析</w:t>
            </w:r>
          </w:p>
          <w:p w14:paraId="27ABC340">
            <w:pPr>
              <w:pStyle w:val="57"/>
              <w:spacing w:line="360" w:lineRule="auto"/>
              <w:ind w:firstLine="482" w:firstLineChars="200"/>
              <w:jc w:val="both"/>
              <w:rPr>
                <w:color w:val="auto"/>
              </w:rPr>
            </w:pPr>
            <w:r>
              <w:rPr>
                <w:rFonts w:hint="eastAsia"/>
                <w:color w:val="auto"/>
                <w:lang w:val="en-US" w:eastAsia="zh-CN"/>
              </w:rPr>
              <w:t>1</w:t>
            </w:r>
            <w:r>
              <w:rPr>
                <w:rFonts w:hint="eastAsia"/>
                <w:color w:val="auto"/>
              </w:rPr>
              <w:t>、地下水、土壤污染防治控制措施</w:t>
            </w:r>
          </w:p>
          <w:p w14:paraId="036E3E5A">
            <w:pPr>
              <w:spacing w:line="360" w:lineRule="auto"/>
              <w:ind w:firstLine="480" w:firstLineChars="200"/>
              <w:rPr>
                <w:b w:val="0"/>
                <w:bCs w:val="0"/>
                <w:color w:val="auto"/>
                <w:kern w:val="0"/>
                <w:sz w:val="24"/>
                <w:szCs w:val="24"/>
              </w:rPr>
            </w:pPr>
            <w:r>
              <w:rPr>
                <w:color w:val="auto"/>
                <w:kern w:val="0"/>
                <w:sz w:val="24"/>
                <w:szCs w:val="24"/>
              </w:rPr>
              <w:t>项目正常生产情况下，项目厂区实行雨污分流制，雨水通过雨水管网收集后排入市政雨水管网。</w:t>
            </w:r>
            <w:r>
              <w:rPr>
                <w:rFonts w:hint="eastAsia"/>
                <w:color w:val="auto"/>
                <w:kern w:val="0"/>
                <w:sz w:val="24"/>
                <w:szCs w:val="24"/>
              </w:rPr>
              <w:t>厂区</w:t>
            </w:r>
            <w:r>
              <w:rPr>
                <w:color w:val="auto"/>
                <w:kern w:val="0"/>
                <w:sz w:val="24"/>
                <w:szCs w:val="24"/>
              </w:rPr>
              <w:t>生活污水</w:t>
            </w:r>
            <w:r>
              <w:rPr>
                <w:rFonts w:hint="eastAsia"/>
                <w:color w:val="auto"/>
                <w:sz w:val="24"/>
              </w:rPr>
              <w:t>接管至</w:t>
            </w:r>
            <w:r>
              <w:rPr>
                <w:rFonts w:hint="default" w:ascii="Times New Roman" w:hAnsi="Times New Roman" w:cs="Times New Roman"/>
                <w:color w:val="auto"/>
                <w:sz w:val="24"/>
                <w:szCs w:val="24"/>
                <w:highlight w:val="none"/>
                <w:lang w:val="en-US" w:eastAsia="zh-CN"/>
              </w:rPr>
              <w:t>淮南经济</w:t>
            </w:r>
            <w:r>
              <w:rPr>
                <w:rFonts w:hint="default" w:ascii="Times New Roman" w:hAnsi="Times New Roman" w:cs="Times New Roman"/>
                <w:color w:val="auto"/>
                <w:sz w:val="24"/>
                <w:szCs w:val="24"/>
                <w:highlight w:val="none"/>
              </w:rPr>
              <w:t>开发区污水处理厂</w:t>
            </w:r>
            <w:r>
              <w:rPr>
                <w:rFonts w:hint="eastAsia"/>
                <w:color w:val="auto"/>
                <w:kern w:val="0"/>
                <w:sz w:val="24"/>
                <w:szCs w:val="24"/>
              </w:rPr>
              <w:t>处理</w:t>
            </w:r>
            <w:r>
              <w:rPr>
                <w:color w:val="auto"/>
                <w:kern w:val="0"/>
                <w:sz w:val="24"/>
                <w:szCs w:val="24"/>
              </w:rPr>
              <w:t>。危险废</w:t>
            </w:r>
            <w:r>
              <w:rPr>
                <w:b w:val="0"/>
                <w:bCs w:val="0"/>
                <w:color w:val="auto"/>
                <w:kern w:val="0"/>
                <w:sz w:val="24"/>
                <w:szCs w:val="24"/>
              </w:rPr>
              <w:t>物按照规范暂存在危废库内，不会对地下水环境</w:t>
            </w:r>
            <w:r>
              <w:rPr>
                <w:rFonts w:hint="eastAsia"/>
                <w:b w:val="0"/>
                <w:bCs w:val="0"/>
                <w:color w:val="auto"/>
                <w:kern w:val="0"/>
                <w:sz w:val="24"/>
                <w:szCs w:val="24"/>
              </w:rPr>
              <w:t>、</w:t>
            </w:r>
            <w:r>
              <w:rPr>
                <w:b w:val="0"/>
                <w:bCs w:val="0"/>
                <w:color w:val="auto"/>
                <w:kern w:val="0"/>
                <w:sz w:val="24"/>
                <w:szCs w:val="24"/>
              </w:rPr>
              <w:t>土壤环境产生影响。</w:t>
            </w:r>
          </w:p>
          <w:p w14:paraId="375ABCD7">
            <w:pPr>
              <w:pStyle w:val="57"/>
              <w:adjustRightInd/>
              <w:spacing w:line="360" w:lineRule="auto"/>
              <w:ind w:firstLine="480" w:firstLineChars="200"/>
              <w:jc w:val="both"/>
              <w:rPr>
                <w:b w:val="0"/>
                <w:bCs w:val="0"/>
                <w:color w:val="auto"/>
              </w:rPr>
            </w:pPr>
            <w:r>
              <w:rPr>
                <w:rFonts w:hint="eastAsia"/>
                <w:b w:val="0"/>
                <w:bCs w:val="0"/>
                <w:color w:val="auto"/>
              </w:rPr>
              <w:t>为更好的保护地下水环境、土壤环境，将本项目对地下水、土壤的影响降至最低，建议采取以下的污染防治措施：</w:t>
            </w:r>
          </w:p>
          <w:p w14:paraId="2F0B5C26">
            <w:pPr>
              <w:pStyle w:val="57"/>
              <w:adjustRightInd/>
              <w:spacing w:line="360" w:lineRule="auto"/>
              <w:ind w:firstLine="482" w:firstLineChars="200"/>
              <w:jc w:val="both"/>
              <w:rPr>
                <w:color w:val="auto"/>
              </w:rPr>
            </w:pPr>
            <w:r>
              <w:rPr>
                <w:rFonts w:hint="eastAsia"/>
                <w:color w:val="auto"/>
              </w:rPr>
              <w:t>（1）源头控制</w:t>
            </w:r>
          </w:p>
          <w:p w14:paraId="61DAE1B0">
            <w:pPr>
              <w:pStyle w:val="57"/>
              <w:adjustRightInd/>
              <w:spacing w:line="360" w:lineRule="auto"/>
              <w:ind w:firstLine="480" w:firstLineChars="200"/>
              <w:jc w:val="both"/>
              <w:rPr>
                <w:b w:val="0"/>
                <w:bCs w:val="0"/>
                <w:color w:val="002DC7"/>
              </w:rPr>
            </w:pPr>
            <w:r>
              <w:rPr>
                <w:rFonts w:hint="eastAsia"/>
                <w:b w:val="0"/>
                <w:bCs w:val="0"/>
                <w:color w:val="auto"/>
              </w:rPr>
              <w:t>严格按照国家相关规范要求，坚持预防为主，防治结合，综合治理的原则，从源头上减少地下水、土壤污染源的产生，是符合污染防治的基本措施。</w:t>
            </w:r>
          </w:p>
          <w:p w14:paraId="25110C82">
            <w:pPr>
              <w:pStyle w:val="57"/>
              <w:adjustRightInd/>
              <w:spacing w:line="360" w:lineRule="auto"/>
              <w:ind w:firstLine="482" w:firstLineChars="200"/>
              <w:jc w:val="both"/>
              <w:rPr>
                <w:color w:val="auto"/>
              </w:rPr>
            </w:pPr>
            <w:r>
              <w:rPr>
                <w:rFonts w:hint="eastAsia"/>
                <w:color w:val="auto"/>
              </w:rPr>
              <w:t>（2）分区防渗</w:t>
            </w:r>
          </w:p>
          <w:p w14:paraId="1A199C77">
            <w:pPr>
              <w:pStyle w:val="18"/>
              <w:spacing w:line="360" w:lineRule="auto"/>
              <w:ind w:firstLine="480"/>
              <w:rPr>
                <w:color w:val="auto"/>
                <w:sz w:val="24"/>
              </w:rPr>
            </w:pPr>
            <w:r>
              <w:rPr>
                <w:rFonts w:hint="eastAsia"/>
                <w:color w:val="auto"/>
                <w:sz w:val="24"/>
              </w:rPr>
              <w:t>根据项目区可能泄漏至地面区域、污染物的性质和建筑物的构筑方式，结合项目总平面布置情况，将项目区分为重点防渗区、一般防渗区、简单防渗区。</w:t>
            </w:r>
          </w:p>
          <w:p w14:paraId="63942E69">
            <w:pPr>
              <w:pStyle w:val="18"/>
              <w:spacing w:line="360" w:lineRule="auto"/>
              <w:ind w:firstLine="480"/>
              <w:rPr>
                <w:color w:val="auto"/>
                <w:sz w:val="24"/>
              </w:rPr>
            </w:pPr>
            <w:r>
              <w:rPr>
                <w:rFonts w:hint="eastAsia"/>
                <w:color w:val="auto"/>
                <w:sz w:val="24"/>
              </w:rPr>
              <w:t>①重点防渗区：</w:t>
            </w:r>
            <w:r>
              <w:rPr>
                <w:color w:val="auto"/>
                <w:sz w:val="24"/>
              </w:rPr>
              <w:t>重点防渗区是</w:t>
            </w:r>
            <w:r>
              <w:rPr>
                <w:rFonts w:hint="eastAsia"/>
                <w:color w:val="auto"/>
                <w:sz w:val="24"/>
              </w:rPr>
              <w:t>指对地下水环境隐患大的区域，</w:t>
            </w:r>
            <w:r>
              <w:rPr>
                <w:color w:val="auto"/>
                <w:sz w:val="24"/>
              </w:rPr>
              <w:t>泄漏污染物</w:t>
            </w:r>
            <w:r>
              <w:rPr>
                <w:rFonts w:hint="eastAsia"/>
                <w:color w:val="auto"/>
                <w:sz w:val="24"/>
              </w:rPr>
              <w:t>可能会</w:t>
            </w:r>
            <w:r>
              <w:rPr>
                <w:color w:val="auto"/>
                <w:sz w:val="24"/>
              </w:rPr>
              <w:t>对地下水造成污染，</w:t>
            </w:r>
            <w:r>
              <w:rPr>
                <w:rFonts w:hint="eastAsia"/>
                <w:color w:val="auto"/>
                <w:sz w:val="24"/>
              </w:rPr>
              <w:t>泄漏</w:t>
            </w:r>
            <w:r>
              <w:rPr>
                <w:color w:val="auto"/>
                <w:sz w:val="24"/>
              </w:rPr>
              <w:t>不</w:t>
            </w:r>
            <w:r>
              <w:rPr>
                <w:rFonts w:hint="eastAsia"/>
                <w:color w:val="auto"/>
                <w:sz w:val="24"/>
              </w:rPr>
              <w:t>易</w:t>
            </w:r>
            <w:r>
              <w:rPr>
                <w:color w:val="auto"/>
                <w:sz w:val="24"/>
              </w:rPr>
              <w:t>及时发现和处理，需要重点防治或者需要重点保护的区域</w:t>
            </w:r>
            <w:r>
              <w:rPr>
                <w:rFonts w:hint="eastAsia"/>
                <w:color w:val="auto"/>
                <w:sz w:val="24"/>
              </w:rPr>
              <w:t>。主要为本项目的危险废物暂存间，</w:t>
            </w:r>
            <w:r>
              <w:rPr>
                <w:rFonts w:hAnsi="宋体"/>
                <w:color w:val="auto"/>
                <w:sz w:val="24"/>
              </w:rPr>
              <w:t>根据《危险废物贮存污染控制标准》（</w:t>
            </w:r>
            <w:r>
              <w:rPr>
                <w:color w:val="auto"/>
                <w:sz w:val="24"/>
              </w:rPr>
              <w:t>GB 18597-20</w:t>
            </w:r>
            <w:r>
              <w:rPr>
                <w:rFonts w:hint="eastAsia"/>
                <w:color w:val="auto"/>
                <w:sz w:val="24"/>
                <w:lang w:val="en-US" w:eastAsia="zh-CN"/>
              </w:rPr>
              <w:t>23</w:t>
            </w:r>
            <w:r>
              <w:rPr>
                <w:rFonts w:hAnsi="宋体"/>
                <w:color w:val="auto"/>
                <w:sz w:val="24"/>
              </w:rPr>
              <w:t>），危废暂存库基础防渗层为至少</w:t>
            </w:r>
            <w:r>
              <w:rPr>
                <w:color w:val="auto"/>
                <w:sz w:val="24"/>
              </w:rPr>
              <w:t>1</w:t>
            </w:r>
            <w:r>
              <w:rPr>
                <w:rFonts w:hint="eastAsia" w:hAnsi="宋体"/>
                <w:color w:val="auto"/>
                <w:sz w:val="24"/>
              </w:rPr>
              <w:t>m</w:t>
            </w:r>
            <w:r>
              <w:rPr>
                <w:rFonts w:hAnsi="宋体"/>
                <w:color w:val="auto"/>
                <w:sz w:val="24"/>
              </w:rPr>
              <w:t>厚粘土层（渗透系数</w:t>
            </w:r>
            <w:r>
              <w:rPr>
                <w:color w:val="auto"/>
                <w:sz w:val="24"/>
              </w:rPr>
              <w:t>≤10</w:t>
            </w:r>
            <w:r>
              <w:rPr>
                <w:color w:val="auto"/>
                <w:sz w:val="24"/>
                <w:vertAlign w:val="superscript"/>
              </w:rPr>
              <w:t>-7</w:t>
            </w:r>
            <w:r>
              <w:rPr>
                <w:color w:val="auto"/>
                <w:sz w:val="24"/>
              </w:rPr>
              <w:t>cm/s</w:t>
            </w:r>
            <w:r>
              <w:rPr>
                <w:rFonts w:hAnsi="宋体"/>
                <w:color w:val="auto"/>
                <w:sz w:val="24"/>
              </w:rPr>
              <w:t>），或</w:t>
            </w:r>
            <w:r>
              <w:rPr>
                <w:color w:val="auto"/>
                <w:sz w:val="24"/>
              </w:rPr>
              <w:t>2mm</w:t>
            </w:r>
            <w:r>
              <w:rPr>
                <w:rFonts w:hAnsi="宋体"/>
                <w:color w:val="auto"/>
                <w:sz w:val="24"/>
              </w:rPr>
              <w:t>厚高密度聚乙烯，或至少</w:t>
            </w:r>
            <w:r>
              <w:rPr>
                <w:color w:val="auto"/>
                <w:sz w:val="24"/>
              </w:rPr>
              <w:t>2mm</w:t>
            </w:r>
            <w:r>
              <w:rPr>
                <w:rFonts w:hAnsi="宋体"/>
                <w:color w:val="auto"/>
                <w:sz w:val="24"/>
              </w:rPr>
              <w:t>厚的其它人工材料（渗透系数</w:t>
            </w:r>
            <w:r>
              <w:rPr>
                <w:color w:val="auto"/>
                <w:sz w:val="24"/>
              </w:rPr>
              <w:t>≤10</w:t>
            </w:r>
            <w:r>
              <w:rPr>
                <w:color w:val="auto"/>
                <w:sz w:val="24"/>
                <w:vertAlign w:val="superscript"/>
              </w:rPr>
              <w:t>-10</w:t>
            </w:r>
            <w:r>
              <w:rPr>
                <w:color w:val="auto"/>
                <w:sz w:val="24"/>
              </w:rPr>
              <w:t>cm/s</w:t>
            </w:r>
            <w:r>
              <w:rPr>
                <w:rFonts w:hAnsi="宋体"/>
                <w:color w:val="auto"/>
                <w:sz w:val="24"/>
              </w:rPr>
              <w:t>）</w:t>
            </w:r>
            <w:r>
              <w:rPr>
                <w:rFonts w:hint="eastAsia" w:hAnsi="宋体"/>
                <w:color w:val="auto"/>
                <w:sz w:val="24"/>
              </w:rPr>
              <w:t>。</w:t>
            </w:r>
          </w:p>
          <w:p w14:paraId="46C5604A">
            <w:pPr>
              <w:pStyle w:val="18"/>
              <w:spacing w:line="360" w:lineRule="auto"/>
              <w:ind w:firstLine="480"/>
              <w:rPr>
                <w:color w:val="auto"/>
                <w:sz w:val="24"/>
              </w:rPr>
            </w:pPr>
            <w:r>
              <w:rPr>
                <w:rFonts w:hint="eastAsia"/>
                <w:color w:val="auto"/>
                <w:sz w:val="24"/>
              </w:rPr>
              <w:t>②一般</w:t>
            </w:r>
            <w:r>
              <w:rPr>
                <w:color w:val="auto"/>
                <w:sz w:val="24"/>
              </w:rPr>
              <w:t>防渗区</w:t>
            </w:r>
            <w:r>
              <w:rPr>
                <w:rFonts w:hint="eastAsia"/>
                <w:color w:val="auto"/>
                <w:sz w:val="24"/>
              </w:rPr>
              <w:t>：一般防渗区是指泄漏污染物可能会对地下水造成污染，但危害性和风险程度较低，或者泄漏容易及时发现和处理的区域，主要为本项目生产车间、原料仓库、产品仓库和一般固废库。一般防渗区防渗要求如下：</w:t>
            </w:r>
            <w:r>
              <w:rPr>
                <w:color w:val="auto"/>
                <w:sz w:val="24"/>
              </w:rPr>
              <w:t>等效</w:t>
            </w:r>
            <w:r>
              <w:rPr>
                <w:rFonts w:hint="eastAsia"/>
                <w:color w:val="auto"/>
                <w:sz w:val="24"/>
              </w:rPr>
              <w:t>黏土防渗层</w:t>
            </w:r>
            <w:r>
              <w:rPr>
                <w:color w:val="auto"/>
                <w:sz w:val="24"/>
              </w:rPr>
              <w:t>Mb≥1.5m，K≤1×10</w:t>
            </w:r>
            <w:r>
              <w:rPr>
                <w:color w:val="auto"/>
                <w:sz w:val="24"/>
                <w:vertAlign w:val="superscript"/>
              </w:rPr>
              <w:t>-7</w:t>
            </w:r>
            <w:r>
              <w:rPr>
                <w:color w:val="auto"/>
                <w:sz w:val="24"/>
              </w:rPr>
              <w:t>cm/s。</w:t>
            </w:r>
          </w:p>
          <w:p w14:paraId="1D0BD12D">
            <w:pPr>
              <w:pStyle w:val="18"/>
              <w:numPr>
                <w:ilvl w:val="0"/>
                <w:numId w:val="0"/>
              </w:numPr>
              <w:spacing w:line="360" w:lineRule="auto"/>
              <w:ind w:left="480" w:leftChars="0"/>
              <w:rPr>
                <w:color w:val="auto"/>
                <w:sz w:val="24"/>
              </w:rPr>
            </w:pPr>
            <w:r>
              <w:rPr>
                <w:rFonts w:hint="eastAsia"/>
                <w:color w:val="auto"/>
                <w:kern w:val="0"/>
                <w:sz w:val="24"/>
                <w:szCs w:val="24"/>
                <w:lang w:val="en-US" w:eastAsia="zh-CN"/>
              </w:rPr>
              <w:t>③</w:t>
            </w:r>
            <w:r>
              <w:rPr>
                <w:rFonts w:hint="eastAsia" w:ascii="宋体" w:hAnsi="宋体"/>
                <w:color w:val="auto"/>
                <w:sz w:val="24"/>
              </w:rPr>
              <w:t>简单防渗区：防渗要求为一般地面硬化。</w:t>
            </w:r>
          </w:p>
          <w:p w14:paraId="69645A1A">
            <w:pPr>
              <w:pStyle w:val="57"/>
              <w:adjustRightInd/>
              <w:spacing w:line="360" w:lineRule="auto"/>
              <w:jc w:val="center"/>
              <w:rPr>
                <w:b/>
                <w:color w:val="auto"/>
              </w:rPr>
            </w:pPr>
            <w:r>
              <w:rPr>
                <w:b/>
                <w:color w:val="auto"/>
              </w:rPr>
              <w:t>表4-2</w:t>
            </w:r>
            <w:r>
              <w:rPr>
                <w:rFonts w:hint="eastAsia"/>
                <w:b/>
                <w:color w:val="auto"/>
              </w:rPr>
              <w:t>1</w:t>
            </w:r>
            <w:r>
              <w:rPr>
                <w:b/>
                <w:color w:val="auto"/>
              </w:rPr>
              <w:t xml:space="preserve">  本项目分区防渗措施要求</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131"/>
              <w:gridCol w:w="5395"/>
            </w:tblGrid>
            <w:tr w14:paraId="0B59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06" w:type="pct"/>
                  <w:gridSpan w:val="2"/>
                  <w:vAlign w:val="center"/>
                </w:tcPr>
                <w:p w14:paraId="49E17E79">
                  <w:pPr>
                    <w:widowControl/>
                    <w:autoSpaceDN w:val="0"/>
                    <w:jc w:val="center"/>
                    <w:rPr>
                      <w:b/>
                      <w:color w:val="auto"/>
                      <w:szCs w:val="21"/>
                    </w:rPr>
                  </w:pPr>
                  <w:r>
                    <w:rPr>
                      <w:rFonts w:hint="eastAsia"/>
                      <w:b/>
                      <w:color w:val="auto"/>
                      <w:szCs w:val="21"/>
                    </w:rPr>
                    <w:t>防渗分区</w:t>
                  </w:r>
                </w:p>
              </w:tc>
              <w:tc>
                <w:tcPr>
                  <w:tcW w:w="3193" w:type="pct"/>
                  <w:vAlign w:val="center"/>
                </w:tcPr>
                <w:p w14:paraId="6ABDB86E">
                  <w:pPr>
                    <w:widowControl/>
                    <w:autoSpaceDN w:val="0"/>
                    <w:jc w:val="center"/>
                    <w:rPr>
                      <w:b/>
                      <w:color w:val="auto"/>
                      <w:szCs w:val="21"/>
                    </w:rPr>
                  </w:pPr>
                  <w:r>
                    <w:rPr>
                      <w:b/>
                      <w:color w:val="auto"/>
                      <w:szCs w:val="21"/>
                    </w:rPr>
                    <w:t>防渗设计要求</w:t>
                  </w:r>
                </w:p>
              </w:tc>
            </w:tr>
            <w:tr w14:paraId="34166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5" w:type="pct"/>
                  <w:vAlign w:val="center"/>
                </w:tcPr>
                <w:p w14:paraId="77B79DB6">
                  <w:pPr>
                    <w:widowControl/>
                    <w:autoSpaceDN w:val="0"/>
                    <w:jc w:val="center"/>
                    <w:rPr>
                      <w:color w:val="auto"/>
                      <w:szCs w:val="21"/>
                    </w:rPr>
                  </w:pPr>
                  <w:r>
                    <w:rPr>
                      <w:rFonts w:hint="eastAsia"/>
                      <w:color w:val="auto"/>
                      <w:szCs w:val="21"/>
                    </w:rPr>
                    <w:t>重点防渗区</w:t>
                  </w:r>
                </w:p>
              </w:tc>
              <w:tc>
                <w:tcPr>
                  <w:tcW w:w="1260" w:type="pct"/>
                  <w:vAlign w:val="center"/>
                </w:tcPr>
                <w:p w14:paraId="5A2A3B3D">
                  <w:pPr>
                    <w:widowControl/>
                    <w:autoSpaceDN w:val="0"/>
                    <w:jc w:val="center"/>
                    <w:rPr>
                      <w:color w:val="auto"/>
                      <w:szCs w:val="21"/>
                    </w:rPr>
                  </w:pPr>
                  <w:r>
                    <w:rPr>
                      <w:rFonts w:hint="eastAsia"/>
                      <w:color w:val="auto"/>
                      <w:szCs w:val="21"/>
                    </w:rPr>
                    <w:t>危废库</w:t>
                  </w:r>
                </w:p>
              </w:tc>
              <w:tc>
                <w:tcPr>
                  <w:tcW w:w="3193" w:type="pct"/>
                  <w:vAlign w:val="center"/>
                </w:tcPr>
                <w:p w14:paraId="212F7133">
                  <w:pPr>
                    <w:jc w:val="center"/>
                    <w:rPr>
                      <w:color w:val="auto"/>
                      <w:szCs w:val="21"/>
                    </w:rPr>
                  </w:pPr>
                  <w:r>
                    <w:rPr>
                      <w:rFonts w:hint="eastAsia"/>
                      <w:color w:val="auto"/>
                      <w:szCs w:val="21"/>
                    </w:rPr>
                    <w:t>根据《危险废物贮存污染控制标准》（GB18597-2023）执行，基础防渗层为黏土层时，其厚度应达1m以上，渗透系数应小于10</w:t>
                  </w:r>
                  <w:r>
                    <w:rPr>
                      <w:rFonts w:hint="eastAsia"/>
                      <w:color w:val="auto"/>
                      <w:szCs w:val="21"/>
                      <w:vertAlign w:val="superscript"/>
                    </w:rPr>
                    <w:t>-7</w:t>
                  </w:r>
                  <w:r>
                    <w:rPr>
                      <w:rFonts w:hint="eastAsia"/>
                      <w:color w:val="auto"/>
                      <w:szCs w:val="21"/>
                    </w:rPr>
                    <w:t>cm/s；基础防渗层亦可用厚度2mm以上的高密度聚乙烯和其他人工防渗材料组成，渗透系数应小于10</w:t>
                  </w:r>
                  <w:r>
                    <w:rPr>
                      <w:rFonts w:hint="eastAsia"/>
                      <w:color w:val="auto"/>
                      <w:szCs w:val="21"/>
                      <w:vertAlign w:val="superscript"/>
                    </w:rPr>
                    <w:t>-1</w:t>
                  </w:r>
                  <w:r>
                    <w:rPr>
                      <w:rFonts w:hint="eastAsia"/>
                      <w:color w:val="auto"/>
                      <w:szCs w:val="21"/>
                    </w:rPr>
                    <w:t>cm/s。</w:t>
                  </w:r>
                </w:p>
              </w:tc>
            </w:tr>
            <w:tr w14:paraId="56AE8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59F14BC0">
                  <w:pPr>
                    <w:jc w:val="center"/>
                    <w:rPr>
                      <w:color w:val="auto"/>
                      <w:szCs w:val="21"/>
                    </w:rPr>
                  </w:pPr>
                  <w:r>
                    <w:rPr>
                      <w:rFonts w:hint="eastAsia"/>
                      <w:color w:val="auto"/>
                      <w:szCs w:val="21"/>
                    </w:rPr>
                    <w:t>一般防渗区</w:t>
                  </w:r>
                </w:p>
              </w:tc>
              <w:tc>
                <w:tcPr>
                  <w:tcW w:w="1260" w:type="pct"/>
                  <w:vAlign w:val="center"/>
                </w:tcPr>
                <w:p w14:paraId="18F3E7F5">
                  <w:pPr>
                    <w:jc w:val="center"/>
                    <w:rPr>
                      <w:rFonts w:hint="eastAsia" w:eastAsia="宋体"/>
                      <w:color w:val="auto"/>
                      <w:szCs w:val="21"/>
                      <w:lang w:eastAsia="zh-CN"/>
                    </w:rPr>
                  </w:pPr>
                  <w:r>
                    <w:rPr>
                      <w:rFonts w:hint="eastAsia"/>
                      <w:color w:val="auto"/>
                      <w:szCs w:val="21"/>
                    </w:rPr>
                    <w:t>生产车间</w:t>
                  </w:r>
                  <w:r>
                    <w:rPr>
                      <w:rFonts w:hint="eastAsia"/>
                      <w:color w:val="auto"/>
                      <w:szCs w:val="21"/>
                      <w:lang w:eastAsia="zh-CN"/>
                    </w:rPr>
                    <w:t>（</w:t>
                  </w:r>
                  <w:r>
                    <w:rPr>
                      <w:rFonts w:hint="eastAsia"/>
                      <w:color w:val="auto"/>
                      <w:szCs w:val="21"/>
                      <w:lang w:val="en-US" w:eastAsia="zh-CN"/>
                    </w:rPr>
                    <w:t>原料堆放区、成品区、减水剂和脱模剂存放区</w:t>
                  </w:r>
                  <w:r>
                    <w:rPr>
                      <w:rFonts w:hint="eastAsia"/>
                      <w:color w:val="auto"/>
                      <w:szCs w:val="21"/>
                      <w:lang w:eastAsia="zh-CN"/>
                    </w:rPr>
                    <w:t>）</w:t>
                  </w:r>
                </w:p>
              </w:tc>
              <w:tc>
                <w:tcPr>
                  <w:tcW w:w="3193" w:type="pct"/>
                  <w:vAlign w:val="center"/>
                </w:tcPr>
                <w:p w14:paraId="6016685C">
                  <w:pPr>
                    <w:jc w:val="center"/>
                    <w:rPr>
                      <w:color w:val="auto"/>
                      <w:szCs w:val="21"/>
                    </w:rPr>
                  </w:pPr>
                  <w:r>
                    <w:rPr>
                      <w:rFonts w:hint="eastAsia"/>
                      <w:color w:val="auto"/>
                      <w:szCs w:val="21"/>
                    </w:rPr>
                    <w:t>参照《环境影响评价技术导则地下水环境》（HJ610 2016）执行，等效黏土防渗层 Mb≥1.5m，K≤1.0×10</w:t>
                  </w:r>
                  <w:r>
                    <w:rPr>
                      <w:rFonts w:hint="eastAsia"/>
                      <w:color w:val="auto"/>
                      <w:szCs w:val="21"/>
                      <w:vertAlign w:val="superscript"/>
                    </w:rPr>
                    <w:t>-7</w:t>
                  </w:r>
                  <w:r>
                    <w:rPr>
                      <w:rFonts w:hint="eastAsia"/>
                      <w:color w:val="auto"/>
                      <w:szCs w:val="21"/>
                    </w:rPr>
                    <w:t>cm/s。</w:t>
                  </w:r>
                </w:p>
              </w:tc>
            </w:tr>
          </w:tbl>
          <w:p w14:paraId="48C9782E">
            <w:pPr>
              <w:spacing w:line="360" w:lineRule="auto"/>
              <w:ind w:firstLine="480" w:firstLineChars="200"/>
              <w:jc w:val="left"/>
              <w:rPr>
                <w:color w:val="auto"/>
                <w:kern w:val="0"/>
                <w:sz w:val="24"/>
                <w:szCs w:val="24"/>
              </w:rPr>
            </w:pPr>
            <w:r>
              <w:rPr>
                <w:color w:val="auto"/>
                <w:kern w:val="0"/>
                <w:sz w:val="24"/>
                <w:szCs w:val="24"/>
              </w:rPr>
              <w:t>因此，在落实各项防渗措施后，可将地下水</w:t>
            </w:r>
            <w:r>
              <w:rPr>
                <w:rFonts w:hint="eastAsia"/>
                <w:color w:val="auto"/>
                <w:kern w:val="0"/>
                <w:sz w:val="24"/>
                <w:szCs w:val="24"/>
              </w:rPr>
              <w:t>、</w:t>
            </w:r>
            <w:r>
              <w:rPr>
                <w:color w:val="auto"/>
                <w:kern w:val="0"/>
                <w:sz w:val="24"/>
                <w:szCs w:val="24"/>
              </w:rPr>
              <w:t>土壤污染的风险降至最低。</w:t>
            </w:r>
          </w:p>
          <w:p w14:paraId="74145E1D">
            <w:pPr>
              <w:spacing w:line="360" w:lineRule="auto"/>
              <w:ind w:firstLine="482" w:firstLineChars="200"/>
              <w:jc w:val="left"/>
              <w:rPr>
                <w:b/>
                <w:snapToGrid w:val="0"/>
                <w:color w:val="auto"/>
                <w:kern w:val="0"/>
                <w:sz w:val="24"/>
              </w:rPr>
            </w:pPr>
            <w:r>
              <w:rPr>
                <w:rFonts w:hint="eastAsia"/>
                <w:b/>
                <w:snapToGrid w:val="0"/>
                <w:color w:val="auto"/>
                <w:kern w:val="0"/>
                <w:sz w:val="24"/>
              </w:rPr>
              <w:t>六、</w:t>
            </w:r>
            <w:r>
              <w:rPr>
                <w:rFonts w:hint="eastAsia" w:hAnsi="宋体"/>
                <w:b/>
                <w:snapToGrid w:val="0"/>
                <w:color w:val="auto"/>
                <w:kern w:val="0"/>
                <w:sz w:val="24"/>
              </w:rPr>
              <w:t>生态污染影响及防治措施</w:t>
            </w:r>
          </w:p>
          <w:p w14:paraId="4C6B83D5">
            <w:pPr>
              <w:pStyle w:val="57"/>
              <w:spacing w:line="360" w:lineRule="auto"/>
              <w:ind w:firstLine="480" w:firstLineChars="200"/>
              <w:jc w:val="both"/>
              <w:rPr>
                <w:b w:val="0"/>
                <w:bCs w:val="0"/>
                <w:color w:val="auto"/>
              </w:rPr>
            </w:pPr>
            <w:r>
              <w:rPr>
                <w:rFonts w:hint="eastAsia"/>
                <w:b w:val="0"/>
                <w:bCs w:val="0"/>
                <w:color w:val="auto"/>
              </w:rPr>
              <w:t>本项目位于</w:t>
            </w:r>
            <w:r>
              <w:rPr>
                <w:rFonts w:hint="eastAsia"/>
                <w:b w:val="0"/>
                <w:bCs w:val="0"/>
                <w:color w:val="auto"/>
                <w:sz w:val="24"/>
                <w:szCs w:val="28"/>
              </w:rPr>
              <w:t>安徽省淮南经济技术开发区锦绣路100号东侧</w:t>
            </w:r>
            <w:r>
              <w:rPr>
                <w:rFonts w:hint="eastAsia"/>
                <w:b w:val="0"/>
                <w:bCs w:val="0"/>
                <w:color w:val="auto"/>
              </w:rPr>
              <w:t>，项目</w:t>
            </w:r>
            <w:r>
              <w:rPr>
                <w:rFonts w:hint="eastAsia"/>
                <w:b w:val="0"/>
                <w:bCs w:val="0"/>
                <w:color w:val="auto"/>
                <w:lang w:val="en-US" w:eastAsia="zh-CN"/>
              </w:rPr>
              <w:t>用地</w:t>
            </w:r>
            <w:r>
              <w:rPr>
                <w:rFonts w:hint="eastAsia"/>
                <w:b w:val="0"/>
                <w:bCs w:val="0"/>
                <w:color w:val="auto"/>
              </w:rPr>
              <w:t>为工业用地。不在国家级生态红线和安徽省生态管控区域范围内，不需要设置生态保护措施。</w:t>
            </w:r>
          </w:p>
          <w:p w14:paraId="53AD619D">
            <w:pPr>
              <w:spacing w:line="360" w:lineRule="auto"/>
              <w:ind w:firstLine="482" w:firstLineChars="200"/>
              <w:jc w:val="left"/>
              <w:rPr>
                <w:b/>
                <w:snapToGrid w:val="0"/>
                <w:color w:val="auto"/>
                <w:kern w:val="0"/>
                <w:sz w:val="24"/>
              </w:rPr>
            </w:pPr>
            <w:r>
              <w:rPr>
                <w:rFonts w:hint="eastAsia"/>
                <w:b/>
                <w:snapToGrid w:val="0"/>
                <w:color w:val="auto"/>
                <w:kern w:val="0"/>
                <w:sz w:val="24"/>
              </w:rPr>
              <w:t>七、</w:t>
            </w:r>
            <w:r>
              <w:rPr>
                <w:rFonts w:hint="eastAsia" w:hAnsi="宋体"/>
                <w:b/>
                <w:snapToGrid w:val="0"/>
                <w:color w:val="auto"/>
                <w:kern w:val="0"/>
                <w:sz w:val="24"/>
              </w:rPr>
              <w:t>电磁辐射</w:t>
            </w:r>
          </w:p>
          <w:p w14:paraId="3D8698B4">
            <w:pPr>
              <w:pStyle w:val="57"/>
              <w:spacing w:line="360" w:lineRule="auto"/>
              <w:ind w:firstLine="482" w:firstLineChars="200"/>
              <w:rPr>
                <w:color w:val="auto"/>
              </w:rPr>
            </w:pPr>
            <w:r>
              <w:rPr>
                <w:rFonts w:hint="eastAsia"/>
                <w:color w:val="auto"/>
              </w:rPr>
              <w:t>本项目不涉及电磁辐射影响。</w:t>
            </w:r>
          </w:p>
          <w:p w14:paraId="6F9D14F8">
            <w:pPr>
              <w:spacing w:line="360" w:lineRule="auto"/>
              <w:ind w:firstLine="482" w:firstLineChars="200"/>
              <w:jc w:val="left"/>
              <w:rPr>
                <w:b/>
                <w:snapToGrid w:val="0"/>
                <w:color w:val="auto"/>
                <w:kern w:val="0"/>
                <w:sz w:val="24"/>
              </w:rPr>
            </w:pPr>
            <w:r>
              <w:rPr>
                <w:rFonts w:hint="eastAsia"/>
                <w:b/>
                <w:snapToGrid w:val="0"/>
                <w:color w:val="auto"/>
                <w:kern w:val="0"/>
                <w:sz w:val="24"/>
              </w:rPr>
              <w:t>八、</w:t>
            </w:r>
            <w:r>
              <w:rPr>
                <w:rFonts w:hAnsi="宋体"/>
                <w:b/>
                <w:snapToGrid w:val="0"/>
                <w:color w:val="auto"/>
                <w:kern w:val="0"/>
                <w:sz w:val="24"/>
              </w:rPr>
              <w:t>环境风险评价</w:t>
            </w:r>
          </w:p>
          <w:p w14:paraId="783A574A">
            <w:pPr>
              <w:pStyle w:val="57"/>
              <w:adjustRightInd/>
              <w:spacing w:line="360" w:lineRule="auto"/>
              <w:ind w:firstLine="480" w:firstLineChars="200"/>
              <w:jc w:val="both"/>
              <w:rPr>
                <w:b w:val="0"/>
                <w:bCs w:val="0"/>
                <w:color w:val="auto"/>
              </w:rPr>
            </w:pPr>
            <w:r>
              <w:rPr>
                <w:rFonts w:hint="eastAsia"/>
                <w:b w:val="0"/>
                <w:bCs w:val="0"/>
                <w:color w:val="auto"/>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133B2FB">
            <w:pPr>
              <w:pStyle w:val="57"/>
              <w:adjustRightInd/>
              <w:spacing w:line="360" w:lineRule="auto"/>
              <w:ind w:firstLine="482" w:firstLineChars="200"/>
              <w:rPr>
                <w:color w:val="auto"/>
              </w:rPr>
            </w:pPr>
            <w:r>
              <w:rPr>
                <w:rFonts w:hint="eastAsia"/>
                <w:color w:val="auto"/>
              </w:rPr>
              <w:t>1、风险调查</w:t>
            </w:r>
          </w:p>
          <w:p w14:paraId="6766462F">
            <w:pPr>
              <w:spacing w:line="360" w:lineRule="auto"/>
              <w:ind w:firstLine="480" w:firstLineChars="200"/>
              <w:rPr>
                <w:color w:val="auto"/>
                <w:sz w:val="24"/>
                <w:szCs w:val="24"/>
              </w:rPr>
            </w:pPr>
            <w:r>
              <w:rPr>
                <w:rFonts w:hint="eastAsia"/>
                <w:color w:val="auto"/>
                <w:sz w:val="24"/>
                <w:szCs w:val="24"/>
              </w:rPr>
              <w:t>本项目使用的原辅材料主要为</w:t>
            </w:r>
            <w:r>
              <w:rPr>
                <w:rFonts w:hint="eastAsia"/>
                <w:color w:val="auto"/>
                <w:sz w:val="24"/>
                <w:szCs w:val="24"/>
                <w:lang w:val="en-US" w:eastAsia="zh-CN"/>
              </w:rPr>
              <w:t>砂子、碎石、水泥、粉煤灰等</w:t>
            </w:r>
            <w:r>
              <w:rPr>
                <w:rFonts w:hint="eastAsia"/>
                <w:color w:val="auto"/>
                <w:sz w:val="24"/>
                <w:szCs w:val="24"/>
              </w:rPr>
              <w:t>；产品为</w:t>
            </w:r>
            <w:r>
              <w:rPr>
                <w:rFonts w:hint="eastAsia"/>
                <w:color w:val="auto"/>
                <w:sz w:val="24"/>
                <w:szCs w:val="24"/>
                <w:lang w:val="en-US" w:eastAsia="zh-CN"/>
              </w:rPr>
              <w:t>砼岔枕</w:t>
            </w:r>
            <w:r>
              <w:rPr>
                <w:rFonts w:hint="eastAsia"/>
                <w:color w:val="auto"/>
                <w:sz w:val="24"/>
                <w:szCs w:val="24"/>
              </w:rPr>
              <w:t>；</w:t>
            </w:r>
          </w:p>
          <w:p w14:paraId="554FF239">
            <w:pPr>
              <w:spacing w:line="360" w:lineRule="auto"/>
              <w:ind w:firstLine="480" w:firstLineChars="200"/>
              <w:rPr>
                <w:color w:val="auto"/>
                <w:sz w:val="24"/>
                <w:szCs w:val="24"/>
              </w:rPr>
            </w:pPr>
            <w:r>
              <w:rPr>
                <w:rFonts w:hint="eastAsia"/>
                <w:color w:val="auto"/>
                <w:sz w:val="24"/>
                <w:szCs w:val="24"/>
              </w:rPr>
              <w:t>涉及的固液体废物为生活垃圾、</w:t>
            </w:r>
            <w:r>
              <w:rPr>
                <w:rFonts w:hint="eastAsia"/>
                <w:color w:val="auto"/>
                <w:sz w:val="24"/>
                <w:szCs w:val="24"/>
                <w:lang w:val="en-US" w:eastAsia="zh-CN"/>
              </w:rPr>
              <w:t>废切割边角料</w:t>
            </w:r>
            <w:r>
              <w:rPr>
                <w:rFonts w:hint="eastAsia"/>
                <w:color w:val="auto"/>
                <w:sz w:val="24"/>
                <w:szCs w:val="24"/>
              </w:rPr>
              <w:t>、</w:t>
            </w:r>
            <w:r>
              <w:rPr>
                <w:rFonts w:hint="eastAsia"/>
                <w:color w:val="auto"/>
                <w:sz w:val="24"/>
                <w:szCs w:val="24"/>
                <w:lang w:val="en-US" w:eastAsia="zh-CN"/>
              </w:rPr>
              <w:t>废脱模剂包装桶</w:t>
            </w:r>
            <w:r>
              <w:rPr>
                <w:rFonts w:hint="eastAsia"/>
                <w:color w:val="auto"/>
                <w:sz w:val="24"/>
                <w:szCs w:val="24"/>
              </w:rPr>
              <w:t>、</w:t>
            </w:r>
            <w:r>
              <w:rPr>
                <w:rFonts w:hint="eastAsia"/>
                <w:color w:val="auto"/>
                <w:sz w:val="24"/>
                <w:szCs w:val="24"/>
                <w:lang w:val="en-US" w:eastAsia="zh-CN"/>
              </w:rPr>
              <w:t>废布袋</w:t>
            </w:r>
            <w:r>
              <w:rPr>
                <w:rFonts w:hint="eastAsia"/>
                <w:color w:val="auto"/>
                <w:sz w:val="24"/>
                <w:szCs w:val="24"/>
              </w:rPr>
              <w:t>、</w:t>
            </w:r>
            <w:r>
              <w:rPr>
                <w:rFonts w:hint="eastAsia"/>
                <w:color w:val="auto"/>
                <w:sz w:val="24"/>
                <w:szCs w:val="24"/>
                <w:lang w:val="en-US" w:eastAsia="zh-CN"/>
              </w:rPr>
              <w:t>除尘灰</w:t>
            </w:r>
            <w:r>
              <w:rPr>
                <w:rFonts w:hint="eastAsia"/>
                <w:color w:val="auto"/>
                <w:sz w:val="24"/>
                <w:szCs w:val="24"/>
              </w:rPr>
              <w:t>、</w:t>
            </w:r>
            <w:r>
              <w:rPr>
                <w:rFonts w:hint="eastAsia"/>
                <w:color w:val="auto"/>
                <w:sz w:val="24"/>
                <w:szCs w:val="24"/>
                <w:lang w:val="en-US" w:eastAsia="en-US"/>
              </w:rPr>
              <w:t>沉淀池沉渣</w:t>
            </w:r>
            <w:r>
              <w:rPr>
                <w:rFonts w:hint="eastAsia"/>
                <w:color w:val="auto"/>
                <w:sz w:val="24"/>
                <w:szCs w:val="24"/>
              </w:rPr>
              <w:t>、</w:t>
            </w:r>
            <w:r>
              <w:rPr>
                <w:rFonts w:hint="eastAsia"/>
                <w:color w:val="auto"/>
                <w:sz w:val="24"/>
                <w:szCs w:val="24"/>
                <w:lang w:val="en-US" w:eastAsia="zh-CN"/>
              </w:rPr>
              <w:t>废机油和废机油</w:t>
            </w:r>
            <w:r>
              <w:rPr>
                <w:rFonts w:hint="eastAsia"/>
                <w:color w:val="auto"/>
                <w:sz w:val="24"/>
                <w:szCs w:val="24"/>
              </w:rPr>
              <w:t>桶。</w:t>
            </w:r>
          </w:p>
          <w:p w14:paraId="770C5F2D">
            <w:pPr>
              <w:spacing w:line="360" w:lineRule="auto"/>
              <w:ind w:firstLine="480" w:firstLineChars="200"/>
              <w:rPr>
                <w:color w:val="002DC7"/>
                <w:sz w:val="24"/>
                <w:szCs w:val="24"/>
              </w:rPr>
            </w:pPr>
            <w:r>
              <w:rPr>
                <w:rFonts w:hint="eastAsia"/>
                <w:color w:val="auto"/>
                <w:sz w:val="24"/>
                <w:szCs w:val="24"/>
              </w:rPr>
              <w:t>根据和《企业突发环境事件风险分级方法》（HJ941-2018)、《建设项目环境风险评价技术导则》（HJ 169-2018）附录B中突发环境事件风险物质及临界值表，同时根据项目原辅料MSDS性质，对照《危险化学品目录（20</w:t>
            </w:r>
            <w:r>
              <w:rPr>
                <w:rFonts w:hint="eastAsia"/>
                <w:color w:val="auto"/>
                <w:sz w:val="24"/>
                <w:szCs w:val="24"/>
                <w:lang w:val="en-US" w:eastAsia="zh-CN"/>
              </w:rPr>
              <w:t>22</w:t>
            </w:r>
            <w:r>
              <w:rPr>
                <w:rFonts w:hint="eastAsia"/>
                <w:color w:val="auto"/>
                <w:sz w:val="24"/>
                <w:szCs w:val="24"/>
              </w:rPr>
              <w:t>年版）》，可知本项目涉及的危险物质为</w:t>
            </w:r>
            <w:r>
              <w:rPr>
                <w:rFonts w:hint="eastAsia"/>
                <w:color w:val="auto"/>
                <w:sz w:val="24"/>
                <w:szCs w:val="24"/>
                <w:lang w:val="en-US" w:eastAsia="zh-CN"/>
              </w:rPr>
              <w:t>废机</w:t>
            </w:r>
            <w:r>
              <w:rPr>
                <w:rFonts w:hint="eastAsia"/>
                <w:color w:val="auto"/>
                <w:sz w:val="24"/>
                <w:szCs w:val="24"/>
              </w:rPr>
              <w:t>油等。</w:t>
            </w:r>
          </w:p>
          <w:p w14:paraId="30AC45D2">
            <w:pPr>
              <w:spacing w:line="360" w:lineRule="auto"/>
              <w:ind w:firstLine="482" w:firstLineChars="200"/>
              <w:jc w:val="center"/>
              <w:rPr>
                <w:color w:val="000000"/>
                <w:sz w:val="24"/>
                <w:szCs w:val="24"/>
              </w:rPr>
            </w:pPr>
            <w:r>
              <w:rPr>
                <w:b/>
                <w:color w:val="000000"/>
                <w:sz w:val="24"/>
              </w:rPr>
              <w:t>表4-2</w:t>
            </w:r>
            <w:r>
              <w:rPr>
                <w:rFonts w:hint="eastAsia"/>
                <w:b/>
                <w:color w:val="000000"/>
                <w:sz w:val="24"/>
              </w:rPr>
              <w:t>2</w:t>
            </w:r>
            <w:r>
              <w:rPr>
                <w:b/>
                <w:color w:val="000000"/>
                <w:sz w:val="24"/>
              </w:rPr>
              <w:t xml:space="preserve"> </w:t>
            </w:r>
            <w:r>
              <w:rPr>
                <w:rFonts w:hint="eastAsia"/>
                <w:b/>
                <w:color w:val="000000"/>
                <w:sz w:val="24"/>
              </w:rPr>
              <w:t>主要原辅料风险判别一览表</w:t>
            </w:r>
          </w:p>
          <w:tbl>
            <w:tblPr>
              <w:tblStyle w:val="40"/>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322"/>
              <w:gridCol w:w="1088"/>
              <w:gridCol w:w="689"/>
              <w:gridCol w:w="1702"/>
              <w:gridCol w:w="2029"/>
              <w:gridCol w:w="1020"/>
            </w:tblGrid>
            <w:tr w14:paraId="3203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12" w:space="0"/>
                    <w:left w:val="nil"/>
                    <w:bottom w:val="single" w:color="auto" w:sz="12" w:space="0"/>
                    <w:right w:val="single" w:color="auto" w:sz="4" w:space="0"/>
                  </w:tcBorders>
                  <w:vAlign w:val="center"/>
                </w:tcPr>
                <w:p w14:paraId="5BFF6886">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序号</w:t>
                  </w:r>
                </w:p>
              </w:tc>
              <w:tc>
                <w:tcPr>
                  <w:tcW w:w="796" w:type="pct"/>
                  <w:tcBorders>
                    <w:top w:val="single" w:color="auto" w:sz="12" w:space="0"/>
                    <w:left w:val="single" w:color="auto" w:sz="4" w:space="0"/>
                    <w:bottom w:val="single" w:color="auto" w:sz="12" w:space="0"/>
                    <w:right w:val="single" w:color="auto" w:sz="4" w:space="0"/>
                  </w:tcBorders>
                  <w:vAlign w:val="center"/>
                </w:tcPr>
                <w:p w14:paraId="7059B159">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名称</w:t>
                  </w:r>
                </w:p>
              </w:tc>
              <w:tc>
                <w:tcPr>
                  <w:tcW w:w="655" w:type="pct"/>
                  <w:tcBorders>
                    <w:top w:val="single" w:color="auto" w:sz="12" w:space="0"/>
                    <w:left w:val="single" w:color="auto" w:sz="4" w:space="0"/>
                    <w:bottom w:val="single" w:color="auto" w:sz="12" w:space="0"/>
                    <w:right w:val="single" w:color="auto" w:sz="4" w:space="0"/>
                  </w:tcBorders>
                  <w:vAlign w:val="center"/>
                </w:tcPr>
                <w:p w14:paraId="3BF586EA">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分布场所</w:t>
                  </w:r>
                </w:p>
              </w:tc>
              <w:tc>
                <w:tcPr>
                  <w:tcW w:w="415" w:type="pct"/>
                  <w:tcBorders>
                    <w:top w:val="single" w:color="auto" w:sz="12" w:space="0"/>
                    <w:left w:val="single" w:color="auto" w:sz="4" w:space="0"/>
                    <w:bottom w:val="single" w:color="auto" w:sz="12" w:space="0"/>
                    <w:right w:val="single" w:color="auto" w:sz="4" w:space="0"/>
                  </w:tcBorders>
                  <w:vAlign w:val="center"/>
                </w:tcPr>
                <w:p w14:paraId="554581EB">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物态</w:t>
                  </w:r>
                </w:p>
              </w:tc>
              <w:tc>
                <w:tcPr>
                  <w:tcW w:w="1025" w:type="pct"/>
                  <w:tcBorders>
                    <w:top w:val="single" w:color="auto" w:sz="12" w:space="0"/>
                    <w:left w:val="single" w:color="auto" w:sz="4" w:space="0"/>
                    <w:bottom w:val="single" w:color="auto" w:sz="12" w:space="0"/>
                    <w:right w:val="single" w:color="auto" w:sz="4" w:space="0"/>
                  </w:tcBorders>
                  <w:vAlign w:val="center"/>
                </w:tcPr>
                <w:p w14:paraId="6695F613">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《危险化学品目录（20</w:t>
                  </w:r>
                  <w:r>
                    <w:rPr>
                      <w:rFonts w:hint="eastAsia" w:ascii="Times New Roman" w:hAnsi="Times New Roman" w:cs="宋体"/>
                      <w:b/>
                      <w:kern w:val="2"/>
                      <w:sz w:val="21"/>
                      <w:szCs w:val="21"/>
                      <w:lang w:val="en-US" w:eastAsia="zh-CN"/>
                    </w:rPr>
                    <w:t>22</w:t>
                  </w:r>
                  <w:r>
                    <w:rPr>
                      <w:rFonts w:hint="eastAsia" w:ascii="Times New Roman" w:hAnsi="Times New Roman" w:cs="宋体"/>
                      <w:b/>
                      <w:kern w:val="2"/>
                      <w:sz w:val="21"/>
                      <w:szCs w:val="21"/>
                    </w:rPr>
                    <w:t>年版）》</w:t>
                  </w:r>
                </w:p>
              </w:tc>
              <w:tc>
                <w:tcPr>
                  <w:tcW w:w="1222" w:type="pct"/>
                  <w:tcBorders>
                    <w:top w:val="single" w:color="auto" w:sz="12" w:space="0"/>
                    <w:left w:val="single" w:color="auto" w:sz="4" w:space="0"/>
                    <w:bottom w:val="single" w:color="auto" w:sz="12" w:space="0"/>
                    <w:right w:val="single" w:color="auto" w:sz="4" w:space="0"/>
                  </w:tcBorders>
                  <w:vAlign w:val="center"/>
                </w:tcPr>
                <w:p w14:paraId="220E31B6">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是否在（HJ 169-2018）附录B中</w:t>
                  </w:r>
                </w:p>
              </w:tc>
              <w:tc>
                <w:tcPr>
                  <w:tcW w:w="614" w:type="pct"/>
                  <w:tcBorders>
                    <w:top w:val="single" w:color="auto" w:sz="12" w:space="0"/>
                    <w:left w:val="single" w:color="auto" w:sz="4" w:space="0"/>
                    <w:bottom w:val="single" w:color="auto" w:sz="12" w:space="0"/>
                    <w:right w:val="nil"/>
                  </w:tcBorders>
                  <w:vAlign w:val="center"/>
                </w:tcPr>
                <w:p w14:paraId="1595E1CB">
                  <w:pPr>
                    <w:pStyle w:val="35"/>
                    <w:spacing w:before="0" w:beforeAutospacing="0" w:after="0" w:afterAutospacing="0"/>
                    <w:jc w:val="center"/>
                    <w:rPr>
                      <w:rFonts w:ascii="Times New Roman" w:hAnsi="Times New Roman" w:cs="宋体"/>
                      <w:b/>
                      <w:kern w:val="2"/>
                      <w:sz w:val="21"/>
                      <w:szCs w:val="21"/>
                    </w:rPr>
                  </w:pPr>
                  <w:r>
                    <w:rPr>
                      <w:rFonts w:hint="eastAsia" w:ascii="Times New Roman" w:hAnsi="Times New Roman" w:cs="宋体"/>
                      <w:b/>
                      <w:kern w:val="2"/>
                      <w:sz w:val="21"/>
                      <w:szCs w:val="21"/>
                    </w:rPr>
                    <w:t>最大储存量t</w:t>
                  </w:r>
                </w:p>
              </w:tc>
            </w:tr>
            <w:tr w14:paraId="515D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12" w:space="0"/>
                    <w:left w:val="nil"/>
                    <w:bottom w:val="single" w:color="auto" w:sz="4" w:space="0"/>
                    <w:right w:val="single" w:color="auto" w:sz="4" w:space="0"/>
                  </w:tcBorders>
                  <w:vAlign w:val="center"/>
                </w:tcPr>
                <w:p w14:paraId="5D4BD887">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1</w:t>
                  </w:r>
                </w:p>
              </w:tc>
              <w:tc>
                <w:tcPr>
                  <w:tcW w:w="796" w:type="pct"/>
                  <w:tcBorders>
                    <w:top w:val="single" w:color="auto" w:sz="12" w:space="0"/>
                    <w:left w:val="single" w:color="auto" w:sz="4" w:space="0"/>
                    <w:bottom w:val="single" w:color="auto" w:sz="4" w:space="0"/>
                    <w:right w:val="single" w:color="auto" w:sz="4" w:space="0"/>
                  </w:tcBorders>
                  <w:vAlign w:val="center"/>
                </w:tcPr>
                <w:p w14:paraId="41BE962C">
                  <w:pPr>
                    <w:jc w:val="center"/>
                    <w:rPr>
                      <w:rFonts w:ascii="Times New Roman" w:hAnsi="Times New Roman" w:cs="宋体"/>
                      <w:bCs/>
                      <w:kern w:val="2"/>
                      <w:sz w:val="21"/>
                      <w:szCs w:val="21"/>
                    </w:rPr>
                  </w:pPr>
                  <w:r>
                    <w:rPr>
                      <w:rFonts w:hint="eastAsia"/>
                      <w:color w:val="auto"/>
                      <w:szCs w:val="21"/>
                      <w:lang w:val="en-US" w:eastAsia="zh-CN"/>
                    </w:rPr>
                    <w:t>水泥</w:t>
                  </w:r>
                </w:p>
              </w:tc>
              <w:tc>
                <w:tcPr>
                  <w:tcW w:w="655" w:type="pct"/>
                  <w:vMerge w:val="restart"/>
                  <w:tcBorders>
                    <w:top w:val="single" w:color="auto" w:sz="12" w:space="0"/>
                    <w:left w:val="single" w:color="auto" w:sz="4" w:space="0"/>
                    <w:right w:val="single" w:color="auto" w:sz="4" w:space="0"/>
                  </w:tcBorders>
                  <w:vAlign w:val="center"/>
                </w:tcPr>
                <w:p w14:paraId="4793FBBD">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原料仓库</w:t>
                  </w:r>
                </w:p>
              </w:tc>
              <w:tc>
                <w:tcPr>
                  <w:tcW w:w="415" w:type="pct"/>
                  <w:tcBorders>
                    <w:top w:val="single" w:color="auto" w:sz="12" w:space="0"/>
                    <w:left w:val="single" w:color="auto" w:sz="4" w:space="0"/>
                    <w:bottom w:val="single" w:color="auto" w:sz="4" w:space="0"/>
                    <w:right w:val="single" w:color="auto" w:sz="4" w:space="0"/>
                  </w:tcBorders>
                  <w:vAlign w:val="center"/>
                </w:tcPr>
                <w:p w14:paraId="132D4EC4">
                  <w:pPr>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12" w:space="0"/>
                    <w:left w:val="single" w:color="auto" w:sz="4" w:space="0"/>
                    <w:bottom w:val="single" w:color="auto" w:sz="4" w:space="0"/>
                    <w:right w:val="single" w:color="auto" w:sz="4" w:space="0"/>
                  </w:tcBorders>
                  <w:vAlign w:val="center"/>
                </w:tcPr>
                <w:p w14:paraId="4C336528">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12" w:space="0"/>
                    <w:left w:val="single" w:color="auto" w:sz="4" w:space="0"/>
                    <w:bottom w:val="single" w:color="auto" w:sz="4" w:space="0"/>
                    <w:right w:val="single" w:color="auto" w:sz="4" w:space="0"/>
                  </w:tcBorders>
                  <w:vAlign w:val="center"/>
                </w:tcPr>
                <w:p w14:paraId="6ABC92F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12" w:space="0"/>
                    <w:left w:val="single" w:color="auto" w:sz="4" w:space="0"/>
                    <w:bottom w:val="single" w:color="auto" w:sz="4" w:space="0"/>
                    <w:right w:val="nil"/>
                  </w:tcBorders>
                  <w:vAlign w:val="center"/>
                </w:tcPr>
                <w:p w14:paraId="5F5EC2A1">
                  <w:pPr>
                    <w:pStyle w:val="124"/>
                    <w:spacing w:line="240" w:lineRule="auto"/>
                    <w:rPr>
                      <w:rFonts w:ascii="Times New Roman" w:hAnsi="Times New Roman" w:cs="宋体"/>
                      <w:bCs/>
                      <w:kern w:val="2"/>
                      <w:sz w:val="21"/>
                      <w:szCs w:val="21"/>
                    </w:rPr>
                  </w:pPr>
                  <w:r>
                    <w:rPr>
                      <w:rFonts w:hint="eastAsia"/>
                      <w:color w:val="auto"/>
                      <w:szCs w:val="21"/>
                      <w:highlight w:val="none"/>
                      <w:lang w:val="en-US" w:eastAsia="zh-CN"/>
                    </w:rPr>
                    <w:t>300</w:t>
                  </w:r>
                </w:p>
              </w:tc>
            </w:tr>
            <w:tr w14:paraId="2D71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0AA33C6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2</w:t>
                  </w:r>
                </w:p>
              </w:tc>
              <w:tc>
                <w:tcPr>
                  <w:tcW w:w="796" w:type="pct"/>
                  <w:tcBorders>
                    <w:top w:val="single" w:color="auto" w:sz="4" w:space="0"/>
                    <w:left w:val="single" w:color="auto" w:sz="4" w:space="0"/>
                    <w:bottom w:val="single" w:color="auto" w:sz="4" w:space="0"/>
                    <w:right w:val="single" w:color="auto" w:sz="4" w:space="0"/>
                  </w:tcBorders>
                  <w:vAlign w:val="center"/>
                </w:tcPr>
                <w:p w14:paraId="33515D7D">
                  <w:pPr>
                    <w:jc w:val="center"/>
                    <w:rPr>
                      <w:rFonts w:ascii="Times New Roman" w:hAnsi="Times New Roman" w:cs="宋体"/>
                      <w:bCs/>
                      <w:kern w:val="2"/>
                      <w:sz w:val="21"/>
                      <w:szCs w:val="21"/>
                    </w:rPr>
                  </w:pPr>
                  <w:r>
                    <w:rPr>
                      <w:rFonts w:hint="eastAsia"/>
                      <w:color w:val="auto"/>
                      <w:szCs w:val="21"/>
                      <w:lang w:val="en-US" w:eastAsia="zh-CN"/>
                    </w:rPr>
                    <w:t>粉煤灰</w:t>
                  </w:r>
                </w:p>
              </w:tc>
              <w:tc>
                <w:tcPr>
                  <w:tcW w:w="655" w:type="pct"/>
                  <w:vMerge w:val="continue"/>
                  <w:tcBorders>
                    <w:left w:val="single" w:color="auto" w:sz="4" w:space="0"/>
                    <w:right w:val="single" w:color="auto" w:sz="4" w:space="0"/>
                  </w:tcBorders>
                  <w:vAlign w:val="center"/>
                </w:tcPr>
                <w:p w14:paraId="537C59FA">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6494B64B">
                  <w:pPr>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bottom w:val="single" w:color="auto" w:sz="4" w:space="0"/>
                    <w:right w:val="single" w:color="auto" w:sz="4" w:space="0"/>
                  </w:tcBorders>
                  <w:vAlign w:val="center"/>
                </w:tcPr>
                <w:p w14:paraId="3822395B">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vAlign w:val="center"/>
                </w:tcPr>
                <w:p w14:paraId="13FF374C">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40F90CEA">
                  <w:pPr>
                    <w:pStyle w:val="124"/>
                    <w:spacing w:line="240" w:lineRule="auto"/>
                    <w:rPr>
                      <w:rFonts w:hint="default" w:ascii="Times New Roman" w:hAnsi="Times New Roman" w:cs="宋体"/>
                      <w:bCs/>
                      <w:kern w:val="2"/>
                      <w:sz w:val="21"/>
                      <w:szCs w:val="21"/>
                      <w:lang w:val="en-US"/>
                    </w:rPr>
                  </w:pPr>
                  <w:r>
                    <w:rPr>
                      <w:rFonts w:hint="eastAsia"/>
                      <w:color w:val="auto"/>
                      <w:szCs w:val="21"/>
                      <w:highlight w:val="none"/>
                      <w:lang w:val="en-US" w:eastAsia="zh-CN"/>
                    </w:rPr>
                    <w:t>110</w:t>
                  </w:r>
                </w:p>
              </w:tc>
            </w:tr>
            <w:tr w14:paraId="2CA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6F2D73B0">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3</w:t>
                  </w:r>
                </w:p>
              </w:tc>
              <w:tc>
                <w:tcPr>
                  <w:tcW w:w="796" w:type="pct"/>
                  <w:tcBorders>
                    <w:top w:val="single" w:color="auto" w:sz="4" w:space="0"/>
                    <w:left w:val="single" w:color="auto" w:sz="4" w:space="0"/>
                    <w:bottom w:val="single" w:color="auto" w:sz="4" w:space="0"/>
                    <w:right w:val="single" w:color="auto" w:sz="4" w:space="0"/>
                  </w:tcBorders>
                  <w:vAlign w:val="center"/>
                </w:tcPr>
                <w:p w14:paraId="3DBC280A">
                  <w:pPr>
                    <w:jc w:val="center"/>
                    <w:rPr>
                      <w:rFonts w:ascii="Times New Roman" w:hAnsi="Times New Roman" w:cs="宋体"/>
                      <w:bCs/>
                      <w:kern w:val="2"/>
                      <w:sz w:val="21"/>
                      <w:szCs w:val="21"/>
                    </w:rPr>
                  </w:pPr>
                  <w:r>
                    <w:rPr>
                      <w:rFonts w:hint="eastAsia"/>
                      <w:color w:val="auto"/>
                      <w:szCs w:val="21"/>
                      <w:lang w:val="en-US" w:eastAsia="zh-CN"/>
                    </w:rPr>
                    <w:t>砂子</w:t>
                  </w:r>
                </w:p>
              </w:tc>
              <w:tc>
                <w:tcPr>
                  <w:tcW w:w="655" w:type="pct"/>
                  <w:vMerge w:val="continue"/>
                  <w:tcBorders>
                    <w:left w:val="single" w:color="auto" w:sz="4" w:space="0"/>
                    <w:right w:val="single" w:color="auto" w:sz="4" w:space="0"/>
                  </w:tcBorders>
                  <w:vAlign w:val="center"/>
                </w:tcPr>
                <w:p w14:paraId="7658E045">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4AA0B2B3">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bottom w:val="single" w:color="auto" w:sz="4" w:space="0"/>
                    <w:right w:val="single" w:color="auto" w:sz="4" w:space="0"/>
                  </w:tcBorders>
                </w:tcPr>
                <w:p w14:paraId="11F44BC8">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640BE77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37BB6F5C">
                  <w:pPr>
                    <w:pStyle w:val="124"/>
                    <w:spacing w:line="240" w:lineRule="auto"/>
                    <w:rPr>
                      <w:rFonts w:ascii="Times New Roman" w:hAnsi="Times New Roman" w:cs="宋体"/>
                      <w:bCs/>
                      <w:kern w:val="2"/>
                      <w:sz w:val="21"/>
                      <w:szCs w:val="21"/>
                    </w:rPr>
                  </w:pPr>
                  <w:r>
                    <w:rPr>
                      <w:rFonts w:hint="eastAsia"/>
                      <w:color w:val="auto"/>
                      <w:szCs w:val="21"/>
                      <w:highlight w:val="none"/>
                      <w:lang w:val="en-US" w:eastAsia="zh-CN"/>
                    </w:rPr>
                    <w:t>606</w:t>
                  </w:r>
                </w:p>
              </w:tc>
            </w:tr>
            <w:tr w14:paraId="25B4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5D860954">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4</w:t>
                  </w:r>
                </w:p>
              </w:tc>
              <w:tc>
                <w:tcPr>
                  <w:tcW w:w="796" w:type="pct"/>
                  <w:tcBorders>
                    <w:top w:val="single" w:color="auto" w:sz="4" w:space="0"/>
                    <w:left w:val="single" w:color="auto" w:sz="4" w:space="0"/>
                    <w:bottom w:val="single" w:color="auto" w:sz="4" w:space="0"/>
                    <w:right w:val="single" w:color="auto" w:sz="4" w:space="0"/>
                  </w:tcBorders>
                  <w:vAlign w:val="center"/>
                </w:tcPr>
                <w:p w14:paraId="7A20BA5F">
                  <w:pPr>
                    <w:jc w:val="center"/>
                    <w:rPr>
                      <w:rFonts w:ascii="Times New Roman" w:hAnsi="Times New Roman" w:cs="宋体"/>
                      <w:bCs/>
                      <w:kern w:val="2"/>
                      <w:sz w:val="21"/>
                      <w:szCs w:val="21"/>
                    </w:rPr>
                  </w:pPr>
                  <w:r>
                    <w:rPr>
                      <w:rFonts w:hint="eastAsia"/>
                      <w:color w:val="auto"/>
                      <w:szCs w:val="21"/>
                      <w:lang w:val="en-US" w:eastAsia="zh-CN"/>
                    </w:rPr>
                    <w:t>碎石</w:t>
                  </w:r>
                </w:p>
              </w:tc>
              <w:tc>
                <w:tcPr>
                  <w:tcW w:w="655" w:type="pct"/>
                  <w:vMerge w:val="continue"/>
                  <w:tcBorders>
                    <w:left w:val="single" w:color="auto" w:sz="4" w:space="0"/>
                    <w:right w:val="single" w:color="auto" w:sz="4" w:space="0"/>
                  </w:tcBorders>
                  <w:vAlign w:val="center"/>
                </w:tcPr>
                <w:p w14:paraId="549ACD11">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51B9D712">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bottom w:val="single" w:color="auto" w:sz="4" w:space="0"/>
                    <w:right w:val="single" w:color="auto" w:sz="4" w:space="0"/>
                  </w:tcBorders>
                </w:tcPr>
                <w:p w14:paraId="617CBBD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093EC29C">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47BC812F">
                  <w:pPr>
                    <w:pStyle w:val="124"/>
                    <w:spacing w:line="240" w:lineRule="auto"/>
                    <w:rPr>
                      <w:rFonts w:ascii="Times New Roman" w:hAnsi="Times New Roman" w:cs="宋体"/>
                      <w:bCs/>
                      <w:kern w:val="2"/>
                      <w:sz w:val="21"/>
                      <w:szCs w:val="21"/>
                    </w:rPr>
                  </w:pPr>
                  <w:r>
                    <w:rPr>
                      <w:rFonts w:hint="eastAsia"/>
                      <w:color w:val="auto"/>
                      <w:szCs w:val="21"/>
                      <w:highlight w:val="none"/>
                      <w:lang w:val="en-US" w:eastAsia="zh-CN"/>
                    </w:rPr>
                    <w:t>1246</w:t>
                  </w:r>
                </w:p>
              </w:tc>
            </w:tr>
            <w:tr w14:paraId="1F7B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2496A7A1">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5</w:t>
                  </w:r>
                </w:p>
              </w:tc>
              <w:tc>
                <w:tcPr>
                  <w:tcW w:w="796" w:type="pct"/>
                  <w:tcBorders>
                    <w:top w:val="single" w:color="auto" w:sz="4" w:space="0"/>
                    <w:left w:val="single" w:color="auto" w:sz="4" w:space="0"/>
                    <w:bottom w:val="single" w:color="auto" w:sz="4" w:space="0"/>
                    <w:right w:val="single" w:color="auto" w:sz="4" w:space="0"/>
                  </w:tcBorders>
                  <w:vAlign w:val="center"/>
                </w:tcPr>
                <w:p w14:paraId="42A97F44">
                  <w:pPr>
                    <w:jc w:val="center"/>
                    <w:rPr>
                      <w:rFonts w:ascii="Times New Roman" w:hAnsi="Times New Roman" w:cs="宋体"/>
                      <w:bCs/>
                      <w:kern w:val="2"/>
                      <w:sz w:val="21"/>
                      <w:szCs w:val="21"/>
                    </w:rPr>
                  </w:pPr>
                  <w:r>
                    <w:rPr>
                      <w:rFonts w:hint="eastAsia"/>
                      <w:color w:val="auto"/>
                      <w:szCs w:val="21"/>
                      <w:lang w:val="en-US" w:eastAsia="zh-CN"/>
                    </w:rPr>
                    <w:t>冷拔丝</w:t>
                  </w:r>
                </w:p>
              </w:tc>
              <w:tc>
                <w:tcPr>
                  <w:tcW w:w="655" w:type="pct"/>
                  <w:vMerge w:val="continue"/>
                  <w:tcBorders>
                    <w:left w:val="single" w:color="auto" w:sz="4" w:space="0"/>
                    <w:right w:val="single" w:color="auto" w:sz="4" w:space="0"/>
                  </w:tcBorders>
                  <w:vAlign w:val="center"/>
                </w:tcPr>
                <w:p w14:paraId="7B841AE2">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16083F5F">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bottom w:val="single" w:color="auto" w:sz="4" w:space="0"/>
                    <w:right w:val="single" w:color="auto" w:sz="4" w:space="0"/>
                  </w:tcBorders>
                </w:tcPr>
                <w:p w14:paraId="5573EF4F">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5BB094B2">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20455931">
                  <w:pPr>
                    <w:pStyle w:val="124"/>
                    <w:spacing w:line="240" w:lineRule="auto"/>
                    <w:rPr>
                      <w:rFonts w:ascii="Times New Roman" w:hAnsi="Times New Roman" w:cs="宋体"/>
                      <w:bCs/>
                      <w:kern w:val="2"/>
                      <w:sz w:val="21"/>
                      <w:szCs w:val="21"/>
                    </w:rPr>
                  </w:pPr>
                  <w:r>
                    <w:rPr>
                      <w:rFonts w:hint="eastAsia"/>
                      <w:color w:val="auto"/>
                      <w:szCs w:val="21"/>
                      <w:lang w:val="en-US" w:eastAsia="zh-CN"/>
                    </w:rPr>
                    <w:t>59.22</w:t>
                  </w:r>
                </w:p>
              </w:tc>
            </w:tr>
            <w:tr w14:paraId="440A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5D655BB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6</w:t>
                  </w:r>
                </w:p>
              </w:tc>
              <w:tc>
                <w:tcPr>
                  <w:tcW w:w="796" w:type="pct"/>
                  <w:tcBorders>
                    <w:top w:val="single" w:color="auto" w:sz="4" w:space="0"/>
                    <w:left w:val="single" w:color="auto" w:sz="4" w:space="0"/>
                    <w:bottom w:val="single" w:color="auto" w:sz="4" w:space="0"/>
                    <w:right w:val="single" w:color="auto" w:sz="4" w:space="0"/>
                  </w:tcBorders>
                  <w:vAlign w:val="center"/>
                </w:tcPr>
                <w:p w14:paraId="147CDFDD">
                  <w:pPr>
                    <w:jc w:val="center"/>
                    <w:rPr>
                      <w:rFonts w:ascii="Times New Roman" w:hAnsi="Times New Roman" w:cs="宋体"/>
                      <w:bCs/>
                      <w:kern w:val="2"/>
                      <w:sz w:val="21"/>
                      <w:szCs w:val="21"/>
                    </w:rPr>
                  </w:pPr>
                  <w:r>
                    <w:rPr>
                      <w:rFonts w:hint="eastAsia"/>
                      <w:color w:val="auto"/>
                      <w:szCs w:val="21"/>
                      <w:lang w:val="en-US" w:eastAsia="zh-CN"/>
                    </w:rPr>
                    <w:t>预应力钢筋</w:t>
                  </w:r>
                </w:p>
              </w:tc>
              <w:tc>
                <w:tcPr>
                  <w:tcW w:w="655" w:type="pct"/>
                  <w:vMerge w:val="continue"/>
                  <w:tcBorders>
                    <w:left w:val="single" w:color="auto" w:sz="4" w:space="0"/>
                    <w:right w:val="single" w:color="auto" w:sz="4" w:space="0"/>
                  </w:tcBorders>
                  <w:vAlign w:val="center"/>
                </w:tcPr>
                <w:p w14:paraId="15A4ED57">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7331E417">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bottom w:val="single" w:color="auto" w:sz="4" w:space="0"/>
                    <w:right w:val="single" w:color="auto" w:sz="4" w:space="0"/>
                  </w:tcBorders>
                </w:tcPr>
                <w:p w14:paraId="5C083D1E">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431D7DFE">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5D7747CC">
                  <w:pPr>
                    <w:pStyle w:val="124"/>
                    <w:spacing w:line="240" w:lineRule="auto"/>
                    <w:rPr>
                      <w:rFonts w:ascii="Times New Roman" w:hAnsi="Times New Roman" w:cs="宋体"/>
                      <w:bCs/>
                      <w:kern w:val="2"/>
                      <w:sz w:val="21"/>
                      <w:szCs w:val="21"/>
                    </w:rPr>
                  </w:pPr>
                  <w:r>
                    <w:rPr>
                      <w:rFonts w:hint="eastAsia"/>
                      <w:color w:val="auto"/>
                      <w:szCs w:val="21"/>
                      <w:lang w:val="en-US" w:eastAsia="zh-CN"/>
                    </w:rPr>
                    <w:t>174.69</w:t>
                  </w:r>
                </w:p>
              </w:tc>
            </w:tr>
            <w:tr w14:paraId="6117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58FBC227">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7</w:t>
                  </w:r>
                </w:p>
              </w:tc>
              <w:tc>
                <w:tcPr>
                  <w:tcW w:w="796" w:type="pct"/>
                  <w:tcBorders>
                    <w:top w:val="single" w:color="auto" w:sz="4" w:space="0"/>
                    <w:left w:val="single" w:color="auto" w:sz="4" w:space="0"/>
                    <w:bottom w:val="single" w:color="auto" w:sz="4" w:space="0"/>
                    <w:right w:val="single" w:color="auto" w:sz="4" w:space="0"/>
                  </w:tcBorders>
                  <w:vAlign w:val="center"/>
                </w:tcPr>
                <w:p w14:paraId="4D54348C">
                  <w:pPr>
                    <w:jc w:val="center"/>
                    <w:rPr>
                      <w:rFonts w:ascii="Times New Roman" w:hAnsi="Times New Roman" w:cs="宋体"/>
                      <w:bCs/>
                      <w:kern w:val="2"/>
                      <w:sz w:val="21"/>
                      <w:szCs w:val="21"/>
                    </w:rPr>
                  </w:pPr>
                  <w:r>
                    <w:rPr>
                      <w:rFonts w:hint="eastAsia"/>
                      <w:color w:val="auto"/>
                      <w:szCs w:val="21"/>
                      <w:lang w:val="en-US" w:eastAsia="zh-CN"/>
                    </w:rPr>
                    <w:t>脱模剂</w:t>
                  </w:r>
                </w:p>
              </w:tc>
              <w:tc>
                <w:tcPr>
                  <w:tcW w:w="655" w:type="pct"/>
                  <w:vMerge w:val="continue"/>
                  <w:tcBorders>
                    <w:left w:val="single" w:color="auto" w:sz="4" w:space="0"/>
                    <w:right w:val="single" w:color="auto" w:sz="4" w:space="0"/>
                  </w:tcBorders>
                  <w:vAlign w:val="center"/>
                </w:tcPr>
                <w:p w14:paraId="3270CBA8">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2C41BBFB">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lang w:val="en-US" w:eastAsia="zh-CN"/>
                    </w:rPr>
                    <w:t>液</w:t>
                  </w:r>
                  <w:r>
                    <w:rPr>
                      <w:rFonts w:hint="eastAsia" w:ascii="Times New Roman" w:hAnsi="Times New Roman" w:cs="宋体"/>
                      <w:bCs/>
                      <w:kern w:val="2"/>
                      <w:sz w:val="21"/>
                      <w:szCs w:val="21"/>
                    </w:rPr>
                    <w:t>态</w:t>
                  </w:r>
                </w:p>
              </w:tc>
              <w:tc>
                <w:tcPr>
                  <w:tcW w:w="1025" w:type="pct"/>
                  <w:tcBorders>
                    <w:top w:val="single" w:color="auto" w:sz="4" w:space="0"/>
                    <w:left w:val="single" w:color="auto" w:sz="4" w:space="0"/>
                    <w:bottom w:val="single" w:color="auto" w:sz="4" w:space="0"/>
                    <w:right w:val="single" w:color="auto" w:sz="4" w:space="0"/>
                  </w:tcBorders>
                </w:tcPr>
                <w:p w14:paraId="70D55EC0">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44A0F26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6D7FF643">
                  <w:pPr>
                    <w:pStyle w:val="124"/>
                    <w:spacing w:line="240" w:lineRule="auto"/>
                    <w:rPr>
                      <w:rFonts w:ascii="Times New Roman" w:hAnsi="Times New Roman" w:cs="宋体"/>
                      <w:bCs/>
                      <w:kern w:val="2"/>
                      <w:sz w:val="21"/>
                      <w:szCs w:val="21"/>
                    </w:rPr>
                  </w:pPr>
                  <w:r>
                    <w:rPr>
                      <w:rFonts w:hint="eastAsia"/>
                      <w:color w:val="auto"/>
                      <w:szCs w:val="21"/>
                      <w:lang w:val="en-US" w:eastAsia="zh-CN"/>
                    </w:rPr>
                    <w:t>2.5t</w:t>
                  </w:r>
                </w:p>
              </w:tc>
            </w:tr>
            <w:tr w14:paraId="1D39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tcBorders>
                    <w:top w:val="single" w:color="auto" w:sz="4" w:space="0"/>
                    <w:left w:val="nil"/>
                    <w:bottom w:val="single" w:color="auto" w:sz="4" w:space="0"/>
                    <w:right w:val="single" w:color="auto" w:sz="4" w:space="0"/>
                  </w:tcBorders>
                  <w:vAlign w:val="center"/>
                </w:tcPr>
                <w:p w14:paraId="59ADD2B1">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8</w:t>
                  </w:r>
                </w:p>
              </w:tc>
              <w:tc>
                <w:tcPr>
                  <w:tcW w:w="796" w:type="pct"/>
                  <w:tcBorders>
                    <w:top w:val="single" w:color="auto" w:sz="4" w:space="0"/>
                    <w:left w:val="single" w:color="auto" w:sz="4" w:space="0"/>
                    <w:bottom w:val="single" w:color="auto" w:sz="4" w:space="0"/>
                    <w:right w:val="single" w:color="auto" w:sz="4" w:space="0"/>
                  </w:tcBorders>
                  <w:vAlign w:val="center"/>
                </w:tcPr>
                <w:p w14:paraId="7C78C6D5">
                  <w:pPr>
                    <w:jc w:val="center"/>
                    <w:rPr>
                      <w:rFonts w:ascii="Times New Roman" w:hAnsi="Times New Roman" w:cs="宋体"/>
                      <w:bCs/>
                      <w:kern w:val="2"/>
                      <w:sz w:val="21"/>
                      <w:szCs w:val="21"/>
                    </w:rPr>
                  </w:pPr>
                  <w:r>
                    <w:rPr>
                      <w:rFonts w:hint="eastAsia"/>
                      <w:color w:val="auto"/>
                      <w:szCs w:val="21"/>
                      <w:lang w:val="en-US" w:eastAsia="zh-CN"/>
                    </w:rPr>
                    <w:t>减水剂</w:t>
                  </w:r>
                </w:p>
              </w:tc>
              <w:tc>
                <w:tcPr>
                  <w:tcW w:w="655" w:type="pct"/>
                  <w:vMerge w:val="continue"/>
                  <w:tcBorders>
                    <w:left w:val="single" w:color="auto" w:sz="4" w:space="0"/>
                    <w:right w:val="single" w:color="auto" w:sz="4" w:space="0"/>
                  </w:tcBorders>
                  <w:vAlign w:val="center"/>
                </w:tcPr>
                <w:p w14:paraId="4070E738">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bottom w:val="single" w:color="auto" w:sz="4" w:space="0"/>
                    <w:right w:val="single" w:color="auto" w:sz="4" w:space="0"/>
                  </w:tcBorders>
                  <w:vAlign w:val="center"/>
                </w:tcPr>
                <w:p w14:paraId="46632357">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lang w:val="en-US" w:eastAsia="zh-CN"/>
                    </w:rPr>
                    <w:t>液</w:t>
                  </w:r>
                  <w:r>
                    <w:rPr>
                      <w:rFonts w:hint="eastAsia" w:ascii="Times New Roman" w:hAnsi="Times New Roman" w:cs="宋体"/>
                      <w:bCs/>
                      <w:kern w:val="2"/>
                      <w:sz w:val="21"/>
                      <w:szCs w:val="21"/>
                    </w:rPr>
                    <w:t>态</w:t>
                  </w:r>
                </w:p>
              </w:tc>
              <w:tc>
                <w:tcPr>
                  <w:tcW w:w="1025" w:type="pct"/>
                  <w:tcBorders>
                    <w:top w:val="single" w:color="auto" w:sz="4" w:space="0"/>
                    <w:left w:val="single" w:color="auto" w:sz="4" w:space="0"/>
                    <w:bottom w:val="single" w:color="auto" w:sz="4" w:space="0"/>
                    <w:right w:val="single" w:color="auto" w:sz="4" w:space="0"/>
                  </w:tcBorders>
                </w:tcPr>
                <w:p w14:paraId="644F8BD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bottom w:val="single" w:color="auto" w:sz="4" w:space="0"/>
                    <w:right w:val="single" w:color="auto" w:sz="4" w:space="0"/>
                  </w:tcBorders>
                </w:tcPr>
                <w:p w14:paraId="5AB4524E">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020" w:type="dxa"/>
                  <w:tcBorders>
                    <w:top w:val="single" w:color="auto" w:sz="4" w:space="0"/>
                    <w:left w:val="single" w:color="auto" w:sz="4" w:space="0"/>
                    <w:bottom w:val="single" w:color="auto" w:sz="4" w:space="0"/>
                    <w:right w:val="nil"/>
                  </w:tcBorders>
                  <w:vAlign w:val="center"/>
                </w:tcPr>
                <w:p w14:paraId="30084D6B">
                  <w:pPr>
                    <w:pStyle w:val="124"/>
                    <w:spacing w:line="240" w:lineRule="auto"/>
                    <w:rPr>
                      <w:rFonts w:ascii="Times New Roman" w:hAnsi="Times New Roman" w:cs="宋体"/>
                      <w:bCs/>
                      <w:kern w:val="2"/>
                      <w:sz w:val="21"/>
                      <w:szCs w:val="21"/>
                    </w:rPr>
                  </w:pPr>
                  <w:r>
                    <w:rPr>
                      <w:rFonts w:hint="eastAsia"/>
                      <w:color w:val="auto"/>
                      <w:szCs w:val="21"/>
                      <w:lang w:val="en-US" w:eastAsia="zh-CN"/>
                    </w:rPr>
                    <w:t>0.5</w:t>
                  </w:r>
                </w:p>
              </w:tc>
            </w:tr>
            <w:tr w14:paraId="6B48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70" w:type="pct"/>
                  <w:tcBorders>
                    <w:top w:val="single" w:color="auto" w:sz="4" w:space="0"/>
                    <w:left w:val="nil"/>
                    <w:right w:val="single" w:color="auto" w:sz="4" w:space="0"/>
                  </w:tcBorders>
                  <w:vAlign w:val="center"/>
                </w:tcPr>
                <w:p w14:paraId="39F382D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12</w:t>
                  </w:r>
                </w:p>
              </w:tc>
              <w:tc>
                <w:tcPr>
                  <w:tcW w:w="796" w:type="pct"/>
                  <w:tcBorders>
                    <w:top w:val="single" w:color="auto" w:sz="4" w:space="0"/>
                    <w:left w:val="single" w:color="auto" w:sz="4" w:space="0"/>
                    <w:right w:val="single" w:color="auto" w:sz="4" w:space="0"/>
                  </w:tcBorders>
                  <w:vAlign w:val="center"/>
                </w:tcPr>
                <w:p w14:paraId="5AEF1472">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废</w:t>
                  </w:r>
                  <w:r>
                    <w:rPr>
                      <w:rFonts w:hint="eastAsia" w:ascii="Times New Roman" w:hAnsi="Times New Roman" w:cs="宋体"/>
                      <w:bCs/>
                      <w:kern w:val="2"/>
                      <w:sz w:val="21"/>
                      <w:szCs w:val="21"/>
                      <w:lang w:val="en-US" w:eastAsia="zh-CN"/>
                    </w:rPr>
                    <w:t>机</w:t>
                  </w:r>
                  <w:r>
                    <w:rPr>
                      <w:rFonts w:hint="eastAsia" w:ascii="Times New Roman" w:hAnsi="Times New Roman" w:cs="宋体"/>
                      <w:bCs/>
                      <w:kern w:val="2"/>
                      <w:sz w:val="21"/>
                      <w:szCs w:val="21"/>
                    </w:rPr>
                    <w:t>油</w:t>
                  </w:r>
                </w:p>
              </w:tc>
              <w:tc>
                <w:tcPr>
                  <w:tcW w:w="655" w:type="pct"/>
                  <w:vMerge w:val="restart"/>
                  <w:tcBorders>
                    <w:top w:val="single" w:color="auto" w:sz="4" w:space="0"/>
                    <w:left w:val="single" w:color="auto" w:sz="4" w:space="0"/>
                    <w:right w:val="single" w:color="auto" w:sz="4" w:space="0"/>
                  </w:tcBorders>
                  <w:vAlign w:val="center"/>
                </w:tcPr>
                <w:p w14:paraId="3AF869F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危废库</w:t>
                  </w:r>
                </w:p>
              </w:tc>
              <w:tc>
                <w:tcPr>
                  <w:tcW w:w="415" w:type="pct"/>
                  <w:tcBorders>
                    <w:top w:val="single" w:color="auto" w:sz="4" w:space="0"/>
                    <w:left w:val="single" w:color="auto" w:sz="4" w:space="0"/>
                    <w:right w:val="single" w:color="auto" w:sz="4" w:space="0"/>
                  </w:tcBorders>
                  <w:vAlign w:val="center"/>
                </w:tcPr>
                <w:p w14:paraId="7678C8C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液态</w:t>
                  </w:r>
                </w:p>
              </w:tc>
              <w:tc>
                <w:tcPr>
                  <w:tcW w:w="1025" w:type="pct"/>
                  <w:tcBorders>
                    <w:top w:val="single" w:color="auto" w:sz="4" w:space="0"/>
                    <w:left w:val="single" w:color="auto" w:sz="4" w:space="0"/>
                    <w:right w:val="single" w:color="auto" w:sz="4" w:space="0"/>
                  </w:tcBorders>
                  <w:vAlign w:val="center"/>
                </w:tcPr>
                <w:p w14:paraId="6C3EEC75">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right w:val="single" w:color="auto" w:sz="4" w:space="0"/>
                  </w:tcBorders>
                  <w:vAlign w:val="center"/>
                </w:tcPr>
                <w:p w14:paraId="36706016">
                  <w:pPr>
                    <w:pStyle w:val="35"/>
                    <w:spacing w:before="0" w:beforeAutospacing="0" w:after="0" w:afterAutospacing="0"/>
                    <w:jc w:val="center"/>
                    <w:rPr>
                      <w:rFonts w:hint="eastAsia" w:ascii="Times New Roman" w:hAnsi="Times New Roman" w:cs="宋体"/>
                      <w:bCs/>
                      <w:kern w:val="2"/>
                      <w:sz w:val="21"/>
                      <w:szCs w:val="21"/>
                    </w:rPr>
                  </w:pPr>
                  <w:r>
                    <w:rPr>
                      <w:rFonts w:hint="eastAsia" w:ascii="Times New Roman" w:hAnsi="Times New Roman" w:cs="宋体"/>
                      <w:bCs/>
                      <w:kern w:val="2"/>
                      <w:sz w:val="21"/>
                      <w:szCs w:val="21"/>
                    </w:rPr>
                    <w:t>是</w:t>
                  </w:r>
                </w:p>
                <w:p w14:paraId="63A0F727">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lang w:eastAsia="zh-CN"/>
                    </w:rPr>
                    <w:t>（</w:t>
                  </w:r>
                  <w:r>
                    <w:rPr>
                      <w:rFonts w:hint="eastAsia" w:ascii="Times New Roman" w:hAnsi="Times New Roman" w:cs="宋体"/>
                      <w:bCs/>
                      <w:kern w:val="2"/>
                      <w:sz w:val="21"/>
                      <w:szCs w:val="21"/>
                      <w:lang w:val="en-US" w:eastAsia="zh-CN"/>
                    </w:rPr>
                    <w:t>危害水环境物质</w:t>
                  </w:r>
                  <w:r>
                    <w:rPr>
                      <w:rFonts w:hint="eastAsia" w:ascii="Times New Roman" w:hAnsi="Times New Roman" w:cs="宋体"/>
                      <w:bCs/>
                      <w:kern w:val="2"/>
                      <w:sz w:val="21"/>
                      <w:szCs w:val="21"/>
                      <w:lang w:eastAsia="zh-CN"/>
                    </w:rPr>
                    <w:t>）</w:t>
                  </w:r>
                </w:p>
              </w:tc>
              <w:tc>
                <w:tcPr>
                  <w:tcW w:w="1020" w:type="dxa"/>
                  <w:tcBorders>
                    <w:top w:val="single" w:color="auto" w:sz="4" w:space="0"/>
                    <w:left w:val="single" w:color="auto" w:sz="4" w:space="0"/>
                    <w:bottom w:val="single" w:color="auto" w:sz="4" w:space="0"/>
                    <w:right w:val="nil"/>
                  </w:tcBorders>
                  <w:vAlign w:val="center"/>
                </w:tcPr>
                <w:p w14:paraId="2EBD45D0">
                  <w:pPr>
                    <w:topLinePunct/>
                    <w:jc w:val="center"/>
                    <w:rPr>
                      <w:rFonts w:ascii="Times New Roman" w:hAnsi="Times New Roman" w:cs="宋体"/>
                      <w:bCs/>
                      <w:kern w:val="2"/>
                      <w:sz w:val="21"/>
                      <w:szCs w:val="21"/>
                    </w:rPr>
                  </w:pPr>
                  <w:r>
                    <w:rPr>
                      <w:rFonts w:hint="eastAsia"/>
                      <w:color w:val="auto"/>
                      <w:szCs w:val="21"/>
                    </w:rPr>
                    <w:t>0.05</w:t>
                  </w:r>
                </w:p>
              </w:tc>
            </w:tr>
            <w:tr w14:paraId="5932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tcBorders>
                    <w:top w:val="single" w:color="auto" w:sz="4" w:space="0"/>
                    <w:left w:val="nil"/>
                    <w:right w:val="single" w:color="auto" w:sz="4" w:space="0"/>
                  </w:tcBorders>
                  <w:vAlign w:val="center"/>
                </w:tcPr>
                <w:p w14:paraId="1B07E4F0">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13</w:t>
                  </w:r>
                </w:p>
              </w:tc>
              <w:tc>
                <w:tcPr>
                  <w:tcW w:w="796" w:type="pct"/>
                  <w:tcBorders>
                    <w:top w:val="single" w:color="auto" w:sz="4" w:space="0"/>
                    <w:left w:val="single" w:color="auto" w:sz="4" w:space="0"/>
                    <w:right w:val="single" w:color="auto" w:sz="4" w:space="0"/>
                  </w:tcBorders>
                  <w:vAlign w:val="center"/>
                </w:tcPr>
                <w:p w14:paraId="18E685B6">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废</w:t>
                  </w:r>
                  <w:r>
                    <w:rPr>
                      <w:rFonts w:hint="eastAsia" w:ascii="Times New Roman" w:hAnsi="Times New Roman" w:cs="宋体"/>
                      <w:bCs/>
                      <w:kern w:val="2"/>
                      <w:sz w:val="21"/>
                      <w:szCs w:val="21"/>
                      <w:lang w:val="en-US" w:eastAsia="zh-CN"/>
                    </w:rPr>
                    <w:t>机</w:t>
                  </w:r>
                  <w:r>
                    <w:rPr>
                      <w:rFonts w:hint="eastAsia" w:ascii="Times New Roman" w:hAnsi="Times New Roman" w:cs="宋体"/>
                      <w:bCs/>
                      <w:kern w:val="2"/>
                      <w:sz w:val="21"/>
                      <w:szCs w:val="21"/>
                    </w:rPr>
                    <w:t>油桶</w:t>
                  </w:r>
                </w:p>
              </w:tc>
              <w:tc>
                <w:tcPr>
                  <w:tcW w:w="655" w:type="pct"/>
                  <w:vMerge w:val="continue"/>
                  <w:tcBorders>
                    <w:left w:val="single" w:color="auto" w:sz="4" w:space="0"/>
                    <w:right w:val="single" w:color="auto" w:sz="4" w:space="0"/>
                  </w:tcBorders>
                  <w:vAlign w:val="center"/>
                </w:tcPr>
                <w:p w14:paraId="5EA44545">
                  <w:pPr>
                    <w:pStyle w:val="35"/>
                    <w:spacing w:before="0" w:beforeAutospacing="0" w:after="0" w:afterAutospacing="0"/>
                    <w:jc w:val="center"/>
                    <w:rPr>
                      <w:rFonts w:ascii="Times New Roman" w:hAnsi="Times New Roman" w:cs="宋体"/>
                      <w:bCs/>
                      <w:kern w:val="2"/>
                      <w:sz w:val="21"/>
                      <w:szCs w:val="21"/>
                    </w:rPr>
                  </w:pPr>
                </w:p>
              </w:tc>
              <w:tc>
                <w:tcPr>
                  <w:tcW w:w="415" w:type="pct"/>
                  <w:tcBorders>
                    <w:top w:val="single" w:color="auto" w:sz="4" w:space="0"/>
                    <w:left w:val="single" w:color="auto" w:sz="4" w:space="0"/>
                    <w:right w:val="single" w:color="auto" w:sz="4" w:space="0"/>
                  </w:tcBorders>
                  <w:vAlign w:val="center"/>
                </w:tcPr>
                <w:p w14:paraId="5F026412">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固态</w:t>
                  </w:r>
                </w:p>
              </w:tc>
              <w:tc>
                <w:tcPr>
                  <w:tcW w:w="1025" w:type="pct"/>
                  <w:tcBorders>
                    <w:top w:val="single" w:color="auto" w:sz="4" w:space="0"/>
                    <w:left w:val="single" w:color="auto" w:sz="4" w:space="0"/>
                    <w:right w:val="single" w:color="auto" w:sz="4" w:space="0"/>
                  </w:tcBorders>
                  <w:vAlign w:val="center"/>
                </w:tcPr>
                <w:p w14:paraId="79C5F7FA">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rPr>
                    <w:t>否</w:t>
                  </w:r>
                </w:p>
              </w:tc>
              <w:tc>
                <w:tcPr>
                  <w:tcW w:w="1222" w:type="pct"/>
                  <w:tcBorders>
                    <w:top w:val="single" w:color="auto" w:sz="4" w:space="0"/>
                    <w:left w:val="single" w:color="auto" w:sz="4" w:space="0"/>
                    <w:right w:val="single" w:color="auto" w:sz="4" w:space="0"/>
                  </w:tcBorders>
                  <w:vAlign w:val="center"/>
                </w:tcPr>
                <w:p w14:paraId="41411644">
                  <w:pPr>
                    <w:pStyle w:val="35"/>
                    <w:spacing w:before="0" w:beforeAutospacing="0" w:after="0" w:afterAutospacing="0"/>
                    <w:jc w:val="center"/>
                    <w:rPr>
                      <w:rFonts w:hint="eastAsia" w:ascii="Times New Roman" w:hAnsi="Times New Roman" w:cs="宋体"/>
                      <w:bCs/>
                      <w:kern w:val="2"/>
                      <w:sz w:val="21"/>
                      <w:szCs w:val="21"/>
                    </w:rPr>
                  </w:pPr>
                  <w:r>
                    <w:rPr>
                      <w:rFonts w:hint="eastAsia" w:ascii="Times New Roman" w:hAnsi="Times New Roman" w:cs="宋体"/>
                      <w:bCs/>
                      <w:kern w:val="2"/>
                      <w:sz w:val="21"/>
                      <w:szCs w:val="21"/>
                    </w:rPr>
                    <w:t>是</w:t>
                  </w:r>
                </w:p>
                <w:p w14:paraId="228FB512">
                  <w:pPr>
                    <w:pStyle w:val="35"/>
                    <w:spacing w:before="0" w:beforeAutospacing="0" w:after="0" w:afterAutospacing="0"/>
                    <w:jc w:val="center"/>
                    <w:rPr>
                      <w:rFonts w:ascii="Times New Roman" w:hAnsi="Times New Roman" w:cs="宋体"/>
                      <w:bCs/>
                      <w:kern w:val="2"/>
                      <w:sz w:val="21"/>
                      <w:szCs w:val="21"/>
                    </w:rPr>
                  </w:pPr>
                  <w:r>
                    <w:rPr>
                      <w:rFonts w:hint="eastAsia" w:ascii="Times New Roman" w:hAnsi="Times New Roman" w:cs="宋体"/>
                      <w:bCs/>
                      <w:kern w:val="2"/>
                      <w:sz w:val="21"/>
                      <w:szCs w:val="21"/>
                      <w:lang w:eastAsia="zh-CN"/>
                    </w:rPr>
                    <w:t>（</w:t>
                  </w:r>
                  <w:r>
                    <w:rPr>
                      <w:rFonts w:hint="eastAsia" w:ascii="Times New Roman" w:hAnsi="Times New Roman" w:cs="宋体"/>
                      <w:bCs/>
                      <w:kern w:val="2"/>
                      <w:sz w:val="21"/>
                      <w:szCs w:val="21"/>
                      <w:lang w:val="en-US" w:eastAsia="zh-CN"/>
                    </w:rPr>
                    <w:t>危害水环境物质</w:t>
                  </w:r>
                  <w:r>
                    <w:rPr>
                      <w:rFonts w:hint="eastAsia" w:ascii="Times New Roman" w:hAnsi="Times New Roman" w:cs="宋体"/>
                      <w:bCs/>
                      <w:kern w:val="2"/>
                      <w:sz w:val="21"/>
                      <w:szCs w:val="21"/>
                      <w:lang w:eastAsia="zh-CN"/>
                    </w:rPr>
                    <w:t>）</w:t>
                  </w:r>
                </w:p>
              </w:tc>
              <w:tc>
                <w:tcPr>
                  <w:tcW w:w="1020" w:type="dxa"/>
                  <w:tcBorders>
                    <w:top w:val="single" w:color="auto" w:sz="4" w:space="0"/>
                    <w:left w:val="single" w:color="auto" w:sz="4" w:space="0"/>
                    <w:bottom w:val="single" w:color="auto" w:sz="4" w:space="0"/>
                    <w:right w:val="nil"/>
                  </w:tcBorders>
                  <w:vAlign w:val="center"/>
                </w:tcPr>
                <w:p w14:paraId="06DCA1AC">
                  <w:pPr>
                    <w:topLinePunct/>
                    <w:jc w:val="center"/>
                    <w:rPr>
                      <w:rFonts w:ascii="Times New Roman" w:hAnsi="Times New Roman" w:cs="宋体"/>
                      <w:bCs/>
                      <w:kern w:val="2"/>
                      <w:sz w:val="21"/>
                      <w:szCs w:val="21"/>
                    </w:rPr>
                  </w:pPr>
                  <w:r>
                    <w:rPr>
                      <w:rFonts w:hint="eastAsia"/>
                      <w:color w:val="auto"/>
                      <w:szCs w:val="21"/>
                    </w:rPr>
                    <w:t>0.0</w:t>
                  </w:r>
                  <w:r>
                    <w:rPr>
                      <w:rFonts w:hint="eastAsia"/>
                      <w:color w:val="auto"/>
                      <w:szCs w:val="21"/>
                      <w:lang w:val="en-US" w:eastAsia="zh-CN"/>
                    </w:rPr>
                    <w:t>04</w:t>
                  </w:r>
                </w:p>
              </w:tc>
            </w:tr>
          </w:tbl>
          <w:p w14:paraId="60F59BDB">
            <w:pPr>
              <w:spacing w:line="360" w:lineRule="auto"/>
              <w:jc w:val="center"/>
              <w:rPr>
                <w:b/>
                <w:color w:val="auto"/>
                <w:sz w:val="24"/>
              </w:rPr>
            </w:pPr>
            <w:r>
              <w:rPr>
                <w:b/>
                <w:color w:val="auto"/>
                <w:sz w:val="24"/>
              </w:rPr>
              <w:t>表4-2</w:t>
            </w:r>
            <w:r>
              <w:rPr>
                <w:rFonts w:hint="eastAsia"/>
                <w:b/>
                <w:color w:val="auto"/>
                <w:sz w:val="24"/>
              </w:rPr>
              <w:t>3</w:t>
            </w:r>
            <w:r>
              <w:rPr>
                <w:b/>
                <w:color w:val="auto"/>
                <w:sz w:val="24"/>
              </w:rPr>
              <w:t xml:space="preserve">  </w:t>
            </w:r>
            <w:r>
              <w:rPr>
                <w:rFonts w:hint="eastAsia"/>
                <w:b/>
                <w:color w:val="auto"/>
                <w:sz w:val="24"/>
              </w:rPr>
              <w:t>项目危险物质理化性质一览表</w:t>
            </w:r>
          </w:p>
          <w:tbl>
            <w:tblPr>
              <w:tblStyle w:val="40"/>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6722"/>
            </w:tblGrid>
            <w:tr w14:paraId="5157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pct"/>
                  <w:tcBorders>
                    <w:top w:val="single" w:color="auto" w:sz="12" w:space="0"/>
                    <w:left w:val="nil"/>
                    <w:bottom w:val="single" w:color="auto" w:sz="4" w:space="0"/>
                    <w:right w:val="single" w:color="auto" w:sz="4" w:space="0"/>
                  </w:tcBorders>
                  <w:vAlign w:val="center"/>
                </w:tcPr>
                <w:p w14:paraId="496918AB">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名称</w:t>
                  </w:r>
                </w:p>
              </w:tc>
              <w:tc>
                <w:tcPr>
                  <w:tcW w:w="4011" w:type="pct"/>
                  <w:tcBorders>
                    <w:top w:val="single" w:color="auto" w:sz="12" w:space="0"/>
                    <w:left w:val="single" w:color="auto" w:sz="4" w:space="0"/>
                    <w:bottom w:val="single" w:color="auto" w:sz="4" w:space="0"/>
                    <w:right w:val="single" w:color="auto" w:sz="4" w:space="0"/>
                  </w:tcBorders>
                  <w:vAlign w:val="center"/>
                </w:tcPr>
                <w:p w14:paraId="5FE4387A">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理化性质</w:t>
                  </w:r>
                </w:p>
              </w:tc>
            </w:tr>
            <w:tr w14:paraId="4424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pct"/>
                  <w:tcBorders>
                    <w:top w:val="single" w:color="auto" w:sz="4" w:space="0"/>
                    <w:left w:val="nil"/>
                    <w:bottom w:val="single" w:color="auto" w:sz="4" w:space="0"/>
                    <w:right w:val="single" w:color="auto" w:sz="4" w:space="0"/>
                  </w:tcBorders>
                  <w:vAlign w:val="center"/>
                </w:tcPr>
                <w:p w14:paraId="275A6183">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lang w:val="en-US" w:eastAsia="zh-CN"/>
                    </w:rPr>
                    <w:t>机</w:t>
                  </w:r>
                  <w:r>
                    <w:rPr>
                      <w:rFonts w:hint="eastAsia" w:ascii="Times New Roman" w:hAnsi="Times New Roman" w:cs="宋体"/>
                      <w:color w:val="auto"/>
                      <w:kern w:val="2"/>
                      <w:sz w:val="21"/>
                      <w:szCs w:val="21"/>
                    </w:rPr>
                    <w:t>油</w:t>
                  </w:r>
                </w:p>
              </w:tc>
              <w:tc>
                <w:tcPr>
                  <w:tcW w:w="4011" w:type="pct"/>
                  <w:tcBorders>
                    <w:top w:val="single" w:color="auto" w:sz="4" w:space="0"/>
                    <w:left w:val="single" w:color="auto" w:sz="4" w:space="0"/>
                    <w:bottom w:val="single" w:color="auto" w:sz="4" w:space="0"/>
                    <w:right w:val="single" w:color="auto" w:sz="4" w:space="0"/>
                  </w:tcBorders>
                  <w:vAlign w:val="center"/>
                </w:tcPr>
                <w:p w14:paraId="515BA70B">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透明油状液体，浅黄色至棕色，无气味或略带异味，闪点：200℃(开口杯)，密度：0.84~0.95kg/(20C),LDso&gt;5g/kg(兔经皮)，&gt;5g/kg(鼠径口)，LC50&gt;10g/m(鼠)</w:t>
                  </w:r>
                </w:p>
              </w:tc>
            </w:tr>
          </w:tbl>
          <w:p w14:paraId="36CDD88C">
            <w:pPr>
              <w:spacing w:line="360" w:lineRule="auto"/>
              <w:ind w:firstLine="480" w:firstLineChars="200"/>
              <w:rPr>
                <w:color w:val="auto"/>
                <w:sz w:val="24"/>
                <w:szCs w:val="24"/>
              </w:rPr>
            </w:pPr>
            <w:r>
              <w:rPr>
                <w:rFonts w:hint="eastAsia"/>
                <w:color w:val="auto"/>
                <w:sz w:val="24"/>
                <w:szCs w:val="24"/>
              </w:rPr>
              <w:t>2、环境风险潜势初判</w:t>
            </w:r>
          </w:p>
          <w:p w14:paraId="11F94728">
            <w:pPr>
              <w:spacing w:line="360" w:lineRule="auto"/>
              <w:ind w:firstLine="480" w:firstLineChars="200"/>
              <w:rPr>
                <w:color w:val="auto"/>
                <w:sz w:val="24"/>
                <w:szCs w:val="24"/>
              </w:rPr>
            </w:pPr>
            <w:r>
              <w:rPr>
                <w:rFonts w:hint="eastAsia"/>
                <w:color w:val="auto"/>
                <w:sz w:val="24"/>
                <w:szCs w:val="24"/>
              </w:rPr>
              <w:t>根据《建设项目环境风险评价技术导则》（HJ169-2018）附录C，当只涉及一种危险物质时，计算该物质的总量与临界量比值，即为Q；当存在多种危险物质时，则按下式计算物质总量与其临界量比值（Q）；</w:t>
            </w:r>
            <w:r>
              <w:rPr>
                <w:color w:val="auto"/>
                <w:sz w:val="24"/>
                <w:szCs w:val="24"/>
              </w:rPr>
              <w:t xml:space="preserve"> </w:t>
            </w:r>
          </w:p>
          <w:p w14:paraId="232B8A45">
            <w:pPr>
              <w:spacing w:line="360" w:lineRule="auto"/>
              <w:ind w:firstLine="480" w:firstLineChars="200"/>
              <w:jc w:val="center"/>
              <w:rPr>
                <w:color w:val="auto"/>
                <w:sz w:val="24"/>
              </w:rPr>
            </w:pPr>
            <w:r>
              <w:rPr>
                <w:rFonts w:hint="eastAsia"/>
                <w:color w:val="auto"/>
                <w:sz w:val="24"/>
              </w:rPr>
              <w:t>Q=q</w:t>
            </w:r>
            <w:r>
              <w:rPr>
                <w:rFonts w:hint="eastAsia"/>
                <w:color w:val="auto"/>
                <w:sz w:val="24"/>
                <w:vertAlign w:val="subscript"/>
              </w:rPr>
              <w:t>1</w:t>
            </w:r>
            <w:r>
              <w:rPr>
                <w:rFonts w:hint="eastAsia"/>
                <w:color w:val="auto"/>
                <w:sz w:val="24"/>
              </w:rPr>
              <w:t>/Q</w:t>
            </w:r>
            <w:r>
              <w:rPr>
                <w:rFonts w:hint="eastAsia"/>
                <w:color w:val="auto"/>
                <w:sz w:val="24"/>
                <w:vertAlign w:val="subscript"/>
              </w:rPr>
              <w:t>1</w:t>
            </w:r>
            <w:r>
              <w:rPr>
                <w:rFonts w:hint="eastAsia"/>
                <w:color w:val="auto"/>
                <w:sz w:val="24"/>
              </w:rPr>
              <w:t>+ q</w:t>
            </w:r>
            <w:r>
              <w:rPr>
                <w:rFonts w:hint="eastAsia"/>
                <w:color w:val="auto"/>
                <w:sz w:val="24"/>
                <w:vertAlign w:val="subscript"/>
              </w:rPr>
              <w:t>2</w:t>
            </w:r>
            <w:r>
              <w:rPr>
                <w:rFonts w:hint="eastAsia"/>
                <w:color w:val="auto"/>
                <w:sz w:val="24"/>
              </w:rPr>
              <w:t>/Q</w:t>
            </w:r>
            <w:r>
              <w:rPr>
                <w:rFonts w:hint="eastAsia"/>
                <w:color w:val="auto"/>
                <w:sz w:val="24"/>
                <w:vertAlign w:val="subscript"/>
              </w:rPr>
              <w:t>2+</w:t>
            </w:r>
            <w:r>
              <w:rPr>
                <w:color w:val="auto"/>
                <w:sz w:val="24"/>
              </w:rPr>
              <w:t>…</w:t>
            </w:r>
            <w:r>
              <w:rPr>
                <w:rFonts w:hint="eastAsia"/>
                <w:color w:val="auto"/>
                <w:sz w:val="24"/>
              </w:rPr>
              <w:t>q</w:t>
            </w:r>
            <w:r>
              <w:rPr>
                <w:rFonts w:hint="eastAsia"/>
                <w:color w:val="auto"/>
                <w:sz w:val="24"/>
                <w:vertAlign w:val="subscript"/>
              </w:rPr>
              <w:t>n</w:t>
            </w:r>
            <w:r>
              <w:rPr>
                <w:rFonts w:hint="eastAsia"/>
                <w:color w:val="auto"/>
                <w:sz w:val="24"/>
              </w:rPr>
              <w:t>/Q</w:t>
            </w:r>
            <w:r>
              <w:rPr>
                <w:rFonts w:hint="eastAsia"/>
                <w:color w:val="auto"/>
                <w:sz w:val="24"/>
                <w:vertAlign w:val="subscript"/>
              </w:rPr>
              <w:t>n</w:t>
            </w:r>
          </w:p>
          <w:p w14:paraId="58645082">
            <w:pPr>
              <w:spacing w:line="360" w:lineRule="auto"/>
              <w:ind w:firstLine="480" w:firstLineChars="200"/>
              <w:rPr>
                <w:color w:val="auto"/>
                <w:sz w:val="24"/>
              </w:rPr>
            </w:pPr>
            <w:r>
              <w:rPr>
                <w:rFonts w:hint="eastAsia"/>
                <w:color w:val="auto"/>
                <w:sz w:val="24"/>
              </w:rPr>
              <w:t>式中：q</w:t>
            </w:r>
            <w:r>
              <w:rPr>
                <w:rFonts w:hint="eastAsia"/>
                <w:color w:val="auto"/>
                <w:sz w:val="24"/>
                <w:vertAlign w:val="subscript"/>
              </w:rPr>
              <w:t>1</w:t>
            </w:r>
            <w:r>
              <w:rPr>
                <w:rFonts w:hint="eastAsia"/>
                <w:color w:val="auto"/>
                <w:sz w:val="24"/>
              </w:rPr>
              <w:t>，q</w:t>
            </w:r>
            <w:r>
              <w:rPr>
                <w:rFonts w:hint="eastAsia"/>
                <w:color w:val="auto"/>
                <w:sz w:val="24"/>
                <w:vertAlign w:val="subscript"/>
              </w:rPr>
              <w:t>2</w:t>
            </w:r>
            <w:r>
              <w:rPr>
                <w:rFonts w:hint="eastAsia"/>
                <w:color w:val="auto"/>
                <w:sz w:val="24"/>
              </w:rPr>
              <w:t>，</w:t>
            </w:r>
            <w:r>
              <w:rPr>
                <w:color w:val="auto"/>
                <w:sz w:val="24"/>
              </w:rPr>
              <w:t>…</w:t>
            </w:r>
            <w:r>
              <w:rPr>
                <w:rFonts w:hint="eastAsia"/>
                <w:color w:val="auto"/>
                <w:sz w:val="24"/>
              </w:rPr>
              <w:t>，q</w:t>
            </w:r>
            <w:r>
              <w:rPr>
                <w:rFonts w:hint="eastAsia"/>
                <w:color w:val="auto"/>
                <w:sz w:val="24"/>
                <w:vertAlign w:val="subscript"/>
              </w:rPr>
              <w:t>n</w:t>
            </w:r>
            <w:r>
              <w:rPr>
                <w:rFonts w:hint="eastAsia"/>
                <w:color w:val="auto"/>
                <w:sz w:val="24"/>
              </w:rPr>
              <w:t>——每种危险物质的最大存在总量，t；</w:t>
            </w:r>
          </w:p>
          <w:p w14:paraId="1B716418">
            <w:pPr>
              <w:spacing w:line="360" w:lineRule="auto"/>
              <w:ind w:firstLine="480" w:firstLineChars="200"/>
              <w:rPr>
                <w:color w:val="auto"/>
                <w:sz w:val="24"/>
              </w:rPr>
            </w:pPr>
            <w:r>
              <w:rPr>
                <w:rFonts w:hint="eastAsia"/>
                <w:color w:val="auto"/>
                <w:sz w:val="24"/>
              </w:rPr>
              <w:t>Q</w:t>
            </w:r>
            <w:r>
              <w:rPr>
                <w:rFonts w:hint="eastAsia"/>
                <w:color w:val="auto"/>
                <w:sz w:val="24"/>
                <w:vertAlign w:val="subscript"/>
              </w:rPr>
              <w:t>1</w:t>
            </w:r>
            <w:r>
              <w:rPr>
                <w:rFonts w:hint="eastAsia"/>
                <w:color w:val="auto"/>
                <w:sz w:val="24"/>
              </w:rPr>
              <w:t>，Q</w:t>
            </w:r>
            <w:r>
              <w:rPr>
                <w:rFonts w:hint="eastAsia"/>
                <w:color w:val="auto"/>
                <w:sz w:val="24"/>
                <w:vertAlign w:val="subscript"/>
              </w:rPr>
              <w:t>2</w:t>
            </w:r>
            <w:r>
              <w:rPr>
                <w:rFonts w:hint="eastAsia"/>
                <w:color w:val="auto"/>
                <w:sz w:val="24"/>
              </w:rPr>
              <w:t>，</w:t>
            </w:r>
            <w:r>
              <w:rPr>
                <w:color w:val="auto"/>
                <w:sz w:val="24"/>
              </w:rPr>
              <w:t>…</w:t>
            </w:r>
            <w:r>
              <w:rPr>
                <w:rFonts w:hint="eastAsia"/>
                <w:color w:val="auto"/>
                <w:sz w:val="24"/>
              </w:rPr>
              <w:t>，Q</w:t>
            </w:r>
            <w:r>
              <w:rPr>
                <w:rFonts w:hint="eastAsia"/>
                <w:color w:val="auto"/>
                <w:sz w:val="24"/>
                <w:vertAlign w:val="subscript"/>
              </w:rPr>
              <w:t>n</w:t>
            </w:r>
            <w:r>
              <w:rPr>
                <w:rFonts w:hint="eastAsia"/>
                <w:color w:val="auto"/>
                <w:sz w:val="24"/>
              </w:rPr>
              <w:t>——每种危险物质的临界量，t。</w:t>
            </w:r>
          </w:p>
          <w:p w14:paraId="6819B087">
            <w:pPr>
              <w:spacing w:line="360" w:lineRule="auto"/>
              <w:ind w:firstLine="480" w:firstLineChars="200"/>
              <w:rPr>
                <w:color w:val="auto"/>
                <w:sz w:val="24"/>
              </w:rPr>
            </w:pPr>
            <w:r>
              <w:rPr>
                <w:rFonts w:hint="eastAsia"/>
                <w:color w:val="auto"/>
                <w:sz w:val="24"/>
              </w:rPr>
              <w:t>当Q&lt;1时，该项目环境风险潜势为</w:t>
            </w:r>
            <w:r>
              <w:rPr>
                <w:color w:val="auto"/>
                <w:sz w:val="24"/>
              </w:rPr>
              <w:t>Ⅰ。</w:t>
            </w:r>
          </w:p>
          <w:p w14:paraId="3C9613A5">
            <w:pPr>
              <w:spacing w:line="360" w:lineRule="auto"/>
              <w:ind w:firstLine="480" w:firstLineChars="200"/>
              <w:rPr>
                <w:color w:val="auto"/>
                <w:sz w:val="24"/>
              </w:rPr>
            </w:pPr>
            <w:r>
              <w:rPr>
                <w:color w:val="auto"/>
                <w:sz w:val="24"/>
              </w:rPr>
              <w:t>当Q≥1时，将Q值划分为：（1）1≤Q&lt;10；（2）10≤Q&lt;100；（3）Q≥100</w:t>
            </w:r>
          </w:p>
          <w:p w14:paraId="647C6A4B">
            <w:pPr>
              <w:spacing w:line="360" w:lineRule="auto"/>
              <w:ind w:firstLine="480" w:firstLineChars="200"/>
              <w:rPr>
                <w:color w:val="auto"/>
                <w:sz w:val="24"/>
                <w:szCs w:val="24"/>
              </w:rPr>
            </w:pPr>
            <w:r>
              <w:rPr>
                <w:rFonts w:hint="eastAsia"/>
                <w:color w:val="auto"/>
                <w:sz w:val="24"/>
              </w:rPr>
              <w:t>计算得出本项目Q=0.</w:t>
            </w:r>
            <w:r>
              <w:rPr>
                <w:rFonts w:hint="eastAsia"/>
                <w:color w:val="auto"/>
                <w:sz w:val="24"/>
                <w:lang w:val="en-US" w:eastAsia="zh-CN"/>
              </w:rPr>
              <w:t>001</w:t>
            </w:r>
            <w:r>
              <w:rPr>
                <w:rFonts w:hint="eastAsia"/>
                <w:color w:val="auto"/>
                <w:sz w:val="24"/>
              </w:rPr>
              <w:t>得出Q&lt;1</w:t>
            </w:r>
            <w:r>
              <w:rPr>
                <w:rFonts w:hint="eastAsia"/>
                <w:color w:val="auto"/>
                <w:sz w:val="24"/>
                <w:szCs w:val="24"/>
              </w:rPr>
              <w:t>，则本项目环境风</w:t>
            </w:r>
            <w:r>
              <w:rPr>
                <w:color w:val="auto"/>
                <w:sz w:val="24"/>
                <w:szCs w:val="24"/>
              </w:rPr>
              <w:t>险潜势为Ⅰ</w:t>
            </w:r>
            <w:r>
              <w:rPr>
                <w:rFonts w:hint="eastAsia"/>
                <w:color w:val="auto"/>
                <w:sz w:val="24"/>
                <w:szCs w:val="24"/>
              </w:rPr>
              <w:t>。</w:t>
            </w:r>
          </w:p>
          <w:p w14:paraId="1406B8C8">
            <w:pPr>
              <w:spacing w:line="360" w:lineRule="auto"/>
              <w:jc w:val="center"/>
              <w:rPr>
                <w:b/>
                <w:color w:val="auto"/>
                <w:sz w:val="24"/>
              </w:rPr>
            </w:pPr>
            <w:r>
              <w:rPr>
                <w:b/>
                <w:color w:val="auto"/>
                <w:sz w:val="24"/>
              </w:rPr>
              <w:t>表4-2</w:t>
            </w:r>
            <w:r>
              <w:rPr>
                <w:rFonts w:hint="eastAsia"/>
                <w:b/>
                <w:color w:val="auto"/>
                <w:sz w:val="24"/>
              </w:rPr>
              <w:t>4 企业涉及的危险物质情况一览表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856"/>
              <w:gridCol w:w="1713"/>
              <w:gridCol w:w="2854"/>
              <w:gridCol w:w="1252"/>
            </w:tblGrid>
            <w:tr w14:paraId="6C91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12" w:space="0"/>
                    <w:left w:val="nil"/>
                    <w:bottom w:val="single" w:color="auto" w:sz="4" w:space="0"/>
                    <w:right w:val="single" w:color="auto" w:sz="4" w:space="0"/>
                  </w:tcBorders>
                  <w:vAlign w:val="center"/>
                </w:tcPr>
                <w:p w14:paraId="60EB9BF5">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序号</w:t>
                  </w:r>
                </w:p>
              </w:tc>
              <w:tc>
                <w:tcPr>
                  <w:tcW w:w="1100" w:type="pct"/>
                  <w:tcBorders>
                    <w:top w:val="single" w:color="auto" w:sz="12" w:space="0"/>
                    <w:left w:val="single" w:color="auto" w:sz="4" w:space="0"/>
                    <w:bottom w:val="single" w:color="auto" w:sz="4" w:space="0"/>
                    <w:right w:val="single" w:color="auto" w:sz="4" w:space="0"/>
                  </w:tcBorders>
                  <w:vAlign w:val="center"/>
                </w:tcPr>
                <w:p w14:paraId="49CAF4E6">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危险物质名称</w:t>
                  </w:r>
                </w:p>
              </w:tc>
              <w:tc>
                <w:tcPr>
                  <w:tcW w:w="1015" w:type="pct"/>
                  <w:tcBorders>
                    <w:top w:val="single" w:color="auto" w:sz="12" w:space="0"/>
                    <w:left w:val="single" w:color="auto" w:sz="4" w:space="0"/>
                    <w:bottom w:val="single" w:color="auto" w:sz="4" w:space="0"/>
                    <w:right w:val="single" w:color="auto" w:sz="4" w:space="0"/>
                  </w:tcBorders>
                  <w:vAlign w:val="center"/>
                </w:tcPr>
                <w:p w14:paraId="0A21EECE">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最大储存量t</w:t>
                  </w:r>
                </w:p>
              </w:tc>
              <w:tc>
                <w:tcPr>
                  <w:tcW w:w="1690" w:type="pct"/>
                  <w:tcBorders>
                    <w:top w:val="single" w:color="auto" w:sz="12" w:space="0"/>
                    <w:left w:val="single" w:color="auto" w:sz="4" w:space="0"/>
                    <w:bottom w:val="single" w:color="auto" w:sz="4" w:space="0"/>
                    <w:right w:val="single" w:color="auto" w:sz="4" w:space="0"/>
                  </w:tcBorders>
                  <w:vAlign w:val="center"/>
                </w:tcPr>
                <w:p w14:paraId="52D300BE">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临界量Qn/t</w:t>
                  </w:r>
                </w:p>
              </w:tc>
              <w:tc>
                <w:tcPr>
                  <w:tcW w:w="742" w:type="pct"/>
                  <w:tcBorders>
                    <w:top w:val="single" w:color="auto" w:sz="12" w:space="0"/>
                    <w:left w:val="single" w:color="auto" w:sz="4" w:space="0"/>
                    <w:bottom w:val="single" w:color="auto" w:sz="4" w:space="0"/>
                    <w:right w:val="nil"/>
                  </w:tcBorders>
                  <w:vAlign w:val="center"/>
                </w:tcPr>
                <w:p w14:paraId="03D063CD">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Q值</w:t>
                  </w:r>
                </w:p>
              </w:tc>
            </w:tr>
            <w:tr w14:paraId="1193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nil"/>
                    <w:bottom w:val="single" w:color="auto" w:sz="4" w:space="0"/>
                    <w:right w:val="single" w:color="auto" w:sz="4" w:space="0"/>
                  </w:tcBorders>
                  <w:vAlign w:val="center"/>
                </w:tcPr>
                <w:p w14:paraId="1F9F40AF">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1</w:t>
                  </w:r>
                </w:p>
              </w:tc>
              <w:tc>
                <w:tcPr>
                  <w:tcW w:w="1100" w:type="pct"/>
                  <w:tcBorders>
                    <w:top w:val="single" w:color="auto" w:sz="4" w:space="0"/>
                    <w:left w:val="single" w:color="auto" w:sz="4" w:space="0"/>
                    <w:bottom w:val="single" w:color="auto" w:sz="4" w:space="0"/>
                    <w:right w:val="single" w:color="auto" w:sz="4" w:space="0"/>
                  </w:tcBorders>
                  <w:vAlign w:val="center"/>
                </w:tcPr>
                <w:p w14:paraId="3B814FD1">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lang w:val="en-US" w:eastAsia="zh-CN"/>
                    </w:rPr>
                    <w:t>废机</w:t>
                  </w:r>
                  <w:r>
                    <w:rPr>
                      <w:rFonts w:hint="eastAsia" w:ascii="Times New Roman" w:hAnsi="Times New Roman" w:cs="宋体"/>
                      <w:color w:val="auto"/>
                      <w:kern w:val="2"/>
                      <w:sz w:val="21"/>
                      <w:szCs w:val="21"/>
                    </w:rPr>
                    <w:t>油</w:t>
                  </w:r>
                </w:p>
              </w:tc>
              <w:tc>
                <w:tcPr>
                  <w:tcW w:w="1015" w:type="pct"/>
                  <w:tcBorders>
                    <w:top w:val="single" w:color="auto" w:sz="4" w:space="0"/>
                    <w:left w:val="single" w:color="auto" w:sz="4" w:space="0"/>
                    <w:bottom w:val="single" w:color="auto" w:sz="4" w:space="0"/>
                    <w:right w:val="single" w:color="auto" w:sz="4" w:space="0"/>
                  </w:tcBorders>
                  <w:vAlign w:val="center"/>
                </w:tcPr>
                <w:p w14:paraId="6ADFE163">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0.</w:t>
                  </w:r>
                  <w:r>
                    <w:rPr>
                      <w:rFonts w:hint="eastAsia" w:ascii="Times New Roman" w:hAnsi="Times New Roman" w:cs="宋体"/>
                      <w:color w:val="auto"/>
                      <w:kern w:val="2"/>
                      <w:sz w:val="21"/>
                      <w:szCs w:val="21"/>
                      <w:lang w:val="en-US" w:eastAsia="zh-CN"/>
                    </w:rPr>
                    <w:t>0</w:t>
                  </w:r>
                  <w:r>
                    <w:rPr>
                      <w:rFonts w:hint="eastAsia" w:ascii="Times New Roman" w:hAnsi="Times New Roman" w:cs="宋体"/>
                      <w:color w:val="auto"/>
                      <w:kern w:val="2"/>
                      <w:sz w:val="21"/>
                      <w:szCs w:val="21"/>
                    </w:rPr>
                    <w:t>5</w:t>
                  </w:r>
                </w:p>
              </w:tc>
              <w:tc>
                <w:tcPr>
                  <w:tcW w:w="1690" w:type="pct"/>
                  <w:tcBorders>
                    <w:top w:val="single" w:color="auto" w:sz="4" w:space="0"/>
                    <w:left w:val="single" w:color="auto" w:sz="4" w:space="0"/>
                    <w:bottom w:val="single" w:color="auto" w:sz="4" w:space="0"/>
                    <w:right w:val="single" w:color="auto" w:sz="4" w:space="0"/>
                  </w:tcBorders>
                  <w:vAlign w:val="center"/>
                </w:tcPr>
                <w:p w14:paraId="29D6725A">
                  <w:pPr>
                    <w:pStyle w:val="35"/>
                    <w:spacing w:before="0" w:beforeAutospacing="0" w:after="0" w:afterAutospacing="0" w:line="276" w:lineRule="auto"/>
                    <w:jc w:val="center"/>
                    <w:rPr>
                      <w:rFonts w:hint="default" w:ascii="Times New Roman" w:hAnsi="Times New Roman" w:eastAsia="宋体" w:cs="宋体"/>
                      <w:color w:val="auto"/>
                      <w:kern w:val="2"/>
                      <w:sz w:val="21"/>
                      <w:szCs w:val="21"/>
                      <w:lang w:val="en-US" w:eastAsia="zh-CN"/>
                    </w:rPr>
                  </w:pPr>
                  <w:r>
                    <w:rPr>
                      <w:rFonts w:hint="eastAsia" w:ascii="Times New Roman" w:hAnsi="Times New Roman" w:cs="宋体"/>
                      <w:color w:val="auto"/>
                      <w:kern w:val="2"/>
                      <w:sz w:val="21"/>
                      <w:szCs w:val="21"/>
                      <w:lang w:val="en-US" w:eastAsia="zh-CN"/>
                    </w:rPr>
                    <w:t>50</w:t>
                  </w:r>
                </w:p>
              </w:tc>
              <w:tc>
                <w:tcPr>
                  <w:tcW w:w="742" w:type="pct"/>
                  <w:tcBorders>
                    <w:top w:val="single" w:color="auto" w:sz="4" w:space="0"/>
                    <w:left w:val="single" w:color="auto" w:sz="4" w:space="0"/>
                    <w:bottom w:val="single" w:color="auto" w:sz="4" w:space="0"/>
                    <w:right w:val="nil"/>
                  </w:tcBorders>
                  <w:vAlign w:val="center"/>
                </w:tcPr>
                <w:p w14:paraId="22EDA304">
                  <w:pPr>
                    <w:pStyle w:val="35"/>
                    <w:spacing w:before="0" w:beforeAutospacing="0" w:after="0" w:afterAutospacing="0" w:line="276" w:lineRule="auto"/>
                    <w:jc w:val="center"/>
                    <w:rPr>
                      <w:rFonts w:hint="eastAsia" w:ascii="Times New Roman" w:hAnsi="Times New Roman" w:eastAsia="宋体" w:cs="宋体"/>
                      <w:color w:val="auto"/>
                      <w:kern w:val="2"/>
                      <w:sz w:val="21"/>
                      <w:szCs w:val="21"/>
                      <w:lang w:val="en-US" w:eastAsia="zh-CN"/>
                    </w:rPr>
                  </w:pPr>
                  <w:r>
                    <w:rPr>
                      <w:rFonts w:hint="eastAsia" w:ascii="Times New Roman" w:hAnsi="Times New Roman" w:cs="宋体"/>
                      <w:color w:val="auto"/>
                      <w:kern w:val="2"/>
                      <w:sz w:val="21"/>
                      <w:szCs w:val="21"/>
                    </w:rPr>
                    <w:t>0.00</w:t>
                  </w:r>
                  <w:r>
                    <w:rPr>
                      <w:rFonts w:hint="eastAsia" w:ascii="Times New Roman" w:hAnsi="Times New Roman" w:cs="宋体"/>
                      <w:color w:val="auto"/>
                      <w:kern w:val="2"/>
                      <w:sz w:val="21"/>
                      <w:szCs w:val="21"/>
                      <w:lang w:val="en-US" w:eastAsia="zh-CN"/>
                    </w:rPr>
                    <w:t>1</w:t>
                  </w:r>
                </w:p>
              </w:tc>
            </w:tr>
            <w:tr w14:paraId="493A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7" w:type="pct"/>
                  <w:gridSpan w:val="4"/>
                  <w:tcBorders>
                    <w:top w:val="single" w:color="auto" w:sz="4" w:space="0"/>
                    <w:left w:val="nil"/>
                    <w:bottom w:val="single" w:color="auto" w:sz="4" w:space="0"/>
                    <w:right w:val="single" w:color="auto" w:sz="4" w:space="0"/>
                  </w:tcBorders>
                  <w:vAlign w:val="center"/>
                </w:tcPr>
                <w:p w14:paraId="07ABC63E">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项目Q值∑</w:t>
                  </w:r>
                </w:p>
              </w:tc>
              <w:tc>
                <w:tcPr>
                  <w:tcW w:w="742" w:type="pct"/>
                  <w:tcBorders>
                    <w:top w:val="single" w:color="auto" w:sz="4" w:space="0"/>
                    <w:left w:val="single" w:color="auto" w:sz="4" w:space="0"/>
                    <w:bottom w:val="single" w:color="auto" w:sz="4" w:space="0"/>
                    <w:right w:val="nil"/>
                  </w:tcBorders>
                  <w:vAlign w:val="center"/>
                </w:tcPr>
                <w:p w14:paraId="63E0FC42">
                  <w:pPr>
                    <w:pStyle w:val="35"/>
                    <w:spacing w:before="0" w:beforeAutospacing="0" w:after="0" w:afterAutospacing="0" w:line="276" w:lineRule="auto"/>
                    <w:jc w:val="center"/>
                    <w:rPr>
                      <w:rFonts w:hint="eastAsia" w:ascii="Times New Roman" w:hAnsi="Times New Roman" w:eastAsia="宋体" w:cs="宋体"/>
                      <w:color w:val="auto"/>
                      <w:kern w:val="2"/>
                      <w:sz w:val="21"/>
                      <w:szCs w:val="21"/>
                      <w:lang w:eastAsia="zh-CN"/>
                    </w:rPr>
                  </w:pPr>
                  <w:r>
                    <w:rPr>
                      <w:rFonts w:hint="eastAsia" w:ascii="Times New Roman" w:hAnsi="Times New Roman" w:cs="宋体"/>
                      <w:color w:val="auto"/>
                      <w:kern w:val="2"/>
                      <w:sz w:val="21"/>
                      <w:szCs w:val="21"/>
                    </w:rPr>
                    <w:t>0.00</w:t>
                  </w:r>
                  <w:r>
                    <w:rPr>
                      <w:rFonts w:hint="eastAsia" w:ascii="Times New Roman" w:hAnsi="Times New Roman" w:cs="宋体"/>
                      <w:color w:val="auto"/>
                      <w:kern w:val="2"/>
                      <w:sz w:val="21"/>
                      <w:szCs w:val="21"/>
                      <w:lang w:val="en-US" w:eastAsia="zh-CN"/>
                    </w:rPr>
                    <w:t>1</w:t>
                  </w:r>
                </w:p>
              </w:tc>
            </w:tr>
          </w:tbl>
          <w:p w14:paraId="5D599B25">
            <w:pPr>
              <w:pStyle w:val="57"/>
              <w:adjustRightInd/>
              <w:spacing w:line="360" w:lineRule="auto"/>
              <w:ind w:firstLine="482" w:firstLineChars="200"/>
              <w:rPr>
                <w:color w:val="auto"/>
              </w:rPr>
            </w:pPr>
            <w:r>
              <w:rPr>
                <w:rFonts w:hint="eastAsia"/>
                <w:color w:val="auto"/>
              </w:rPr>
              <w:t>3、评价等级</w:t>
            </w:r>
          </w:p>
          <w:p w14:paraId="51A1D39A">
            <w:pPr>
              <w:spacing w:line="360" w:lineRule="auto"/>
              <w:ind w:firstLine="480" w:firstLineChars="200"/>
              <w:rPr>
                <w:rFonts w:hint="eastAsia" w:ascii="宋体" w:hAnsi="宋体"/>
                <w:caps/>
                <w:color w:val="auto"/>
                <w:sz w:val="24"/>
              </w:rPr>
            </w:pPr>
            <w:r>
              <w:rPr>
                <w:rFonts w:hint="eastAsia" w:hAnsi="宋体"/>
                <w:caps/>
                <w:color w:val="auto"/>
                <w:sz w:val="24"/>
              </w:rPr>
              <w:t>根据《建设项目环境风险评价技术导则》（</w:t>
            </w:r>
            <w:r>
              <w:rPr>
                <w:caps/>
                <w:color w:val="auto"/>
                <w:sz w:val="24"/>
              </w:rPr>
              <w:t>HJ169-2018</w:t>
            </w:r>
            <w:r>
              <w:rPr>
                <w:rFonts w:hint="eastAsia" w:hAnsi="宋体"/>
                <w:caps/>
                <w:color w:val="auto"/>
                <w:sz w:val="24"/>
              </w:rPr>
              <w:t>），结</w:t>
            </w:r>
            <w:r>
              <w:rPr>
                <w:rFonts w:hint="eastAsia" w:ascii="宋体" w:hAnsi="宋体"/>
                <w:caps/>
                <w:color w:val="auto"/>
                <w:sz w:val="24"/>
              </w:rPr>
              <w:t>合实际情况，判定本项目环境风险评价工作等级为简单分析。</w:t>
            </w:r>
          </w:p>
          <w:p w14:paraId="483F89C5">
            <w:pPr>
              <w:spacing w:line="360" w:lineRule="auto"/>
              <w:jc w:val="center"/>
              <w:rPr>
                <w:b/>
                <w:color w:val="auto"/>
                <w:sz w:val="24"/>
              </w:rPr>
            </w:pPr>
            <w:r>
              <w:rPr>
                <w:b/>
                <w:color w:val="auto"/>
                <w:sz w:val="24"/>
              </w:rPr>
              <w:t>表4-2</w:t>
            </w:r>
            <w:r>
              <w:rPr>
                <w:rFonts w:hint="eastAsia"/>
                <w:b/>
                <w:color w:val="auto"/>
                <w:sz w:val="24"/>
              </w:rPr>
              <w:t>5</w:t>
            </w:r>
            <w:r>
              <w:rPr>
                <w:b/>
                <w:color w:val="auto"/>
                <w:sz w:val="24"/>
              </w:rPr>
              <w:t xml:space="preserve">  评价工作等级划分</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753"/>
              <w:gridCol w:w="1675"/>
              <w:gridCol w:w="1669"/>
              <w:gridCol w:w="1670"/>
            </w:tblGrid>
            <w:tr w14:paraId="2E6E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pct"/>
                  <w:tcBorders>
                    <w:top w:val="single" w:color="auto" w:sz="12" w:space="0"/>
                    <w:left w:val="nil"/>
                    <w:bottom w:val="single" w:color="auto" w:sz="4" w:space="0"/>
                    <w:right w:val="single" w:color="auto" w:sz="4" w:space="0"/>
                  </w:tcBorders>
                  <w:vAlign w:val="center"/>
                </w:tcPr>
                <w:p w14:paraId="489527B4">
                  <w:pPr>
                    <w:pStyle w:val="35"/>
                    <w:spacing w:before="0" w:beforeAutospacing="0" w:after="0" w:afterAutospacing="0" w:line="276" w:lineRule="auto"/>
                    <w:jc w:val="center"/>
                    <w:rPr>
                      <w:rFonts w:ascii="Times New Roman" w:hAnsi="Times New Roman" w:cs="宋体"/>
                      <w:b/>
                      <w:color w:val="auto"/>
                      <w:kern w:val="2"/>
                      <w:sz w:val="21"/>
                      <w:szCs w:val="21"/>
                    </w:rPr>
                  </w:pPr>
                  <w:r>
                    <w:rPr>
                      <w:rFonts w:hint="eastAsia" w:ascii="Times New Roman" w:hAnsi="Times New Roman" w:cs="宋体"/>
                      <w:b/>
                      <w:color w:val="auto"/>
                      <w:kern w:val="2"/>
                      <w:sz w:val="21"/>
                      <w:szCs w:val="21"/>
                    </w:rPr>
                    <w:t>环境风险潜势</w:t>
                  </w:r>
                </w:p>
              </w:tc>
              <w:tc>
                <w:tcPr>
                  <w:tcW w:w="1039" w:type="pct"/>
                  <w:tcBorders>
                    <w:top w:val="single" w:color="auto" w:sz="12" w:space="0"/>
                    <w:left w:val="single" w:color="auto" w:sz="4" w:space="0"/>
                    <w:bottom w:val="single" w:color="auto" w:sz="4" w:space="0"/>
                    <w:right w:val="single" w:color="auto" w:sz="4" w:space="0"/>
                  </w:tcBorders>
                  <w:vAlign w:val="center"/>
                </w:tcPr>
                <w:p w14:paraId="1D20F5C4">
                  <w:pPr>
                    <w:pStyle w:val="35"/>
                    <w:spacing w:before="0" w:beforeAutospacing="0" w:after="0" w:afterAutospacing="0" w:line="276" w:lineRule="auto"/>
                    <w:jc w:val="center"/>
                    <w:rPr>
                      <w:rFonts w:ascii="Times New Roman" w:hAnsi="Times New Roman" w:cs="宋体"/>
                      <w:b/>
                      <w:color w:val="auto"/>
                      <w:kern w:val="2"/>
                      <w:sz w:val="21"/>
                      <w:szCs w:val="21"/>
                    </w:rPr>
                  </w:pPr>
                  <w:r>
                    <w:rPr>
                      <w:rFonts w:ascii="Times New Roman" w:hAnsi="Times New Roman" w:eastAsia="微软雅黑" w:cs="宋体"/>
                      <w:b/>
                      <w:color w:val="auto"/>
                      <w:kern w:val="2"/>
                      <w:sz w:val="21"/>
                      <w:szCs w:val="21"/>
                    </w:rPr>
                    <w:t>Ⅳ</w:t>
                  </w:r>
                  <w:r>
                    <w:rPr>
                      <w:rFonts w:hint="eastAsia" w:ascii="Times New Roman" w:hAnsi="Times New Roman" w:cs="宋体"/>
                      <w:b/>
                      <w:color w:val="auto"/>
                      <w:kern w:val="2"/>
                      <w:sz w:val="21"/>
                      <w:szCs w:val="21"/>
                    </w:rPr>
                    <w:t>、</w:t>
                  </w:r>
                  <w:r>
                    <w:rPr>
                      <w:rFonts w:ascii="Times New Roman" w:hAnsi="Times New Roman" w:eastAsia="微软雅黑" w:cs="宋体"/>
                      <w:b/>
                      <w:color w:val="auto"/>
                      <w:kern w:val="2"/>
                      <w:sz w:val="21"/>
                      <w:szCs w:val="21"/>
                    </w:rPr>
                    <w:t>Ⅳ</w:t>
                  </w:r>
                  <w:r>
                    <w:rPr>
                      <w:rFonts w:ascii="Times New Roman" w:hAnsi="Times New Roman" w:cs="宋体"/>
                      <w:b/>
                      <w:color w:val="auto"/>
                      <w:kern w:val="2"/>
                      <w:sz w:val="21"/>
                      <w:szCs w:val="21"/>
                      <w:vertAlign w:val="superscript"/>
                    </w:rPr>
                    <w:t>+</w:t>
                  </w:r>
                </w:p>
              </w:tc>
              <w:tc>
                <w:tcPr>
                  <w:tcW w:w="993" w:type="pct"/>
                  <w:tcBorders>
                    <w:top w:val="single" w:color="auto" w:sz="12" w:space="0"/>
                    <w:left w:val="single" w:color="auto" w:sz="4" w:space="0"/>
                    <w:bottom w:val="single" w:color="auto" w:sz="4" w:space="0"/>
                    <w:right w:val="single" w:color="auto" w:sz="4" w:space="0"/>
                  </w:tcBorders>
                  <w:vAlign w:val="center"/>
                </w:tcPr>
                <w:p w14:paraId="14811DB9">
                  <w:pPr>
                    <w:pStyle w:val="35"/>
                    <w:spacing w:before="0" w:beforeAutospacing="0" w:after="0" w:afterAutospacing="0" w:line="276" w:lineRule="auto"/>
                    <w:jc w:val="center"/>
                    <w:rPr>
                      <w:rFonts w:ascii="Times New Roman" w:hAnsi="Times New Roman" w:cs="宋体"/>
                      <w:b/>
                      <w:color w:val="auto"/>
                      <w:kern w:val="2"/>
                      <w:sz w:val="21"/>
                      <w:szCs w:val="21"/>
                    </w:rPr>
                  </w:pPr>
                  <w:r>
                    <w:rPr>
                      <w:rFonts w:ascii="Times New Roman" w:hAnsi="Times New Roman" w:eastAsia="微软雅黑" w:cs="宋体"/>
                      <w:b/>
                      <w:color w:val="auto"/>
                      <w:kern w:val="2"/>
                      <w:sz w:val="21"/>
                      <w:szCs w:val="21"/>
                    </w:rPr>
                    <w:t>Ⅲ</w:t>
                  </w:r>
                </w:p>
              </w:tc>
              <w:tc>
                <w:tcPr>
                  <w:tcW w:w="989" w:type="pct"/>
                  <w:tcBorders>
                    <w:top w:val="single" w:color="auto" w:sz="12" w:space="0"/>
                    <w:left w:val="single" w:color="auto" w:sz="4" w:space="0"/>
                    <w:bottom w:val="single" w:color="auto" w:sz="4" w:space="0"/>
                    <w:right w:val="single" w:color="auto" w:sz="4" w:space="0"/>
                  </w:tcBorders>
                  <w:vAlign w:val="center"/>
                </w:tcPr>
                <w:p w14:paraId="385DFA8E">
                  <w:pPr>
                    <w:pStyle w:val="35"/>
                    <w:spacing w:before="0" w:beforeAutospacing="0" w:after="0" w:afterAutospacing="0" w:line="276" w:lineRule="auto"/>
                    <w:jc w:val="center"/>
                    <w:rPr>
                      <w:rFonts w:ascii="Times New Roman" w:hAnsi="Times New Roman" w:cs="宋体"/>
                      <w:b/>
                      <w:color w:val="auto"/>
                      <w:kern w:val="2"/>
                      <w:sz w:val="21"/>
                      <w:szCs w:val="21"/>
                    </w:rPr>
                  </w:pPr>
                  <w:r>
                    <w:rPr>
                      <w:rFonts w:ascii="Times New Roman" w:hAnsi="Times New Roman" w:eastAsia="微软雅黑" w:cs="宋体"/>
                      <w:b/>
                      <w:color w:val="auto"/>
                      <w:kern w:val="2"/>
                      <w:sz w:val="21"/>
                      <w:szCs w:val="21"/>
                    </w:rPr>
                    <w:t>Ⅱ</w:t>
                  </w:r>
                </w:p>
              </w:tc>
              <w:tc>
                <w:tcPr>
                  <w:tcW w:w="990" w:type="pct"/>
                  <w:tcBorders>
                    <w:top w:val="single" w:color="auto" w:sz="12" w:space="0"/>
                    <w:left w:val="single" w:color="auto" w:sz="4" w:space="0"/>
                    <w:bottom w:val="single" w:color="auto" w:sz="4" w:space="0"/>
                    <w:right w:val="nil"/>
                  </w:tcBorders>
                  <w:vAlign w:val="center"/>
                </w:tcPr>
                <w:p w14:paraId="0861E3D8">
                  <w:pPr>
                    <w:pStyle w:val="35"/>
                    <w:spacing w:before="0" w:beforeAutospacing="0" w:after="0" w:afterAutospacing="0" w:line="276" w:lineRule="auto"/>
                    <w:jc w:val="center"/>
                    <w:rPr>
                      <w:rFonts w:ascii="Times New Roman" w:hAnsi="Times New Roman" w:cs="宋体"/>
                      <w:b/>
                      <w:color w:val="auto"/>
                      <w:kern w:val="2"/>
                      <w:sz w:val="21"/>
                      <w:szCs w:val="21"/>
                    </w:rPr>
                  </w:pPr>
                  <w:r>
                    <w:rPr>
                      <w:rFonts w:ascii="Times New Roman" w:hAnsi="Times New Roman" w:eastAsia="微软雅黑" w:cs="宋体"/>
                      <w:b/>
                      <w:color w:val="auto"/>
                      <w:kern w:val="2"/>
                      <w:sz w:val="21"/>
                      <w:szCs w:val="21"/>
                    </w:rPr>
                    <w:t>Ⅰ</w:t>
                  </w:r>
                </w:p>
              </w:tc>
            </w:tr>
            <w:tr w14:paraId="72DB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pct"/>
                  <w:tcBorders>
                    <w:top w:val="single" w:color="auto" w:sz="4" w:space="0"/>
                    <w:left w:val="nil"/>
                    <w:bottom w:val="single" w:color="auto" w:sz="4" w:space="0"/>
                    <w:right w:val="single" w:color="auto" w:sz="4" w:space="0"/>
                  </w:tcBorders>
                  <w:shd w:val="clear" w:color="auto" w:fill="auto"/>
                  <w:vAlign w:val="center"/>
                </w:tcPr>
                <w:p w14:paraId="61911D32">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评价工作等级</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1719FA8E">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一</w:t>
                  </w:r>
                </w:p>
              </w:tc>
              <w:tc>
                <w:tcPr>
                  <w:tcW w:w="993" w:type="pct"/>
                  <w:tcBorders>
                    <w:top w:val="single" w:color="auto" w:sz="4" w:space="0"/>
                    <w:left w:val="single" w:color="auto" w:sz="4" w:space="0"/>
                    <w:bottom w:val="single" w:color="auto" w:sz="4" w:space="0"/>
                    <w:right w:val="single" w:color="auto" w:sz="4" w:space="0"/>
                  </w:tcBorders>
                  <w:shd w:val="clear" w:color="auto" w:fill="auto"/>
                  <w:vAlign w:val="center"/>
                </w:tcPr>
                <w:p w14:paraId="5AADE8EF">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二</w:t>
                  </w:r>
                </w:p>
              </w:tc>
              <w:tc>
                <w:tcPr>
                  <w:tcW w:w="989" w:type="pct"/>
                  <w:tcBorders>
                    <w:top w:val="single" w:color="auto" w:sz="4" w:space="0"/>
                    <w:left w:val="single" w:color="auto" w:sz="4" w:space="0"/>
                    <w:bottom w:val="single" w:color="auto" w:sz="4" w:space="0"/>
                    <w:right w:val="single" w:color="auto" w:sz="4" w:space="0"/>
                  </w:tcBorders>
                  <w:shd w:val="clear" w:color="auto" w:fill="auto"/>
                  <w:vAlign w:val="center"/>
                </w:tcPr>
                <w:p w14:paraId="5CCE0060">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三</w:t>
                  </w:r>
                </w:p>
              </w:tc>
              <w:tc>
                <w:tcPr>
                  <w:tcW w:w="990" w:type="pct"/>
                  <w:tcBorders>
                    <w:top w:val="single" w:color="auto" w:sz="4" w:space="0"/>
                    <w:left w:val="single" w:color="auto" w:sz="4" w:space="0"/>
                    <w:bottom w:val="single" w:color="auto" w:sz="4" w:space="0"/>
                    <w:right w:val="nil"/>
                  </w:tcBorders>
                  <w:shd w:val="pct15" w:color="auto" w:fill="auto"/>
                  <w:vAlign w:val="center"/>
                </w:tcPr>
                <w:p w14:paraId="65F13DC3">
                  <w:pPr>
                    <w:pStyle w:val="35"/>
                    <w:spacing w:before="0" w:beforeAutospacing="0" w:after="0" w:afterAutospacing="0" w:line="276" w:lineRule="auto"/>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简单分析</w:t>
                  </w:r>
                  <w:r>
                    <w:rPr>
                      <w:rFonts w:ascii="Times New Roman" w:hAnsi="Times New Roman" w:cs="宋体"/>
                      <w:color w:val="auto"/>
                      <w:kern w:val="2"/>
                      <w:sz w:val="21"/>
                      <w:szCs w:val="21"/>
                      <w:vertAlign w:val="superscript"/>
                    </w:rPr>
                    <w:t>a</w:t>
                  </w:r>
                </w:p>
              </w:tc>
            </w:tr>
            <w:tr w14:paraId="1853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nil"/>
                    <w:bottom w:val="single" w:color="auto" w:sz="12" w:space="0"/>
                    <w:right w:val="nil"/>
                  </w:tcBorders>
                  <w:vAlign w:val="center"/>
                </w:tcPr>
                <w:p w14:paraId="61731E06">
                  <w:pPr>
                    <w:pStyle w:val="35"/>
                    <w:spacing w:before="0" w:beforeAutospacing="0" w:after="0" w:afterAutospacing="0" w:line="276" w:lineRule="auto"/>
                    <w:jc w:val="both"/>
                    <w:rPr>
                      <w:rFonts w:ascii="Times New Roman" w:hAnsi="Times New Roman" w:cs="宋体"/>
                      <w:color w:val="auto"/>
                      <w:kern w:val="2"/>
                      <w:sz w:val="21"/>
                      <w:szCs w:val="21"/>
                    </w:rPr>
                  </w:pPr>
                  <w:r>
                    <w:rPr>
                      <w:rFonts w:ascii="Times New Roman" w:hAnsi="Times New Roman" w:cs="宋体"/>
                      <w:color w:val="auto"/>
                      <w:kern w:val="2"/>
                      <w:sz w:val="21"/>
                      <w:szCs w:val="21"/>
                      <w:vertAlign w:val="superscript"/>
                    </w:rPr>
                    <w:t>a</w:t>
                  </w:r>
                  <w:r>
                    <w:rPr>
                      <w:rFonts w:ascii="Times New Roman" w:hAnsi="Times New Roman" w:cs="宋体"/>
                      <w:color w:val="auto"/>
                      <w:kern w:val="2"/>
                      <w:sz w:val="21"/>
                      <w:szCs w:val="21"/>
                    </w:rPr>
                    <w:t xml:space="preserve"> </w:t>
                  </w:r>
                  <w:r>
                    <w:rPr>
                      <w:rFonts w:hint="eastAsia" w:ascii="Times New Roman" w:hAnsi="Times New Roman" w:cs="宋体"/>
                      <w:color w:val="auto"/>
                      <w:kern w:val="2"/>
                      <w:sz w:val="21"/>
                      <w:szCs w:val="21"/>
                    </w:rPr>
                    <w:t>：是相当于详细评价工作内容而言，在描述危险物质、环境影响途径、环境危害后果、风险防范措施等方面给出定性说明。</w:t>
                  </w:r>
                </w:p>
              </w:tc>
            </w:tr>
          </w:tbl>
          <w:p w14:paraId="60E32823">
            <w:pPr>
              <w:pStyle w:val="57"/>
              <w:adjustRightInd/>
              <w:spacing w:line="360" w:lineRule="auto"/>
              <w:ind w:firstLine="482" w:firstLineChars="200"/>
              <w:rPr>
                <w:color w:val="auto"/>
              </w:rPr>
            </w:pPr>
            <w:r>
              <w:rPr>
                <w:rFonts w:hint="eastAsia"/>
                <w:color w:val="auto"/>
              </w:rPr>
              <w:t>4、风险事故情形分析</w:t>
            </w:r>
          </w:p>
          <w:p w14:paraId="41C31504">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（1）大气环境风险事故情形设定</w:t>
            </w:r>
          </w:p>
          <w:p w14:paraId="740A1736">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本项目生产过程中产生的主要污染物为粉尘，粉尘污染防治措施主要为配套的脉冲袋式除尘装置，当袋式除尘设施发生故障时，如设备老化破损、设备断电、风机故障、管道破损等情况，导致粉尘未得到及时处理，粉尘排放浓度会增加，主要对袋式除尘排口及厂区周围大气环境会造成一定的影响</w:t>
            </w:r>
            <w:r>
              <w:rPr>
                <w:rFonts w:ascii="Times New Roman" w:hAnsi="Times New Roman" w:eastAsia="宋体" w:cs="Times New Roman"/>
                <w:color w:val="000000" w:themeColor="text1"/>
                <w:sz w:val="24"/>
                <w:szCs w:val="28"/>
                <w14:textFill>
                  <w14:solidFill>
                    <w14:schemeClr w14:val="tx1"/>
                  </w14:solidFill>
                </w14:textFill>
              </w:rPr>
              <w:t>。</w:t>
            </w:r>
          </w:p>
          <w:p w14:paraId="42296DE0">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（2）地表水风险事故情形设定</w:t>
            </w:r>
          </w:p>
          <w:p w14:paraId="63217818">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本项目生产工艺较为简单，主要考虑本项目各沉淀池，当由于人为管理不当，或者自然条件的影响（主要考虑暴雨情况）等导致沉淀池废水事故排放，事故状态下排放的废水将直接进入到外界水环境中，由于沉淀池废水中悬浮物浓度相对较高，泄漏进入外界水环境中会导致局部水环境中悬浮物浓度大幅上升，从而影响项目周边水体环境。</w:t>
            </w:r>
          </w:p>
          <w:p w14:paraId="38AE50D8">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（3）地下水风险事故情形分析</w:t>
            </w:r>
          </w:p>
          <w:p w14:paraId="12604636">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本项目对</w:t>
            </w:r>
            <w:r>
              <w:rPr>
                <w:rFonts w:hint="eastAsia" w:ascii="Times New Roman" w:hAnsi="Times New Roman" w:eastAsia="宋体" w:cs="Times New Roman"/>
                <w:color w:val="000000" w:themeColor="text1"/>
                <w:sz w:val="24"/>
                <w:szCs w:val="28"/>
                <w14:textFill>
                  <w14:solidFill>
                    <w14:schemeClr w14:val="tx1"/>
                  </w14:solidFill>
                </w14:textFill>
              </w:rPr>
              <w:t>危废库</w:t>
            </w:r>
            <w:r>
              <w:rPr>
                <w:rFonts w:ascii="Times New Roman" w:hAnsi="Times New Roman" w:eastAsia="宋体" w:cs="Times New Roman"/>
                <w:color w:val="000000" w:themeColor="text1"/>
                <w:sz w:val="24"/>
                <w:szCs w:val="28"/>
                <w14:textFill>
                  <w14:solidFill>
                    <w14:schemeClr w14:val="tx1"/>
                  </w14:solidFill>
                </w14:textFill>
              </w:rPr>
              <w:t>等单元采取分区防渗措施，严防污染物泄漏事故发生地下水污染事件，生产过程中应严格做好地下水防渗措施，严防污染物泄漏事故发生地下水污染事件。</w:t>
            </w:r>
          </w:p>
          <w:p w14:paraId="24BC3D23">
            <w:pPr>
              <w:pStyle w:val="57"/>
              <w:adjustRightInd/>
              <w:spacing w:line="360" w:lineRule="auto"/>
              <w:ind w:firstLine="482" w:firstLineChars="200"/>
              <w:rPr>
                <w:color w:val="auto"/>
              </w:rPr>
            </w:pPr>
            <w:r>
              <w:rPr>
                <w:rFonts w:hint="eastAsia"/>
                <w:color w:val="auto"/>
              </w:rPr>
              <w:t>5、风险防范措施</w:t>
            </w:r>
          </w:p>
          <w:p w14:paraId="329A2D1A">
            <w:pPr>
              <w:pStyle w:val="57"/>
              <w:adjustRightInd/>
              <w:spacing w:line="360" w:lineRule="auto"/>
              <w:ind w:firstLine="482" w:firstLineChars="200"/>
              <w:jc w:val="both"/>
              <w:rPr>
                <w:bCs/>
                <w:color w:val="auto"/>
              </w:rPr>
            </w:pPr>
            <w:r>
              <w:rPr>
                <w:rFonts w:hint="eastAsia"/>
                <w:bCs/>
                <w:color w:val="auto"/>
              </w:rPr>
              <w:t>（</w:t>
            </w:r>
            <w:r>
              <w:rPr>
                <w:rFonts w:hint="eastAsia"/>
                <w:bCs/>
                <w:color w:val="auto"/>
                <w:lang w:val="en-US" w:eastAsia="zh-CN"/>
              </w:rPr>
              <w:t>1</w:t>
            </w:r>
            <w:r>
              <w:rPr>
                <w:rFonts w:hint="eastAsia"/>
                <w:bCs/>
                <w:color w:val="auto"/>
              </w:rPr>
              <w:t>）废气事故性排放风险防范措施</w:t>
            </w:r>
          </w:p>
          <w:p w14:paraId="5FC10FD1">
            <w:pPr>
              <w:pStyle w:val="57"/>
              <w:adjustRightInd/>
              <w:spacing w:line="360" w:lineRule="auto"/>
              <w:ind w:firstLine="480" w:firstLineChars="200"/>
              <w:jc w:val="both"/>
              <w:rPr>
                <w:b w:val="0"/>
                <w:bCs w:val="0"/>
                <w:color w:val="auto"/>
              </w:rPr>
            </w:pPr>
            <w:r>
              <w:rPr>
                <w:rFonts w:hint="eastAsia"/>
                <w:b w:val="0"/>
                <w:bCs w:val="0"/>
                <w:color w:val="auto"/>
              </w:rPr>
              <w:t>①平时加强废气处理设施的维护保养，及时发现处理设施的隐患，并及时进行维修，确保废气处理系统正常运行；</w:t>
            </w:r>
          </w:p>
          <w:p w14:paraId="0C88A8CF">
            <w:pPr>
              <w:pStyle w:val="57"/>
              <w:adjustRightInd/>
              <w:spacing w:line="360" w:lineRule="auto"/>
              <w:ind w:firstLine="480" w:firstLineChars="200"/>
              <w:jc w:val="both"/>
              <w:rPr>
                <w:b w:val="0"/>
                <w:bCs w:val="0"/>
                <w:color w:val="auto"/>
              </w:rPr>
            </w:pPr>
            <w:r>
              <w:rPr>
                <w:rFonts w:hint="eastAsia"/>
                <w:b w:val="0"/>
                <w:bCs w:val="0"/>
                <w:color w:val="auto"/>
              </w:rPr>
              <w:t>②建立健全的环保体制，对管理人员和技术人员进行岗位培训，对废气处理实行全过程跟踪控制；</w:t>
            </w:r>
          </w:p>
          <w:p w14:paraId="0B67561E">
            <w:pPr>
              <w:pStyle w:val="57"/>
              <w:adjustRightInd/>
              <w:spacing w:line="360" w:lineRule="auto"/>
              <w:ind w:firstLine="480" w:firstLineChars="200"/>
              <w:jc w:val="both"/>
              <w:rPr>
                <w:b w:val="0"/>
                <w:bCs w:val="0"/>
                <w:color w:val="auto"/>
              </w:rPr>
            </w:pPr>
            <w:r>
              <w:rPr>
                <w:rFonts w:hint="eastAsia"/>
                <w:b w:val="0"/>
                <w:bCs w:val="0"/>
                <w:color w:val="auto"/>
              </w:rPr>
              <w:t>③项目应设有备用电源，以备停电故障时废气全部可进入废气处理系统进行处理以达标排放。</w:t>
            </w:r>
          </w:p>
          <w:p w14:paraId="165F70AD">
            <w:pPr>
              <w:pStyle w:val="57"/>
              <w:adjustRightInd/>
              <w:spacing w:line="360" w:lineRule="auto"/>
              <w:ind w:firstLine="482" w:firstLineChars="200"/>
              <w:rPr>
                <w:bCs/>
                <w:color w:val="auto"/>
              </w:rPr>
            </w:pPr>
            <w:r>
              <w:rPr>
                <w:rFonts w:hint="eastAsia"/>
                <w:bCs/>
                <w:color w:val="auto"/>
              </w:rPr>
              <w:t>（</w:t>
            </w:r>
            <w:r>
              <w:rPr>
                <w:rFonts w:hint="eastAsia"/>
                <w:bCs/>
                <w:color w:val="auto"/>
                <w:lang w:val="en-US" w:eastAsia="zh-CN"/>
              </w:rPr>
              <w:t>2</w:t>
            </w:r>
            <w:r>
              <w:rPr>
                <w:rFonts w:hint="eastAsia"/>
                <w:bCs/>
                <w:color w:val="auto"/>
              </w:rPr>
              <w:t>）危废泄漏、流失事故风险防范措施</w:t>
            </w:r>
          </w:p>
          <w:p w14:paraId="66726407">
            <w:pPr>
              <w:autoSpaceDE w:val="0"/>
              <w:autoSpaceDN w:val="0"/>
              <w:spacing w:line="360" w:lineRule="auto"/>
              <w:ind w:firstLine="480" w:firstLineChars="200"/>
              <w:rPr>
                <w:color w:val="auto"/>
                <w:sz w:val="24"/>
              </w:rPr>
            </w:pPr>
            <w:r>
              <w:rPr>
                <w:rFonts w:hint="eastAsia"/>
                <w:color w:val="auto"/>
                <w:sz w:val="24"/>
              </w:rPr>
              <w:t>①危险废物收集后于公司危废库内暂存，盛装危险废物的容器材质要与危险废物相容（不相互反应），盛装危险废物的容器和包装物必须粘贴危险废物标签，并定期检查容器有无破损；</w:t>
            </w:r>
          </w:p>
          <w:p w14:paraId="4D744FD0">
            <w:pPr>
              <w:autoSpaceDE w:val="0"/>
              <w:autoSpaceDN w:val="0"/>
              <w:spacing w:line="360" w:lineRule="auto"/>
              <w:ind w:firstLine="480" w:firstLineChars="200"/>
              <w:rPr>
                <w:color w:val="auto"/>
                <w:sz w:val="24"/>
              </w:rPr>
            </w:pPr>
            <w:r>
              <w:rPr>
                <w:rFonts w:hint="eastAsia"/>
                <w:color w:val="auto"/>
                <w:sz w:val="24"/>
              </w:rPr>
              <w:t>②建立危险废物台账管理制度，台账悬挂于危废库内，记录上须注明危险废物的名称、来源、数量、特性和包装容器的类别、入库日期、存放库位、废物出库日期及接受单位名称。危险废物的记录和货单在危险废物回取后应继续保留三年；</w:t>
            </w:r>
          </w:p>
          <w:p w14:paraId="0226AE4A">
            <w:pPr>
              <w:autoSpaceDE w:val="0"/>
              <w:autoSpaceDN w:val="0"/>
              <w:spacing w:line="360" w:lineRule="auto"/>
              <w:ind w:firstLine="480" w:firstLineChars="200"/>
              <w:rPr>
                <w:color w:val="auto"/>
                <w:sz w:val="24"/>
              </w:rPr>
            </w:pPr>
            <w:r>
              <w:rPr>
                <w:rFonts w:hint="eastAsia"/>
                <w:color w:val="auto"/>
                <w:sz w:val="24"/>
              </w:rPr>
              <w:t>③危险废物贮存设施必须按照《环境保护图形标志</w:t>
            </w:r>
            <w:r>
              <w:rPr>
                <w:color w:val="auto"/>
                <w:sz w:val="24"/>
              </w:rPr>
              <w:t xml:space="preserve"> </w:t>
            </w:r>
            <w:r>
              <w:rPr>
                <w:rFonts w:hint="eastAsia"/>
                <w:color w:val="auto"/>
                <w:sz w:val="24"/>
              </w:rPr>
              <w:t>固体废物贮存（处置）场》（</w:t>
            </w:r>
            <w:r>
              <w:rPr>
                <w:color w:val="auto"/>
                <w:sz w:val="24"/>
              </w:rPr>
              <w:t>GB15562.2-1995</w:t>
            </w:r>
            <w:r>
              <w:rPr>
                <w:rFonts w:hint="eastAsia"/>
                <w:color w:val="auto"/>
                <w:sz w:val="24"/>
              </w:rPr>
              <w:t>）的规定设置警示标志。危险废物贮存间门口需张贴标准规范的危险废物标识和危废信息板，屋内张贴企业《危险废物管理制度》；</w:t>
            </w:r>
          </w:p>
          <w:p w14:paraId="20F90A8D">
            <w:pPr>
              <w:autoSpaceDE w:val="0"/>
              <w:autoSpaceDN w:val="0"/>
              <w:spacing w:line="360" w:lineRule="auto"/>
              <w:ind w:firstLine="480" w:firstLineChars="200"/>
              <w:rPr>
                <w:color w:val="auto"/>
                <w:sz w:val="24"/>
              </w:rPr>
            </w:pPr>
            <w:r>
              <w:rPr>
                <w:rFonts w:hint="eastAsia"/>
                <w:color w:val="auto"/>
                <w:sz w:val="24"/>
              </w:rPr>
              <w:t>④危险废物贮存间需按照“双人双锁”制度管理。（两把钥匙分别由两个危废负责人管理，不得一人管理）；</w:t>
            </w:r>
          </w:p>
          <w:p w14:paraId="0D168983">
            <w:pPr>
              <w:autoSpaceDE w:val="0"/>
              <w:autoSpaceDN w:val="0"/>
              <w:spacing w:line="360" w:lineRule="auto"/>
              <w:ind w:firstLine="480" w:firstLineChars="200"/>
              <w:rPr>
                <w:color w:val="auto"/>
                <w:sz w:val="24"/>
              </w:rPr>
            </w:pPr>
            <w:r>
              <w:rPr>
                <w:rFonts w:hint="eastAsia"/>
                <w:color w:val="auto"/>
                <w:sz w:val="24"/>
              </w:rPr>
              <w:t>⑤危险废弃物在运输途中若发生被盗、丢失、流散、泄漏等情况时，公司及押运人员必须立即向当地公安部门报告，并采取一切可能的警示措施；</w:t>
            </w:r>
          </w:p>
          <w:p w14:paraId="34A6193E">
            <w:pPr>
              <w:pStyle w:val="57"/>
              <w:adjustRightInd/>
              <w:spacing w:line="360" w:lineRule="auto"/>
              <w:ind w:firstLine="480" w:firstLineChars="200"/>
              <w:jc w:val="both"/>
              <w:rPr>
                <w:b w:val="0"/>
                <w:bCs w:val="0"/>
                <w:color w:val="auto"/>
              </w:rPr>
            </w:pPr>
            <w:r>
              <w:rPr>
                <w:rFonts w:hint="eastAsia"/>
                <w:b w:val="0"/>
                <w:bCs w:val="0"/>
                <w:color w:val="auto"/>
              </w:rPr>
              <w:t>⑥地面与裙脚要用坚固、防渗的材料建造，基础必须防渗，防渗层为至少</w:t>
            </w:r>
            <w:r>
              <w:rPr>
                <w:b w:val="0"/>
                <w:bCs w:val="0"/>
                <w:color w:val="auto"/>
              </w:rPr>
              <w:t>1</w:t>
            </w:r>
            <w:r>
              <w:rPr>
                <w:rFonts w:hint="eastAsia"/>
                <w:b w:val="0"/>
                <w:bCs w:val="0"/>
                <w:color w:val="auto"/>
              </w:rPr>
              <w:t>米厚粘土层（渗透系数</w:t>
            </w:r>
            <w:r>
              <w:rPr>
                <w:b w:val="0"/>
                <w:bCs w:val="0"/>
                <w:color w:val="auto"/>
              </w:rPr>
              <w:t>≤10</w:t>
            </w:r>
            <w:r>
              <w:rPr>
                <w:b w:val="0"/>
                <w:bCs w:val="0"/>
                <w:color w:val="auto"/>
                <w:vertAlign w:val="superscript"/>
              </w:rPr>
              <w:t>-7</w:t>
            </w:r>
            <w:r>
              <w:rPr>
                <w:rFonts w:hint="eastAsia"/>
                <w:b w:val="0"/>
                <w:bCs w:val="0"/>
                <w:color w:val="auto"/>
              </w:rPr>
              <w:t>厘米</w:t>
            </w:r>
            <w:r>
              <w:rPr>
                <w:b w:val="0"/>
                <w:bCs w:val="0"/>
                <w:color w:val="auto"/>
              </w:rPr>
              <w:t>/</w:t>
            </w:r>
            <w:r>
              <w:rPr>
                <w:rFonts w:hint="eastAsia"/>
                <w:b w:val="0"/>
                <w:bCs w:val="0"/>
                <w:color w:val="auto"/>
              </w:rPr>
              <w:t>秒），或</w:t>
            </w:r>
            <w:r>
              <w:rPr>
                <w:b w:val="0"/>
                <w:bCs w:val="0"/>
                <w:color w:val="auto"/>
              </w:rPr>
              <w:t>2</w:t>
            </w:r>
            <w:r>
              <w:rPr>
                <w:rFonts w:hint="eastAsia"/>
                <w:b w:val="0"/>
                <w:bCs w:val="0"/>
                <w:color w:val="auto"/>
              </w:rPr>
              <w:t>毫米厚高密度聚乙烯，或至少</w:t>
            </w:r>
            <w:r>
              <w:rPr>
                <w:b w:val="0"/>
                <w:bCs w:val="0"/>
                <w:color w:val="auto"/>
              </w:rPr>
              <w:t>2</w:t>
            </w:r>
            <w:r>
              <w:rPr>
                <w:rFonts w:hint="eastAsia"/>
                <w:b w:val="0"/>
                <w:bCs w:val="0"/>
                <w:color w:val="auto"/>
              </w:rPr>
              <w:t>毫米厚的其它人工材料，渗透系数</w:t>
            </w:r>
            <w:r>
              <w:rPr>
                <w:b w:val="0"/>
                <w:bCs w:val="0"/>
                <w:color w:val="auto"/>
              </w:rPr>
              <w:t>≤10</w:t>
            </w:r>
            <w:r>
              <w:rPr>
                <w:b w:val="0"/>
                <w:bCs w:val="0"/>
                <w:color w:val="auto"/>
                <w:vertAlign w:val="superscript"/>
              </w:rPr>
              <w:t>-10</w:t>
            </w:r>
            <w:r>
              <w:rPr>
                <w:rFonts w:hint="eastAsia"/>
                <w:b w:val="0"/>
                <w:bCs w:val="0"/>
                <w:color w:val="auto"/>
              </w:rPr>
              <w:t>厘米</w:t>
            </w:r>
            <w:r>
              <w:rPr>
                <w:b w:val="0"/>
                <w:bCs w:val="0"/>
                <w:color w:val="auto"/>
              </w:rPr>
              <w:t>/</w:t>
            </w:r>
            <w:r>
              <w:rPr>
                <w:rFonts w:hint="eastAsia"/>
                <w:b w:val="0"/>
                <w:bCs w:val="0"/>
                <w:color w:val="auto"/>
              </w:rPr>
              <w:t>秒；</w:t>
            </w:r>
          </w:p>
          <w:p w14:paraId="63233145">
            <w:pPr>
              <w:pStyle w:val="57"/>
              <w:adjustRightInd/>
              <w:spacing w:line="360" w:lineRule="auto"/>
              <w:ind w:firstLine="480" w:firstLineChars="200"/>
              <w:jc w:val="both"/>
              <w:rPr>
                <w:b w:val="0"/>
                <w:bCs w:val="0"/>
                <w:color w:val="auto"/>
              </w:rPr>
            </w:pPr>
            <w:r>
              <w:rPr>
                <w:rFonts w:hint="eastAsia"/>
                <w:b w:val="0"/>
                <w:bCs w:val="0"/>
                <w:color w:val="auto"/>
              </w:rPr>
              <w:t>⑦废活性炭应进行密闭包装，包装桶或袋外部应张贴危险废物标签。废液压油暂存区应设置导流沟或者防漏托盘。</w:t>
            </w:r>
          </w:p>
          <w:p w14:paraId="5826046C">
            <w:pPr>
              <w:spacing w:line="360" w:lineRule="auto"/>
              <w:ind w:firstLine="480" w:firstLineChars="200"/>
              <w:jc w:val="left"/>
              <w:rPr>
                <w:color w:val="auto"/>
                <w:sz w:val="24"/>
              </w:rPr>
            </w:pPr>
            <w:r>
              <w:rPr>
                <w:rFonts w:hint="eastAsia"/>
                <w:color w:val="auto"/>
                <w:sz w:val="24"/>
              </w:rPr>
              <w:t>6、简单分析内容</w:t>
            </w:r>
          </w:p>
          <w:p w14:paraId="458493B4">
            <w:pPr>
              <w:spacing w:line="360" w:lineRule="auto"/>
              <w:ind w:firstLine="480" w:firstLineChars="200"/>
              <w:jc w:val="left"/>
              <w:rPr>
                <w:color w:val="auto"/>
                <w:sz w:val="24"/>
              </w:rPr>
            </w:pPr>
            <w:r>
              <w:rPr>
                <w:rFonts w:hint="eastAsia"/>
                <w:color w:val="auto"/>
                <w:sz w:val="24"/>
              </w:rPr>
              <w:t>本项目环境风险简单分析内容见下表。</w:t>
            </w:r>
          </w:p>
          <w:p w14:paraId="0A232C85">
            <w:pPr>
              <w:spacing w:line="360" w:lineRule="auto"/>
              <w:jc w:val="center"/>
              <w:rPr>
                <w:b/>
                <w:color w:val="auto"/>
                <w:sz w:val="24"/>
              </w:rPr>
            </w:pPr>
            <w:r>
              <w:rPr>
                <w:b/>
                <w:color w:val="auto"/>
                <w:sz w:val="24"/>
              </w:rPr>
              <w:t>表4-2</w:t>
            </w:r>
            <w:r>
              <w:rPr>
                <w:rFonts w:hint="eastAsia"/>
                <w:b/>
                <w:color w:val="auto"/>
                <w:sz w:val="24"/>
              </w:rPr>
              <w:t>6</w:t>
            </w:r>
            <w:r>
              <w:rPr>
                <w:b/>
                <w:color w:val="auto"/>
                <w:sz w:val="24"/>
              </w:rPr>
              <w:t xml:space="preserve">  建设项目环境风险简单分析内容表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2"/>
              <w:gridCol w:w="1132"/>
              <w:gridCol w:w="1735"/>
              <w:gridCol w:w="1056"/>
              <w:gridCol w:w="2421"/>
            </w:tblGrid>
            <w:tr w14:paraId="756F2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4" w:type="pct"/>
                  <w:vAlign w:val="center"/>
                </w:tcPr>
                <w:p w14:paraId="026FB2C7">
                  <w:pPr>
                    <w:pStyle w:val="25"/>
                    <w:snapToGrid/>
                    <w:jc w:val="center"/>
                    <w:rPr>
                      <w:color w:val="auto"/>
                      <w:kern w:val="2"/>
                      <w:sz w:val="21"/>
                      <w:szCs w:val="21"/>
                    </w:rPr>
                  </w:pPr>
                  <w:r>
                    <w:rPr>
                      <w:rFonts w:hint="eastAsia"/>
                      <w:color w:val="auto"/>
                      <w:sz w:val="21"/>
                      <w:szCs w:val="21"/>
                    </w:rPr>
                    <w:t>建设项目名称</w:t>
                  </w:r>
                </w:p>
              </w:tc>
              <w:tc>
                <w:tcPr>
                  <w:tcW w:w="3755" w:type="pct"/>
                  <w:gridSpan w:val="4"/>
                  <w:vAlign w:val="center"/>
                </w:tcPr>
                <w:p w14:paraId="122A2236">
                  <w:pPr>
                    <w:pStyle w:val="25"/>
                    <w:snapToGrid/>
                    <w:jc w:val="center"/>
                    <w:rPr>
                      <w:color w:val="auto"/>
                      <w:kern w:val="2"/>
                      <w:sz w:val="21"/>
                      <w:szCs w:val="21"/>
                    </w:rPr>
                  </w:pPr>
                  <w:r>
                    <w:rPr>
                      <w:rFonts w:hint="default"/>
                      <w:color w:val="auto"/>
                      <w:kern w:val="2"/>
                      <w:sz w:val="21"/>
                      <w:szCs w:val="21"/>
                      <w:lang w:val="en-US" w:eastAsia="zh-CN"/>
                    </w:rPr>
                    <w:t>统型砼岔枕生产项目</w:t>
                  </w:r>
                  <w:r>
                    <w:rPr>
                      <w:rFonts w:hint="eastAsia"/>
                      <w:color w:val="auto"/>
                      <w:kern w:val="2"/>
                      <w:sz w:val="21"/>
                      <w:szCs w:val="21"/>
                      <w:lang w:val="en-US" w:eastAsia="zh-CN"/>
                    </w:rPr>
                    <w:t>（一期工程）</w:t>
                  </w:r>
                </w:p>
              </w:tc>
            </w:tr>
            <w:tr w14:paraId="4FD928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4" w:type="pct"/>
                  <w:vAlign w:val="center"/>
                </w:tcPr>
                <w:p w14:paraId="436AB858">
                  <w:pPr>
                    <w:pStyle w:val="25"/>
                    <w:snapToGrid/>
                    <w:jc w:val="center"/>
                    <w:rPr>
                      <w:color w:val="auto"/>
                      <w:kern w:val="2"/>
                      <w:sz w:val="21"/>
                      <w:szCs w:val="21"/>
                    </w:rPr>
                  </w:pPr>
                  <w:r>
                    <w:rPr>
                      <w:rFonts w:hint="eastAsia"/>
                      <w:color w:val="auto"/>
                      <w:sz w:val="21"/>
                      <w:szCs w:val="21"/>
                    </w:rPr>
                    <w:t>建设地点</w:t>
                  </w:r>
                </w:p>
              </w:tc>
              <w:tc>
                <w:tcPr>
                  <w:tcW w:w="3755" w:type="pct"/>
                  <w:gridSpan w:val="4"/>
                  <w:vAlign w:val="center"/>
                </w:tcPr>
                <w:p w14:paraId="702ED61E">
                  <w:pPr>
                    <w:widowControl/>
                    <w:jc w:val="center"/>
                    <w:rPr>
                      <w:color w:val="auto"/>
                      <w:szCs w:val="21"/>
                    </w:rPr>
                  </w:pPr>
                  <w:r>
                    <w:rPr>
                      <w:rFonts w:hint="eastAsia"/>
                      <w:color w:val="auto"/>
                      <w:szCs w:val="21"/>
                    </w:rPr>
                    <w:t>安徽省淮南经济技术开发区锦绣路100号东侧</w:t>
                  </w:r>
                </w:p>
              </w:tc>
            </w:tr>
            <w:tr w14:paraId="55800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4" w:type="pct"/>
                  <w:vAlign w:val="center"/>
                </w:tcPr>
                <w:p w14:paraId="58E2249B">
                  <w:pPr>
                    <w:pStyle w:val="25"/>
                    <w:snapToGrid/>
                    <w:jc w:val="center"/>
                    <w:rPr>
                      <w:color w:val="auto"/>
                      <w:kern w:val="2"/>
                      <w:sz w:val="21"/>
                      <w:szCs w:val="21"/>
                    </w:rPr>
                  </w:pPr>
                  <w:r>
                    <w:rPr>
                      <w:rFonts w:hint="eastAsia"/>
                      <w:color w:val="auto"/>
                      <w:sz w:val="21"/>
                      <w:szCs w:val="21"/>
                    </w:rPr>
                    <w:t>地理坐标</w:t>
                  </w:r>
                </w:p>
              </w:tc>
              <w:tc>
                <w:tcPr>
                  <w:tcW w:w="670" w:type="pct"/>
                  <w:vAlign w:val="center"/>
                </w:tcPr>
                <w:p w14:paraId="76A33CC0">
                  <w:pPr>
                    <w:pStyle w:val="25"/>
                    <w:snapToGrid/>
                    <w:jc w:val="center"/>
                    <w:rPr>
                      <w:color w:val="auto"/>
                      <w:kern w:val="2"/>
                      <w:sz w:val="21"/>
                      <w:szCs w:val="21"/>
                    </w:rPr>
                  </w:pPr>
                  <w:r>
                    <w:rPr>
                      <w:rFonts w:hint="eastAsia"/>
                      <w:color w:val="auto"/>
                      <w:sz w:val="21"/>
                      <w:szCs w:val="21"/>
                    </w:rPr>
                    <w:t>经度</w:t>
                  </w:r>
                </w:p>
              </w:tc>
              <w:tc>
                <w:tcPr>
                  <w:tcW w:w="1027" w:type="pct"/>
                  <w:vAlign w:val="center"/>
                </w:tcPr>
                <w:p w14:paraId="13B9D8B9">
                  <w:pPr>
                    <w:adjustRightInd w:val="0"/>
                    <w:snapToGrid w:val="0"/>
                    <w:jc w:val="center"/>
                    <w:rPr>
                      <w:color w:val="auto"/>
                      <w:kern w:val="2"/>
                      <w:sz w:val="21"/>
                      <w:szCs w:val="21"/>
                    </w:rPr>
                  </w:pPr>
                  <w:r>
                    <w:rPr>
                      <w:rFonts w:hint="eastAsia" w:ascii="Times New Roman" w:hAnsi="Times New Roman" w:eastAsia="宋体" w:cs="Times New Roman"/>
                      <w:color w:val="auto"/>
                      <w:szCs w:val="21"/>
                    </w:rPr>
                    <w:t>117.075785424</w:t>
                  </w:r>
                </w:p>
              </w:tc>
              <w:tc>
                <w:tcPr>
                  <w:tcW w:w="625" w:type="pct"/>
                  <w:vAlign w:val="center"/>
                </w:tcPr>
                <w:p w14:paraId="1890E0B8">
                  <w:pPr>
                    <w:pStyle w:val="25"/>
                    <w:snapToGrid/>
                    <w:jc w:val="center"/>
                    <w:rPr>
                      <w:color w:val="auto"/>
                      <w:kern w:val="2"/>
                      <w:sz w:val="21"/>
                      <w:szCs w:val="21"/>
                    </w:rPr>
                  </w:pPr>
                  <w:r>
                    <w:rPr>
                      <w:rFonts w:hint="eastAsia"/>
                      <w:color w:val="auto"/>
                      <w:sz w:val="21"/>
                      <w:szCs w:val="21"/>
                    </w:rPr>
                    <w:t>纬度</w:t>
                  </w:r>
                </w:p>
              </w:tc>
              <w:tc>
                <w:tcPr>
                  <w:tcW w:w="1432" w:type="pct"/>
                  <w:vAlign w:val="center"/>
                </w:tcPr>
                <w:p w14:paraId="0909BC0D">
                  <w:pPr>
                    <w:pStyle w:val="25"/>
                    <w:snapToGrid/>
                    <w:jc w:val="center"/>
                    <w:rPr>
                      <w:color w:val="auto"/>
                      <w:kern w:val="2"/>
                      <w:sz w:val="21"/>
                      <w:szCs w:val="21"/>
                    </w:rPr>
                  </w:pPr>
                  <w:r>
                    <w:rPr>
                      <w:rFonts w:hint="eastAsia" w:ascii="Times New Roman" w:hAnsi="Times New Roman" w:eastAsia="宋体" w:cs="Times New Roman"/>
                      <w:color w:val="auto"/>
                      <w:sz w:val="21"/>
                      <w:szCs w:val="24"/>
                    </w:rPr>
                    <w:t>32.639470734</w:t>
                  </w:r>
                </w:p>
              </w:tc>
            </w:tr>
            <w:tr w14:paraId="08940E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244" w:type="pct"/>
                  <w:vAlign w:val="center"/>
                </w:tcPr>
                <w:p w14:paraId="2B24A18D">
                  <w:pPr>
                    <w:pStyle w:val="25"/>
                    <w:snapToGrid/>
                    <w:jc w:val="center"/>
                    <w:rPr>
                      <w:color w:val="auto"/>
                      <w:kern w:val="2"/>
                      <w:sz w:val="21"/>
                      <w:szCs w:val="21"/>
                    </w:rPr>
                  </w:pPr>
                  <w:r>
                    <w:rPr>
                      <w:rFonts w:hint="eastAsia"/>
                      <w:color w:val="auto"/>
                      <w:sz w:val="21"/>
                      <w:szCs w:val="21"/>
                    </w:rPr>
                    <w:t>主要危险物质及分布</w:t>
                  </w:r>
                </w:p>
              </w:tc>
              <w:tc>
                <w:tcPr>
                  <w:tcW w:w="3755" w:type="pct"/>
                  <w:gridSpan w:val="4"/>
                  <w:vAlign w:val="center"/>
                </w:tcPr>
                <w:p w14:paraId="37566601">
                  <w:pPr>
                    <w:pStyle w:val="25"/>
                    <w:snapToGrid/>
                    <w:jc w:val="center"/>
                    <w:rPr>
                      <w:rFonts w:hint="default" w:eastAsia="宋体"/>
                      <w:color w:val="auto"/>
                      <w:kern w:val="2"/>
                      <w:sz w:val="21"/>
                      <w:szCs w:val="21"/>
                      <w:lang w:val="en-US" w:eastAsia="zh-CN"/>
                    </w:rPr>
                  </w:pPr>
                  <w:r>
                    <w:rPr>
                      <w:rFonts w:hint="eastAsia"/>
                      <w:color w:val="auto"/>
                      <w:sz w:val="21"/>
                      <w:szCs w:val="21"/>
                      <w:lang w:val="en-US" w:eastAsia="zh-CN"/>
                    </w:rPr>
                    <w:t>废机油暂存于</w:t>
                  </w:r>
                  <w:r>
                    <w:rPr>
                      <w:rFonts w:hint="eastAsia"/>
                      <w:color w:val="auto"/>
                      <w:sz w:val="21"/>
                      <w:szCs w:val="21"/>
                    </w:rPr>
                    <w:t>危废库</w:t>
                  </w:r>
                </w:p>
              </w:tc>
            </w:tr>
            <w:tr w14:paraId="1698DC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4" w:type="pct"/>
                  <w:vAlign w:val="center"/>
                </w:tcPr>
                <w:p w14:paraId="3302F1CA">
                  <w:pPr>
                    <w:pStyle w:val="25"/>
                    <w:snapToGrid/>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环境影响途经及危害后果（大气、地表水、地下水等）</w:t>
                  </w:r>
                </w:p>
              </w:tc>
              <w:tc>
                <w:tcPr>
                  <w:tcW w:w="3755" w:type="pct"/>
                  <w:gridSpan w:val="4"/>
                  <w:vAlign w:val="center"/>
                </w:tcPr>
                <w:p w14:paraId="777676EC">
                  <w:pPr>
                    <w:pStyle w:val="57"/>
                    <w:autoSpaceDE/>
                    <w:autoSpaceDN/>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地表水、地下水及土壤：废机油在转运过程中发生泄漏，对土地表水、土壤、地下水环境产生不利影响</w:t>
                  </w:r>
                </w:p>
                <w:p w14:paraId="5F9BCEBD">
                  <w:pPr>
                    <w:pStyle w:val="59"/>
                    <w:adjustRightInd w:val="0"/>
                    <w:snapToGrid w:val="0"/>
                    <w:spacing w:before="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大气：废气非正常排放，影响区域大气环境</w:t>
                  </w:r>
                </w:p>
              </w:tc>
            </w:tr>
            <w:tr w14:paraId="73C403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44" w:type="pct"/>
                  <w:vAlign w:val="center"/>
                </w:tcPr>
                <w:p w14:paraId="01532C41">
                  <w:pPr>
                    <w:pStyle w:val="25"/>
                    <w:snapToGrid/>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风险防范措施要求</w:t>
                  </w:r>
                </w:p>
              </w:tc>
              <w:tc>
                <w:tcPr>
                  <w:tcW w:w="3755" w:type="pct"/>
                  <w:gridSpan w:val="4"/>
                  <w:vAlign w:val="center"/>
                </w:tcPr>
                <w:p w14:paraId="39A7C1D6">
                  <w:pPr>
                    <w:pStyle w:val="57"/>
                    <w:autoSpaceDE/>
                    <w:autoSpaceDN/>
                    <w:spacing w:line="240" w:lineRule="auto"/>
                    <w:jc w:val="center"/>
                    <w:rPr>
                      <w:rFonts w:hint="default" w:ascii="Times New Roman" w:hAnsi="Times New Roman" w:cs="Times New Roman"/>
                      <w:bCs/>
                      <w:color w:val="auto"/>
                      <w:sz w:val="21"/>
                      <w:szCs w:val="21"/>
                    </w:rPr>
                  </w:pPr>
                  <w:r>
                    <w:rPr>
                      <w:rFonts w:hint="default" w:ascii="Times New Roman" w:hAnsi="Times New Roman" w:eastAsia="宋体" w:cs="Times New Roman"/>
                      <w:b w:val="0"/>
                      <w:bCs w:val="0"/>
                      <w:color w:val="auto"/>
                      <w:sz w:val="21"/>
                      <w:szCs w:val="21"/>
                    </w:rPr>
                    <w:t>危废库做好防渗措施，生产装置在设计和生产中执行严格的设计规范和生产管理制度</w:t>
                  </w:r>
                </w:p>
              </w:tc>
            </w:tr>
          </w:tbl>
          <w:p w14:paraId="3BC3290B">
            <w:pPr>
              <w:pStyle w:val="4"/>
              <w:adjustRightInd w:val="0"/>
              <w:snapToGrid w:val="0"/>
              <w:spacing w:line="360" w:lineRule="auto"/>
              <w:ind w:firstLine="482"/>
              <w:rPr>
                <w:rFonts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eastAsia="宋体" w:cs="Times New Roman"/>
                <w:b/>
                <w:color w:val="000000" w:themeColor="text1"/>
                <w:sz w:val="24"/>
                <w:szCs w:val="32"/>
                <w:lang w:val="en-US" w:eastAsia="zh-CN"/>
                <w14:textFill>
                  <w14:solidFill>
                    <w14:schemeClr w14:val="tx1"/>
                  </w14:solidFill>
                </w14:textFill>
              </w:rPr>
              <w:t>九、</w:t>
            </w:r>
            <w:r>
              <w:rPr>
                <w:rFonts w:hint="eastAsia" w:ascii="Times New Roman" w:hAnsi="Times New Roman" w:eastAsia="宋体" w:cs="Times New Roman"/>
                <w:b/>
                <w:color w:val="000000" w:themeColor="text1"/>
                <w:sz w:val="24"/>
                <w:szCs w:val="32"/>
                <w14:textFill>
                  <w14:solidFill>
                    <w14:schemeClr w14:val="tx1"/>
                  </w14:solidFill>
                </w14:textFill>
              </w:rPr>
              <w:t>环保投资</w:t>
            </w:r>
          </w:p>
          <w:p w14:paraId="1C54B842">
            <w:pPr>
              <w:pStyle w:val="4"/>
              <w:adjustRightInd w:val="0"/>
              <w:snapToGrid w:val="0"/>
              <w:spacing w:line="360" w:lineRule="auto"/>
              <w:ind w:firstLine="480"/>
              <w:rPr>
                <w:rFonts w:ascii="Times New Roman" w:hAnsi="Times New Roman" w:eastAsia="宋体" w:cs="Times New Roman"/>
                <w:bCs/>
                <w:color w:val="000000" w:themeColor="text1"/>
                <w:sz w:val="24"/>
                <w:szCs w:val="32"/>
                <w14:textFill>
                  <w14:solidFill>
                    <w14:schemeClr w14:val="tx1"/>
                  </w14:solidFill>
                </w14:textFill>
              </w:rPr>
            </w:pPr>
            <w:r>
              <w:rPr>
                <w:rFonts w:hint="eastAsia" w:ascii="Times New Roman" w:hAnsi="Times New Roman" w:eastAsia="宋体" w:cs="Times New Roman"/>
                <w:bCs/>
                <w:color w:val="000000" w:themeColor="text1"/>
                <w:sz w:val="24"/>
                <w:szCs w:val="32"/>
                <w14:textFill>
                  <w14:solidFill>
                    <w14:schemeClr w14:val="tx1"/>
                  </w14:solidFill>
                </w14:textFill>
              </w:rPr>
              <w:t>本项目总投资</w:t>
            </w:r>
            <w:r>
              <w:rPr>
                <w:rFonts w:hint="eastAsia" w:ascii="Times New Roman" w:hAnsi="Times New Roman" w:eastAsia="宋体" w:cs="Times New Roman"/>
                <w:bCs/>
                <w:color w:val="000000" w:themeColor="text1"/>
                <w:sz w:val="24"/>
                <w:szCs w:val="32"/>
                <w:lang w:val="en-US" w:eastAsia="zh-CN"/>
                <w14:textFill>
                  <w14:solidFill>
                    <w14:schemeClr w14:val="tx1"/>
                  </w14:solidFill>
                </w14:textFill>
              </w:rPr>
              <w:t>10000</w:t>
            </w:r>
            <w:r>
              <w:rPr>
                <w:rFonts w:hint="eastAsia" w:ascii="Times New Roman" w:hAnsi="Times New Roman" w:eastAsia="宋体" w:cs="Times New Roman"/>
                <w:bCs/>
                <w:color w:val="000000" w:themeColor="text1"/>
                <w:sz w:val="24"/>
                <w:szCs w:val="32"/>
                <w14:textFill>
                  <w14:solidFill>
                    <w14:schemeClr w14:val="tx1"/>
                  </w14:solidFill>
                </w14:textFill>
              </w:rPr>
              <w:t>万元，其中环保投资6</w:t>
            </w:r>
            <w:r>
              <w:rPr>
                <w:rFonts w:hint="eastAsia" w:ascii="Times New Roman" w:hAnsi="Times New Roman" w:eastAsia="宋体" w:cs="Times New Roman"/>
                <w:bCs/>
                <w:color w:val="000000" w:themeColor="text1"/>
                <w:sz w:val="24"/>
                <w:szCs w:val="32"/>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32"/>
                <w14:textFill>
                  <w14:solidFill>
                    <w14:schemeClr w14:val="tx1"/>
                  </w14:solidFill>
                </w14:textFill>
              </w:rPr>
              <w:t>万元，占总投资的</w:t>
            </w:r>
            <w:r>
              <w:rPr>
                <w:rFonts w:hint="eastAsia" w:ascii="Times New Roman" w:hAnsi="Times New Roman" w:eastAsia="宋体" w:cs="Times New Roman"/>
                <w:bCs/>
                <w:color w:val="000000" w:themeColor="text1"/>
                <w:sz w:val="24"/>
                <w:szCs w:val="32"/>
                <w:lang w:val="en-US" w:eastAsia="zh-CN"/>
                <w14:textFill>
                  <w14:solidFill>
                    <w14:schemeClr w14:val="tx1"/>
                  </w14:solidFill>
                </w14:textFill>
              </w:rPr>
              <w:t>0.62</w:t>
            </w:r>
            <w:r>
              <w:rPr>
                <w:rFonts w:hint="eastAsia" w:ascii="Times New Roman" w:hAnsi="Times New Roman" w:eastAsia="宋体" w:cs="Times New Roman"/>
                <w:bCs/>
                <w:color w:val="000000" w:themeColor="text1"/>
                <w:sz w:val="24"/>
                <w:szCs w:val="32"/>
                <w14:textFill>
                  <w14:solidFill>
                    <w14:schemeClr w14:val="tx1"/>
                  </w14:solidFill>
                </w14:textFill>
              </w:rPr>
              <w:t>%。</w:t>
            </w:r>
          </w:p>
          <w:p w14:paraId="17AC3E94">
            <w:pPr>
              <w:jc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表</w:t>
            </w:r>
            <w:r>
              <w:rPr>
                <w:rFonts w:hint="eastAsia" w:ascii="Times New Roman" w:hAnsi="Times New Roman" w:eastAsia="宋体" w:cs="Times New Roman"/>
                <w:b/>
                <w:bCs/>
                <w:color w:val="000000" w:themeColor="text1"/>
                <w:sz w:val="24"/>
                <w:szCs w:val="24"/>
                <w14:textFill>
                  <w14:solidFill>
                    <w14:schemeClr w14:val="tx1"/>
                  </w14:solidFill>
                </w14:textFill>
              </w:rPr>
              <w:t>4-21</w:t>
            </w:r>
            <w:r>
              <w:rPr>
                <w:rFonts w:ascii="Times New Roman" w:hAnsi="Times New Roman" w:eastAsia="宋体" w:cs="Times New Roman"/>
                <w:b/>
                <w:bCs/>
                <w:color w:val="000000" w:themeColor="text1"/>
                <w:sz w:val="24"/>
                <w:szCs w:val="24"/>
                <w14:textFill>
                  <w14:solidFill>
                    <w14:schemeClr w14:val="tx1"/>
                  </w14:solidFill>
                </w14:textFill>
              </w:rPr>
              <w:t xml:space="preserve"> 拟建工程环保投资估算表（万元）</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122"/>
              <w:gridCol w:w="5750"/>
              <w:gridCol w:w="794"/>
            </w:tblGrid>
            <w:tr w14:paraId="12B08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Align w:val="center"/>
                </w:tcPr>
                <w:p w14:paraId="45E96D63">
                  <w:pPr>
                    <w:adjustRightInd w:val="0"/>
                    <w:snapToGrid w:val="0"/>
                    <w:spacing w:before="60" w:after="6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664" w:type="pct"/>
                  <w:vAlign w:val="center"/>
                </w:tcPr>
                <w:p w14:paraId="27163C98">
                  <w:pPr>
                    <w:adjustRightInd w:val="0"/>
                    <w:snapToGrid w:val="0"/>
                    <w:spacing w:before="60" w:after="6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污染类型</w:t>
                  </w:r>
                </w:p>
              </w:tc>
              <w:tc>
                <w:tcPr>
                  <w:tcW w:w="3404" w:type="pct"/>
                  <w:vAlign w:val="center"/>
                </w:tcPr>
                <w:p w14:paraId="1B1F4D97">
                  <w:pPr>
                    <w:adjustRightInd w:val="0"/>
                    <w:snapToGrid w:val="0"/>
                    <w:spacing w:before="60" w:after="6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污染防治措施</w:t>
                  </w:r>
                </w:p>
              </w:tc>
              <w:tc>
                <w:tcPr>
                  <w:tcW w:w="470" w:type="pct"/>
                  <w:vAlign w:val="center"/>
                </w:tcPr>
                <w:p w14:paraId="1AF06071">
                  <w:pPr>
                    <w:adjustRightInd w:val="0"/>
                    <w:snapToGrid w:val="0"/>
                    <w:spacing w:before="60" w:after="6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金额</w:t>
                  </w:r>
                </w:p>
              </w:tc>
            </w:tr>
            <w:tr w14:paraId="0EF40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restart"/>
                  <w:vAlign w:val="center"/>
                </w:tcPr>
                <w:p w14:paraId="19277FBC">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664" w:type="pct"/>
                  <w:vMerge w:val="restart"/>
                  <w:vAlign w:val="center"/>
                </w:tcPr>
                <w:p w14:paraId="1B5C09F8">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废水</w:t>
                  </w:r>
                </w:p>
              </w:tc>
              <w:tc>
                <w:tcPr>
                  <w:tcW w:w="3404" w:type="pct"/>
                  <w:vAlign w:val="center"/>
                </w:tcPr>
                <w:p w14:paraId="34F72B30">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厂内实施</w:t>
                  </w:r>
                  <w:r>
                    <w:rPr>
                      <w:rFonts w:hint="eastAsia" w:ascii="宋体" w:hAnsi="宋体" w:eastAsia="宋体" w:cs="宋体"/>
                      <w:color w:val="000000" w:themeColor="text1"/>
                      <w:szCs w:val="21"/>
                      <w14:textFill>
                        <w14:solidFill>
                          <w14:schemeClr w14:val="tx1"/>
                        </w14:solidFill>
                      </w14:textFill>
                    </w:rPr>
                    <w:t>“清污分流、雨污分流”</w:t>
                  </w:r>
                  <w:r>
                    <w:rPr>
                      <w:rFonts w:ascii="Times New Roman" w:hAnsi="Times New Roman" w:eastAsia="宋体" w:cs="Times New Roman"/>
                      <w:color w:val="000000" w:themeColor="text1"/>
                      <w:szCs w:val="21"/>
                      <w14:textFill>
                        <w14:solidFill>
                          <w14:schemeClr w14:val="tx1"/>
                        </w14:solidFill>
                      </w14:textFill>
                    </w:rPr>
                    <w:t>排水体制</w:t>
                  </w:r>
                </w:p>
              </w:tc>
              <w:tc>
                <w:tcPr>
                  <w:tcW w:w="470" w:type="pct"/>
                  <w:vMerge w:val="restart"/>
                  <w:vAlign w:val="center"/>
                </w:tcPr>
                <w:p w14:paraId="09409DD8">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15</w:t>
                  </w:r>
                </w:p>
              </w:tc>
            </w:tr>
            <w:tr w14:paraId="58EBB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continue"/>
                  <w:vAlign w:val="center"/>
                </w:tcPr>
                <w:p w14:paraId="43A0FFC5">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c>
                <w:tcPr>
                  <w:tcW w:w="664" w:type="pct"/>
                  <w:vMerge w:val="continue"/>
                  <w:vAlign w:val="center"/>
                </w:tcPr>
                <w:p w14:paraId="12810555">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c>
                <w:tcPr>
                  <w:tcW w:w="3404" w:type="pct"/>
                  <w:vAlign w:val="center"/>
                </w:tcPr>
                <w:p w14:paraId="7AB63C68">
                  <w:pPr>
                    <w:adjustRightInd w:val="0"/>
                    <w:snapToGrid w:val="0"/>
                    <w:spacing w:before="60" w:after="6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建设一座</w:t>
                  </w:r>
                  <w:r>
                    <w:rPr>
                      <w:rFonts w:hint="eastAsia" w:ascii="Times New Roman" w:hAnsi="Times New Roman" w:eastAsia="宋体" w:cs="Times New Roman"/>
                      <w:color w:val="000000" w:themeColor="text1"/>
                      <w:szCs w:val="21"/>
                      <w:lang w:val="en-US" w:eastAsia="zh-CN"/>
                      <w14:textFill>
                        <w14:solidFill>
                          <w14:schemeClr w14:val="tx1"/>
                        </w14:solidFill>
                      </w14:textFill>
                    </w:rPr>
                    <w:t>10</w:t>
                  </w:r>
                  <w:r>
                    <w:rPr>
                      <w:rFonts w:hint="eastAsia"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沉淀池</w:t>
                  </w:r>
                </w:p>
              </w:tc>
              <w:tc>
                <w:tcPr>
                  <w:tcW w:w="470" w:type="pct"/>
                  <w:vMerge w:val="continue"/>
                  <w:vAlign w:val="center"/>
                </w:tcPr>
                <w:p w14:paraId="3C385A44">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r>
            <w:tr w14:paraId="0F840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restart"/>
                  <w:vAlign w:val="center"/>
                </w:tcPr>
                <w:p w14:paraId="671FECFE">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664" w:type="pct"/>
                  <w:vMerge w:val="restart"/>
                  <w:vAlign w:val="center"/>
                </w:tcPr>
                <w:p w14:paraId="4ED3C0A3">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w:t>
                  </w:r>
                </w:p>
              </w:tc>
              <w:tc>
                <w:tcPr>
                  <w:tcW w:w="3404" w:type="pct"/>
                  <w:vAlign w:val="center"/>
                </w:tcPr>
                <w:p w14:paraId="2C920A6D">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w:t>
                  </w:r>
                  <w:r>
                    <w:rPr>
                      <w:rFonts w:ascii="Times New Roman" w:hAnsi="Times New Roman" w:eastAsia="宋体" w:cs="Times New Roman"/>
                      <w:color w:val="000000" w:themeColor="text1"/>
                      <w:szCs w:val="21"/>
                      <w14:textFill>
                        <w14:solidFill>
                          <w14:schemeClr w14:val="tx1"/>
                        </w14:solidFill>
                      </w14:textFill>
                    </w:rPr>
                    <w:t>配料</w:t>
                  </w:r>
                  <w:r>
                    <w:rPr>
                      <w:rFonts w:hint="eastAsia" w:ascii="Times New Roman" w:hAnsi="Times New Roman" w:eastAsia="宋体" w:cs="Times New Roman"/>
                      <w:color w:val="000000" w:themeColor="text1"/>
                      <w:szCs w:val="21"/>
                      <w:lang w:val="en-US" w:eastAsia="zh-CN"/>
                      <w14:textFill>
                        <w14:solidFill>
                          <w14:schemeClr w14:val="tx1"/>
                        </w14:solidFill>
                      </w14:textFill>
                    </w:rPr>
                    <w:t>废气经集气罩收集</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搅拌</w:t>
                  </w:r>
                  <w:r>
                    <w:rPr>
                      <w:rFonts w:hint="eastAsia" w:ascii="Times New Roman" w:hAnsi="Times New Roman" w:eastAsia="宋体" w:cs="Times New Roman"/>
                      <w:color w:val="000000" w:themeColor="text1"/>
                      <w:szCs w:val="21"/>
                      <w:lang w:val="en-US" w:eastAsia="zh-CN"/>
                      <w14:textFill>
                        <w14:solidFill>
                          <w14:schemeClr w14:val="tx1"/>
                        </w14:solidFill>
                      </w14:textFill>
                    </w:rPr>
                    <w:t>废气</w:t>
                  </w:r>
                  <w:r>
                    <w:rPr>
                      <w:rFonts w:ascii="Times New Roman" w:hAnsi="Times New Roman" w:eastAsia="宋体" w:cs="Times New Roman"/>
                      <w:color w:val="000000" w:themeColor="text1"/>
                      <w:szCs w:val="21"/>
                      <w14:textFill>
                        <w14:solidFill>
                          <w14:schemeClr w14:val="tx1"/>
                        </w14:solidFill>
                      </w14:textFill>
                    </w:rPr>
                    <w:t>经密闭</w:t>
                  </w:r>
                  <w:r>
                    <w:rPr>
                      <w:rFonts w:hint="eastAsia" w:cs="Times New Roman"/>
                      <w:color w:val="000000" w:themeColor="text1"/>
                      <w:szCs w:val="21"/>
                      <w:lang w:eastAsia="zh-CN"/>
                      <w14:textFill>
                        <w14:solidFill>
                          <w14:schemeClr w14:val="tx1"/>
                        </w14:solidFill>
                      </w14:textFill>
                    </w:rPr>
                    <w:t>密闭收集</w:t>
                  </w:r>
                  <w:r>
                    <w:rPr>
                      <w:rFonts w:ascii="Times New Roman" w:hAnsi="Times New Roman" w:eastAsia="宋体" w:cs="Times New Roman"/>
                      <w:color w:val="000000" w:themeColor="text1"/>
                      <w:szCs w:val="21"/>
                      <w14:textFill>
                        <w14:solidFill>
                          <w14:schemeClr w14:val="tx1"/>
                        </w14:solidFill>
                      </w14:textFill>
                    </w:rPr>
                    <w:t>，收集后的粉尘过经脉冲</w:t>
                  </w:r>
                  <w:r>
                    <w:rPr>
                      <w:rFonts w:hint="eastAsia" w:ascii="Times New Roman" w:hAnsi="Times New Roman" w:eastAsia="宋体" w:cs="Times New Roman"/>
                      <w:color w:val="000000" w:themeColor="text1"/>
                      <w:szCs w:val="21"/>
                      <w14:textFill>
                        <w14:solidFill>
                          <w14:schemeClr w14:val="tx1"/>
                        </w14:solidFill>
                      </w14:textFill>
                    </w:rPr>
                    <w:t>袋式</w:t>
                  </w:r>
                  <w:r>
                    <w:rPr>
                      <w:rFonts w:ascii="Times New Roman" w:hAnsi="Times New Roman" w:eastAsia="宋体" w:cs="Times New Roman"/>
                      <w:color w:val="000000" w:themeColor="text1"/>
                      <w:szCs w:val="21"/>
                      <w14:textFill>
                        <w14:solidFill>
                          <w14:schemeClr w14:val="tx1"/>
                        </w14:solidFill>
                      </w14:textFill>
                    </w:rPr>
                    <w:t>除尘器处理后通过</w:t>
                  </w: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5m 高的排气筒DA00</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排放</w:t>
                  </w:r>
                </w:p>
              </w:tc>
              <w:tc>
                <w:tcPr>
                  <w:tcW w:w="470" w:type="pct"/>
                  <w:vMerge w:val="restart"/>
                  <w:vAlign w:val="center"/>
                </w:tcPr>
                <w:p w14:paraId="79A6CFEF">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35</w:t>
                  </w:r>
                </w:p>
              </w:tc>
            </w:tr>
            <w:tr w14:paraId="161B2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Merge w:val="continue"/>
                  <w:vAlign w:val="center"/>
                </w:tcPr>
                <w:p w14:paraId="577E6826">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c>
                <w:tcPr>
                  <w:tcW w:w="664" w:type="pct"/>
                  <w:vMerge w:val="continue"/>
                  <w:vAlign w:val="center"/>
                </w:tcPr>
                <w:p w14:paraId="276E4E7A">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c>
                <w:tcPr>
                  <w:tcW w:w="3404" w:type="pct"/>
                  <w:vAlign w:val="center"/>
                </w:tcPr>
                <w:p w14:paraId="4DC55B89">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生产线新建喷淋除尘系统</w:t>
                  </w:r>
                </w:p>
              </w:tc>
              <w:tc>
                <w:tcPr>
                  <w:tcW w:w="470" w:type="pct"/>
                  <w:vMerge w:val="continue"/>
                  <w:vAlign w:val="center"/>
                </w:tcPr>
                <w:p w14:paraId="27557FF8">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p>
              </w:tc>
            </w:tr>
            <w:tr w14:paraId="4F53A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Align w:val="center"/>
                </w:tcPr>
                <w:p w14:paraId="2AD3EEF2">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664" w:type="pct"/>
                  <w:vAlign w:val="center"/>
                </w:tcPr>
                <w:p w14:paraId="1F828837">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固废</w:t>
                  </w:r>
                </w:p>
              </w:tc>
              <w:tc>
                <w:tcPr>
                  <w:tcW w:w="3404" w:type="pct"/>
                  <w:vAlign w:val="center"/>
                </w:tcPr>
                <w:p w14:paraId="6DB078B3">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新建</w:t>
                  </w:r>
                  <w:r>
                    <w:rPr>
                      <w:rFonts w:hint="eastAsia" w:ascii="Times New Roman" w:hAnsi="Times New Roman" w:eastAsia="宋体" w:cs="Times New Roman"/>
                      <w:color w:val="000000" w:themeColor="text1"/>
                      <w:szCs w:val="21"/>
                      <w14:textFill>
                        <w14:solidFill>
                          <w14:schemeClr w14:val="tx1"/>
                        </w14:solidFill>
                      </w14:textFill>
                    </w:rPr>
                    <w:t>一般固废库以及危废库</w:t>
                  </w:r>
                </w:p>
              </w:tc>
              <w:tc>
                <w:tcPr>
                  <w:tcW w:w="470" w:type="pct"/>
                  <w:vAlign w:val="center"/>
                </w:tcPr>
                <w:p w14:paraId="26135940">
                  <w:pPr>
                    <w:adjustRightInd w:val="0"/>
                    <w:snapToGrid w:val="0"/>
                    <w:spacing w:before="60" w:after="6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r>
            <w:tr w14:paraId="49718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Align w:val="center"/>
                </w:tcPr>
                <w:p w14:paraId="5742E74F">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p>
              </w:tc>
              <w:tc>
                <w:tcPr>
                  <w:tcW w:w="664" w:type="pct"/>
                  <w:vAlign w:val="center"/>
                </w:tcPr>
                <w:p w14:paraId="3CB0A4FB">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w:t>
                  </w:r>
                </w:p>
              </w:tc>
              <w:tc>
                <w:tcPr>
                  <w:tcW w:w="3404" w:type="pct"/>
                  <w:vAlign w:val="center"/>
                </w:tcPr>
                <w:p w14:paraId="5FB5FE82">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厂房隔声、设备减振、消声等措施</w:t>
                  </w:r>
                </w:p>
              </w:tc>
              <w:tc>
                <w:tcPr>
                  <w:tcW w:w="470" w:type="pct"/>
                  <w:vAlign w:val="center"/>
                </w:tcPr>
                <w:p w14:paraId="63F1AC72">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r>
            <w:tr w14:paraId="630C2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Align w:val="center"/>
                </w:tcPr>
                <w:p w14:paraId="2481D0DB">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c>
                <w:tcPr>
                  <w:tcW w:w="664" w:type="pct"/>
                  <w:vAlign w:val="center"/>
                </w:tcPr>
                <w:p w14:paraId="233639FA">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w:t>
                  </w:r>
                  <w:r>
                    <w:rPr>
                      <w:rFonts w:hint="eastAsia" w:ascii="Times New Roman" w:hAnsi="Times New Roman" w:eastAsia="宋体" w:cs="Times New Roman"/>
                      <w:color w:val="000000" w:themeColor="text1"/>
                      <w:szCs w:val="21"/>
                      <w14:textFill>
                        <w14:solidFill>
                          <w14:schemeClr w14:val="tx1"/>
                        </w14:solidFill>
                      </w14:textFill>
                    </w:rPr>
                    <w:t>及</w:t>
                  </w:r>
                  <w:r>
                    <w:rPr>
                      <w:rFonts w:ascii="Times New Roman" w:hAnsi="Times New Roman" w:eastAsia="宋体" w:cs="Times New Roman"/>
                      <w:color w:val="000000" w:themeColor="text1"/>
                      <w:szCs w:val="21"/>
                      <w14:textFill>
                        <w14:solidFill>
                          <w14:schemeClr w14:val="tx1"/>
                        </w14:solidFill>
                      </w14:textFill>
                    </w:rPr>
                    <w:t>地下水</w:t>
                  </w:r>
                </w:p>
              </w:tc>
              <w:tc>
                <w:tcPr>
                  <w:tcW w:w="3404" w:type="pct"/>
                  <w:vAlign w:val="center"/>
                </w:tcPr>
                <w:p w14:paraId="725AEC2E">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依托现有防渗措施</w:t>
                  </w:r>
                </w:p>
              </w:tc>
              <w:tc>
                <w:tcPr>
                  <w:tcW w:w="470" w:type="pct"/>
                  <w:vAlign w:val="center"/>
                </w:tcPr>
                <w:p w14:paraId="2523A20A">
                  <w:pPr>
                    <w:adjustRightInd w:val="0"/>
                    <w:snapToGrid w:val="0"/>
                    <w:spacing w:before="60" w:after="6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r>
            <w:tr w14:paraId="7B483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2" w:type="pct"/>
                  <w:vAlign w:val="center"/>
                </w:tcPr>
                <w:p w14:paraId="02047AA7">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664" w:type="pct"/>
                  <w:vAlign w:val="center"/>
                </w:tcPr>
                <w:p w14:paraId="00E20DB9">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环境风险</w:t>
                  </w:r>
                </w:p>
              </w:tc>
              <w:tc>
                <w:tcPr>
                  <w:tcW w:w="3404" w:type="pct"/>
                  <w:vAlign w:val="center"/>
                </w:tcPr>
                <w:p w14:paraId="7B351665">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编制</w:t>
                  </w:r>
                  <w:r>
                    <w:rPr>
                      <w:rFonts w:hint="eastAsia" w:ascii="Times New Roman" w:hAnsi="Times New Roman" w:eastAsia="宋体" w:cs="Times New Roman"/>
                      <w:color w:val="000000" w:themeColor="text1"/>
                      <w:szCs w:val="21"/>
                      <w14:textFill>
                        <w14:solidFill>
                          <w14:schemeClr w14:val="tx1"/>
                        </w14:solidFill>
                      </w14:textFill>
                    </w:rPr>
                    <w:t>突发</w:t>
                  </w:r>
                  <w:r>
                    <w:rPr>
                      <w:rFonts w:ascii="Times New Roman" w:hAnsi="Times New Roman" w:eastAsia="宋体" w:cs="Times New Roman"/>
                      <w:color w:val="000000" w:themeColor="text1"/>
                      <w:szCs w:val="21"/>
                      <w14:textFill>
                        <w14:solidFill>
                          <w14:schemeClr w14:val="tx1"/>
                        </w14:solidFill>
                      </w14:textFill>
                    </w:rPr>
                    <w:t>环境</w:t>
                  </w:r>
                  <w:r>
                    <w:rPr>
                      <w:rFonts w:hint="eastAsia" w:ascii="Times New Roman" w:hAnsi="Times New Roman" w:eastAsia="宋体" w:cs="Times New Roman"/>
                      <w:color w:val="000000" w:themeColor="text1"/>
                      <w:szCs w:val="21"/>
                      <w14:textFill>
                        <w14:solidFill>
                          <w14:schemeClr w14:val="tx1"/>
                        </w14:solidFill>
                      </w14:textFill>
                    </w:rPr>
                    <w:t>事件</w:t>
                  </w:r>
                  <w:r>
                    <w:rPr>
                      <w:rFonts w:ascii="Times New Roman" w:hAnsi="Times New Roman" w:eastAsia="宋体" w:cs="Times New Roman"/>
                      <w:color w:val="000000" w:themeColor="text1"/>
                      <w:szCs w:val="21"/>
                      <w14:textFill>
                        <w14:solidFill>
                          <w14:schemeClr w14:val="tx1"/>
                        </w14:solidFill>
                      </w14:textFill>
                    </w:rPr>
                    <w:t>应急预案</w:t>
                  </w:r>
                </w:p>
              </w:tc>
              <w:tc>
                <w:tcPr>
                  <w:tcW w:w="470" w:type="pct"/>
                  <w:vAlign w:val="center"/>
                </w:tcPr>
                <w:p w14:paraId="3EA92DA0">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r>
            <w:tr w14:paraId="1673A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0" w:type="pct"/>
                  <w:gridSpan w:val="3"/>
                  <w:vAlign w:val="center"/>
                </w:tcPr>
                <w:p w14:paraId="63B3A9A6">
                  <w:pPr>
                    <w:adjustRightInd w:val="0"/>
                    <w:snapToGrid w:val="0"/>
                    <w:spacing w:before="60" w:after="6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合计</w:t>
                  </w:r>
                </w:p>
              </w:tc>
              <w:tc>
                <w:tcPr>
                  <w:tcW w:w="470" w:type="pct"/>
                  <w:vAlign w:val="center"/>
                </w:tcPr>
                <w:p w14:paraId="7E802E0D">
                  <w:pPr>
                    <w:adjustRightInd w:val="0"/>
                    <w:snapToGrid w:val="0"/>
                    <w:spacing w:before="60" w:after="6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r>
          </w:tbl>
          <w:p w14:paraId="41D4F5F3">
            <w:pPr>
              <w:spacing w:line="360" w:lineRule="auto"/>
              <w:ind w:firstLine="482" w:firstLineChars="200"/>
              <w:jc w:val="left"/>
              <w:rPr>
                <w:b/>
                <w:snapToGrid w:val="0"/>
                <w:color w:val="auto"/>
                <w:kern w:val="0"/>
                <w:sz w:val="24"/>
              </w:rPr>
            </w:pPr>
            <w:r>
              <w:rPr>
                <w:rFonts w:hint="eastAsia"/>
                <w:b/>
                <w:snapToGrid w:val="0"/>
                <w:color w:val="auto"/>
                <w:kern w:val="0"/>
                <w:sz w:val="24"/>
                <w:lang w:val="en-US" w:eastAsia="zh-CN"/>
              </w:rPr>
              <w:t>十</w:t>
            </w:r>
            <w:r>
              <w:rPr>
                <w:rFonts w:hint="eastAsia"/>
                <w:b/>
                <w:snapToGrid w:val="0"/>
                <w:color w:val="auto"/>
                <w:kern w:val="0"/>
                <w:sz w:val="24"/>
              </w:rPr>
              <w:t>、</w:t>
            </w:r>
            <w:r>
              <w:rPr>
                <w:rFonts w:hint="eastAsia" w:hAnsi="宋体"/>
                <w:b/>
                <w:snapToGrid w:val="0"/>
                <w:color w:val="auto"/>
                <w:kern w:val="0"/>
                <w:sz w:val="24"/>
              </w:rPr>
              <w:t>环境</w:t>
            </w:r>
            <w:r>
              <w:rPr>
                <w:rFonts w:hAnsi="宋体"/>
                <w:b/>
                <w:snapToGrid w:val="0"/>
                <w:color w:val="auto"/>
                <w:kern w:val="0"/>
                <w:sz w:val="24"/>
              </w:rPr>
              <w:t>管理</w:t>
            </w:r>
          </w:p>
          <w:p w14:paraId="21EC3BD4">
            <w:pPr>
              <w:spacing w:line="360" w:lineRule="auto"/>
              <w:ind w:firstLine="480" w:firstLineChars="200"/>
              <w:rPr>
                <w:color w:val="auto"/>
                <w:sz w:val="24"/>
              </w:rPr>
            </w:pPr>
            <w:r>
              <w:rPr>
                <w:color w:val="auto"/>
                <w:sz w:val="24"/>
              </w:rPr>
              <w:t>1</w:t>
            </w:r>
            <w:r>
              <w:rPr>
                <w:rFonts w:hint="eastAsia"/>
                <w:color w:val="auto"/>
                <w:sz w:val="24"/>
              </w:rPr>
              <w:t>、环境管理的目的和意义</w:t>
            </w:r>
          </w:p>
          <w:p w14:paraId="7EBFF19A">
            <w:pPr>
              <w:spacing w:line="360" w:lineRule="auto"/>
              <w:ind w:firstLine="480" w:firstLineChars="200"/>
              <w:rPr>
                <w:color w:val="auto"/>
                <w:sz w:val="24"/>
              </w:rPr>
            </w:pPr>
            <w:r>
              <w:rPr>
                <w:rFonts w:hint="eastAsia"/>
                <w:color w:val="auto"/>
                <w:sz w:val="24"/>
              </w:rPr>
              <w:t>实践证明，要解决或减轻工业生产造成的环境问题，首先要强化环境管理。由于企业产品的产出与污染物的排放是同一生产过程的两个方面，因此，建立健全的、行之有效环境保护管理体系，是生产管理的重要内容。其目的在于发展生产，同时控制污染物排放，保护环境质量，对所排放的污染物实行严格的总量控制，实现清洁、文明生产。</w:t>
            </w:r>
          </w:p>
          <w:p w14:paraId="24A4ACFD">
            <w:pPr>
              <w:spacing w:line="360" w:lineRule="auto"/>
              <w:ind w:firstLine="480" w:firstLineChars="200"/>
              <w:rPr>
                <w:color w:val="auto"/>
                <w:sz w:val="24"/>
              </w:rPr>
            </w:pPr>
            <w:r>
              <w:rPr>
                <w:color w:val="auto"/>
                <w:sz w:val="24"/>
              </w:rPr>
              <w:t>2</w:t>
            </w:r>
            <w:r>
              <w:rPr>
                <w:rFonts w:hint="eastAsia"/>
                <w:color w:val="auto"/>
                <w:sz w:val="24"/>
              </w:rPr>
              <w:t>、环境管理体系</w:t>
            </w:r>
          </w:p>
          <w:p w14:paraId="5C8D2C1E">
            <w:pPr>
              <w:spacing w:line="360" w:lineRule="auto"/>
              <w:ind w:firstLine="360" w:firstLineChars="150"/>
              <w:rPr>
                <w:color w:val="auto"/>
                <w:sz w:val="24"/>
              </w:rPr>
            </w:pPr>
            <w:r>
              <w:rPr>
                <w:rFonts w:hint="eastAsia"/>
                <w:color w:val="auto"/>
                <w:sz w:val="24"/>
              </w:rPr>
              <w:t>（</w:t>
            </w:r>
            <w:r>
              <w:rPr>
                <w:color w:val="auto"/>
                <w:sz w:val="24"/>
              </w:rPr>
              <w:t>1</w:t>
            </w:r>
            <w:r>
              <w:rPr>
                <w:rFonts w:hint="eastAsia"/>
                <w:color w:val="auto"/>
                <w:sz w:val="24"/>
              </w:rPr>
              <w:t>）组织机构</w:t>
            </w:r>
          </w:p>
          <w:p w14:paraId="2EE25C4E">
            <w:pPr>
              <w:spacing w:line="360" w:lineRule="auto"/>
              <w:ind w:firstLine="480" w:firstLineChars="200"/>
              <w:rPr>
                <w:color w:val="auto"/>
                <w:sz w:val="24"/>
              </w:rPr>
            </w:pPr>
            <w:r>
              <w:rPr>
                <w:rFonts w:hint="eastAsia"/>
                <w:color w:val="auto"/>
                <w:sz w:val="24"/>
              </w:rPr>
              <w:t>根据《建设项目环境保护设计规定》，为加强企业环境保护管理工作，建议项目设置环保机构，配备全职环保管理人员，负责组织、落实、监督企业环境保护工作。其主要职责：负责贯彻执行国家环境保护法规和标准；制定企业环保规划和管理规章制度并监督实施；组织和协调环境监测工作，建立监控档案；检查、监督环保设施运行情况；组织开展环境教育、环保技术培训和技术交流；负责环境管理日常工作和环境保护行政主管部门及其他社会各界的协调工作；参加环境污染事故调查与处理工作，根据实际情况，提出处理意见和建议。</w:t>
            </w:r>
          </w:p>
          <w:p w14:paraId="3CFBFB45">
            <w:pPr>
              <w:spacing w:line="360" w:lineRule="auto"/>
              <w:ind w:firstLine="360" w:firstLineChars="150"/>
              <w:rPr>
                <w:color w:val="auto"/>
                <w:sz w:val="24"/>
              </w:rPr>
            </w:pPr>
            <w:r>
              <w:rPr>
                <w:rFonts w:hint="eastAsia"/>
                <w:color w:val="auto"/>
                <w:sz w:val="24"/>
              </w:rPr>
              <w:t>（</w:t>
            </w:r>
            <w:r>
              <w:rPr>
                <w:color w:val="auto"/>
                <w:sz w:val="24"/>
              </w:rPr>
              <w:t>2</w:t>
            </w:r>
            <w:r>
              <w:rPr>
                <w:rFonts w:hint="eastAsia"/>
                <w:color w:val="auto"/>
                <w:sz w:val="24"/>
              </w:rPr>
              <w:t>）环境监测机构及职能</w:t>
            </w:r>
          </w:p>
          <w:p w14:paraId="29E3653A">
            <w:pPr>
              <w:spacing w:line="360" w:lineRule="auto"/>
              <w:ind w:firstLine="480" w:firstLineChars="200"/>
              <w:rPr>
                <w:color w:val="auto"/>
                <w:sz w:val="24"/>
              </w:rPr>
            </w:pPr>
            <w:r>
              <w:rPr>
                <w:rFonts w:hint="eastAsia"/>
                <w:color w:val="auto"/>
                <w:sz w:val="24"/>
              </w:rPr>
              <w:t>为保证项目建成投产后，能迅速全面地反映该项目的污染状况，为项目的环境管理、污染控制、环保规划提供准确、可靠的监测数据，建议本项目委托专门的环境监测机构和环境监测人员，负责企业污染源常规监测、环保设施运行情况日常监测、污染源例行监测以及污染事故调查监测。</w:t>
            </w:r>
          </w:p>
          <w:p w14:paraId="13AF2FC6">
            <w:pPr>
              <w:pStyle w:val="57"/>
              <w:adjustRightInd/>
              <w:spacing w:line="360" w:lineRule="auto"/>
              <w:ind w:firstLine="482" w:firstLineChars="200"/>
              <w:rPr>
                <w:color w:val="auto"/>
              </w:rPr>
            </w:pPr>
            <w:r>
              <w:rPr>
                <w:rFonts w:hint="eastAsia"/>
                <w:color w:val="auto"/>
              </w:rPr>
              <w:t>3、环境管理要求</w:t>
            </w:r>
          </w:p>
          <w:p w14:paraId="42C88044">
            <w:pPr>
              <w:pStyle w:val="57"/>
              <w:adjustRightInd/>
              <w:spacing w:line="360" w:lineRule="auto"/>
              <w:ind w:firstLine="480" w:firstLineChars="200"/>
              <w:jc w:val="both"/>
              <w:rPr>
                <w:b w:val="0"/>
                <w:bCs w:val="0"/>
                <w:color w:val="auto"/>
              </w:rPr>
            </w:pPr>
            <w:r>
              <w:rPr>
                <w:rFonts w:hint="eastAsia"/>
                <w:b w:val="0"/>
                <w:bCs w:val="0"/>
                <w:color w:val="auto"/>
              </w:rPr>
              <w:t>（1）</w:t>
            </w:r>
            <w:r>
              <w:rPr>
                <w:b w:val="0"/>
                <w:bCs w:val="0"/>
                <w:color w:val="auto"/>
              </w:rPr>
              <w:t>建立企业环境保护</w:t>
            </w:r>
            <w:r>
              <w:rPr>
                <w:rFonts w:hint="eastAsia"/>
                <w:b w:val="0"/>
                <w:bCs w:val="0"/>
                <w:color w:val="auto"/>
              </w:rPr>
              <w:t>部门</w:t>
            </w:r>
            <w:r>
              <w:rPr>
                <w:b w:val="0"/>
                <w:bCs w:val="0"/>
                <w:color w:val="auto"/>
              </w:rPr>
              <w:t>，充分发挥管理职能，认真贯彻执行国家及地方政府的环保方针、政策和法规；制定企业环保规划和目标；加强企业环保监督和管理工作，组织技术培训和推广环境保护先进技术</w:t>
            </w:r>
            <w:r>
              <w:rPr>
                <w:rFonts w:hint="eastAsia"/>
                <w:b w:val="0"/>
                <w:bCs w:val="0"/>
                <w:color w:val="auto"/>
              </w:rPr>
              <w:t>。</w:t>
            </w:r>
          </w:p>
          <w:p w14:paraId="20ED9988">
            <w:pPr>
              <w:pStyle w:val="57"/>
              <w:adjustRightInd/>
              <w:spacing w:line="360" w:lineRule="auto"/>
              <w:ind w:firstLine="480" w:firstLineChars="200"/>
              <w:jc w:val="both"/>
              <w:rPr>
                <w:b w:val="0"/>
                <w:bCs w:val="0"/>
                <w:color w:val="auto"/>
              </w:rPr>
            </w:pPr>
            <w:r>
              <w:rPr>
                <w:rFonts w:hint="eastAsia"/>
                <w:b w:val="0"/>
                <w:bCs w:val="0"/>
                <w:color w:val="auto"/>
              </w:rPr>
              <w:t>（2）</w:t>
            </w:r>
            <w:r>
              <w:rPr>
                <w:b w:val="0"/>
                <w:bCs w:val="0"/>
                <w:color w:val="auto"/>
              </w:rPr>
              <w:t>建立环保目标责任制，企业负责人对企业环保工作负</w:t>
            </w:r>
            <w:r>
              <w:rPr>
                <w:rFonts w:hint="eastAsia"/>
                <w:b w:val="0"/>
                <w:bCs w:val="0"/>
                <w:color w:val="auto"/>
              </w:rPr>
              <w:t>总责</w:t>
            </w:r>
            <w:r>
              <w:rPr>
                <w:b w:val="0"/>
                <w:bCs w:val="0"/>
                <w:color w:val="auto"/>
              </w:rPr>
              <w:t>，负责制定环保工作年度计划、环保设施的正常运行及污染事故的处理。</w:t>
            </w:r>
          </w:p>
          <w:p w14:paraId="5627AE4D">
            <w:pPr>
              <w:pStyle w:val="57"/>
              <w:adjustRightInd/>
              <w:spacing w:line="360" w:lineRule="auto"/>
              <w:ind w:firstLine="480" w:firstLineChars="200"/>
              <w:jc w:val="both"/>
              <w:rPr>
                <w:b w:val="0"/>
                <w:bCs w:val="0"/>
                <w:color w:val="auto"/>
              </w:rPr>
            </w:pPr>
            <w:r>
              <w:rPr>
                <w:rFonts w:hint="eastAsia"/>
                <w:b w:val="0"/>
                <w:bCs w:val="0"/>
                <w:color w:val="auto"/>
              </w:rPr>
              <w:t>（3）</w:t>
            </w:r>
            <w:r>
              <w:rPr>
                <w:b w:val="0"/>
                <w:bCs w:val="0"/>
                <w:color w:val="auto"/>
              </w:rPr>
              <w:t>采取可行的大气、废水、噪声和固废污染治理措施，确保各类污染物达标排放。</w:t>
            </w:r>
          </w:p>
          <w:p w14:paraId="4B56AD25">
            <w:pPr>
              <w:pStyle w:val="57"/>
              <w:adjustRightInd/>
              <w:spacing w:line="360" w:lineRule="auto"/>
              <w:ind w:firstLine="480" w:firstLineChars="200"/>
              <w:rPr>
                <w:b w:val="0"/>
                <w:bCs w:val="0"/>
                <w:color w:val="auto"/>
              </w:rPr>
            </w:pPr>
            <w:r>
              <w:rPr>
                <w:rFonts w:hint="eastAsia"/>
                <w:b w:val="0"/>
                <w:bCs w:val="0"/>
                <w:color w:val="auto"/>
              </w:rPr>
              <w:t>（4）</w:t>
            </w:r>
            <w:r>
              <w:rPr>
                <w:b w:val="0"/>
                <w:bCs w:val="0"/>
                <w:color w:val="auto"/>
              </w:rPr>
              <w:t>强化管理制度</w:t>
            </w:r>
            <w:r>
              <w:rPr>
                <w:rFonts w:hint="eastAsia"/>
                <w:b w:val="0"/>
                <w:bCs w:val="0"/>
                <w:color w:val="auto"/>
              </w:rPr>
              <w:t>，</w:t>
            </w:r>
            <w:r>
              <w:rPr>
                <w:b w:val="0"/>
                <w:bCs w:val="0"/>
                <w:color w:val="auto"/>
              </w:rPr>
              <w:t>建议制定的环境管理制度体系有：</w:t>
            </w:r>
          </w:p>
          <w:p w14:paraId="573D30DE">
            <w:pPr>
              <w:spacing w:line="360" w:lineRule="auto"/>
              <w:ind w:firstLine="480" w:firstLineChars="200"/>
              <w:rPr>
                <w:color w:val="auto"/>
                <w:kern w:val="24"/>
                <w:sz w:val="24"/>
                <w:szCs w:val="24"/>
              </w:rPr>
            </w:pPr>
            <w:r>
              <w:rPr>
                <w:rFonts w:hint="eastAsia"/>
                <w:color w:val="auto"/>
                <w:kern w:val="24"/>
                <w:sz w:val="24"/>
                <w:szCs w:val="24"/>
              </w:rPr>
              <w:t>①“三同时”制度；</w:t>
            </w:r>
          </w:p>
          <w:p w14:paraId="618898FA">
            <w:pPr>
              <w:spacing w:line="360" w:lineRule="auto"/>
              <w:ind w:firstLine="480" w:firstLineChars="200"/>
              <w:rPr>
                <w:color w:val="auto"/>
                <w:kern w:val="24"/>
                <w:sz w:val="24"/>
                <w:szCs w:val="24"/>
              </w:rPr>
            </w:pPr>
            <w:r>
              <w:rPr>
                <w:rFonts w:hint="eastAsia"/>
                <w:color w:val="auto"/>
                <w:kern w:val="24"/>
                <w:sz w:val="24"/>
                <w:szCs w:val="24"/>
              </w:rPr>
              <w:t>②排污许可证制度；</w:t>
            </w:r>
          </w:p>
          <w:p w14:paraId="506190FA">
            <w:pPr>
              <w:spacing w:line="360" w:lineRule="auto"/>
              <w:ind w:firstLine="480" w:firstLineChars="200"/>
              <w:rPr>
                <w:color w:val="auto"/>
                <w:kern w:val="24"/>
                <w:sz w:val="24"/>
                <w:szCs w:val="24"/>
              </w:rPr>
            </w:pPr>
            <w:r>
              <w:rPr>
                <w:rFonts w:hint="eastAsia"/>
                <w:color w:val="auto"/>
                <w:kern w:val="24"/>
                <w:sz w:val="24"/>
                <w:szCs w:val="24"/>
              </w:rPr>
              <w:t>③环境管理台账制度；</w:t>
            </w:r>
          </w:p>
          <w:p w14:paraId="4A039EB6">
            <w:pPr>
              <w:spacing w:line="360" w:lineRule="auto"/>
              <w:ind w:firstLine="480" w:firstLineChars="200"/>
              <w:rPr>
                <w:color w:val="auto"/>
                <w:kern w:val="24"/>
                <w:sz w:val="24"/>
                <w:szCs w:val="24"/>
              </w:rPr>
            </w:pPr>
            <w:r>
              <w:rPr>
                <w:rFonts w:hint="eastAsia"/>
                <w:color w:val="auto"/>
                <w:kern w:val="24"/>
                <w:sz w:val="24"/>
                <w:szCs w:val="24"/>
              </w:rPr>
              <w:t>④污染治理设施管理制度；</w:t>
            </w:r>
          </w:p>
          <w:p w14:paraId="07EC886F">
            <w:pPr>
              <w:spacing w:line="360" w:lineRule="auto"/>
              <w:ind w:firstLine="480" w:firstLineChars="200"/>
              <w:rPr>
                <w:color w:val="auto"/>
                <w:kern w:val="24"/>
                <w:sz w:val="24"/>
                <w:szCs w:val="24"/>
              </w:rPr>
            </w:pPr>
            <w:r>
              <w:rPr>
                <w:rFonts w:hint="eastAsia"/>
                <w:color w:val="auto"/>
                <w:kern w:val="24"/>
                <w:sz w:val="24"/>
                <w:szCs w:val="24"/>
              </w:rPr>
              <w:t>⑤污染事故处理制度；</w:t>
            </w:r>
          </w:p>
          <w:p w14:paraId="183AB569">
            <w:pPr>
              <w:spacing w:line="360" w:lineRule="auto"/>
              <w:ind w:firstLine="480" w:firstLineChars="200"/>
              <w:rPr>
                <w:color w:val="auto"/>
                <w:kern w:val="24"/>
                <w:sz w:val="24"/>
                <w:szCs w:val="24"/>
              </w:rPr>
            </w:pPr>
            <w:r>
              <w:rPr>
                <w:rFonts w:hint="eastAsia"/>
                <w:color w:val="auto"/>
                <w:kern w:val="24"/>
                <w:sz w:val="24"/>
                <w:szCs w:val="24"/>
              </w:rPr>
              <w:t>⑥环保教育制度；</w:t>
            </w:r>
          </w:p>
          <w:p w14:paraId="1F4E41A2">
            <w:pPr>
              <w:spacing w:line="360" w:lineRule="auto"/>
              <w:ind w:firstLine="480" w:firstLineChars="200"/>
              <w:rPr>
                <w:color w:val="auto"/>
                <w:kern w:val="24"/>
                <w:sz w:val="24"/>
                <w:szCs w:val="24"/>
              </w:rPr>
            </w:pPr>
            <w:r>
              <w:rPr>
                <w:rFonts w:hint="eastAsia"/>
                <w:color w:val="auto"/>
                <w:kern w:val="24"/>
                <w:sz w:val="24"/>
                <w:szCs w:val="24"/>
              </w:rPr>
              <w:t>⑦信息公开制度。</w:t>
            </w:r>
          </w:p>
          <w:p w14:paraId="18389814">
            <w:pPr>
              <w:pStyle w:val="57"/>
              <w:adjustRightInd/>
              <w:spacing w:line="360" w:lineRule="auto"/>
              <w:ind w:firstLine="482" w:firstLineChars="200"/>
              <w:rPr>
                <w:color w:val="auto"/>
              </w:rPr>
            </w:pPr>
            <w:r>
              <w:rPr>
                <w:rFonts w:hint="eastAsia"/>
                <w:color w:val="auto"/>
              </w:rPr>
              <w:t>4、事故工况下环境管理要求</w:t>
            </w:r>
          </w:p>
          <w:p w14:paraId="4E2F01E5">
            <w:pPr>
              <w:pStyle w:val="57"/>
              <w:adjustRightInd/>
              <w:spacing w:line="360" w:lineRule="auto"/>
              <w:ind w:firstLine="480" w:firstLineChars="200"/>
              <w:jc w:val="both"/>
              <w:rPr>
                <w:b w:val="0"/>
                <w:bCs w:val="0"/>
                <w:color w:val="auto"/>
              </w:rPr>
            </w:pPr>
            <w:r>
              <w:rPr>
                <w:b w:val="0"/>
                <w:bCs w:val="0"/>
                <w:color w:val="auto"/>
              </w:rPr>
              <w:t>为尽量避免非正常排放的发生，企业应做到如下要求来尽量避免事故发生。</w:t>
            </w:r>
          </w:p>
          <w:p w14:paraId="7C6884BB">
            <w:pPr>
              <w:pStyle w:val="57"/>
              <w:adjustRightInd/>
              <w:spacing w:line="360" w:lineRule="auto"/>
              <w:ind w:firstLine="480" w:firstLineChars="200"/>
              <w:jc w:val="both"/>
              <w:rPr>
                <w:b w:val="0"/>
                <w:bCs w:val="0"/>
                <w:color w:val="auto"/>
              </w:rPr>
            </w:pPr>
            <w:r>
              <w:rPr>
                <w:rFonts w:hint="eastAsia"/>
                <w:b w:val="0"/>
                <w:bCs w:val="0"/>
                <w:color w:val="auto"/>
              </w:rPr>
              <w:t>（1）</w:t>
            </w:r>
            <w:r>
              <w:rPr>
                <w:b w:val="0"/>
                <w:bCs w:val="0"/>
                <w:color w:val="auto"/>
              </w:rPr>
              <w:t>加强对非正常状态下排放危害的认识，建立完善的环保设施检修体制。</w:t>
            </w:r>
          </w:p>
          <w:p w14:paraId="50B8F245">
            <w:pPr>
              <w:pStyle w:val="57"/>
              <w:adjustRightInd/>
              <w:spacing w:line="360" w:lineRule="auto"/>
              <w:ind w:firstLine="480" w:firstLineChars="200"/>
              <w:jc w:val="both"/>
              <w:rPr>
                <w:b w:val="0"/>
                <w:bCs w:val="0"/>
                <w:color w:val="auto"/>
              </w:rPr>
            </w:pPr>
            <w:r>
              <w:rPr>
                <w:rFonts w:hint="eastAsia"/>
                <w:b w:val="0"/>
                <w:bCs w:val="0"/>
                <w:color w:val="auto"/>
              </w:rPr>
              <w:t>（2）</w:t>
            </w:r>
            <w:r>
              <w:rPr>
                <w:b w:val="0"/>
                <w:bCs w:val="0"/>
                <w:color w:val="auto"/>
              </w:rPr>
              <w:t>建设单位应做好生产设备和环保设施的管理、维修工作，选用质量好的设备；设专人对易发生非正常排放设施进行管理，一旦异常，及时维修处理</w:t>
            </w:r>
            <w:r>
              <w:rPr>
                <w:rFonts w:hint="eastAsia"/>
                <w:b w:val="0"/>
                <w:bCs w:val="0"/>
                <w:color w:val="auto"/>
              </w:rPr>
              <w:t>。</w:t>
            </w:r>
          </w:p>
          <w:p w14:paraId="6233101D">
            <w:pPr>
              <w:spacing w:line="360" w:lineRule="auto"/>
              <w:ind w:firstLine="482" w:firstLineChars="200"/>
              <w:jc w:val="left"/>
              <w:rPr>
                <w:b/>
                <w:snapToGrid w:val="0"/>
                <w:color w:val="auto"/>
                <w:kern w:val="0"/>
                <w:sz w:val="24"/>
              </w:rPr>
            </w:pPr>
            <w:r>
              <w:rPr>
                <w:rFonts w:hint="eastAsia"/>
                <w:b/>
                <w:snapToGrid w:val="0"/>
                <w:color w:val="auto"/>
                <w:kern w:val="0"/>
                <w:sz w:val="24"/>
              </w:rPr>
              <w:t>十</w:t>
            </w:r>
            <w:r>
              <w:rPr>
                <w:rFonts w:hint="eastAsia"/>
                <w:b/>
                <w:snapToGrid w:val="0"/>
                <w:color w:val="auto"/>
                <w:kern w:val="0"/>
                <w:sz w:val="24"/>
                <w:lang w:val="en-US" w:eastAsia="zh-CN"/>
              </w:rPr>
              <w:t>一</w:t>
            </w:r>
            <w:r>
              <w:rPr>
                <w:rFonts w:hint="eastAsia"/>
                <w:b/>
                <w:snapToGrid w:val="0"/>
                <w:color w:val="auto"/>
                <w:kern w:val="0"/>
                <w:sz w:val="24"/>
              </w:rPr>
              <w:t>、</w:t>
            </w:r>
            <w:r>
              <w:rPr>
                <w:rFonts w:hint="eastAsia" w:hAnsi="宋体"/>
                <w:b/>
                <w:snapToGrid w:val="0"/>
                <w:color w:val="auto"/>
                <w:kern w:val="0"/>
                <w:sz w:val="24"/>
              </w:rPr>
              <w:t>污染源排放口规范化要求</w:t>
            </w:r>
          </w:p>
          <w:p w14:paraId="5BFE1A93">
            <w:pPr>
              <w:adjustRightInd w:val="0"/>
              <w:spacing w:line="360" w:lineRule="auto"/>
              <w:ind w:firstLine="480" w:firstLineChars="200"/>
              <w:rPr>
                <w:color w:val="auto"/>
                <w:sz w:val="24"/>
              </w:rPr>
            </w:pPr>
            <w:r>
              <w:rPr>
                <w:rFonts w:hAnsi="宋体"/>
                <w:color w:val="auto"/>
                <w:sz w:val="24"/>
              </w:rPr>
              <w:t>厂区废水总排放口设置</w:t>
            </w:r>
            <w:r>
              <w:rPr>
                <w:rFonts w:hint="eastAsia" w:hAnsi="宋体"/>
                <w:color w:val="auto"/>
                <w:sz w:val="24"/>
              </w:rPr>
              <w:t>应</w:t>
            </w:r>
            <w:r>
              <w:rPr>
                <w:rFonts w:hAnsi="宋体"/>
                <w:color w:val="auto"/>
                <w:sz w:val="24"/>
              </w:rPr>
              <w:t>满足现场采样和流量测定条件的采样口，设在厂内或厂</w:t>
            </w:r>
            <w:r>
              <w:rPr>
                <w:color w:val="auto"/>
                <w:sz w:val="24"/>
              </w:rPr>
              <w:t>界外10米内。废气排气筒应设置人工采样平台和采样口，采样口的设置应符合《污染源监测技术规</w:t>
            </w:r>
            <w:r>
              <w:rPr>
                <w:rFonts w:hint="eastAsia" w:hAnsi="宋体"/>
                <w:color w:val="auto"/>
                <w:sz w:val="24"/>
              </w:rPr>
              <w:t>范》要求</w:t>
            </w:r>
            <w:r>
              <w:rPr>
                <w:rFonts w:hint="eastAsia" w:ascii="宋体" w:cs="宋体"/>
                <w:color w:val="auto"/>
                <w:kern w:val="0"/>
                <w:szCs w:val="21"/>
              </w:rPr>
              <w:t>。</w:t>
            </w:r>
            <w:r>
              <w:rPr>
                <w:rFonts w:hAnsi="宋体"/>
                <w:color w:val="auto"/>
                <w:sz w:val="24"/>
              </w:rPr>
              <w:t>企业污染物排放口（源）及固体废物贮存、堆放场必须按照国家标准《环境保护图形标志》（</w:t>
            </w:r>
            <w:r>
              <w:rPr>
                <w:color w:val="auto"/>
                <w:sz w:val="24"/>
              </w:rPr>
              <w:t>GB15562.1-1995</w:t>
            </w:r>
            <w:r>
              <w:rPr>
                <w:rFonts w:hAnsi="宋体"/>
                <w:color w:val="auto"/>
                <w:sz w:val="24"/>
              </w:rPr>
              <w:t>）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3E4E64C6">
            <w:pPr>
              <w:spacing w:line="360" w:lineRule="auto"/>
              <w:ind w:firstLine="480" w:firstLineChars="200"/>
              <w:rPr>
                <w:color w:val="auto"/>
                <w:sz w:val="24"/>
              </w:rPr>
            </w:pPr>
            <w:r>
              <w:rPr>
                <w:rFonts w:hAnsi="宋体"/>
                <w:color w:val="auto"/>
                <w:sz w:val="24"/>
              </w:rPr>
              <w:t>环境保护图形标志</w:t>
            </w:r>
          </w:p>
          <w:p w14:paraId="607CE4EE">
            <w:pPr>
              <w:spacing w:line="360" w:lineRule="auto"/>
              <w:ind w:firstLine="480" w:firstLineChars="200"/>
              <w:rPr>
                <w:rFonts w:hint="eastAsia" w:hAnsi="宋体"/>
                <w:color w:val="auto"/>
                <w:sz w:val="24"/>
              </w:rPr>
            </w:pPr>
            <w:r>
              <w:rPr>
                <w:rFonts w:hAnsi="宋体"/>
                <w:color w:val="auto"/>
                <w:sz w:val="24"/>
              </w:rPr>
              <w:t>在厂区的</w:t>
            </w:r>
            <w:r>
              <w:rPr>
                <w:rFonts w:hint="eastAsia" w:hAnsi="宋体"/>
                <w:color w:val="auto"/>
                <w:sz w:val="24"/>
              </w:rPr>
              <w:t>废水</w:t>
            </w:r>
            <w:r>
              <w:rPr>
                <w:rFonts w:hAnsi="宋体"/>
                <w:color w:val="auto"/>
                <w:sz w:val="24"/>
              </w:rPr>
              <w:t>排放口、废气排放口、噪声排放源、固体废物贮存处置场应设置环境保护图形标志，图形符号分为提示图形和警告图形符号两种，分别按</w:t>
            </w:r>
            <w:r>
              <w:rPr>
                <w:color w:val="auto"/>
                <w:sz w:val="24"/>
              </w:rPr>
              <w:t>GB15562.1-1995</w:t>
            </w:r>
            <w:r>
              <w:rPr>
                <w:rFonts w:hAnsi="宋体"/>
                <w:color w:val="auto"/>
                <w:sz w:val="24"/>
              </w:rPr>
              <w:t>、</w:t>
            </w:r>
            <w:r>
              <w:rPr>
                <w:color w:val="auto"/>
                <w:sz w:val="24"/>
              </w:rPr>
              <w:t>GB15562.2-1995</w:t>
            </w:r>
            <w:r>
              <w:rPr>
                <w:rFonts w:hAnsi="宋体"/>
                <w:color w:val="auto"/>
                <w:sz w:val="24"/>
              </w:rPr>
              <w:t>执行。环境境保护图形符号见表</w:t>
            </w:r>
            <w:r>
              <w:rPr>
                <w:rFonts w:hint="eastAsia"/>
                <w:color w:val="auto"/>
                <w:sz w:val="24"/>
              </w:rPr>
              <w:t>4-26</w:t>
            </w:r>
            <w:r>
              <w:rPr>
                <w:rFonts w:hAnsi="宋体"/>
                <w:color w:val="auto"/>
                <w:sz w:val="24"/>
              </w:rPr>
              <w:t>。环境保护图形标志的形状及颜色见表</w:t>
            </w:r>
            <w:r>
              <w:rPr>
                <w:rFonts w:hint="eastAsia"/>
                <w:color w:val="auto"/>
                <w:sz w:val="24"/>
              </w:rPr>
              <w:t>4-27</w:t>
            </w:r>
            <w:r>
              <w:rPr>
                <w:rFonts w:hint="eastAsia" w:hAnsi="宋体"/>
                <w:color w:val="auto"/>
                <w:sz w:val="24"/>
              </w:rPr>
              <w:t>。</w:t>
            </w:r>
          </w:p>
          <w:p w14:paraId="326778F8">
            <w:pPr>
              <w:spacing w:line="360" w:lineRule="auto"/>
              <w:jc w:val="center"/>
              <w:rPr>
                <w:b/>
                <w:bCs/>
                <w:color w:val="auto"/>
                <w:sz w:val="24"/>
              </w:rPr>
            </w:pPr>
            <w:r>
              <w:rPr>
                <w:b/>
                <w:bCs/>
                <w:color w:val="auto"/>
                <w:sz w:val="24"/>
              </w:rPr>
              <w:t>表4-2</w:t>
            </w:r>
            <w:r>
              <w:rPr>
                <w:rFonts w:hint="eastAsia"/>
                <w:b/>
                <w:bCs/>
                <w:color w:val="auto"/>
                <w:sz w:val="24"/>
              </w:rPr>
              <w:t>7</w:t>
            </w:r>
            <w:r>
              <w:rPr>
                <w:b/>
                <w:bCs/>
                <w:color w:val="auto"/>
                <w:sz w:val="24"/>
              </w:rPr>
              <w:t xml:space="preserve">  本项目环境保护图形符号表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922"/>
              <w:gridCol w:w="1986"/>
              <w:gridCol w:w="1907"/>
              <w:gridCol w:w="1957"/>
            </w:tblGrid>
            <w:tr w14:paraId="6B017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12" w:space="0"/>
                    <w:left w:val="nil"/>
                    <w:bottom w:val="single" w:color="auto" w:sz="4" w:space="0"/>
                    <w:right w:val="single" w:color="auto" w:sz="4" w:space="0"/>
                  </w:tcBorders>
                  <w:vAlign w:val="center"/>
                </w:tcPr>
                <w:p w14:paraId="46989B42">
                  <w:pPr>
                    <w:spacing w:line="276" w:lineRule="auto"/>
                    <w:jc w:val="center"/>
                    <w:rPr>
                      <w:b/>
                      <w:color w:val="auto"/>
                      <w:spacing w:val="-2"/>
                      <w:szCs w:val="21"/>
                    </w:rPr>
                  </w:pPr>
                  <w:r>
                    <w:rPr>
                      <w:rFonts w:hAnsi="宋体"/>
                      <w:b/>
                      <w:color w:val="auto"/>
                      <w:szCs w:val="21"/>
                    </w:rPr>
                    <w:t>序号</w:t>
                  </w:r>
                </w:p>
              </w:tc>
              <w:tc>
                <w:tcPr>
                  <w:tcW w:w="1138" w:type="pct"/>
                  <w:tcBorders>
                    <w:top w:val="single" w:color="auto" w:sz="12" w:space="0"/>
                    <w:left w:val="single" w:color="auto" w:sz="4" w:space="0"/>
                    <w:bottom w:val="single" w:color="auto" w:sz="4" w:space="0"/>
                    <w:right w:val="single" w:color="auto" w:sz="4" w:space="0"/>
                  </w:tcBorders>
                  <w:vAlign w:val="center"/>
                </w:tcPr>
                <w:p w14:paraId="678912A8">
                  <w:pPr>
                    <w:spacing w:line="276" w:lineRule="auto"/>
                    <w:jc w:val="center"/>
                    <w:rPr>
                      <w:b/>
                      <w:color w:val="auto"/>
                      <w:spacing w:val="-2"/>
                      <w:szCs w:val="21"/>
                    </w:rPr>
                  </w:pPr>
                  <w:r>
                    <w:rPr>
                      <w:rFonts w:hAnsi="宋体"/>
                      <w:b/>
                      <w:color w:val="auto"/>
                      <w:szCs w:val="21"/>
                    </w:rPr>
                    <w:t>提示图形符号</w:t>
                  </w:r>
                </w:p>
              </w:tc>
              <w:tc>
                <w:tcPr>
                  <w:tcW w:w="1176" w:type="pct"/>
                  <w:tcBorders>
                    <w:top w:val="single" w:color="auto" w:sz="12" w:space="0"/>
                    <w:left w:val="single" w:color="auto" w:sz="4" w:space="0"/>
                    <w:bottom w:val="single" w:color="auto" w:sz="4" w:space="0"/>
                    <w:right w:val="single" w:color="auto" w:sz="4" w:space="0"/>
                  </w:tcBorders>
                  <w:vAlign w:val="center"/>
                </w:tcPr>
                <w:p w14:paraId="109DB583">
                  <w:pPr>
                    <w:spacing w:line="276" w:lineRule="auto"/>
                    <w:jc w:val="center"/>
                    <w:rPr>
                      <w:b/>
                      <w:color w:val="auto"/>
                      <w:spacing w:val="-2"/>
                      <w:szCs w:val="21"/>
                    </w:rPr>
                  </w:pPr>
                  <w:r>
                    <w:rPr>
                      <w:rFonts w:hAnsi="宋体"/>
                      <w:b/>
                      <w:color w:val="auto"/>
                      <w:szCs w:val="21"/>
                    </w:rPr>
                    <w:t>警告图形符号</w:t>
                  </w:r>
                </w:p>
              </w:tc>
              <w:tc>
                <w:tcPr>
                  <w:tcW w:w="1129" w:type="pct"/>
                  <w:tcBorders>
                    <w:top w:val="single" w:color="auto" w:sz="12" w:space="0"/>
                    <w:left w:val="single" w:color="auto" w:sz="4" w:space="0"/>
                    <w:bottom w:val="single" w:color="auto" w:sz="4" w:space="0"/>
                    <w:right w:val="single" w:color="auto" w:sz="4" w:space="0"/>
                  </w:tcBorders>
                  <w:vAlign w:val="center"/>
                </w:tcPr>
                <w:p w14:paraId="0D492D72">
                  <w:pPr>
                    <w:spacing w:line="276" w:lineRule="auto"/>
                    <w:jc w:val="center"/>
                    <w:rPr>
                      <w:b/>
                      <w:color w:val="auto"/>
                      <w:spacing w:val="-2"/>
                      <w:szCs w:val="21"/>
                    </w:rPr>
                  </w:pPr>
                  <w:r>
                    <w:rPr>
                      <w:rFonts w:hAnsi="宋体"/>
                      <w:b/>
                      <w:color w:val="auto"/>
                      <w:szCs w:val="21"/>
                    </w:rPr>
                    <w:t>名称</w:t>
                  </w:r>
                </w:p>
              </w:tc>
              <w:tc>
                <w:tcPr>
                  <w:tcW w:w="1158" w:type="pct"/>
                  <w:tcBorders>
                    <w:top w:val="single" w:color="auto" w:sz="12" w:space="0"/>
                    <w:left w:val="single" w:color="auto" w:sz="4" w:space="0"/>
                    <w:bottom w:val="single" w:color="auto" w:sz="4" w:space="0"/>
                    <w:right w:val="nil"/>
                  </w:tcBorders>
                  <w:vAlign w:val="center"/>
                </w:tcPr>
                <w:p w14:paraId="4B61337F">
                  <w:pPr>
                    <w:spacing w:line="276" w:lineRule="auto"/>
                    <w:jc w:val="center"/>
                    <w:rPr>
                      <w:b/>
                      <w:color w:val="auto"/>
                      <w:spacing w:val="-2"/>
                      <w:szCs w:val="21"/>
                    </w:rPr>
                  </w:pPr>
                  <w:r>
                    <w:rPr>
                      <w:rFonts w:hAnsi="宋体"/>
                      <w:b/>
                      <w:color w:val="auto"/>
                      <w:szCs w:val="21"/>
                    </w:rPr>
                    <w:t>功能</w:t>
                  </w:r>
                </w:p>
              </w:tc>
            </w:tr>
            <w:tr w14:paraId="5FC10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32DCB132">
                  <w:pPr>
                    <w:spacing w:line="276" w:lineRule="auto"/>
                    <w:jc w:val="center"/>
                    <w:rPr>
                      <w:color w:val="auto"/>
                      <w:spacing w:val="-2"/>
                      <w:szCs w:val="21"/>
                    </w:rPr>
                  </w:pPr>
                  <w:r>
                    <w:rPr>
                      <w:color w:val="auto"/>
                      <w:szCs w:val="21"/>
                    </w:rPr>
                    <w:t>1</w:t>
                  </w:r>
                </w:p>
              </w:tc>
              <w:tc>
                <w:tcPr>
                  <w:tcW w:w="1138" w:type="pct"/>
                  <w:tcBorders>
                    <w:top w:val="single" w:color="auto" w:sz="4" w:space="0"/>
                    <w:left w:val="single" w:color="auto" w:sz="4" w:space="0"/>
                    <w:bottom w:val="single" w:color="auto" w:sz="4" w:space="0"/>
                    <w:right w:val="single" w:color="auto" w:sz="4" w:space="0"/>
                  </w:tcBorders>
                  <w:vAlign w:val="center"/>
                </w:tcPr>
                <w:p w14:paraId="5786A4B4">
                  <w:pPr>
                    <w:spacing w:line="276" w:lineRule="auto"/>
                    <w:jc w:val="center"/>
                    <w:rPr>
                      <w:color w:val="auto"/>
                      <w:spacing w:val="-2"/>
                      <w:szCs w:val="21"/>
                    </w:rPr>
                  </w:pPr>
                  <w:r>
                    <w:rPr>
                      <w:smallCaps/>
                      <w:color w:val="auto"/>
                      <w:szCs w:val="21"/>
                    </w:rPr>
                    <w:drawing>
                      <wp:inline distT="0" distB="0" distL="0" distR="0">
                        <wp:extent cx="862965" cy="862965"/>
                        <wp:effectExtent l="0" t="0" r="0" b="0"/>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2965" cy="862965"/>
                                </a:xfrm>
                                <a:prstGeom prst="rect">
                                  <a:avLst/>
                                </a:prstGeom>
                                <a:noFill/>
                                <a:ln>
                                  <a:noFill/>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6369698D">
                  <w:pPr>
                    <w:spacing w:line="276" w:lineRule="auto"/>
                    <w:jc w:val="center"/>
                    <w:rPr>
                      <w:color w:val="auto"/>
                      <w:spacing w:val="-2"/>
                      <w:szCs w:val="21"/>
                    </w:rPr>
                  </w:pPr>
                  <w:r>
                    <w:rPr>
                      <w:smallCaps/>
                      <w:color w:val="auto"/>
                      <w:szCs w:val="21"/>
                    </w:rPr>
                    <w:drawing>
                      <wp:inline distT="0" distB="0" distL="0" distR="0">
                        <wp:extent cx="965835" cy="855980"/>
                        <wp:effectExtent l="0" t="0" r="0"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5835" cy="855980"/>
                                </a:xfrm>
                                <a:prstGeom prst="rect">
                                  <a:avLst/>
                                </a:prstGeom>
                                <a:noFill/>
                                <a:ln>
                                  <a:noFill/>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5E033018">
                  <w:pPr>
                    <w:spacing w:line="276" w:lineRule="auto"/>
                    <w:jc w:val="center"/>
                    <w:rPr>
                      <w:color w:val="auto"/>
                      <w:spacing w:val="-2"/>
                      <w:szCs w:val="21"/>
                    </w:rPr>
                  </w:pPr>
                  <w:r>
                    <w:rPr>
                      <w:rFonts w:hAnsi="宋体"/>
                      <w:color w:val="auto"/>
                      <w:szCs w:val="21"/>
                    </w:rPr>
                    <w:t>污水排放口</w:t>
                  </w:r>
                </w:p>
              </w:tc>
              <w:tc>
                <w:tcPr>
                  <w:tcW w:w="1158" w:type="pct"/>
                  <w:tcBorders>
                    <w:top w:val="single" w:color="auto" w:sz="4" w:space="0"/>
                    <w:left w:val="single" w:color="auto" w:sz="4" w:space="0"/>
                    <w:bottom w:val="single" w:color="auto" w:sz="4" w:space="0"/>
                    <w:right w:val="nil"/>
                  </w:tcBorders>
                  <w:vAlign w:val="center"/>
                </w:tcPr>
                <w:p w14:paraId="3B58FBCF">
                  <w:pPr>
                    <w:spacing w:line="276" w:lineRule="auto"/>
                    <w:jc w:val="center"/>
                    <w:rPr>
                      <w:color w:val="auto"/>
                      <w:spacing w:val="-2"/>
                      <w:szCs w:val="21"/>
                    </w:rPr>
                  </w:pPr>
                  <w:r>
                    <w:rPr>
                      <w:rFonts w:hAnsi="宋体"/>
                      <w:color w:val="auto"/>
                      <w:szCs w:val="21"/>
                    </w:rPr>
                    <w:t>表示污水向水体排放</w:t>
                  </w:r>
                </w:p>
              </w:tc>
            </w:tr>
            <w:tr w14:paraId="24478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0C44674F">
                  <w:pPr>
                    <w:spacing w:line="276" w:lineRule="auto"/>
                    <w:jc w:val="center"/>
                    <w:rPr>
                      <w:color w:val="auto"/>
                      <w:spacing w:val="-2"/>
                      <w:szCs w:val="21"/>
                    </w:rPr>
                  </w:pPr>
                  <w:r>
                    <w:rPr>
                      <w:color w:val="auto"/>
                      <w:szCs w:val="21"/>
                    </w:rPr>
                    <w:t>2</w:t>
                  </w:r>
                </w:p>
              </w:tc>
              <w:tc>
                <w:tcPr>
                  <w:tcW w:w="1138" w:type="pct"/>
                  <w:tcBorders>
                    <w:top w:val="single" w:color="auto" w:sz="4" w:space="0"/>
                    <w:left w:val="single" w:color="auto" w:sz="4" w:space="0"/>
                    <w:bottom w:val="single" w:color="auto" w:sz="4" w:space="0"/>
                    <w:right w:val="single" w:color="auto" w:sz="4" w:space="0"/>
                  </w:tcBorders>
                  <w:vAlign w:val="center"/>
                </w:tcPr>
                <w:p w14:paraId="373BF4BA">
                  <w:pPr>
                    <w:spacing w:line="276" w:lineRule="auto"/>
                    <w:jc w:val="center"/>
                    <w:rPr>
                      <w:color w:val="auto"/>
                      <w:spacing w:val="-2"/>
                      <w:szCs w:val="21"/>
                    </w:rPr>
                  </w:pPr>
                  <w:r>
                    <w:rPr>
                      <w:smallCaps/>
                      <w:color w:val="auto"/>
                      <w:szCs w:val="21"/>
                    </w:rPr>
                    <w:drawing>
                      <wp:inline distT="0" distB="0" distL="0" distR="0">
                        <wp:extent cx="862965" cy="862965"/>
                        <wp:effectExtent l="0" t="0" r="0" b="0"/>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2965" cy="862965"/>
                                </a:xfrm>
                                <a:prstGeom prst="rect">
                                  <a:avLst/>
                                </a:prstGeom>
                                <a:noFill/>
                                <a:ln>
                                  <a:noFill/>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122851CC">
                  <w:pPr>
                    <w:spacing w:line="276" w:lineRule="auto"/>
                    <w:jc w:val="center"/>
                    <w:rPr>
                      <w:color w:val="auto"/>
                      <w:spacing w:val="-2"/>
                      <w:szCs w:val="21"/>
                    </w:rPr>
                  </w:pPr>
                  <w:r>
                    <w:rPr>
                      <w:smallCaps/>
                      <w:color w:val="auto"/>
                      <w:szCs w:val="21"/>
                    </w:rPr>
                    <w:drawing>
                      <wp:inline distT="0" distB="0" distL="0" distR="0">
                        <wp:extent cx="965835" cy="855980"/>
                        <wp:effectExtent l="0" t="0" r="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65835" cy="855980"/>
                                </a:xfrm>
                                <a:prstGeom prst="rect">
                                  <a:avLst/>
                                </a:prstGeom>
                                <a:noFill/>
                                <a:ln>
                                  <a:noFill/>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2FD6CADD">
                  <w:pPr>
                    <w:spacing w:line="276" w:lineRule="auto"/>
                    <w:jc w:val="center"/>
                    <w:rPr>
                      <w:color w:val="auto"/>
                      <w:spacing w:val="-2"/>
                      <w:szCs w:val="21"/>
                    </w:rPr>
                  </w:pPr>
                  <w:r>
                    <w:rPr>
                      <w:rFonts w:hAnsi="宋体"/>
                      <w:color w:val="auto"/>
                      <w:szCs w:val="21"/>
                    </w:rPr>
                    <w:t>废气排放口</w:t>
                  </w:r>
                </w:p>
              </w:tc>
              <w:tc>
                <w:tcPr>
                  <w:tcW w:w="1158" w:type="pct"/>
                  <w:tcBorders>
                    <w:top w:val="single" w:color="auto" w:sz="4" w:space="0"/>
                    <w:left w:val="single" w:color="auto" w:sz="4" w:space="0"/>
                    <w:bottom w:val="single" w:color="auto" w:sz="4" w:space="0"/>
                    <w:right w:val="nil"/>
                  </w:tcBorders>
                  <w:vAlign w:val="center"/>
                </w:tcPr>
                <w:p w14:paraId="5E314C43">
                  <w:pPr>
                    <w:spacing w:line="276" w:lineRule="auto"/>
                    <w:jc w:val="center"/>
                    <w:rPr>
                      <w:color w:val="auto"/>
                      <w:spacing w:val="-2"/>
                      <w:szCs w:val="21"/>
                    </w:rPr>
                  </w:pPr>
                  <w:r>
                    <w:rPr>
                      <w:rFonts w:hAnsi="宋体"/>
                      <w:color w:val="auto"/>
                      <w:szCs w:val="21"/>
                    </w:rPr>
                    <w:t>表示废气向大气环境排放</w:t>
                  </w:r>
                </w:p>
              </w:tc>
            </w:tr>
            <w:tr w14:paraId="407B5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671B6A39">
                  <w:pPr>
                    <w:spacing w:line="276" w:lineRule="auto"/>
                    <w:jc w:val="center"/>
                    <w:rPr>
                      <w:color w:val="auto"/>
                      <w:spacing w:val="-2"/>
                      <w:szCs w:val="21"/>
                    </w:rPr>
                  </w:pPr>
                  <w:r>
                    <w:rPr>
                      <w:color w:val="auto"/>
                      <w:szCs w:val="21"/>
                    </w:rPr>
                    <w:t>3</w:t>
                  </w:r>
                </w:p>
              </w:tc>
              <w:tc>
                <w:tcPr>
                  <w:tcW w:w="1138" w:type="pct"/>
                  <w:tcBorders>
                    <w:top w:val="single" w:color="auto" w:sz="4" w:space="0"/>
                    <w:left w:val="single" w:color="auto" w:sz="4" w:space="0"/>
                    <w:bottom w:val="single" w:color="auto" w:sz="4" w:space="0"/>
                    <w:right w:val="single" w:color="auto" w:sz="4" w:space="0"/>
                  </w:tcBorders>
                  <w:vAlign w:val="center"/>
                </w:tcPr>
                <w:p w14:paraId="21C708B7">
                  <w:pPr>
                    <w:spacing w:line="276" w:lineRule="auto"/>
                    <w:jc w:val="center"/>
                    <w:rPr>
                      <w:color w:val="auto"/>
                      <w:spacing w:val="-2"/>
                      <w:szCs w:val="21"/>
                    </w:rPr>
                  </w:pPr>
                  <w:r>
                    <w:rPr>
                      <w:smallCaps/>
                      <w:color w:val="auto"/>
                      <w:szCs w:val="21"/>
                    </w:rPr>
                    <w:drawing>
                      <wp:inline distT="0" distB="0" distL="0" distR="0">
                        <wp:extent cx="862965" cy="862965"/>
                        <wp:effectExtent l="0" t="0" r="0" b="0"/>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62965" cy="862965"/>
                                </a:xfrm>
                                <a:prstGeom prst="rect">
                                  <a:avLst/>
                                </a:prstGeom>
                                <a:noFill/>
                                <a:ln>
                                  <a:noFill/>
                                </a:ln>
                              </pic:spPr>
                            </pic:pic>
                          </a:graphicData>
                        </a:graphic>
                      </wp:inline>
                    </w:drawing>
                  </w:r>
                </w:p>
              </w:tc>
              <w:tc>
                <w:tcPr>
                  <w:tcW w:w="1176" w:type="pct"/>
                  <w:tcBorders>
                    <w:top w:val="single" w:color="auto" w:sz="4" w:space="0"/>
                    <w:left w:val="single" w:color="auto" w:sz="4" w:space="0"/>
                    <w:bottom w:val="single" w:color="auto" w:sz="4" w:space="0"/>
                    <w:right w:val="single" w:color="auto" w:sz="4" w:space="0"/>
                  </w:tcBorders>
                  <w:vAlign w:val="center"/>
                </w:tcPr>
                <w:p w14:paraId="6BA61F8E">
                  <w:pPr>
                    <w:spacing w:line="276" w:lineRule="auto"/>
                    <w:jc w:val="center"/>
                    <w:rPr>
                      <w:color w:val="auto"/>
                      <w:spacing w:val="-2"/>
                      <w:szCs w:val="21"/>
                    </w:rPr>
                  </w:pPr>
                  <w:r>
                    <w:rPr>
                      <w:smallCaps/>
                      <w:color w:val="auto"/>
                      <w:szCs w:val="21"/>
                    </w:rPr>
                    <w:drawing>
                      <wp:inline distT="0" distB="0" distL="0" distR="0">
                        <wp:extent cx="965835" cy="862965"/>
                        <wp:effectExtent l="0" t="0" r="0" b="0"/>
                        <wp:docPr id="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65835" cy="862965"/>
                                </a:xfrm>
                                <a:prstGeom prst="rect">
                                  <a:avLst/>
                                </a:prstGeom>
                                <a:noFill/>
                                <a:ln>
                                  <a:noFill/>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5F158AF0">
                  <w:pPr>
                    <w:spacing w:line="276" w:lineRule="auto"/>
                    <w:jc w:val="center"/>
                    <w:rPr>
                      <w:color w:val="auto"/>
                      <w:spacing w:val="-2"/>
                      <w:szCs w:val="21"/>
                    </w:rPr>
                  </w:pPr>
                  <w:r>
                    <w:rPr>
                      <w:rFonts w:hAnsi="宋体"/>
                      <w:color w:val="auto"/>
                      <w:szCs w:val="21"/>
                    </w:rPr>
                    <w:t>一般工业固体废物</w:t>
                  </w:r>
                </w:p>
              </w:tc>
              <w:tc>
                <w:tcPr>
                  <w:tcW w:w="1158" w:type="pct"/>
                  <w:tcBorders>
                    <w:top w:val="single" w:color="auto" w:sz="4" w:space="0"/>
                    <w:left w:val="single" w:color="auto" w:sz="4" w:space="0"/>
                    <w:bottom w:val="single" w:color="auto" w:sz="4" w:space="0"/>
                    <w:right w:val="nil"/>
                  </w:tcBorders>
                  <w:vAlign w:val="center"/>
                </w:tcPr>
                <w:p w14:paraId="587FF8DF">
                  <w:pPr>
                    <w:spacing w:line="276" w:lineRule="auto"/>
                    <w:jc w:val="center"/>
                    <w:rPr>
                      <w:color w:val="auto"/>
                      <w:spacing w:val="-2"/>
                      <w:szCs w:val="21"/>
                    </w:rPr>
                  </w:pPr>
                  <w:r>
                    <w:rPr>
                      <w:rFonts w:hAnsi="宋体"/>
                      <w:color w:val="auto"/>
                      <w:szCs w:val="21"/>
                    </w:rPr>
                    <w:t>表示一般工业固体废物贮存、处置场</w:t>
                  </w:r>
                </w:p>
              </w:tc>
            </w:tr>
            <w:tr w14:paraId="19B4F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4" w:space="0"/>
                    <w:right w:val="single" w:color="auto" w:sz="4" w:space="0"/>
                  </w:tcBorders>
                  <w:vAlign w:val="center"/>
                </w:tcPr>
                <w:p w14:paraId="5763CBD7">
                  <w:pPr>
                    <w:spacing w:line="276" w:lineRule="auto"/>
                    <w:jc w:val="center"/>
                    <w:rPr>
                      <w:color w:val="auto"/>
                      <w:spacing w:val="-2"/>
                      <w:szCs w:val="21"/>
                    </w:rPr>
                  </w:pPr>
                  <w:r>
                    <w:rPr>
                      <w:color w:val="auto"/>
                      <w:szCs w:val="21"/>
                    </w:rPr>
                    <w:t>4</w:t>
                  </w:r>
                </w:p>
              </w:tc>
              <w:tc>
                <w:tcPr>
                  <w:tcW w:w="1138" w:type="pct"/>
                  <w:tcBorders>
                    <w:top w:val="single" w:color="auto" w:sz="4" w:space="0"/>
                    <w:left w:val="single" w:color="auto" w:sz="4" w:space="0"/>
                    <w:bottom w:val="single" w:color="auto" w:sz="4" w:space="0"/>
                    <w:right w:val="single" w:color="auto" w:sz="4" w:space="0"/>
                  </w:tcBorders>
                  <w:vAlign w:val="center"/>
                </w:tcPr>
                <w:p w14:paraId="2A8FE28E">
                  <w:pPr>
                    <w:spacing w:line="276" w:lineRule="auto"/>
                    <w:jc w:val="center"/>
                    <w:rPr>
                      <w:color w:val="auto"/>
                      <w:spacing w:val="-2"/>
                      <w:szCs w:val="21"/>
                    </w:rPr>
                  </w:pPr>
                  <w:r>
                    <w:rPr>
                      <w:color w:val="auto"/>
                      <w:spacing w:val="-2"/>
                      <w:szCs w:val="21"/>
                    </w:rPr>
                    <w:t>/</w:t>
                  </w:r>
                </w:p>
              </w:tc>
              <w:tc>
                <w:tcPr>
                  <w:tcW w:w="1176" w:type="pct"/>
                  <w:tcBorders>
                    <w:top w:val="single" w:color="auto" w:sz="4" w:space="0"/>
                    <w:left w:val="single" w:color="auto" w:sz="4" w:space="0"/>
                    <w:bottom w:val="single" w:color="auto" w:sz="4" w:space="0"/>
                    <w:right w:val="single" w:color="auto" w:sz="4" w:space="0"/>
                  </w:tcBorders>
                  <w:vAlign w:val="center"/>
                </w:tcPr>
                <w:p w14:paraId="6CF32731">
                  <w:pPr>
                    <w:spacing w:line="276" w:lineRule="auto"/>
                    <w:jc w:val="center"/>
                    <w:rPr>
                      <w:color w:val="auto"/>
                      <w:spacing w:val="-2"/>
                      <w:szCs w:val="21"/>
                    </w:rPr>
                  </w:pPr>
                  <w:r>
                    <w:rPr>
                      <w:color w:val="auto"/>
                    </w:rPr>
                    <w:drawing>
                      <wp:inline distT="0" distB="0" distL="0" distR="0">
                        <wp:extent cx="1089660" cy="855980"/>
                        <wp:effectExtent l="0" t="0" r="0" b="0"/>
                        <wp:docPr id="18" name="图片 9" descr="134fae8576539ba55bd811ec55de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134fae8576539ba55bd811ec55de34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89660" cy="855980"/>
                                </a:xfrm>
                                <a:prstGeom prst="rect">
                                  <a:avLst/>
                                </a:prstGeom>
                                <a:noFill/>
                                <a:ln>
                                  <a:noFill/>
                                </a:ln>
                              </pic:spPr>
                            </pic:pic>
                          </a:graphicData>
                        </a:graphic>
                      </wp:inline>
                    </w:drawing>
                  </w:r>
                </w:p>
              </w:tc>
              <w:tc>
                <w:tcPr>
                  <w:tcW w:w="1129" w:type="pct"/>
                  <w:tcBorders>
                    <w:top w:val="single" w:color="auto" w:sz="4" w:space="0"/>
                    <w:left w:val="single" w:color="auto" w:sz="4" w:space="0"/>
                    <w:bottom w:val="single" w:color="auto" w:sz="4" w:space="0"/>
                    <w:right w:val="single" w:color="auto" w:sz="4" w:space="0"/>
                  </w:tcBorders>
                  <w:vAlign w:val="center"/>
                </w:tcPr>
                <w:p w14:paraId="47337930">
                  <w:pPr>
                    <w:spacing w:line="276" w:lineRule="auto"/>
                    <w:jc w:val="center"/>
                    <w:rPr>
                      <w:color w:val="auto"/>
                      <w:spacing w:val="-2"/>
                      <w:szCs w:val="21"/>
                    </w:rPr>
                  </w:pPr>
                  <w:r>
                    <w:rPr>
                      <w:rFonts w:hAnsi="宋体"/>
                      <w:color w:val="auto"/>
                      <w:szCs w:val="21"/>
                    </w:rPr>
                    <w:t>危险废物</w:t>
                  </w:r>
                </w:p>
              </w:tc>
              <w:tc>
                <w:tcPr>
                  <w:tcW w:w="1158" w:type="pct"/>
                  <w:tcBorders>
                    <w:top w:val="single" w:color="auto" w:sz="4" w:space="0"/>
                    <w:left w:val="single" w:color="auto" w:sz="4" w:space="0"/>
                    <w:bottom w:val="single" w:color="auto" w:sz="4" w:space="0"/>
                    <w:right w:val="nil"/>
                  </w:tcBorders>
                  <w:vAlign w:val="center"/>
                </w:tcPr>
                <w:p w14:paraId="1CBCFFFB">
                  <w:pPr>
                    <w:spacing w:line="276" w:lineRule="auto"/>
                    <w:jc w:val="center"/>
                    <w:rPr>
                      <w:color w:val="auto"/>
                      <w:spacing w:val="-2"/>
                      <w:szCs w:val="21"/>
                    </w:rPr>
                  </w:pPr>
                  <w:r>
                    <w:rPr>
                      <w:rFonts w:hAnsi="宋体"/>
                      <w:color w:val="auto"/>
                      <w:szCs w:val="21"/>
                    </w:rPr>
                    <w:t>表示危险废物贮存、处置场</w:t>
                  </w:r>
                </w:p>
              </w:tc>
            </w:tr>
            <w:tr w14:paraId="495F4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99" w:type="pct"/>
                  <w:tcBorders>
                    <w:top w:val="single" w:color="auto" w:sz="4" w:space="0"/>
                    <w:left w:val="nil"/>
                    <w:bottom w:val="single" w:color="auto" w:sz="12" w:space="0"/>
                    <w:right w:val="single" w:color="auto" w:sz="4" w:space="0"/>
                  </w:tcBorders>
                  <w:vAlign w:val="center"/>
                </w:tcPr>
                <w:p w14:paraId="4E4D880F">
                  <w:pPr>
                    <w:spacing w:line="276" w:lineRule="auto"/>
                    <w:jc w:val="center"/>
                    <w:rPr>
                      <w:color w:val="auto"/>
                      <w:spacing w:val="-2"/>
                      <w:szCs w:val="21"/>
                    </w:rPr>
                  </w:pPr>
                  <w:r>
                    <w:rPr>
                      <w:color w:val="auto"/>
                      <w:szCs w:val="21"/>
                    </w:rPr>
                    <w:t>5</w:t>
                  </w:r>
                </w:p>
              </w:tc>
              <w:tc>
                <w:tcPr>
                  <w:tcW w:w="1138" w:type="pct"/>
                  <w:tcBorders>
                    <w:top w:val="single" w:color="auto" w:sz="4" w:space="0"/>
                    <w:left w:val="single" w:color="auto" w:sz="4" w:space="0"/>
                    <w:bottom w:val="single" w:color="auto" w:sz="12" w:space="0"/>
                    <w:right w:val="single" w:color="auto" w:sz="4" w:space="0"/>
                  </w:tcBorders>
                  <w:vAlign w:val="center"/>
                </w:tcPr>
                <w:p w14:paraId="0F69742E">
                  <w:pPr>
                    <w:spacing w:line="276" w:lineRule="auto"/>
                    <w:jc w:val="center"/>
                    <w:rPr>
                      <w:color w:val="auto"/>
                      <w:spacing w:val="-2"/>
                      <w:szCs w:val="21"/>
                    </w:rPr>
                  </w:pPr>
                  <w:r>
                    <w:rPr>
                      <w:color w:val="auto"/>
                      <w:szCs w:val="21"/>
                    </w:rPr>
                    <w:drawing>
                      <wp:inline distT="0" distB="0" distL="0" distR="0">
                        <wp:extent cx="855980" cy="855980"/>
                        <wp:effectExtent l="0" t="0" r="0" b="0"/>
                        <wp:docPr id="19"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descr="mark_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55980" cy="855980"/>
                                </a:xfrm>
                                <a:prstGeom prst="rect">
                                  <a:avLst/>
                                </a:prstGeom>
                                <a:noFill/>
                                <a:ln>
                                  <a:noFill/>
                                </a:ln>
                              </pic:spPr>
                            </pic:pic>
                          </a:graphicData>
                        </a:graphic>
                      </wp:inline>
                    </w:drawing>
                  </w:r>
                </w:p>
              </w:tc>
              <w:tc>
                <w:tcPr>
                  <w:tcW w:w="1176" w:type="pct"/>
                  <w:tcBorders>
                    <w:top w:val="single" w:color="auto" w:sz="4" w:space="0"/>
                    <w:left w:val="single" w:color="auto" w:sz="4" w:space="0"/>
                    <w:bottom w:val="single" w:color="auto" w:sz="12" w:space="0"/>
                    <w:right w:val="single" w:color="auto" w:sz="4" w:space="0"/>
                  </w:tcBorders>
                  <w:vAlign w:val="center"/>
                </w:tcPr>
                <w:p w14:paraId="5B9ABC2F">
                  <w:pPr>
                    <w:spacing w:line="276" w:lineRule="auto"/>
                    <w:jc w:val="center"/>
                    <w:rPr>
                      <w:color w:val="auto"/>
                      <w:spacing w:val="-2"/>
                      <w:szCs w:val="21"/>
                    </w:rPr>
                  </w:pPr>
                  <w:r>
                    <w:rPr>
                      <w:color w:val="auto"/>
                      <w:szCs w:val="21"/>
                    </w:rPr>
                    <w:drawing>
                      <wp:inline distT="0" distB="0" distL="0" distR="0">
                        <wp:extent cx="965835" cy="855980"/>
                        <wp:effectExtent l="0" t="0" r="0" b="0"/>
                        <wp:docPr id="20"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descr="mark_j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65835" cy="855980"/>
                                </a:xfrm>
                                <a:prstGeom prst="rect">
                                  <a:avLst/>
                                </a:prstGeom>
                                <a:noFill/>
                                <a:ln>
                                  <a:noFill/>
                                </a:ln>
                              </pic:spPr>
                            </pic:pic>
                          </a:graphicData>
                        </a:graphic>
                      </wp:inline>
                    </w:drawing>
                  </w:r>
                </w:p>
              </w:tc>
              <w:tc>
                <w:tcPr>
                  <w:tcW w:w="1129" w:type="pct"/>
                  <w:tcBorders>
                    <w:top w:val="single" w:color="auto" w:sz="4" w:space="0"/>
                    <w:left w:val="single" w:color="auto" w:sz="4" w:space="0"/>
                    <w:bottom w:val="single" w:color="auto" w:sz="12" w:space="0"/>
                    <w:right w:val="single" w:color="auto" w:sz="4" w:space="0"/>
                  </w:tcBorders>
                  <w:vAlign w:val="center"/>
                </w:tcPr>
                <w:p w14:paraId="5A324F1C">
                  <w:pPr>
                    <w:spacing w:line="276" w:lineRule="auto"/>
                    <w:jc w:val="center"/>
                    <w:rPr>
                      <w:color w:val="auto"/>
                      <w:spacing w:val="-2"/>
                      <w:szCs w:val="21"/>
                    </w:rPr>
                  </w:pPr>
                  <w:r>
                    <w:rPr>
                      <w:rFonts w:hAnsi="宋体"/>
                      <w:color w:val="auto"/>
                      <w:szCs w:val="21"/>
                    </w:rPr>
                    <w:t>噪声排放源</w:t>
                  </w:r>
                </w:p>
              </w:tc>
              <w:tc>
                <w:tcPr>
                  <w:tcW w:w="1158" w:type="pct"/>
                  <w:tcBorders>
                    <w:top w:val="single" w:color="auto" w:sz="4" w:space="0"/>
                    <w:left w:val="single" w:color="auto" w:sz="4" w:space="0"/>
                    <w:bottom w:val="single" w:color="auto" w:sz="12" w:space="0"/>
                    <w:right w:val="nil"/>
                  </w:tcBorders>
                  <w:vAlign w:val="center"/>
                </w:tcPr>
                <w:p w14:paraId="5711BE8F">
                  <w:pPr>
                    <w:spacing w:line="276" w:lineRule="auto"/>
                    <w:jc w:val="center"/>
                    <w:rPr>
                      <w:color w:val="auto"/>
                      <w:spacing w:val="-2"/>
                      <w:szCs w:val="21"/>
                    </w:rPr>
                  </w:pPr>
                  <w:r>
                    <w:rPr>
                      <w:rFonts w:hAnsi="宋体"/>
                      <w:color w:val="auto"/>
                      <w:szCs w:val="21"/>
                    </w:rPr>
                    <w:t>表示噪声向</w:t>
                  </w:r>
                </w:p>
                <w:p w14:paraId="5EC86889">
                  <w:pPr>
                    <w:spacing w:line="276" w:lineRule="auto"/>
                    <w:jc w:val="center"/>
                    <w:rPr>
                      <w:color w:val="auto"/>
                      <w:spacing w:val="-2"/>
                      <w:szCs w:val="21"/>
                    </w:rPr>
                  </w:pPr>
                  <w:r>
                    <w:rPr>
                      <w:rFonts w:hAnsi="宋体"/>
                      <w:color w:val="auto"/>
                      <w:szCs w:val="21"/>
                    </w:rPr>
                    <w:t>外环境排放</w:t>
                  </w:r>
                </w:p>
              </w:tc>
            </w:tr>
          </w:tbl>
          <w:p w14:paraId="666F6D71">
            <w:pPr>
              <w:spacing w:line="360" w:lineRule="auto"/>
              <w:jc w:val="center"/>
              <w:rPr>
                <w:b/>
                <w:bCs/>
                <w:color w:val="auto"/>
                <w:spacing w:val="-2"/>
                <w:sz w:val="24"/>
                <w:szCs w:val="20"/>
              </w:rPr>
            </w:pPr>
            <w:r>
              <w:rPr>
                <w:b/>
                <w:bCs/>
                <w:color w:val="auto"/>
                <w:sz w:val="24"/>
              </w:rPr>
              <w:t>表4-2</w:t>
            </w:r>
            <w:r>
              <w:rPr>
                <w:rFonts w:hint="eastAsia"/>
                <w:b/>
                <w:bCs/>
                <w:color w:val="auto"/>
                <w:sz w:val="24"/>
              </w:rPr>
              <w:t>8</w:t>
            </w:r>
            <w:r>
              <w:rPr>
                <w:b/>
                <w:bCs/>
                <w:color w:val="auto"/>
                <w:sz w:val="24"/>
              </w:rPr>
              <w:t xml:space="preserve">  环境保护图形标志的形状及颜色表</w:t>
            </w:r>
          </w:p>
          <w:tbl>
            <w:tblPr>
              <w:tblStyle w:val="40"/>
              <w:tblW w:w="844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11"/>
              <w:gridCol w:w="2111"/>
              <w:gridCol w:w="2112"/>
              <w:gridCol w:w="2112"/>
            </w:tblGrid>
            <w:tr w14:paraId="5C3C0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 w:hRule="atLeast"/>
              </w:trPr>
              <w:tc>
                <w:tcPr>
                  <w:tcW w:w="2111" w:type="dxa"/>
                  <w:vAlign w:val="center"/>
                </w:tcPr>
                <w:p w14:paraId="5BC668EF">
                  <w:pPr>
                    <w:spacing w:line="276" w:lineRule="auto"/>
                    <w:jc w:val="center"/>
                    <w:rPr>
                      <w:b/>
                      <w:color w:val="auto"/>
                      <w:spacing w:val="-2"/>
                      <w:szCs w:val="21"/>
                    </w:rPr>
                  </w:pPr>
                  <w:r>
                    <w:rPr>
                      <w:rFonts w:hAnsi="宋体"/>
                      <w:b/>
                      <w:color w:val="auto"/>
                      <w:szCs w:val="21"/>
                    </w:rPr>
                    <w:t>标志名称</w:t>
                  </w:r>
                </w:p>
              </w:tc>
              <w:tc>
                <w:tcPr>
                  <w:tcW w:w="2111" w:type="dxa"/>
                  <w:vAlign w:val="center"/>
                </w:tcPr>
                <w:p w14:paraId="65B46D57">
                  <w:pPr>
                    <w:spacing w:line="276" w:lineRule="auto"/>
                    <w:jc w:val="center"/>
                    <w:rPr>
                      <w:b/>
                      <w:color w:val="auto"/>
                      <w:spacing w:val="-2"/>
                      <w:szCs w:val="21"/>
                    </w:rPr>
                  </w:pPr>
                  <w:r>
                    <w:rPr>
                      <w:rFonts w:hAnsi="宋体"/>
                      <w:b/>
                      <w:color w:val="auto"/>
                      <w:szCs w:val="21"/>
                    </w:rPr>
                    <w:t>形状</w:t>
                  </w:r>
                </w:p>
              </w:tc>
              <w:tc>
                <w:tcPr>
                  <w:tcW w:w="2112" w:type="dxa"/>
                  <w:vAlign w:val="center"/>
                </w:tcPr>
                <w:p w14:paraId="55D39E9C">
                  <w:pPr>
                    <w:spacing w:line="276" w:lineRule="auto"/>
                    <w:jc w:val="center"/>
                    <w:rPr>
                      <w:b/>
                      <w:color w:val="auto"/>
                      <w:spacing w:val="-2"/>
                      <w:szCs w:val="21"/>
                    </w:rPr>
                  </w:pPr>
                  <w:r>
                    <w:rPr>
                      <w:rFonts w:hAnsi="宋体"/>
                      <w:b/>
                      <w:color w:val="auto"/>
                      <w:szCs w:val="21"/>
                    </w:rPr>
                    <w:t>背景颜色</w:t>
                  </w:r>
                </w:p>
              </w:tc>
              <w:tc>
                <w:tcPr>
                  <w:tcW w:w="2112" w:type="dxa"/>
                  <w:vAlign w:val="center"/>
                </w:tcPr>
                <w:p w14:paraId="3278B81D">
                  <w:pPr>
                    <w:spacing w:line="276" w:lineRule="auto"/>
                    <w:jc w:val="center"/>
                    <w:rPr>
                      <w:b/>
                      <w:color w:val="auto"/>
                      <w:spacing w:val="-2"/>
                      <w:szCs w:val="21"/>
                    </w:rPr>
                  </w:pPr>
                  <w:r>
                    <w:rPr>
                      <w:rFonts w:hAnsi="宋体"/>
                      <w:b/>
                      <w:color w:val="auto"/>
                      <w:szCs w:val="21"/>
                    </w:rPr>
                    <w:t>图形颜色</w:t>
                  </w:r>
                </w:p>
              </w:tc>
            </w:tr>
            <w:tr w14:paraId="569C95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2111" w:type="dxa"/>
                  <w:vAlign w:val="center"/>
                </w:tcPr>
                <w:p w14:paraId="066C964B">
                  <w:pPr>
                    <w:spacing w:line="276" w:lineRule="auto"/>
                    <w:jc w:val="center"/>
                    <w:rPr>
                      <w:color w:val="auto"/>
                      <w:spacing w:val="-2"/>
                      <w:szCs w:val="21"/>
                    </w:rPr>
                  </w:pPr>
                  <w:r>
                    <w:rPr>
                      <w:rFonts w:hAnsi="宋体"/>
                      <w:color w:val="auto"/>
                      <w:szCs w:val="21"/>
                    </w:rPr>
                    <w:t>警告标志</w:t>
                  </w:r>
                </w:p>
              </w:tc>
              <w:tc>
                <w:tcPr>
                  <w:tcW w:w="2111" w:type="dxa"/>
                  <w:vAlign w:val="center"/>
                </w:tcPr>
                <w:p w14:paraId="0ECE6609">
                  <w:pPr>
                    <w:spacing w:line="276" w:lineRule="auto"/>
                    <w:jc w:val="center"/>
                    <w:rPr>
                      <w:color w:val="auto"/>
                      <w:spacing w:val="-2"/>
                      <w:szCs w:val="21"/>
                    </w:rPr>
                  </w:pPr>
                  <w:r>
                    <w:rPr>
                      <w:rFonts w:hAnsi="宋体"/>
                      <w:color w:val="auto"/>
                      <w:szCs w:val="21"/>
                    </w:rPr>
                    <w:t>三角形边框</w:t>
                  </w:r>
                </w:p>
              </w:tc>
              <w:tc>
                <w:tcPr>
                  <w:tcW w:w="2112" w:type="dxa"/>
                  <w:vAlign w:val="center"/>
                </w:tcPr>
                <w:p w14:paraId="1F2D0FE2">
                  <w:pPr>
                    <w:spacing w:line="276" w:lineRule="auto"/>
                    <w:jc w:val="center"/>
                    <w:rPr>
                      <w:color w:val="auto"/>
                      <w:spacing w:val="-2"/>
                      <w:szCs w:val="21"/>
                    </w:rPr>
                  </w:pPr>
                  <w:r>
                    <w:rPr>
                      <w:rFonts w:hAnsi="宋体"/>
                      <w:color w:val="auto"/>
                      <w:szCs w:val="21"/>
                    </w:rPr>
                    <w:t>黄色</w:t>
                  </w:r>
                </w:p>
              </w:tc>
              <w:tc>
                <w:tcPr>
                  <w:tcW w:w="2112" w:type="dxa"/>
                  <w:vAlign w:val="center"/>
                </w:tcPr>
                <w:p w14:paraId="1EC715D0">
                  <w:pPr>
                    <w:spacing w:line="276" w:lineRule="auto"/>
                    <w:jc w:val="center"/>
                    <w:rPr>
                      <w:color w:val="auto"/>
                      <w:spacing w:val="-2"/>
                      <w:szCs w:val="21"/>
                    </w:rPr>
                  </w:pPr>
                  <w:r>
                    <w:rPr>
                      <w:rFonts w:hAnsi="宋体"/>
                      <w:color w:val="auto"/>
                      <w:szCs w:val="21"/>
                    </w:rPr>
                    <w:t>黑色</w:t>
                  </w:r>
                </w:p>
              </w:tc>
            </w:tr>
            <w:tr w14:paraId="46835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111" w:type="dxa"/>
                  <w:vAlign w:val="center"/>
                </w:tcPr>
                <w:p w14:paraId="50278BEE">
                  <w:pPr>
                    <w:spacing w:line="276" w:lineRule="auto"/>
                    <w:jc w:val="center"/>
                    <w:rPr>
                      <w:color w:val="auto"/>
                      <w:spacing w:val="-2"/>
                      <w:szCs w:val="21"/>
                    </w:rPr>
                  </w:pPr>
                  <w:r>
                    <w:rPr>
                      <w:rFonts w:hAnsi="宋体"/>
                      <w:color w:val="auto"/>
                      <w:szCs w:val="21"/>
                    </w:rPr>
                    <w:t>提示标志</w:t>
                  </w:r>
                </w:p>
              </w:tc>
              <w:tc>
                <w:tcPr>
                  <w:tcW w:w="2111" w:type="dxa"/>
                  <w:vAlign w:val="center"/>
                </w:tcPr>
                <w:p w14:paraId="18300121">
                  <w:pPr>
                    <w:spacing w:line="276" w:lineRule="auto"/>
                    <w:jc w:val="center"/>
                    <w:rPr>
                      <w:color w:val="auto"/>
                      <w:spacing w:val="-2"/>
                      <w:szCs w:val="21"/>
                    </w:rPr>
                  </w:pPr>
                  <w:r>
                    <w:rPr>
                      <w:rFonts w:hAnsi="宋体"/>
                      <w:color w:val="auto"/>
                      <w:szCs w:val="21"/>
                    </w:rPr>
                    <w:t>正方形边框</w:t>
                  </w:r>
                </w:p>
              </w:tc>
              <w:tc>
                <w:tcPr>
                  <w:tcW w:w="2112" w:type="dxa"/>
                  <w:vAlign w:val="center"/>
                </w:tcPr>
                <w:p w14:paraId="04A81666">
                  <w:pPr>
                    <w:spacing w:line="276" w:lineRule="auto"/>
                    <w:jc w:val="center"/>
                    <w:rPr>
                      <w:color w:val="auto"/>
                      <w:spacing w:val="-2"/>
                      <w:szCs w:val="21"/>
                    </w:rPr>
                  </w:pPr>
                  <w:r>
                    <w:rPr>
                      <w:rFonts w:hAnsi="宋体"/>
                      <w:color w:val="auto"/>
                      <w:szCs w:val="21"/>
                    </w:rPr>
                    <w:t>绿色</w:t>
                  </w:r>
                </w:p>
              </w:tc>
              <w:tc>
                <w:tcPr>
                  <w:tcW w:w="2112" w:type="dxa"/>
                  <w:vAlign w:val="center"/>
                </w:tcPr>
                <w:p w14:paraId="3F6FFE81">
                  <w:pPr>
                    <w:spacing w:line="276" w:lineRule="auto"/>
                    <w:jc w:val="center"/>
                    <w:rPr>
                      <w:color w:val="auto"/>
                      <w:spacing w:val="-2"/>
                      <w:szCs w:val="21"/>
                    </w:rPr>
                  </w:pPr>
                  <w:r>
                    <w:rPr>
                      <w:rFonts w:hAnsi="宋体"/>
                      <w:color w:val="auto"/>
                      <w:szCs w:val="21"/>
                    </w:rPr>
                    <w:t>白色</w:t>
                  </w:r>
                </w:p>
              </w:tc>
            </w:tr>
          </w:tbl>
          <w:p w14:paraId="38C295DC">
            <w:pPr>
              <w:spacing w:line="360" w:lineRule="auto"/>
              <w:jc w:val="center"/>
              <w:rPr>
                <w:b/>
                <w:color w:val="002DC7"/>
                <w:sz w:val="24"/>
                <w:szCs w:val="28"/>
              </w:rPr>
            </w:pPr>
          </w:p>
          <w:p w14:paraId="5D44C7B6">
            <w:pPr>
              <w:pStyle w:val="57"/>
              <w:rPr>
                <w:color w:val="002DC7"/>
              </w:rPr>
            </w:pPr>
          </w:p>
        </w:tc>
      </w:tr>
    </w:tbl>
    <w:p w14:paraId="5698CE23">
      <w:pPr>
        <w:widowControl/>
        <w:outlineLvl w:val="0"/>
        <w:rPr>
          <w:rFonts w:hint="eastAsia" w:ascii="宋体" w:hAnsi="宋体"/>
          <w:b/>
          <w:bCs/>
          <w:color w:val="0000FF"/>
          <w:kern w:val="0"/>
          <w:sz w:val="30"/>
          <w:szCs w:val="30"/>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bookmarkEnd w:id="21"/>
    <w:p w14:paraId="02E5BE48">
      <w:pPr>
        <w:widowControl/>
        <w:jc w:val="center"/>
        <w:outlineLvl w:val="0"/>
        <w:rPr>
          <w:rFonts w:hint="eastAsia" w:ascii="宋体" w:hAnsi="宋体"/>
          <w:b/>
          <w:bCs/>
          <w:color w:val="auto"/>
          <w:kern w:val="0"/>
          <w:sz w:val="30"/>
          <w:szCs w:val="30"/>
        </w:rPr>
      </w:pPr>
      <w:r>
        <w:rPr>
          <w:rFonts w:hint="eastAsia" w:ascii="宋体" w:hAnsi="宋体"/>
          <w:b/>
          <w:bCs/>
          <w:color w:val="auto"/>
          <w:kern w:val="0"/>
          <w:sz w:val="30"/>
          <w:szCs w:val="30"/>
        </w:rPr>
        <w:t>五、环境</w:t>
      </w:r>
      <w:r>
        <w:rPr>
          <w:rFonts w:ascii="宋体" w:hAnsi="宋体"/>
          <w:b/>
          <w:bCs/>
          <w:color w:val="auto"/>
          <w:kern w:val="0"/>
          <w:sz w:val="30"/>
          <w:szCs w:val="30"/>
        </w:rPr>
        <w:t>保护措施监督检查清单</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59"/>
        <w:gridCol w:w="1134"/>
        <w:gridCol w:w="2126"/>
        <w:gridCol w:w="3039"/>
      </w:tblGrid>
      <w:tr w14:paraId="2948E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9" w:hRule="atLeast"/>
          <w:jc w:val="center"/>
        </w:trPr>
        <w:tc>
          <w:tcPr>
            <w:tcW w:w="959" w:type="dxa"/>
            <w:tcBorders>
              <w:top w:val="single" w:color="000000" w:sz="6" w:space="0"/>
              <w:left w:val="single" w:color="000000" w:sz="6" w:space="0"/>
              <w:tl2br w:val="single" w:color="auto" w:sz="6" w:space="0"/>
            </w:tcBorders>
            <w:vAlign w:val="center"/>
          </w:tcPr>
          <w:p w14:paraId="42C19205">
            <w:pPr>
              <w:jc w:val="right"/>
              <w:rPr>
                <w:b/>
                <w:bCs/>
                <w:color w:val="auto"/>
                <w:sz w:val="24"/>
                <w:szCs w:val="24"/>
              </w:rPr>
            </w:pPr>
            <w:r>
              <w:rPr>
                <w:b/>
                <w:bCs/>
                <w:color w:val="auto"/>
                <w:sz w:val="24"/>
                <w:szCs w:val="24"/>
              </w:rPr>
              <w:t>内容</w:t>
            </w:r>
          </w:p>
          <w:p w14:paraId="170B96B3">
            <w:pPr>
              <w:jc w:val="left"/>
              <w:rPr>
                <w:b/>
                <w:bCs/>
                <w:color w:val="auto"/>
                <w:sz w:val="24"/>
                <w:szCs w:val="24"/>
              </w:rPr>
            </w:pPr>
            <w:r>
              <w:rPr>
                <w:rFonts w:hint="eastAsia"/>
                <w:b/>
                <w:bCs/>
                <w:color w:val="auto"/>
                <w:sz w:val="24"/>
                <w:szCs w:val="24"/>
              </w:rPr>
              <w:t>要素</w:t>
            </w:r>
          </w:p>
        </w:tc>
        <w:tc>
          <w:tcPr>
            <w:tcW w:w="1559" w:type="dxa"/>
            <w:tcBorders>
              <w:top w:val="single" w:color="000000" w:sz="6" w:space="0"/>
            </w:tcBorders>
            <w:vAlign w:val="center"/>
          </w:tcPr>
          <w:p w14:paraId="32A10315">
            <w:pPr>
              <w:jc w:val="center"/>
              <w:rPr>
                <w:b/>
                <w:bCs/>
                <w:color w:val="auto"/>
                <w:sz w:val="24"/>
                <w:szCs w:val="24"/>
              </w:rPr>
            </w:pPr>
            <w:r>
              <w:rPr>
                <w:rFonts w:hint="eastAsia"/>
                <w:b/>
                <w:bCs/>
                <w:color w:val="auto"/>
                <w:sz w:val="24"/>
                <w:szCs w:val="24"/>
              </w:rPr>
              <w:t>排放口（编号、名称）/污染源</w:t>
            </w:r>
          </w:p>
        </w:tc>
        <w:tc>
          <w:tcPr>
            <w:tcW w:w="1134" w:type="dxa"/>
            <w:tcBorders>
              <w:top w:val="single" w:color="000000" w:sz="6" w:space="0"/>
            </w:tcBorders>
            <w:vAlign w:val="center"/>
          </w:tcPr>
          <w:p w14:paraId="65FFFCFE">
            <w:pPr>
              <w:jc w:val="center"/>
              <w:rPr>
                <w:b/>
                <w:bCs/>
                <w:color w:val="auto"/>
                <w:sz w:val="24"/>
                <w:szCs w:val="24"/>
              </w:rPr>
            </w:pPr>
            <w:r>
              <w:rPr>
                <w:rFonts w:hint="eastAsia"/>
                <w:b/>
                <w:bCs/>
                <w:color w:val="auto"/>
                <w:sz w:val="24"/>
                <w:szCs w:val="24"/>
              </w:rPr>
              <w:t>污染物</w:t>
            </w:r>
            <w:r>
              <w:rPr>
                <w:b/>
                <w:bCs/>
                <w:color w:val="auto"/>
                <w:sz w:val="24"/>
                <w:szCs w:val="24"/>
              </w:rPr>
              <w:t>项目</w:t>
            </w:r>
          </w:p>
        </w:tc>
        <w:tc>
          <w:tcPr>
            <w:tcW w:w="2126" w:type="dxa"/>
            <w:tcBorders>
              <w:top w:val="single" w:color="000000" w:sz="6" w:space="0"/>
            </w:tcBorders>
            <w:vAlign w:val="center"/>
          </w:tcPr>
          <w:p w14:paraId="2899773D">
            <w:pPr>
              <w:widowControl/>
              <w:jc w:val="center"/>
              <w:rPr>
                <w:b/>
                <w:bCs/>
                <w:color w:val="auto"/>
                <w:kern w:val="0"/>
                <w:sz w:val="24"/>
                <w:szCs w:val="24"/>
              </w:rPr>
            </w:pPr>
            <w:r>
              <w:rPr>
                <w:rFonts w:hint="eastAsia"/>
                <w:b/>
                <w:bCs/>
                <w:color w:val="auto"/>
                <w:kern w:val="0"/>
                <w:sz w:val="24"/>
                <w:szCs w:val="24"/>
              </w:rPr>
              <w:t>环境保护措施</w:t>
            </w:r>
          </w:p>
        </w:tc>
        <w:tc>
          <w:tcPr>
            <w:tcW w:w="3039" w:type="dxa"/>
            <w:tcBorders>
              <w:top w:val="single" w:color="000000" w:sz="6" w:space="0"/>
              <w:right w:val="single" w:color="000000" w:sz="6" w:space="0"/>
            </w:tcBorders>
            <w:vAlign w:val="center"/>
          </w:tcPr>
          <w:p w14:paraId="22802645">
            <w:pPr>
              <w:widowControl/>
              <w:jc w:val="center"/>
              <w:rPr>
                <w:b/>
                <w:bCs/>
                <w:color w:val="auto"/>
                <w:kern w:val="0"/>
                <w:sz w:val="24"/>
                <w:szCs w:val="24"/>
              </w:rPr>
            </w:pPr>
            <w:r>
              <w:rPr>
                <w:rFonts w:hint="eastAsia"/>
                <w:b/>
                <w:bCs/>
                <w:color w:val="auto"/>
                <w:kern w:val="0"/>
                <w:sz w:val="24"/>
                <w:szCs w:val="24"/>
              </w:rPr>
              <w:t>执行</w:t>
            </w:r>
            <w:r>
              <w:rPr>
                <w:b/>
                <w:bCs/>
                <w:color w:val="auto"/>
                <w:kern w:val="0"/>
                <w:sz w:val="24"/>
                <w:szCs w:val="24"/>
              </w:rPr>
              <w:t>标准</w:t>
            </w:r>
          </w:p>
        </w:tc>
      </w:tr>
      <w:tr w14:paraId="71CC50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72" w:hRule="atLeast"/>
          <w:jc w:val="center"/>
        </w:trPr>
        <w:tc>
          <w:tcPr>
            <w:tcW w:w="959" w:type="dxa"/>
            <w:tcBorders>
              <w:left w:val="single" w:color="000000" w:sz="6" w:space="0"/>
            </w:tcBorders>
            <w:vAlign w:val="center"/>
          </w:tcPr>
          <w:p w14:paraId="6CD2E535">
            <w:pPr>
              <w:widowControl/>
              <w:ind w:right="105"/>
              <w:jc w:val="center"/>
              <w:rPr>
                <w:color w:val="auto"/>
                <w:kern w:val="0"/>
                <w:sz w:val="24"/>
                <w:szCs w:val="24"/>
              </w:rPr>
            </w:pPr>
            <w:r>
              <w:rPr>
                <w:color w:val="auto"/>
                <w:kern w:val="0"/>
                <w:sz w:val="24"/>
                <w:szCs w:val="24"/>
              </w:rPr>
              <w:t>大气</w:t>
            </w:r>
          </w:p>
          <w:p w14:paraId="71B005E8">
            <w:pPr>
              <w:widowControl/>
              <w:ind w:right="105"/>
              <w:jc w:val="center"/>
              <w:rPr>
                <w:color w:val="auto"/>
                <w:kern w:val="0"/>
                <w:sz w:val="24"/>
                <w:szCs w:val="24"/>
              </w:rPr>
            </w:pPr>
            <w:r>
              <w:rPr>
                <w:color w:val="auto"/>
                <w:kern w:val="0"/>
                <w:sz w:val="24"/>
                <w:szCs w:val="24"/>
              </w:rPr>
              <w:t>污染</w:t>
            </w:r>
          </w:p>
          <w:p w14:paraId="08DF859A">
            <w:pPr>
              <w:widowControl/>
              <w:ind w:right="105"/>
              <w:jc w:val="center"/>
              <w:rPr>
                <w:color w:val="auto"/>
                <w:kern w:val="0"/>
                <w:sz w:val="24"/>
                <w:szCs w:val="24"/>
              </w:rPr>
            </w:pPr>
            <w:r>
              <w:rPr>
                <w:color w:val="auto"/>
                <w:kern w:val="0"/>
                <w:sz w:val="24"/>
                <w:szCs w:val="24"/>
              </w:rPr>
              <w:t>物</w:t>
            </w:r>
          </w:p>
        </w:tc>
        <w:tc>
          <w:tcPr>
            <w:tcW w:w="1559" w:type="dxa"/>
            <w:vAlign w:val="center"/>
          </w:tcPr>
          <w:p w14:paraId="02152337">
            <w:pPr>
              <w:jc w:val="center"/>
              <w:rPr>
                <w:color w:val="auto"/>
                <w:sz w:val="24"/>
                <w:szCs w:val="24"/>
              </w:rPr>
            </w:pPr>
            <w:r>
              <w:rPr>
                <w:rFonts w:hint="eastAsia"/>
                <w:color w:val="auto"/>
                <w:sz w:val="24"/>
                <w:szCs w:val="24"/>
              </w:rPr>
              <w:t>DA001排气筒</w:t>
            </w:r>
          </w:p>
        </w:tc>
        <w:tc>
          <w:tcPr>
            <w:tcW w:w="1134" w:type="dxa"/>
            <w:vAlign w:val="center"/>
          </w:tcPr>
          <w:p w14:paraId="7FF4A648">
            <w:pPr>
              <w:jc w:val="center"/>
              <w:rPr>
                <w:rFonts w:hint="eastAsia" w:eastAsia="宋体"/>
                <w:color w:val="auto"/>
                <w:sz w:val="24"/>
                <w:szCs w:val="24"/>
                <w:lang w:eastAsia="zh-CN"/>
              </w:rPr>
            </w:pPr>
            <w:r>
              <w:rPr>
                <w:rFonts w:hint="eastAsia"/>
                <w:color w:val="auto"/>
                <w:sz w:val="24"/>
                <w:szCs w:val="24"/>
                <w:lang w:val="en-US" w:eastAsia="zh-CN"/>
              </w:rPr>
              <w:t>颗粒物</w:t>
            </w:r>
          </w:p>
        </w:tc>
        <w:tc>
          <w:tcPr>
            <w:tcW w:w="2126" w:type="dxa"/>
            <w:vAlign w:val="center"/>
          </w:tcPr>
          <w:p w14:paraId="679C05ED">
            <w:pPr>
              <w:widowControl/>
              <w:jc w:val="center"/>
              <w:rPr>
                <w:bCs/>
                <w:color w:val="auto"/>
                <w:sz w:val="24"/>
                <w:szCs w:val="24"/>
              </w:rPr>
            </w:pPr>
            <w:r>
              <w:rPr>
                <w:rFonts w:hint="eastAsia"/>
                <w:color w:val="auto"/>
                <w:sz w:val="24"/>
                <w:szCs w:val="24"/>
                <w:lang w:val="en-US" w:eastAsia="zh-CN"/>
              </w:rPr>
              <w:t>配料</w:t>
            </w:r>
            <w:r>
              <w:rPr>
                <w:rFonts w:hint="eastAsia"/>
                <w:color w:val="auto"/>
                <w:sz w:val="24"/>
                <w:szCs w:val="24"/>
              </w:rPr>
              <w:t>废气经集气罩收集，</w:t>
            </w:r>
            <w:r>
              <w:rPr>
                <w:rFonts w:hint="eastAsia"/>
                <w:color w:val="auto"/>
                <w:sz w:val="24"/>
                <w:szCs w:val="24"/>
                <w:lang w:val="en-US" w:eastAsia="zh-CN"/>
              </w:rPr>
              <w:t>搅拌</w:t>
            </w:r>
            <w:r>
              <w:rPr>
                <w:rFonts w:hint="eastAsia"/>
                <w:color w:val="auto"/>
                <w:sz w:val="24"/>
                <w:szCs w:val="24"/>
              </w:rPr>
              <w:t>废气经</w:t>
            </w:r>
            <w:r>
              <w:rPr>
                <w:rFonts w:hint="eastAsia"/>
                <w:color w:val="auto"/>
                <w:sz w:val="24"/>
                <w:szCs w:val="24"/>
                <w:lang w:val="en-US" w:eastAsia="zh-CN"/>
              </w:rPr>
              <w:t>密闭收集</w:t>
            </w:r>
            <w:r>
              <w:rPr>
                <w:rFonts w:hint="eastAsia"/>
                <w:color w:val="auto"/>
                <w:sz w:val="24"/>
                <w:szCs w:val="24"/>
              </w:rPr>
              <w:t>，废气汇总后通过</w:t>
            </w:r>
            <w:r>
              <w:rPr>
                <w:rFonts w:hint="eastAsia"/>
                <w:color w:val="auto"/>
                <w:sz w:val="24"/>
                <w:szCs w:val="24"/>
                <w:lang w:val="en-US" w:eastAsia="zh-CN"/>
              </w:rPr>
              <w:t>布袋处理器</w:t>
            </w:r>
            <w:r>
              <w:rPr>
                <w:rFonts w:hint="eastAsia"/>
                <w:color w:val="auto"/>
                <w:sz w:val="24"/>
                <w:szCs w:val="24"/>
              </w:rPr>
              <w:t>装置处理后通过1根15m高排气筒排放</w:t>
            </w:r>
          </w:p>
        </w:tc>
        <w:tc>
          <w:tcPr>
            <w:tcW w:w="3039" w:type="dxa"/>
            <w:tcBorders>
              <w:right w:val="single" w:color="000000" w:sz="6" w:space="0"/>
            </w:tcBorders>
            <w:vAlign w:val="center"/>
          </w:tcPr>
          <w:p w14:paraId="679C49E9">
            <w:pPr>
              <w:widowControl/>
              <w:jc w:val="center"/>
              <w:rPr>
                <w:color w:val="auto"/>
                <w:kern w:val="0"/>
                <w:sz w:val="24"/>
                <w:szCs w:val="24"/>
              </w:rPr>
            </w:pPr>
            <w:r>
              <w:rPr>
                <w:rFonts w:hint="default"/>
                <w:color w:val="auto"/>
                <w:kern w:val="0"/>
                <w:sz w:val="24"/>
                <w:szCs w:val="24"/>
              </w:rPr>
              <w:t>有组织废气</w:t>
            </w:r>
            <w:r>
              <w:rPr>
                <w:rFonts w:hint="eastAsia"/>
                <w:color w:val="auto"/>
                <w:kern w:val="0"/>
                <w:sz w:val="24"/>
                <w:szCs w:val="24"/>
                <w:lang w:val="en-US" w:eastAsia="zh-CN"/>
              </w:rPr>
              <w:t>颗粒物</w:t>
            </w:r>
            <w:r>
              <w:rPr>
                <w:rFonts w:hint="default"/>
                <w:color w:val="auto"/>
                <w:kern w:val="0"/>
                <w:sz w:val="24"/>
                <w:szCs w:val="24"/>
              </w:rPr>
              <w:t>排放执行</w:t>
            </w:r>
            <w:r>
              <w:rPr>
                <w:color w:val="auto"/>
                <w:kern w:val="0"/>
                <w:sz w:val="24"/>
                <w:szCs w:val="24"/>
              </w:rPr>
              <w:t>《水泥工业大气污染物排放标准》（DB34/3576-2020）中</w:t>
            </w:r>
            <w:r>
              <w:rPr>
                <w:rFonts w:hint="eastAsia"/>
                <w:color w:val="auto"/>
                <w:kern w:val="0"/>
                <w:sz w:val="24"/>
                <w:szCs w:val="24"/>
              </w:rPr>
              <w:t>表1 现有与新建企业大气污染物最高允许排放</w:t>
            </w:r>
            <w:r>
              <w:rPr>
                <w:color w:val="auto"/>
                <w:kern w:val="0"/>
                <w:sz w:val="24"/>
                <w:szCs w:val="24"/>
              </w:rPr>
              <w:t>浓度限值要求。</w:t>
            </w:r>
            <w:r>
              <w:rPr>
                <w:rFonts w:hint="default"/>
                <w:color w:val="auto"/>
                <w:kern w:val="0"/>
                <w:sz w:val="24"/>
                <w:szCs w:val="24"/>
              </w:rPr>
              <w:t>厂界废气无组织排放执行</w:t>
            </w:r>
            <w:r>
              <w:rPr>
                <w:color w:val="auto"/>
                <w:kern w:val="0"/>
                <w:sz w:val="24"/>
                <w:szCs w:val="24"/>
              </w:rPr>
              <w:t>《水泥工业大气污染物排放标准》（DB34/3576-2020）</w:t>
            </w:r>
            <w:r>
              <w:rPr>
                <w:rFonts w:hint="default"/>
                <w:color w:val="auto"/>
                <w:kern w:val="0"/>
                <w:sz w:val="24"/>
                <w:szCs w:val="24"/>
              </w:rPr>
              <w:t>中表2 大气污染物无组织排放限值</w:t>
            </w:r>
          </w:p>
        </w:tc>
      </w:tr>
      <w:tr w14:paraId="08E81A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5" w:hRule="atLeast"/>
          <w:jc w:val="center"/>
        </w:trPr>
        <w:tc>
          <w:tcPr>
            <w:tcW w:w="959" w:type="dxa"/>
            <w:tcBorders>
              <w:left w:val="single" w:color="000000" w:sz="6" w:space="0"/>
            </w:tcBorders>
            <w:vAlign w:val="center"/>
          </w:tcPr>
          <w:p w14:paraId="46317FF3">
            <w:pPr>
              <w:widowControl/>
              <w:ind w:right="105"/>
              <w:jc w:val="center"/>
              <w:rPr>
                <w:color w:val="auto"/>
                <w:kern w:val="0"/>
                <w:sz w:val="24"/>
                <w:szCs w:val="24"/>
              </w:rPr>
            </w:pPr>
            <w:r>
              <w:rPr>
                <w:color w:val="auto"/>
                <w:kern w:val="0"/>
                <w:sz w:val="24"/>
                <w:szCs w:val="24"/>
              </w:rPr>
              <w:t>水污染物</w:t>
            </w:r>
          </w:p>
        </w:tc>
        <w:tc>
          <w:tcPr>
            <w:tcW w:w="1559" w:type="dxa"/>
            <w:vAlign w:val="center"/>
          </w:tcPr>
          <w:p w14:paraId="74066F5B">
            <w:pPr>
              <w:jc w:val="center"/>
              <w:rPr>
                <w:color w:val="auto"/>
                <w:sz w:val="24"/>
                <w:szCs w:val="24"/>
              </w:rPr>
            </w:pPr>
            <w:r>
              <w:rPr>
                <w:color w:val="auto"/>
                <w:sz w:val="24"/>
                <w:szCs w:val="24"/>
              </w:rPr>
              <w:t>生活污水</w:t>
            </w:r>
          </w:p>
        </w:tc>
        <w:tc>
          <w:tcPr>
            <w:tcW w:w="1134" w:type="dxa"/>
            <w:vAlign w:val="center"/>
          </w:tcPr>
          <w:p w14:paraId="35EAED58">
            <w:pPr>
              <w:autoSpaceDE w:val="0"/>
              <w:autoSpaceDN w:val="0"/>
              <w:adjustRightInd w:val="0"/>
              <w:jc w:val="center"/>
              <w:rPr>
                <w:color w:val="auto"/>
                <w:sz w:val="24"/>
                <w:szCs w:val="24"/>
              </w:rPr>
            </w:pPr>
            <w:r>
              <w:rPr>
                <w:rFonts w:hint="eastAsia"/>
                <w:color w:val="auto"/>
                <w:sz w:val="24"/>
                <w:szCs w:val="24"/>
              </w:rPr>
              <w:t>pH、</w:t>
            </w:r>
            <w:r>
              <w:rPr>
                <w:color w:val="auto"/>
                <w:sz w:val="24"/>
                <w:szCs w:val="24"/>
              </w:rPr>
              <w:t>COD</w:t>
            </w:r>
            <w:r>
              <w:rPr>
                <w:color w:val="auto"/>
                <w:sz w:val="24"/>
                <w:szCs w:val="24"/>
                <w:vertAlign w:val="subscript"/>
              </w:rPr>
              <w:t>Cr</w:t>
            </w:r>
            <w:r>
              <w:rPr>
                <w:rFonts w:hint="eastAsia"/>
                <w:color w:val="auto"/>
                <w:sz w:val="24"/>
                <w:szCs w:val="24"/>
              </w:rPr>
              <w:t>、</w:t>
            </w:r>
            <w:r>
              <w:rPr>
                <w:color w:val="auto"/>
                <w:sz w:val="24"/>
                <w:szCs w:val="24"/>
              </w:rPr>
              <w:t>BOD</w:t>
            </w:r>
            <w:r>
              <w:rPr>
                <w:color w:val="auto"/>
                <w:sz w:val="24"/>
                <w:szCs w:val="24"/>
                <w:vertAlign w:val="subscript"/>
              </w:rPr>
              <w:t>5</w:t>
            </w:r>
            <w:r>
              <w:rPr>
                <w:rFonts w:hint="eastAsia"/>
                <w:color w:val="auto"/>
                <w:sz w:val="24"/>
                <w:szCs w:val="24"/>
              </w:rPr>
              <w:t>、</w:t>
            </w:r>
            <w:r>
              <w:rPr>
                <w:color w:val="auto"/>
                <w:sz w:val="24"/>
                <w:szCs w:val="24"/>
              </w:rPr>
              <w:t>NH</w:t>
            </w:r>
            <w:r>
              <w:rPr>
                <w:color w:val="auto"/>
                <w:sz w:val="24"/>
                <w:szCs w:val="24"/>
                <w:vertAlign w:val="subscript"/>
              </w:rPr>
              <w:t>3</w:t>
            </w:r>
            <w:r>
              <w:rPr>
                <w:color w:val="auto"/>
                <w:sz w:val="24"/>
                <w:szCs w:val="24"/>
              </w:rPr>
              <w:t>-N</w:t>
            </w:r>
            <w:r>
              <w:rPr>
                <w:rFonts w:hint="eastAsia"/>
                <w:color w:val="auto"/>
                <w:sz w:val="24"/>
                <w:szCs w:val="24"/>
              </w:rPr>
              <w:t>、</w:t>
            </w:r>
            <w:r>
              <w:rPr>
                <w:color w:val="auto"/>
                <w:sz w:val="24"/>
                <w:szCs w:val="24"/>
              </w:rPr>
              <w:t xml:space="preserve">SS </w:t>
            </w:r>
          </w:p>
        </w:tc>
        <w:tc>
          <w:tcPr>
            <w:tcW w:w="2126" w:type="dxa"/>
            <w:vAlign w:val="center"/>
          </w:tcPr>
          <w:p w14:paraId="10A02968">
            <w:pPr>
              <w:jc w:val="center"/>
              <w:rPr>
                <w:color w:val="auto"/>
                <w:sz w:val="24"/>
                <w:szCs w:val="24"/>
              </w:rPr>
            </w:pPr>
            <w:r>
              <w:rPr>
                <w:rFonts w:hint="eastAsia"/>
                <w:color w:val="auto"/>
                <w:sz w:val="24"/>
                <w:szCs w:val="24"/>
              </w:rPr>
              <w:t>雨污分流，生活污水接管</w:t>
            </w:r>
            <w:r>
              <w:rPr>
                <w:rFonts w:hint="eastAsia"/>
                <w:color w:val="auto"/>
                <w:sz w:val="24"/>
                <w:szCs w:val="24"/>
                <w:lang w:val="en-US" w:eastAsia="zh-CN"/>
              </w:rPr>
              <w:t>淮南经济开发区</w:t>
            </w:r>
            <w:r>
              <w:rPr>
                <w:rFonts w:hint="eastAsia"/>
                <w:color w:val="auto"/>
                <w:sz w:val="24"/>
                <w:szCs w:val="24"/>
              </w:rPr>
              <w:t>污水处理厂</w:t>
            </w:r>
          </w:p>
        </w:tc>
        <w:tc>
          <w:tcPr>
            <w:tcW w:w="3039" w:type="dxa"/>
            <w:tcBorders>
              <w:right w:val="single" w:color="000000" w:sz="6" w:space="0"/>
            </w:tcBorders>
            <w:vAlign w:val="center"/>
          </w:tcPr>
          <w:p w14:paraId="6B61257D">
            <w:pPr>
              <w:pStyle w:val="57"/>
              <w:spacing w:line="240" w:lineRule="auto"/>
              <w:ind w:left="0" w:leftChars="0" w:firstLine="0" w:firstLineChars="0"/>
              <w:jc w:val="center"/>
              <w:rPr>
                <w:rFonts w:hint="eastAsia" w:hAnsi="宋体"/>
                <w:b w:val="0"/>
                <w:bCs w:val="0"/>
                <w:color w:val="auto"/>
                <w:kern w:val="2"/>
              </w:rPr>
            </w:pPr>
            <w:r>
              <w:rPr>
                <w:rFonts w:hint="eastAsia"/>
                <w:b w:val="0"/>
                <w:bCs w:val="0"/>
                <w:color w:val="auto"/>
                <w:lang w:val="en-US" w:eastAsia="zh-CN"/>
              </w:rPr>
              <w:t>淮南经济开发区</w:t>
            </w:r>
            <w:r>
              <w:rPr>
                <w:rFonts w:hint="eastAsia"/>
                <w:b w:val="0"/>
                <w:bCs w:val="0"/>
                <w:color w:val="auto"/>
              </w:rPr>
              <w:t>污水处理厂接管标准</w:t>
            </w:r>
          </w:p>
        </w:tc>
      </w:tr>
      <w:tr w14:paraId="536B91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5" w:hRule="atLeast"/>
          <w:jc w:val="center"/>
        </w:trPr>
        <w:tc>
          <w:tcPr>
            <w:tcW w:w="959" w:type="dxa"/>
            <w:tcBorders>
              <w:left w:val="single" w:color="000000" w:sz="6" w:space="0"/>
            </w:tcBorders>
            <w:vAlign w:val="center"/>
          </w:tcPr>
          <w:p w14:paraId="4B583390">
            <w:pPr>
              <w:widowControl/>
              <w:spacing w:line="240" w:lineRule="auto"/>
              <w:ind w:right="105"/>
              <w:jc w:val="center"/>
              <w:rPr>
                <w:color w:val="auto"/>
                <w:kern w:val="0"/>
                <w:sz w:val="24"/>
                <w:szCs w:val="24"/>
              </w:rPr>
            </w:pPr>
            <w:r>
              <w:rPr>
                <w:color w:val="auto"/>
                <w:kern w:val="0"/>
                <w:sz w:val="24"/>
                <w:szCs w:val="24"/>
              </w:rPr>
              <w:t>声环境</w:t>
            </w:r>
          </w:p>
        </w:tc>
        <w:tc>
          <w:tcPr>
            <w:tcW w:w="1559" w:type="dxa"/>
            <w:vAlign w:val="center"/>
          </w:tcPr>
          <w:p w14:paraId="11BEEB0A">
            <w:pPr>
              <w:spacing w:line="240" w:lineRule="auto"/>
              <w:jc w:val="center"/>
              <w:rPr>
                <w:color w:val="auto"/>
                <w:sz w:val="24"/>
                <w:szCs w:val="24"/>
              </w:rPr>
            </w:pPr>
            <w:r>
              <w:rPr>
                <w:color w:val="auto"/>
                <w:sz w:val="24"/>
                <w:szCs w:val="24"/>
              </w:rPr>
              <w:t>厂界四周</w:t>
            </w:r>
          </w:p>
        </w:tc>
        <w:tc>
          <w:tcPr>
            <w:tcW w:w="1134" w:type="dxa"/>
            <w:vAlign w:val="center"/>
          </w:tcPr>
          <w:p w14:paraId="644B9C4C">
            <w:pPr>
              <w:autoSpaceDE w:val="0"/>
              <w:autoSpaceDN w:val="0"/>
              <w:adjustRightInd w:val="0"/>
              <w:spacing w:line="240" w:lineRule="auto"/>
              <w:jc w:val="center"/>
              <w:rPr>
                <w:color w:val="auto"/>
                <w:sz w:val="24"/>
                <w:szCs w:val="24"/>
              </w:rPr>
            </w:pPr>
            <w:r>
              <w:rPr>
                <w:color w:val="auto"/>
                <w:sz w:val="24"/>
                <w:szCs w:val="24"/>
              </w:rPr>
              <w:t>噪声</w:t>
            </w:r>
          </w:p>
        </w:tc>
        <w:tc>
          <w:tcPr>
            <w:tcW w:w="2126" w:type="dxa"/>
            <w:vAlign w:val="center"/>
          </w:tcPr>
          <w:p w14:paraId="43B7FC41">
            <w:pPr>
              <w:spacing w:line="240" w:lineRule="auto"/>
              <w:jc w:val="center"/>
              <w:rPr>
                <w:color w:val="auto"/>
                <w:sz w:val="24"/>
                <w:szCs w:val="24"/>
              </w:rPr>
            </w:pPr>
            <w:r>
              <w:rPr>
                <w:rFonts w:hint="eastAsia"/>
                <w:color w:val="auto"/>
                <w:sz w:val="24"/>
                <w:szCs w:val="24"/>
              </w:rPr>
              <w:t>项目使用的高噪声设备均设有减震底座，厂房四壁均使用隔声性能较好的材料建设</w:t>
            </w:r>
          </w:p>
        </w:tc>
        <w:tc>
          <w:tcPr>
            <w:tcW w:w="3039" w:type="dxa"/>
            <w:tcBorders>
              <w:right w:val="single" w:color="000000" w:sz="6" w:space="0"/>
            </w:tcBorders>
            <w:vAlign w:val="center"/>
          </w:tcPr>
          <w:p w14:paraId="045531FE">
            <w:pPr>
              <w:pStyle w:val="57"/>
              <w:spacing w:line="240" w:lineRule="auto"/>
              <w:ind w:left="0" w:leftChars="0" w:firstLine="0" w:firstLineChars="0"/>
              <w:jc w:val="center"/>
              <w:rPr>
                <w:rFonts w:hint="eastAsia" w:hAnsi="宋体"/>
                <w:b w:val="0"/>
                <w:bCs w:val="0"/>
                <w:color w:val="auto"/>
                <w:kern w:val="2"/>
              </w:rPr>
            </w:pPr>
            <w:r>
              <w:rPr>
                <w:rFonts w:hint="eastAsia" w:hAnsi="宋体"/>
                <w:b w:val="0"/>
                <w:bCs w:val="0"/>
                <w:color w:val="auto"/>
                <w:kern w:val="2"/>
              </w:rPr>
              <w:t>符合《工业企业厂界环境噪声排放标准》（</w:t>
            </w:r>
            <w:r>
              <w:rPr>
                <w:rFonts w:hAnsi="宋体"/>
                <w:b w:val="0"/>
                <w:bCs w:val="0"/>
                <w:color w:val="auto"/>
                <w:kern w:val="2"/>
              </w:rPr>
              <w:t>GB12348-2008</w:t>
            </w:r>
            <w:r>
              <w:rPr>
                <w:rFonts w:hint="eastAsia" w:hAnsi="宋体"/>
                <w:b w:val="0"/>
                <w:bCs w:val="0"/>
                <w:color w:val="auto"/>
                <w:kern w:val="2"/>
              </w:rPr>
              <w:t>）</w:t>
            </w:r>
            <w:r>
              <w:rPr>
                <w:rFonts w:hAnsi="宋体"/>
                <w:b w:val="0"/>
                <w:bCs w:val="0"/>
                <w:color w:val="auto"/>
                <w:kern w:val="2"/>
              </w:rPr>
              <w:t>3</w:t>
            </w:r>
            <w:r>
              <w:rPr>
                <w:rFonts w:hint="eastAsia" w:hAnsi="宋体"/>
                <w:b w:val="0"/>
                <w:bCs w:val="0"/>
                <w:color w:val="auto"/>
                <w:kern w:val="2"/>
              </w:rPr>
              <w:t>类标准要求</w:t>
            </w:r>
          </w:p>
        </w:tc>
      </w:tr>
      <w:tr w14:paraId="2ABDED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3" w:hRule="atLeast"/>
          <w:jc w:val="center"/>
        </w:trPr>
        <w:tc>
          <w:tcPr>
            <w:tcW w:w="959" w:type="dxa"/>
            <w:tcBorders>
              <w:left w:val="single" w:color="000000" w:sz="6" w:space="0"/>
            </w:tcBorders>
            <w:vAlign w:val="center"/>
          </w:tcPr>
          <w:p w14:paraId="60C245BD">
            <w:pPr>
              <w:widowControl/>
              <w:jc w:val="center"/>
              <w:rPr>
                <w:color w:val="auto"/>
                <w:kern w:val="0"/>
                <w:sz w:val="24"/>
                <w:szCs w:val="24"/>
              </w:rPr>
            </w:pPr>
            <w:r>
              <w:rPr>
                <w:rFonts w:hint="eastAsia"/>
                <w:color w:val="auto"/>
                <w:kern w:val="0"/>
                <w:sz w:val="24"/>
                <w:szCs w:val="24"/>
              </w:rPr>
              <w:t>电磁</w:t>
            </w:r>
            <w:r>
              <w:rPr>
                <w:color w:val="auto"/>
                <w:kern w:val="0"/>
                <w:sz w:val="24"/>
                <w:szCs w:val="24"/>
              </w:rPr>
              <w:t>辐射</w:t>
            </w:r>
          </w:p>
        </w:tc>
        <w:tc>
          <w:tcPr>
            <w:tcW w:w="1559" w:type="dxa"/>
            <w:vAlign w:val="center"/>
          </w:tcPr>
          <w:p w14:paraId="17FA5435">
            <w:pPr>
              <w:widowControl/>
              <w:jc w:val="center"/>
              <w:rPr>
                <w:color w:val="auto"/>
                <w:sz w:val="24"/>
                <w:szCs w:val="24"/>
              </w:rPr>
            </w:pPr>
            <w:r>
              <w:rPr>
                <w:rFonts w:hint="eastAsia"/>
                <w:color w:val="auto"/>
                <w:kern w:val="0"/>
                <w:sz w:val="24"/>
                <w:szCs w:val="24"/>
              </w:rPr>
              <w:t>/</w:t>
            </w:r>
          </w:p>
        </w:tc>
        <w:tc>
          <w:tcPr>
            <w:tcW w:w="1134" w:type="dxa"/>
            <w:vAlign w:val="center"/>
          </w:tcPr>
          <w:p w14:paraId="797D21FC">
            <w:pPr>
              <w:widowControl/>
              <w:jc w:val="center"/>
              <w:rPr>
                <w:color w:val="auto"/>
                <w:kern w:val="0"/>
                <w:sz w:val="24"/>
                <w:szCs w:val="24"/>
              </w:rPr>
            </w:pPr>
            <w:r>
              <w:rPr>
                <w:rFonts w:hint="eastAsia"/>
                <w:color w:val="auto"/>
                <w:sz w:val="24"/>
                <w:szCs w:val="24"/>
              </w:rPr>
              <w:t>/</w:t>
            </w:r>
          </w:p>
        </w:tc>
        <w:tc>
          <w:tcPr>
            <w:tcW w:w="2126" w:type="dxa"/>
            <w:vAlign w:val="center"/>
          </w:tcPr>
          <w:p w14:paraId="508DAB3E">
            <w:pPr>
              <w:jc w:val="center"/>
              <w:rPr>
                <w:color w:val="auto"/>
                <w:sz w:val="24"/>
                <w:szCs w:val="24"/>
              </w:rPr>
            </w:pPr>
            <w:r>
              <w:rPr>
                <w:rFonts w:hint="eastAsia"/>
                <w:color w:val="auto"/>
                <w:sz w:val="24"/>
                <w:szCs w:val="24"/>
              </w:rPr>
              <w:t>/</w:t>
            </w:r>
          </w:p>
        </w:tc>
        <w:tc>
          <w:tcPr>
            <w:tcW w:w="3039" w:type="dxa"/>
            <w:tcBorders>
              <w:right w:val="single" w:color="000000" w:sz="6" w:space="0"/>
            </w:tcBorders>
            <w:vAlign w:val="center"/>
          </w:tcPr>
          <w:p w14:paraId="65EF5C89">
            <w:pPr>
              <w:jc w:val="center"/>
              <w:rPr>
                <w:color w:val="auto"/>
                <w:kern w:val="0"/>
                <w:sz w:val="24"/>
                <w:szCs w:val="24"/>
              </w:rPr>
            </w:pPr>
            <w:r>
              <w:rPr>
                <w:rFonts w:hint="eastAsia"/>
                <w:color w:val="auto"/>
                <w:sz w:val="24"/>
                <w:szCs w:val="24"/>
              </w:rPr>
              <w:t>/</w:t>
            </w:r>
          </w:p>
        </w:tc>
      </w:tr>
      <w:tr w14:paraId="2D7C40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1" w:hRule="atLeast"/>
          <w:jc w:val="center"/>
        </w:trPr>
        <w:tc>
          <w:tcPr>
            <w:tcW w:w="959" w:type="dxa"/>
            <w:tcBorders>
              <w:left w:val="single" w:color="000000" w:sz="6" w:space="0"/>
            </w:tcBorders>
            <w:vAlign w:val="center"/>
          </w:tcPr>
          <w:p w14:paraId="533A1528">
            <w:pPr>
              <w:widowControl/>
              <w:jc w:val="center"/>
              <w:rPr>
                <w:color w:val="auto"/>
                <w:kern w:val="0"/>
                <w:sz w:val="24"/>
                <w:szCs w:val="24"/>
              </w:rPr>
            </w:pPr>
            <w:r>
              <w:rPr>
                <w:rFonts w:hint="eastAsia"/>
                <w:color w:val="auto"/>
                <w:kern w:val="0"/>
                <w:sz w:val="24"/>
                <w:szCs w:val="24"/>
              </w:rPr>
              <w:t>固体</w:t>
            </w:r>
            <w:r>
              <w:rPr>
                <w:color w:val="auto"/>
                <w:kern w:val="0"/>
                <w:sz w:val="24"/>
                <w:szCs w:val="24"/>
              </w:rPr>
              <w:t>废物</w:t>
            </w:r>
          </w:p>
        </w:tc>
        <w:tc>
          <w:tcPr>
            <w:tcW w:w="7858" w:type="dxa"/>
            <w:gridSpan w:val="4"/>
            <w:tcBorders>
              <w:right w:val="single" w:color="000000" w:sz="6" w:space="0"/>
            </w:tcBorders>
            <w:vAlign w:val="center"/>
          </w:tcPr>
          <w:p w14:paraId="764A788B">
            <w:pPr>
              <w:widowControl/>
              <w:spacing w:line="240" w:lineRule="auto"/>
              <w:rPr>
                <w:b w:val="0"/>
                <w:bCs w:val="0"/>
                <w:color w:val="auto"/>
                <w:sz w:val="24"/>
                <w:szCs w:val="24"/>
              </w:rPr>
            </w:pPr>
            <w:r>
              <w:rPr>
                <w:b w:val="0"/>
                <w:bCs w:val="0"/>
                <w:color w:val="auto"/>
                <w:sz w:val="24"/>
                <w:szCs w:val="24"/>
              </w:rPr>
              <w:t>一般工业固废</w:t>
            </w:r>
            <w:r>
              <w:rPr>
                <w:rFonts w:hint="eastAsia"/>
                <w:b w:val="0"/>
                <w:bCs w:val="0"/>
                <w:color w:val="auto"/>
                <w:sz w:val="24"/>
                <w:szCs w:val="24"/>
              </w:rPr>
              <w:t>：项目一般固废库位于</w:t>
            </w:r>
            <w:r>
              <w:rPr>
                <w:rFonts w:hint="eastAsia"/>
                <w:b w:val="0"/>
                <w:bCs w:val="0"/>
                <w:color w:val="auto"/>
                <w:sz w:val="24"/>
                <w:szCs w:val="24"/>
                <w:lang w:val="en-US" w:eastAsia="zh-CN"/>
              </w:rPr>
              <w:t>生产车间</w:t>
            </w:r>
            <w:r>
              <w:rPr>
                <w:rFonts w:hint="eastAsia"/>
                <w:b w:val="0"/>
                <w:bCs w:val="0"/>
                <w:color w:val="auto"/>
                <w:sz w:val="24"/>
                <w:szCs w:val="24"/>
              </w:rPr>
              <w:t>东侧，占地面积</w:t>
            </w:r>
            <w:r>
              <w:rPr>
                <w:rFonts w:hint="eastAsia"/>
                <w:b w:val="0"/>
                <w:bCs w:val="0"/>
                <w:color w:val="auto"/>
                <w:sz w:val="24"/>
                <w:szCs w:val="24"/>
                <w:lang w:val="en-US" w:eastAsia="zh-CN"/>
              </w:rPr>
              <w:t>30</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rPr>
              <w:t>，用于暂时存放一般工业固废。</w:t>
            </w:r>
          </w:p>
          <w:p w14:paraId="21FF649C">
            <w:pPr>
              <w:pStyle w:val="57"/>
              <w:spacing w:line="240" w:lineRule="auto"/>
              <w:jc w:val="both"/>
              <w:rPr>
                <w:b w:val="0"/>
                <w:bCs w:val="0"/>
                <w:color w:val="auto"/>
                <w:sz w:val="24"/>
                <w:szCs w:val="24"/>
              </w:rPr>
            </w:pPr>
            <w:r>
              <w:rPr>
                <w:rFonts w:hint="eastAsia"/>
                <w:b w:val="0"/>
                <w:bCs w:val="0"/>
                <w:color w:val="auto"/>
                <w:sz w:val="24"/>
                <w:szCs w:val="24"/>
              </w:rPr>
              <w:t>危险废物：项目危废库位于</w:t>
            </w:r>
            <w:r>
              <w:rPr>
                <w:rFonts w:hint="eastAsia"/>
                <w:b w:val="0"/>
                <w:bCs w:val="0"/>
                <w:color w:val="auto"/>
                <w:sz w:val="24"/>
                <w:szCs w:val="24"/>
                <w:lang w:val="en-US" w:eastAsia="zh-CN"/>
              </w:rPr>
              <w:t>生产厂房</w:t>
            </w:r>
            <w:r>
              <w:rPr>
                <w:rFonts w:hint="eastAsia"/>
                <w:b w:val="0"/>
                <w:bCs w:val="0"/>
                <w:color w:val="auto"/>
                <w:sz w:val="24"/>
                <w:szCs w:val="24"/>
              </w:rPr>
              <w:t>东侧</w:t>
            </w:r>
            <w:r>
              <w:rPr>
                <w:rFonts w:hint="eastAsia"/>
                <w:b w:val="0"/>
                <w:bCs w:val="0"/>
                <w:color w:val="auto"/>
                <w:sz w:val="24"/>
                <w:szCs w:val="24"/>
                <w:lang w:val="en-US" w:eastAsia="zh-CN"/>
              </w:rPr>
              <w:t>紧邻一般固废库</w:t>
            </w:r>
            <w:r>
              <w:rPr>
                <w:rFonts w:hint="eastAsia"/>
                <w:b w:val="0"/>
                <w:bCs w:val="0"/>
                <w:color w:val="auto"/>
                <w:sz w:val="24"/>
                <w:szCs w:val="24"/>
              </w:rPr>
              <w:t>，占地面积</w:t>
            </w:r>
            <w:r>
              <w:rPr>
                <w:rFonts w:hint="eastAsia"/>
                <w:b w:val="0"/>
                <w:bCs w:val="0"/>
                <w:color w:val="auto"/>
                <w:sz w:val="24"/>
                <w:szCs w:val="24"/>
                <w:lang w:val="en-US" w:eastAsia="zh-CN"/>
              </w:rPr>
              <w:t>10</w:t>
            </w:r>
            <w:r>
              <w:rPr>
                <w:rFonts w:hint="eastAsia"/>
                <w:b w:val="0"/>
                <w:bCs w:val="0"/>
                <w:color w:val="auto"/>
                <w:sz w:val="24"/>
                <w:szCs w:val="24"/>
              </w:rPr>
              <w:t>m</w:t>
            </w:r>
            <w:r>
              <w:rPr>
                <w:rFonts w:hint="eastAsia"/>
                <w:b w:val="0"/>
                <w:bCs w:val="0"/>
                <w:color w:val="auto"/>
                <w:sz w:val="24"/>
                <w:szCs w:val="24"/>
                <w:vertAlign w:val="superscript"/>
              </w:rPr>
              <w:t>2</w:t>
            </w:r>
            <w:r>
              <w:rPr>
                <w:rFonts w:hint="eastAsia"/>
                <w:b w:val="0"/>
                <w:bCs w:val="0"/>
                <w:color w:val="auto"/>
                <w:sz w:val="24"/>
                <w:szCs w:val="24"/>
              </w:rPr>
              <w:t>，用于危险废物的暂存，本项目运营期产生的危险废物主要为废</w:t>
            </w:r>
            <w:r>
              <w:rPr>
                <w:rFonts w:hint="eastAsia"/>
                <w:b w:val="0"/>
                <w:bCs w:val="0"/>
                <w:color w:val="auto"/>
                <w:sz w:val="24"/>
                <w:szCs w:val="24"/>
                <w:lang w:val="en-US" w:eastAsia="zh-CN"/>
              </w:rPr>
              <w:t>机</w:t>
            </w:r>
            <w:r>
              <w:rPr>
                <w:rFonts w:hint="eastAsia"/>
                <w:b w:val="0"/>
                <w:bCs w:val="0"/>
                <w:color w:val="auto"/>
                <w:sz w:val="24"/>
                <w:szCs w:val="24"/>
              </w:rPr>
              <w:t>油、废</w:t>
            </w:r>
            <w:r>
              <w:rPr>
                <w:rFonts w:hint="eastAsia"/>
                <w:b w:val="0"/>
                <w:bCs w:val="0"/>
                <w:color w:val="auto"/>
                <w:sz w:val="24"/>
                <w:szCs w:val="24"/>
                <w:lang w:val="en-US" w:eastAsia="zh-CN"/>
              </w:rPr>
              <w:t>机</w:t>
            </w:r>
            <w:r>
              <w:rPr>
                <w:rFonts w:hint="eastAsia"/>
                <w:b w:val="0"/>
                <w:bCs w:val="0"/>
                <w:color w:val="auto"/>
                <w:sz w:val="24"/>
                <w:szCs w:val="24"/>
              </w:rPr>
              <w:t>油桶，危险废物在危废库暂存后，</w:t>
            </w:r>
            <w:bookmarkStart w:id="30" w:name="OLE_LINK32"/>
            <w:r>
              <w:rPr>
                <w:rFonts w:hint="eastAsia"/>
                <w:b w:val="0"/>
                <w:bCs w:val="0"/>
                <w:color w:val="auto"/>
                <w:sz w:val="24"/>
                <w:szCs w:val="24"/>
              </w:rPr>
              <w:t>委托有资质的单位处置</w:t>
            </w:r>
            <w:bookmarkEnd w:id="30"/>
            <w:r>
              <w:rPr>
                <w:rFonts w:hint="eastAsia"/>
                <w:b w:val="0"/>
                <w:bCs w:val="0"/>
                <w:color w:val="auto"/>
                <w:sz w:val="24"/>
                <w:szCs w:val="24"/>
              </w:rPr>
              <w:t>，活性炭更换后立刻委托有资质的单位处置。</w:t>
            </w:r>
          </w:p>
          <w:p w14:paraId="5DC36EBD">
            <w:pPr>
              <w:pStyle w:val="57"/>
              <w:spacing w:line="240" w:lineRule="auto"/>
              <w:jc w:val="both"/>
              <w:rPr>
                <w:color w:val="auto"/>
              </w:rPr>
            </w:pPr>
            <w:r>
              <w:rPr>
                <w:rFonts w:hint="eastAsia"/>
                <w:b w:val="0"/>
                <w:bCs w:val="0"/>
                <w:color w:val="auto"/>
                <w:sz w:val="24"/>
                <w:szCs w:val="24"/>
              </w:rPr>
              <w:t>生活垃圾集中收集后，交由环卫部门清运。</w:t>
            </w:r>
          </w:p>
        </w:tc>
      </w:tr>
      <w:tr w14:paraId="3ACDA8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959" w:type="dxa"/>
            <w:tcBorders>
              <w:left w:val="single" w:color="000000" w:sz="6" w:space="0"/>
            </w:tcBorders>
            <w:vAlign w:val="center"/>
          </w:tcPr>
          <w:p w14:paraId="12B3C717">
            <w:pPr>
              <w:widowControl/>
              <w:jc w:val="center"/>
              <w:rPr>
                <w:color w:val="auto"/>
                <w:kern w:val="0"/>
                <w:sz w:val="24"/>
                <w:szCs w:val="24"/>
              </w:rPr>
            </w:pPr>
            <w:r>
              <w:rPr>
                <w:rFonts w:hint="eastAsia"/>
                <w:color w:val="auto"/>
                <w:kern w:val="0"/>
                <w:sz w:val="24"/>
                <w:szCs w:val="24"/>
              </w:rPr>
              <w:t>土壤及地下水防治措施</w:t>
            </w:r>
          </w:p>
        </w:tc>
        <w:tc>
          <w:tcPr>
            <w:tcW w:w="7858" w:type="dxa"/>
            <w:gridSpan w:val="4"/>
            <w:tcBorders>
              <w:right w:val="single" w:color="000000" w:sz="6" w:space="0"/>
            </w:tcBorders>
            <w:vAlign w:val="center"/>
          </w:tcPr>
          <w:p w14:paraId="15E98630">
            <w:pPr>
              <w:rPr>
                <w:color w:val="auto"/>
                <w:sz w:val="24"/>
                <w:szCs w:val="24"/>
              </w:rPr>
            </w:pPr>
            <w:r>
              <w:rPr>
                <w:color w:val="auto"/>
                <w:sz w:val="24"/>
                <w:szCs w:val="24"/>
              </w:rPr>
              <w:t>将危废库</w:t>
            </w:r>
            <w:r>
              <w:rPr>
                <w:rFonts w:hint="eastAsia"/>
                <w:color w:val="auto"/>
                <w:sz w:val="24"/>
                <w:szCs w:val="24"/>
              </w:rPr>
              <w:t>设</w:t>
            </w:r>
            <w:r>
              <w:rPr>
                <w:color w:val="auto"/>
                <w:sz w:val="24"/>
                <w:szCs w:val="24"/>
              </w:rPr>
              <w:t>为重点防渗区</w:t>
            </w:r>
            <w:r>
              <w:rPr>
                <w:rFonts w:hint="eastAsia"/>
                <w:color w:val="auto"/>
                <w:sz w:val="24"/>
                <w:szCs w:val="24"/>
              </w:rPr>
              <w:t>，</w:t>
            </w:r>
            <w:r>
              <w:rPr>
                <w:rFonts w:hAnsi="宋体"/>
                <w:color w:val="auto"/>
                <w:sz w:val="24"/>
                <w:szCs w:val="24"/>
              </w:rPr>
              <w:t>根据《危险废物贮存污染控制标准》（</w:t>
            </w:r>
            <w:r>
              <w:rPr>
                <w:color w:val="auto"/>
                <w:sz w:val="24"/>
                <w:szCs w:val="24"/>
              </w:rPr>
              <w:t>GB 18597-2001</w:t>
            </w:r>
            <w:r>
              <w:rPr>
                <w:rFonts w:hAnsi="宋体"/>
                <w:color w:val="auto"/>
                <w:sz w:val="24"/>
                <w:szCs w:val="24"/>
              </w:rPr>
              <w:t>），危废库基础防渗层为至少</w:t>
            </w:r>
            <w:r>
              <w:rPr>
                <w:color w:val="auto"/>
                <w:sz w:val="24"/>
                <w:szCs w:val="24"/>
              </w:rPr>
              <w:t>1</w:t>
            </w:r>
            <w:r>
              <w:rPr>
                <w:rFonts w:hint="eastAsia" w:hAnsi="宋体"/>
                <w:color w:val="auto"/>
                <w:sz w:val="24"/>
                <w:szCs w:val="24"/>
              </w:rPr>
              <w:t>m</w:t>
            </w:r>
            <w:r>
              <w:rPr>
                <w:rFonts w:hAnsi="宋体"/>
                <w:color w:val="auto"/>
                <w:sz w:val="24"/>
                <w:szCs w:val="24"/>
              </w:rPr>
              <w:t>厚粘土层（渗透系数</w:t>
            </w:r>
            <w:r>
              <w:rPr>
                <w:color w:val="auto"/>
                <w:sz w:val="24"/>
                <w:szCs w:val="24"/>
              </w:rPr>
              <w:t>≤10</w:t>
            </w:r>
            <w:r>
              <w:rPr>
                <w:color w:val="auto"/>
                <w:sz w:val="24"/>
                <w:szCs w:val="24"/>
                <w:vertAlign w:val="superscript"/>
              </w:rPr>
              <w:t>-7</w:t>
            </w:r>
            <w:r>
              <w:rPr>
                <w:color w:val="auto"/>
                <w:sz w:val="24"/>
                <w:szCs w:val="24"/>
              </w:rPr>
              <w:t>cm/s</w:t>
            </w:r>
            <w:r>
              <w:rPr>
                <w:rFonts w:hAnsi="宋体"/>
                <w:color w:val="auto"/>
                <w:sz w:val="24"/>
                <w:szCs w:val="24"/>
              </w:rPr>
              <w:t>），或</w:t>
            </w:r>
            <w:r>
              <w:rPr>
                <w:color w:val="auto"/>
                <w:sz w:val="24"/>
                <w:szCs w:val="24"/>
              </w:rPr>
              <w:t>2mm</w:t>
            </w:r>
            <w:r>
              <w:rPr>
                <w:rFonts w:hAnsi="宋体"/>
                <w:color w:val="auto"/>
                <w:sz w:val="24"/>
                <w:szCs w:val="24"/>
              </w:rPr>
              <w:t>厚高密度聚乙烯，或至少</w:t>
            </w:r>
            <w:r>
              <w:rPr>
                <w:color w:val="auto"/>
                <w:sz w:val="24"/>
                <w:szCs w:val="24"/>
              </w:rPr>
              <w:t>2mm</w:t>
            </w:r>
            <w:r>
              <w:rPr>
                <w:rFonts w:hAnsi="宋体"/>
                <w:color w:val="auto"/>
                <w:sz w:val="24"/>
                <w:szCs w:val="24"/>
              </w:rPr>
              <w:t>厚的其它人工材料（渗透系数</w:t>
            </w:r>
            <w:r>
              <w:rPr>
                <w:color w:val="auto"/>
                <w:sz w:val="24"/>
                <w:szCs w:val="24"/>
              </w:rPr>
              <w:t>≤10</w:t>
            </w:r>
            <w:r>
              <w:rPr>
                <w:color w:val="auto"/>
                <w:sz w:val="24"/>
                <w:szCs w:val="24"/>
                <w:vertAlign w:val="superscript"/>
              </w:rPr>
              <w:t>-10</w:t>
            </w:r>
            <w:r>
              <w:rPr>
                <w:color w:val="auto"/>
                <w:sz w:val="24"/>
                <w:szCs w:val="24"/>
              </w:rPr>
              <w:t>cm/s</w:t>
            </w:r>
            <w:r>
              <w:rPr>
                <w:rFonts w:hAnsi="宋体"/>
                <w:color w:val="auto"/>
                <w:sz w:val="24"/>
                <w:szCs w:val="24"/>
              </w:rPr>
              <w:t>）</w:t>
            </w:r>
            <w:r>
              <w:rPr>
                <w:rFonts w:hint="eastAsia"/>
                <w:color w:val="auto"/>
                <w:sz w:val="24"/>
                <w:szCs w:val="24"/>
              </w:rPr>
              <w:t>。将生产</w:t>
            </w:r>
            <w:r>
              <w:rPr>
                <w:rFonts w:hint="eastAsia"/>
                <w:color w:val="auto"/>
                <w:sz w:val="24"/>
                <w:szCs w:val="24"/>
                <w:lang w:val="en-US" w:eastAsia="zh-CN"/>
              </w:rPr>
              <w:t>厂房等</w:t>
            </w:r>
            <w:r>
              <w:rPr>
                <w:rFonts w:hint="eastAsia"/>
                <w:color w:val="auto"/>
                <w:sz w:val="24"/>
                <w:szCs w:val="24"/>
              </w:rPr>
              <w:t>设置为一般防渗区，需要设置</w:t>
            </w:r>
            <w:r>
              <w:rPr>
                <w:color w:val="auto"/>
                <w:sz w:val="24"/>
                <w:szCs w:val="24"/>
              </w:rPr>
              <w:t>等效</w:t>
            </w:r>
            <w:r>
              <w:rPr>
                <w:rFonts w:hint="eastAsia"/>
                <w:color w:val="auto"/>
                <w:sz w:val="24"/>
                <w:szCs w:val="24"/>
              </w:rPr>
              <w:t>黏土防渗层</w:t>
            </w:r>
            <w:r>
              <w:rPr>
                <w:color w:val="auto"/>
                <w:sz w:val="24"/>
                <w:szCs w:val="24"/>
              </w:rPr>
              <w:t>Mb≥1.5m，K≤1×10</w:t>
            </w:r>
            <w:r>
              <w:rPr>
                <w:color w:val="auto"/>
                <w:sz w:val="24"/>
                <w:szCs w:val="24"/>
                <w:vertAlign w:val="superscript"/>
              </w:rPr>
              <w:t>-7</w:t>
            </w:r>
            <w:r>
              <w:rPr>
                <w:color w:val="auto"/>
                <w:sz w:val="24"/>
                <w:szCs w:val="24"/>
              </w:rPr>
              <w:t>cm/s</w:t>
            </w:r>
            <w:r>
              <w:rPr>
                <w:rFonts w:hint="eastAsia"/>
                <w:color w:val="auto"/>
                <w:sz w:val="24"/>
                <w:szCs w:val="24"/>
              </w:rPr>
              <w:t>。</w:t>
            </w:r>
          </w:p>
        </w:tc>
      </w:tr>
      <w:tr w14:paraId="4E7EE3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959" w:type="dxa"/>
            <w:tcBorders>
              <w:left w:val="single" w:color="000000" w:sz="6" w:space="0"/>
            </w:tcBorders>
            <w:vAlign w:val="center"/>
          </w:tcPr>
          <w:p w14:paraId="7EBA47F3">
            <w:pPr>
              <w:widowControl/>
              <w:jc w:val="center"/>
              <w:rPr>
                <w:color w:val="auto"/>
                <w:kern w:val="0"/>
                <w:sz w:val="24"/>
                <w:szCs w:val="24"/>
              </w:rPr>
            </w:pPr>
            <w:r>
              <w:rPr>
                <w:rFonts w:hint="eastAsia"/>
                <w:color w:val="auto"/>
                <w:kern w:val="0"/>
                <w:sz w:val="24"/>
                <w:szCs w:val="24"/>
              </w:rPr>
              <w:t>生态保护措施</w:t>
            </w:r>
          </w:p>
        </w:tc>
        <w:tc>
          <w:tcPr>
            <w:tcW w:w="7858" w:type="dxa"/>
            <w:gridSpan w:val="4"/>
            <w:tcBorders>
              <w:right w:val="single" w:color="000000" w:sz="6" w:space="0"/>
            </w:tcBorders>
            <w:vAlign w:val="center"/>
          </w:tcPr>
          <w:p w14:paraId="4B67218C">
            <w:pPr>
              <w:widowControl/>
              <w:rPr>
                <w:color w:val="auto"/>
                <w:sz w:val="24"/>
                <w:szCs w:val="24"/>
              </w:rPr>
            </w:pPr>
            <w:r>
              <w:rPr>
                <w:color w:val="auto"/>
                <w:sz w:val="24"/>
                <w:szCs w:val="24"/>
              </w:rPr>
              <w:t>本项目位于</w:t>
            </w:r>
            <w:r>
              <w:rPr>
                <w:rFonts w:hint="eastAsia"/>
                <w:color w:val="auto"/>
                <w:sz w:val="24"/>
                <w:szCs w:val="24"/>
                <w:lang w:val="en-US" w:eastAsia="zh-CN"/>
              </w:rPr>
              <w:t>淮南经济开发区锦绣路100号东侧</w:t>
            </w:r>
            <w:r>
              <w:rPr>
                <w:rFonts w:hint="eastAsia"/>
                <w:color w:val="auto"/>
                <w:sz w:val="24"/>
                <w:szCs w:val="24"/>
              </w:rPr>
              <w:t>，项目所处区域无自然保护区、风景名胜区、文化自然遗产等，不属于生态保护红线管控的区域。</w:t>
            </w:r>
          </w:p>
        </w:tc>
      </w:tr>
      <w:tr w14:paraId="312E2B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959" w:type="dxa"/>
            <w:tcBorders>
              <w:left w:val="single" w:color="000000" w:sz="6" w:space="0"/>
            </w:tcBorders>
            <w:vAlign w:val="center"/>
          </w:tcPr>
          <w:p w14:paraId="74F73266">
            <w:pPr>
              <w:adjustRightInd w:val="0"/>
              <w:snapToGrid w:val="0"/>
              <w:jc w:val="center"/>
              <w:rPr>
                <w:color w:val="0000FF"/>
                <w:kern w:val="0"/>
                <w:sz w:val="24"/>
                <w:szCs w:val="24"/>
              </w:rPr>
            </w:pPr>
            <w:r>
              <w:rPr>
                <w:rFonts w:ascii="Times New Roman" w:hAnsi="Times New Roman" w:eastAsia="宋体" w:cs="Times New Roman"/>
                <w:b/>
                <w:color w:val="000000" w:themeColor="text1"/>
                <w:spacing w:val="-8"/>
                <w:sz w:val="24"/>
                <w:szCs w:val="24"/>
                <w14:textFill>
                  <w14:solidFill>
                    <w14:schemeClr w14:val="tx1"/>
                  </w14:solidFill>
                </w14:textFill>
              </w:rPr>
              <w:t>环境风险防范措施</w:t>
            </w:r>
          </w:p>
        </w:tc>
        <w:tc>
          <w:tcPr>
            <w:tcW w:w="7858" w:type="dxa"/>
            <w:gridSpan w:val="4"/>
            <w:tcBorders>
              <w:right w:val="single" w:color="000000" w:sz="6" w:space="0"/>
            </w:tcBorders>
            <w:vAlign w:val="center"/>
          </w:tcPr>
          <w:p w14:paraId="6CFFECD9">
            <w:pPr>
              <w:adjustRightInd w:val="0"/>
              <w:snapToGrid w:val="0"/>
              <w:jc w:val="center"/>
              <w:rPr>
                <w:b w:val="0"/>
                <w:bCs w:val="0"/>
                <w:color w:val="0000FF"/>
              </w:rPr>
            </w:pPr>
            <w:r>
              <w:rPr>
                <w:rFonts w:ascii="Times New Roman" w:hAnsi="Times New Roman" w:eastAsia="宋体" w:cs="Times New Roman"/>
                <w:color w:val="000000" w:themeColor="text1"/>
                <w:sz w:val="24"/>
                <w:szCs w:val="24"/>
                <w14:textFill>
                  <w14:solidFill>
                    <w14:schemeClr w14:val="tx1"/>
                  </w14:solidFill>
                </w14:textFill>
              </w:rPr>
              <w:t>生产装置在设计和生产中执行严格的设计规范和生产管理制度</w:t>
            </w:r>
          </w:p>
        </w:tc>
      </w:tr>
      <w:tr w14:paraId="45473C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2" w:hRule="atLeast"/>
          <w:jc w:val="center"/>
        </w:trPr>
        <w:tc>
          <w:tcPr>
            <w:tcW w:w="959" w:type="dxa"/>
            <w:tcBorders>
              <w:left w:val="single" w:color="000000" w:sz="6" w:space="0"/>
            </w:tcBorders>
            <w:vAlign w:val="center"/>
          </w:tcPr>
          <w:p w14:paraId="4757FB29">
            <w:pPr>
              <w:adjustRightInd w:val="0"/>
              <w:snapToGrid w:val="0"/>
              <w:jc w:val="center"/>
              <w:rPr>
                <w:color w:val="0000FF"/>
                <w:kern w:val="0"/>
                <w:sz w:val="24"/>
                <w:szCs w:val="24"/>
              </w:rPr>
            </w:pPr>
            <w:r>
              <w:rPr>
                <w:rFonts w:ascii="Times New Roman" w:hAnsi="Times New Roman" w:eastAsia="宋体" w:cs="Times New Roman"/>
                <w:b/>
                <w:color w:val="000000" w:themeColor="text1"/>
                <w:spacing w:val="-8"/>
                <w:sz w:val="24"/>
                <w:szCs w:val="24"/>
                <w14:textFill>
                  <w14:solidFill>
                    <w14:schemeClr w14:val="tx1"/>
                  </w14:solidFill>
                </w14:textFill>
              </w:rPr>
              <w:t>其他环境管理要求</w:t>
            </w:r>
          </w:p>
        </w:tc>
        <w:tc>
          <w:tcPr>
            <w:tcW w:w="7858" w:type="dxa"/>
            <w:gridSpan w:val="4"/>
            <w:tcBorders>
              <w:right w:val="single" w:color="000000" w:sz="6" w:space="0"/>
            </w:tcBorders>
            <w:vAlign w:val="center"/>
          </w:tcPr>
          <w:p w14:paraId="7F94670B">
            <w:pPr>
              <w:adjustRightInd w:val="0"/>
              <w:snapToGrid w:val="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环境管理和环境监测</w:t>
            </w:r>
          </w:p>
          <w:p w14:paraId="3845A006">
            <w:pPr>
              <w:adjustRightInd w:val="0"/>
              <w:snapToGrid w:val="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建设项目的环境管理工作应由专人负责，为加强环境管理提供组织保证，配合环境保护主管部门依法对企业进行环境监督、管理、考核，以及接受生态环境分局在具体业务上给予技术指导。环境管理机构主要职责如下：</w:t>
            </w:r>
          </w:p>
          <w:p w14:paraId="13383F38">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根据公司规模、性质、特点和国家法律、法规，制定全公司环保规划和环境方针，并负责以多种形式向相关方面宣传；</w:t>
            </w:r>
          </w:p>
          <w:p w14:paraId="60FE5F89">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负责获取、更新使用于本企业的与环境相关的法律、法规，负责把适用的法律、法规发放到相关部门；</w:t>
            </w:r>
          </w:p>
          <w:p w14:paraId="76D98F16">
            <w:pPr>
              <w:adjustRightInd w:val="0"/>
              <w:snapToGrid w:val="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协助各车间制定车间的环保规划，并协调和监督各单位具体实施；</w:t>
            </w:r>
          </w:p>
          <w:p w14:paraId="5B43F38E">
            <w:pPr>
              <w:adjustRightInd w:val="0"/>
              <w:snapToGrid w:val="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负责制定和实施公司的年度环保培训计划；负责公司内外部的环境工作信息交流；</w:t>
            </w:r>
          </w:p>
          <w:p w14:paraId="356E2860">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监督检查各部门环保设施的运行管理，尤其是了解污染治理设备的运行状况以及治理效率；</w:t>
            </w:r>
          </w:p>
          <w:p w14:paraId="0224EACC">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监督检查各生产工艺设备的运行情况，确保无非正常工况生产事故的发生；</w:t>
            </w:r>
          </w:p>
          <w:p w14:paraId="4AE969D3">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负责对新、改、扩建项目环保工程及其“三同时”执行情况进行环境监测、数据分析、验收评估；</w:t>
            </w:r>
          </w:p>
          <w:p w14:paraId="6C633B8F">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负责应急计划的监督、检查；负责应急事故的协调处理；指导各单位对环保设施的管理；指导各单位应急与预防工作；对公司范围内重点危险区域部署监控措施；</w:t>
            </w:r>
          </w:p>
          <w:p w14:paraId="63CEDE6D">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负责公司的环境教育、培训、宣传，让环境保护意识深入职工心中。制定监测方案：排污单位应查清所有污染源，确定主要污染源及主要监测指标，制定监测方案。监测方案内容包括：单位基本情况、监测点位及示意图、监测指标、执行标准及其限值、监测频次、采样和样品保存方法、监测分析方法和仪器、质量保证与质量控制等。</w:t>
            </w:r>
          </w:p>
          <w:p w14:paraId="5BFD5E64">
            <w:pPr>
              <w:adjustRightInd w:val="0"/>
              <w:snapToGrid w:val="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排污单位应按照最新的监测方案开展监测活动，可根据自身条件和能力，利用自有人员、场所和设备自行监测；也可委托其它有资质的检（监）测机构代其开展自行监测。</w:t>
            </w:r>
          </w:p>
          <w:p w14:paraId="26503EBA">
            <w:pPr>
              <w:pStyle w:val="2"/>
              <w:rPr>
                <w:color w:val="000000" w:themeColor="text1"/>
                <w14:textFill>
                  <w14:solidFill>
                    <w14:schemeClr w14:val="tx1"/>
                  </w14:solidFill>
                </w14:textFill>
              </w:rPr>
            </w:pPr>
          </w:p>
          <w:p w14:paraId="10B5FF2D">
            <w:pPr>
              <w:pStyle w:val="3"/>
              <w:rPr>
                <w:color w:val="000000" w:themeColor="text1"/>
                <w14:textFill>
                  <w14:solidFill>
                    <w14:schemeClr w14:val="tx1"/>
                  </w14:solidFill>
                </w14:textFill>
              </w:rPr>
            </w:pPr>
          </w:p>
          <w:p w14:paraId="1389A0BC">
            <w:pPr>
              <w:pStyle w:val="4"/>
              <w:rPr>
                <w:rFonts w:hint="eastAsia"/>
                <w:color w:val="000000" w:themeColor="text1"/>
                <w14:textFill>
                  <w14:solidFill>
                    <w14:schemeClr w14:val="tx1"/>
                  </w14:solidFill>
                </w14:textFill>
              </w:rPr>
            </w:pPr>
          </w:p>
          <w:p w14:paraId="5D5170D4">
            <w:pPr>
              <w:rPr>
                <w:rFonts w:hint="eastAsia"/>
                <w:color w:val="000000" w:themeColor="text1"/>
                <w14:textFill>
                  <w14:solidFill>
                    <w14:schemeClr w14:val="tx1"/>
                  </w14:solidFill>
                </w14:textFill>
              </w:rPr>
            </w:pPr>
          </w:p>
          <w:p w14:paraId="188DF58E">
            <w:pPr>
              <w:pStyle w:val="2"/>
              <w:rPr>
                <w:color w:val="000000" w:themeColor="text1"/>
                <w14:textFill>
                  <w14:solidFill>
                    <w14:schemeClr w14:val="tx1"/>
                  </w14:solidFill>
                </w14:textFill>
              </w:rPr>
            </w:pPr>
          </w:p>
          <w:p w14:paraId="384B411C">
            <w:pPr>
              <w:pStyle w:val="3"/>
              <w:rPr>
                <w:color w:val="000000" w:themeColor="text1"/>
                <w14:textFill>
                  <w14:solidFill>
                    <w14:schemeClr w14:val="tx1"/>
                  </w14:solidFill>
                </w14:textFill>
              </w:rPr>
            </w:pPr>
          </w:p>
          <w:p w14:paraId="26767EC9">
            <w:pPr>
              <w:rPr>
                <w:rFonts w:hint="eastAsia"/>
                <w:color w:val="000000" w:themeColor="text1"/>
                <w14:textFill>
                  <w14:solidFill>
                    <w14:schemeClr w14:val="tx1"/>
                  </w14:solidFill>
                </w14:textFill>
              </w:rPr>
            </w:pPr>
          </w:p>
          <w:p w14:paraId="088BE4E1">
            <w:pPr>
              <w:pStyle w:val="2"/>
              <w:rPr>
                <w:color w:val="000000" w:themeColor="text1"/>
                <w14:textFill>
                  <w14:solidFill>
                    <w14:schemeClr w14:val="tx1"/>
                  </w14:solidFill>
                </w14:textFill>
              </w:rPr>
            </w:pPr>
          </w:p>
          <w:p w14:paraId="5FF44321">
            <w:pPr>
              <w:pStyle w:val="4"/>
              <w:ind w:firstLine="0" w:firstLineChars="0"/>
              <w:rPr>
                <w:b w:val="0"/>
                <w:bCs w:val="0"/>
                <w:color w:val="0000FF"/>
              </w:rPr>
            </w:pPr>
          </w:p>
        </w:tc>
      </w:tr>
    </w:tbl>
    <w:p w14:paraId="566E235E">
      <w:pPr>
        <w:widowControl/>
        <w:outlineLvl w:val="0"/>
        <w:rPr>
          <w:b/>
          <w:bCs/>
          <w:color w:val="0000FF"/>
          <w:kern w:val="0"/>
          <w:sz w:val="24"/>
          <w:szCs w:val="24"/>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59F45657">
      <w:pPr>
        <w:widowControl/>
        <w:jc w:val="center"/>
        <w:outlineLvl w:val="0"/>
        <w:rPr>
          <w:rFonts w:hint="eastAsia" w:ascii="宋体" w:hAnsi="宋体"/>
          <w:b/>
          <w:bCs/>
          <w:color w:val="auto"/>
          <w:kern w:val="0"/>
          <w:sz w:val="30"/>
          <w:szCs w:val="30"/>
        </w:rPr>
      </w:pPr>
      <w:r>
        <w:rPr>
          <w:rFonts w:hint="eastAsia" w:ascii="宋体" w:hAnsi="宋体"/>
          <w:b/>
          <w:bCs/>
          <w:color w:val="auto"/>
          <w:kern w:val="0"/>
          <w:sz w:val="30"/>
          <w:szCs w:val="30"/>
        </w:rPr>
        <w:t>六、结论</w:t>
      </w:r>
    </w:p>
    <w:tbl>
      <w:tblPr>
        <w:tblStyle w:val="4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17"/>
      </w:tblGrid>
      <w:tr w14:paraId="36702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17" w:type="dxa"/>
          </w:tcPr>
          <w:p w14:paraId="0DA121AC">
            <w:pPr>
              <w:spacing w:line="360" w:lineRule="auto"/>
              <w:ind w:firstLine="480" w:firstLineChars="200"/>
              <w:rPr>
                <w:rFonts w:hint="eastAsia" w:hAnsi="宋体"/>
                <w:color w:val="auto"/>
                <w:sz w:val="24"/>
              </w:rPr>
            </w:pPr>
            <w:r>
              <w:rPr>
                <w:rFonts w:hAnsi="宋体"/>
                <w:color w:val="auto"/>
                <w:sz w:val="24"/>
              </w:rPr>
              <w:t>综上所述，本项目符合国家产业政策，</w:t>
            </w:r>
            <w:r>
              <w:rPr>
                <w:rFonts w:hint="eastAsia" w:hAnsi="宋体"/>
                <w:color w:val="auto"/>
                <w:sz w:val="24"/>
              </w:rPr>
              <w:t>项目选址符合当地规划要求。项目所在区域大气环境达标，地表水以及声环境质量现状良好；在优化的污染防治措施实施后，本项目废水、废气和噪声均可稳定达标排放，固废可得到妥善处置，项目排放的各种污染物对环境的影响程度和范围均较小。因此，从环境影响角度分析，本项目的建设是可行的。</w:t>
            </w:r>
          </w:p>
          <w:p w14:paraId="799583B2">
            <w:pPr>
              <w:pStyle w:val="57"/>
              <w:rPr>
                <w:color w:val="auto"/>
              </w:rPr>
            </w:pPr>
          </w:p>
          <w:p w14:paraId="363ED616">
            <w:pPr>
              <w:pStyle w:val="57"/>
              <w:rPr>
                <w:color w:val="auto"/>
              </w:rPr>
            </w:pPr>
          </w:p>
          <w:p w14:paraId="23A7D90B">
            <w:pPr>
              <w:pStyle w:val="57"/>
              <w:rPr>
                <w:color w:val="auto"/>
              </w:rPr>
            </w:pPr>
          </w:p>
          <w:p w14:paraId="793E46AC">
            <w:pPr>
              <w:pStyle w:val="57"/>
              <w:rPr>
                <w:color w:val="auto"/>
              </w:rPr>
            </w:pPr>
          </w:p>
          <w:p w14:paraId="652A1FDB">
            <w:pPr>
              <w:pStyle w:val="57"/>
              <w:rPr>
                <w:color w:val="auto"/>
              </w:rPr>
            </w:pPr>
          </w:p>
          <w:p w14:paraId="1C14F9A4">
            <w:pPr>
              <w:pStyle w:val="57"/>
              <w:rPr>
                <w:color w:val="auto"/>
              </w:rPr>
            </w:pPr>
          </w:p>
          <w:p w14:paraId="6BB9BD53">
            <w:pPr>
              <w:pStyle w:val="57"/>
              <w:rPr>
                <w:color w:val="auto"/>
              </w:rPr>
            </w:pPr>
          </w:p>
          <w:p w14:paraId="4FA1148F">
            <w:pPr>
              <w:pStyle w:val="57"/>
              <w:rPr>
                <w:color w:val="auto"/>
              </w:rPr>
            </w:pPr>
          </w:p>
          <w:p w14:paraId="719E9214">
            <w:pPr>
              <w:pStyle w:val="57"/>
              <w:rPr>
                <w:color w:val="auto"/>
              </w:rPr>
            </w:pPr>
          </w:p>
          <w:p w14:paraId="6B570B30">
            <w:pPr>
              <w:pStyle w:val="57"/>
              <w:rPr>
                <w:color w:val="auto"/>
              </w:rPr>
            </w:pPr>
          </w:p>
          <w:p w14:paraId="05552F72">
            <w:pPr>
              <w:pStyle w:val="57"/>
              <w:rPr>
                <w:color w:val="auto"/>
              </w:rPr>
            </w:pPr>
          </w:p>
          <w:p w14:paraId="3009D765">
            <w:pPr>
              <w:pStyle w:val="57"/>
              <w:rPr>
                <w:color w:val="auto"/>
              </w:rPr>
            </w:pPr>
          </w:p>
          <w:p w14:paraId="04991343">
            <w:pPr>
              <w:pStyle w:val="57"/>
              <w:rPr>
                <w:color w:val="auto"/>
              </w:rPr>
            </w:pPr>
          </w:p>
          <w:p w14:paraId="7F84B572">
            <w:pPr>
              <w:pStyle w:val="57"/>
              <w:rPr>
                <w:color w:val="auto"/>
              </w:rPr>
            </w:pPr>
          </w:p>
          <w:p w14:paraId="2131DAE4">
            <w:pPr>
              <w:pStyle w:val="57"/>
              <w:rPr>
                <w:color w:val="auto"/>
              </w:rPr>
            </w:pPr>
          </w:p>
          <w:p w14:paraId="10A715B4">
            <w:pPr>
              <w:pStyle w:val="57"/>
              <w:rPr>
                <w:color w:val="auto"/>
              </w:rPr>
            </w:pPr>
          </w:p>
          <w:p w14:paraId="7409B83E">
            <w:pPr>
              <w:pStyle w:val="57"/>
              <w:rPr>
                <w:color w:val="auto"/>
              </w:rPr>
            </w:pPr>
          </w:p>
          <w:p w14:paraId="33EE0BCC">
            <w:pPr>
              <w:pStyle w:val="57"/>
              <w:rPr>
                <w:color w:val="auto"/>
              </w:rPr>
            </w:pPr>
          </w:p>
          <w:p w14:paraId="4E4772E4">
            <w:pPr>
              <w:pStyle w:val="57"/>
              <w:rPr>
                <w:color w:val="auto"/>
              </w:rPr>
            </w:pPr>
          </w:p>
          <w:p w14:paraId="260F703E">
            <w:pPr>
              <w:pStyle w:val="57"/>
              <w:rPr>
                <w:color w:val="auto"/>
              </w:rPr>
            </w:pPr>
          </w:p>
          <w:p w14:paraId="3951C514">
            <w:pPr>
              <w:pStyle w:val="57"/>
              <w:rPr>
                <w:color w:val="auto"/>
              </w:rPr>
            </w:pPr>
          </w:p>
          <w:p w14:paraId="113196BA">
            <w:pPr>
              <w:pStyle w:val="57"/>
              <w:rPr>
                <w:color w:val="auto"/>
              </w:rPr>
            </w:pPr>
          </w:p>
        </w:tc>
      </w:tr>
    </w:tbl>
    <w:p w14:paraId="20B770EC">
      <w:pPr>
        <w:pStyle w:val="57"/>
        <w:rPr>
          <w:color w:val="0000FF"/>
        </w:rPr>
        <w:sectPr>
          <w:pgSz w:w="11906" w:h="16838"/>
          <w:pgMar w:top="1440" w:right="1508" w:bottom="1440" w:left="1797" w:header="851" w:footer="992" w:gutter="0"/>
          <w:pgBorders>
            <w:top w:val="none" w:sz="0" w:space="0"/>
            <w:left w:val="none" w:sz="0" w:space="0"/>
            <w:bottom w:val="none" w:sz="0" w:space="0"/>
            <w:right w:val="none" w:sz="0" w:space="0"/>
          </w:pgBorders>
          <w:cols w:space="720" w:num="1"/>
          <w:docGrid w:type="lines" w:linePitch="312" w:charSpace="0"/>
        </w:sectPr>
      </w:pPr>
    </w:p>
    <w:p w14:paraId="5598ECFA">
      <w:pPr>
        <w:spacing w:line="379" w:lineRule="exact"/>
        <w:ind w:left="111"/>
        <w:rPr>
          <w:rFonts w:hint="eastAsia" w:ascii="宋体" w:hAnsi="宋体" w:cs="黑体"/>
          <w:b/>
          <w:color w:val="auto"/>
          <w:sz w:val="30"/>
          <w:szCs w:val="30"/>
        </w:rPr>
      </w:pPr>
      <w:r>
        <w:rPr>
          <w:rFonts w:ascii="宋体" w:hAnsi="宋体" w:cs="黑体"/>
          <w:b/>
          <w:color w:val="auto"/>
          <w:sz w:val="30"/>
          <w:szCs w:val="30"/>
        </w:rPr>
        <w:t>附表</w:t>
      </w:r>
    </w:p>
    <w:p w14:paraId="66C81559">
      <w:pPr>
        <w:spacing w:line="360" w:lineRule="auto"/>
        <w:jc w:val="center"/>
        <w:rPr>
          <w:rFonts w:hint="eastAsia" w:ascii="宋体" w:hAnsi="宋体" w:cs="微软雅黑"/>
          <w:color w:val="auto"/>
          <w:sz w:val="30"/>
          <w:szCs w:val="30"/>
        </w:rPr>
      </w:pPr>
      <w:r>
        <w:rPr>
          <w:rFonts w:ascii="宋体" w:hAnsi="宋体" w:cs="微软雅黑"/>
          <w:color w:val="auto"/>
          <w:sz w:val="30"/>
          <w:szCs w:val="30"/>
        </w:rPr>
        <w:t>建设项目污染物排放量汇总表</w:t>
      </w:r>
    </w:p>
    <w:tbl>
      <w:tblPr>
        <w:tblStyle w:val="4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701"/>
        <w:gridCol w:w="1286"/>
      </w:tblGrid>
      <w:tr w14:paraId="4830D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24E7F211">
            <w:pPr>
              <w:pStyle w:val="175"/>
              <w:spacing w:line="276" w:lineRule="auto"/>
              <w:jc w:val="right"/>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项目</w:t>
            </w:r>
          </w:p>
          <w:p w14:paraId="713E3DE1">
            <w:pPr>
              <w:pStyle w:val="175"/>
              <w:spacing w:line="276" w:lineRule="auto"/>
              <w:jc w:val="left"/>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分类</w:t>
            </w:r>
          </w:p>
        </w:tc>
        <w:tc>
          <w:tcPr>
            <w:tcW w:w="1417" w:type="dxa"/>
            <w:tcMar>
              <w:left w:w="28" w:type="dxa"/>
              <w:right w:w="28" w:type="dxa"/>
            </w:tcMar>
            <w:vAlign w:val="center"/>
          </w:tcPr>
          <w:p w14:paraId="7BD8DA6B">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污染物名称</w:t>
            </w:r>
          </w:p>
        </w:tc>
        <w:tc>
          <w:tcPr>
            <w:tcW w:w="1701" w:type="dxa"/>
            <w:tcMar>
              <w:left w:w="28" w:type="dxa"/>
              <w:right w:w="28" w:type="dxa"/>
            </w:tcMar>
            <w:vAlign w:val="center"/>
          </w:tcPr>
          <w:p w14:paraId="49403A79">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现有工程</w:t>
            </w:r>
          </w:p>
          <w:p w14:paraId="40101AAF">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排放量（固体废物产生量）</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1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snapToGrid w:val="0"/>
                <w:color w:val="auto"/>
                <w:spacing w:val="-6"/>
                <w:kern w:val="21"/>
                <w:sz w:val="24"/>
                <w:szCs w:val="24"/>
              </w:rPr>
              <w:fldChar w:fldCharType="end"/>
            </w:r>
          </w:p>
        </w:tc>
        <w:tc>
          <w:tcPr>
            <w:tcW w:w="1276" w:type="dxa"/>
            <w:tcMar>
              <w:left w:w="28" w:type="dxa"/>
              <w:right w:w="28" w:type="dxa"/>
            </w:tcMar>
            <w:vAlign w:val="center"/>
          </w:tcPr>
          <w:p w14:paraId="44DC868A">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现有工程</w:t>
            </w:r>
          </w:p>
          <w:p w14:paraId="5B22233D">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许可排放量</w:t>
            </w:r>
          </w:p>
          <w:p w14:paraId="47AEC376">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2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snapToGrid w:val="0"/>
                <w:color w:val="auto"/>
                <w:spacing w:val="-6"/>
                <w:kern w:val="21"/>
                <w:sz w:val="24"/>
                <w:szCs w:val="24"/>
              </w:rPr>
              <w:t>②</w:t>
            </w:r>
            <w:r>
              <w:rPr>
                <w:rFonts w:hint="default" w:ascii="Times New Roman" w:hAnsi="Times New Roman" w:cs="Times New Roman"/>
                <w:snapToGrid w:val="0"/>
                <w:color w:val="auto"/>
                <w:spacing w:val="-6"/>
                <w:kern w:val="21"/>
                <w:sz w:val="24"/>
                <w:szCs w:val="24"/>
              </w:rPr>
              <w:fldChar w:fldCharType="end"/>
            </w:r>
          </w:p>
        </w:tc>
        <w:tc>
          <w:tcPr>
            <w:tcW w:w="1701" w:type="dxa"/>
            <w:tcMar>
              <w:left w:w="28" w:type="dxa"/>
              <w:right w:w="28" w:type="dxa"/>
            </w:tcMar>
            <w:vAlign w:val="center"/>
          </w:tcPr>
          <w:p w14:paraId="168D59B7">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在建工程</w:t>
            </w:r>
          </w:p>
          <w:p w14:paraId="47B77EC6">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排放量（固体废物产生量）</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3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snapToGrid w:val="0"/>
                <w:color w:val="auto"/>
                <w:spacing w:val="-6"/>
                <w:kern w:val="21"/>
                <w:sz w:val="24"/>
                <w:szCs w:val="24"/>
              </w:rPr>
              <w:fldChar w:fldCharType="end"/>
            </w:r>
          </w:p>
        </w:tc>
        <w:tc>
          <w:tcPr>
            <w:tcW w:w="1559" w:type="dxa"/>
            <w:tcMar>
              <w:left w:w="28" w:type="dxa"/>
              <w:right w:w="28" w:type="dxa"/>
            </w:tcMar>
            <w:vAlign w:val="center"/>
          </w:tcPr>
          <w:p w14:paraId="65873BBB">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本项目</w:t>
            </w:r>
          </w:p>
          <w:p w14:paraId="100B71EB">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排放量（固体废物产生量）</w:t>
            </w: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4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snapToGrid w:val="0"/>
                <w:color w:val="auto"/>
                <w:spacing w:val="-6"/>
                <w:kern w:val="21"/>
                <w:sz w:val="24"/>
                <w:szCs w:val="24"/>
              </w:rPr>
              <w:fldChar w:fldCharType="end"/>
            </w:r>
          </w:p>
        </w:tc>
        <w:tc>
          <w:tcPr>
            <w:tcW w:w="1559" w:type="dxa"/>
            <w:tcMar>
              <w:left w:w="28" w:type="dxa"/>
              <w:right w:w="28" w:type="dxa"/>
            </w:tcMar>
            <w:vAlign w:val="center"/>
          </w:tcPr>
          <w:p w14:paraId="221DF6F3">
            <w:pPr>
              <w:pStyle w:val="175"/>
              <w:spacing w:line="276" w:lineRule="auto"/>
              <w:rPr>
                <w:rFonts w:hint="default" w:ascii="Times New Roman" w:hAnsi="Times New Roman" w:cs="Times New Roman"/>
                <w:snapToGrid w:val="0"/>
                <w:color w:val="auto"/>
                <w:spacing w:val="-16"/>
                <w:kern w:val="21"/>
                <w:sz w:val="24"/>
                <w:szCs w:val="24"/>
              </w:rPr>
            </w:pPr>
            <w:r>
              <w:rPr>
                <w:rFonts w:hint="default" w:ascii="Times New Roman" w:hAnsi="Times New Roman" w:cs="Times New Roman"/>
                <w:snapToGrid w:val="0"/>
                <w:color w:val="auto"/>
                <w:spacing w:val="-16"/>
                <w:kern w:val="21"/>
                <w:sz w:val="24"/>
                <w:szCs w:val="24"/>
              </w:rPr>
              <w:t>以新带老削减量</w:t>
            </w:r>
          </w:p>
          <w:p w14:paraId="7297930E">
            <w:pPr>
              <w:pStyle w:val="175"/>
              <w:spacing w:line="276" w:lineRule="auto"/>
              <w:rPr>
                <w:rFonts w:hint="default" w:ascii="Times New Roman" w:hAnsi="Times New Roman" w:cs="Times New Roman"/>
                <w:snapToGrid w:val="0"/>
                <w:color w:val="auto"/>
                <w:spacing w:val="-16"/>
                <w:kern w:val="21"/>
                <w:sz w:val="24"/>
                <w:szCs w:val="24"/>
              </w:rPr>
            </w:pPr>
            <w:r>
              <w:rPr>
                <w:rFonts w:hint="default" w:ascii="Times New Roman" w:hAnsi="Times New Roman" w:cs="Times New Roman"/>
                <w:snapToGrid w:val="0"/>
                <w:color w:val="auto"/>
                <w:spacing w:val="-16"/>
                <w:kern w:val="21"/>
                <w:sz w:val="24"/>
                <w:szCs w:val="24"/>
              </w:rPr>
              <w:t>（新建项目不填）</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5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⑤</w:t>
            </w:r>
            <w:r>
              <w:rPr>
                <w:rFonts w:hint="default" w:ascii="Times New Roman" w:hAnsi="Times New Roman" w:cs="Times New Roman"/>
                <w:snapToGrid w:val="0"/>
                <w:color w:val="auto"/>
                <w:spacing w:val="-16"/>
                <w:kern w:val="21"/>
                <w:sz w:val="24"/>
                <w:szCs w:val="24"/>
              </w:rPr>
              <w:fldChar w:fldCharType="end"/>
            </w:r>
          </w:p>
        </w:tc>
        <w:tc>
          <w:tcPr>
            <w:tcW w:w="1701" w:type="dxa"/>
            <w:tcMar>
              <w:left w:w="28" w:type="dxa"/>
              <w:right w:w="28" w:type="dxa"/>
            </w:tcMar>
            <w:vAlign w:val="center"/>
          </w:tcPr>
          <w:p w14:paraId="3BF16491">
            <w:pPr>
              <w:pStyle w:val="175"/>
              <w:spacing w:line="276" w:lineRule="auto"/>
              <w:rPr>
                <w:rFonts w:hint="default" w:ascii="Times New Roman" w:hAnsi="Times New Roman" w:cs="Times New Roman"/>
                <w:snapToGrid w:val="0"/>
                <w:color w:val="auto"/>
                <w:spacing w:val="-16"/>
                <w:kern w:val="21"/>
                <w:sz w:val="24"/>
                <w:szCs w:val="24"/>
              </w:rPr>
            </w:pPr>
            <w:r>
              <w:rPr>
                <w:rFonts w:hint="default" w:ascii="Times New Roman" w:hAnsi="Times New Roman" w:cs="Times New Roman"/>
                <w:snapToGrid w:val="0"/>
                <w:color w:val="auto"/>
                <w:spacing w:val="-16"/>
                <w:kern w:val="21"/>
                <w:sz w:val="24"/>
                <w:szCs w:val="24"/>
              </w:rPr>
              <w:t>本项目建成后</w:t>
            </w:r>
          </w:p>
          <w:p w14:paraId="36ABD87B">
            <w:pPr>
              <w:pStyle w:val="175"/>
              <w:spacing w:line="276" w:lineRule="auto"/>
              <w:rPr>
                <w:rFonts w:hint="default" w:ascii="Times New Roman" w:hAnsi="Times New Roman" w:cs="Times New Roman"/>
                <w:snapToGrid w:val="0"/>
                <w:color w:val="auto"/>
                <w:spacing w:val="-16"/>
                <w:kern w:val="21"/>
                <w:sz w:val="24"/>
                <w:szCs w:val="24"/>
              </w:rPr>
            </w:pPr>
            <w:r>
              <w:rPr>
                <w:rFonts w:hint="default" w:ascii="Times New Roman" w:hAnsi="Times New Roman" w:cs="Times New Roman"/>
                <w:snapToGrid w:val="0"/>
                <w:color w:val="auto"/>
                <w:spacing w:val="-16"/>
                <w:kern w:val="21"/>
                <w:sz w:val="24"/>
                <w:szCs w:val="24"/>
              </w:rPr>
              <w:t>全厂排放量（固体废物产生量）</w:t>
            </w:r>
            <w:r>
              <w:rPr>
                <w:rFonts w:hint="default" w:ascii="Times New Roman" w:hAnsi="Times New Roman" w:cs="Times New Roman"/>
                <w:snapToGrid w:val="0"/>
                <w:color w:val="auto"/>
                <w:spacing w:val="-16"/>
                <w:kern w:val="21"/>
                <w:sz w:val="24"/>
                <w:szCs w:val="24"/>
              </w:rPr>
              <w:fldChar w:fldCharType="begin"/>
            </w:r>
            <w:r>
              <w:rPr>
                <w:rFonts w:hint="default" w:ascii="Times New Roman" w:hAnsi="Times New Roman" w:cs="Times New Roman"/>
                <w:snapToGrid w:val="0"/>
                <w:color w:val="auto"/>
                <w:spacing w:val="-16"/>
                <w:kern w:val="21"/>
                <w:sz w:val="24"/>
                <w:szCs w:val="24"/>
              </w:rPr>
              <w:instrText xml:space="preserve"> = 6 \* GB3 \* MERGEFORMAT </w:instrText>
            </w:r>
            <w:r>
              <w:rPr>
                <w:rFonts w:hint="default" w:ascii="Times New Roman" w:hAnsi="Times New Roman" w:cs="Times New Roman"/>
                <w:snapToGrid w:val="0"/>
                <w:color w:val="auto"/>
                <w:spacing w:val="-16"/>
                <w:kern w:val="21"/>
                <w:sz w:val="24"/>
                <w:szCs w:val="24"/>
              </w:rPr>
              <w:fldChar w:fldCharType="separate"/>
            </w:r>
            <w:r>
              <w:rPr>
                <w:rFonts w:hint="default" w:ascii="Times New Roman" w:hAnsi="Times New Roman" w:cs="Times New Roman"/>
                <w:color w:val="auto"/>
                <w:sz w:val="24"/>
                <w:szCs w:val="24"/>
              </w:rPr>
              <w:t>⑥</w:t>
            </w:r>
            <w:r>
              <w:rPr>
                <w:rFonts w:hint="default" w:ascii="Times New Roman" w:hAnsi="Times New Roman" w:cs="Times New Roman"/>
                <w:snapToGrid w:val="0"/>
                <w:color w:val="auto"/>
                <w:spacing w:val="-16"/>
                <w:kern w:val="21"/>
                <w:sz w:val="24"/>
                <w:szCs w:val="24"/>
              </w:rPr>
              <w:fldChar w:fldCharType="end"/>
            </w:r>
          </w:p>
        </w:tc>
        <w:tc>
          <w:tcPr>
            <w:tcW w:w="1286" w:type="dxa"/>
            <w:tcMar>
              <w:left w:w="28" w:type="dxa"/>
              <w:right w:w="28" w:type="dxa"/>
            </w:tcMar>
            <w:vAlign w:val="center"/>
          </w:tcPr>
          <w:p w14:paraId="799CBD4C">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t>变化量</w:t>
            </w:r>
          </w:p>
          <w:p w14:paraId="0D170BEA">
            <w:pPr>
              <w:pStyle w:val="175"/>
              <w:spacing w:line="276" w:lineRule="auto"/>
              <w:rPr>
                <w:rFonts w:hint="default" w:ascii="Times New Roman" w:hAnsi="Times New Roman" w:cs="Times New Roman"/>
                <w:snapToGrid w:val="0"/>
                <w:color w:val="auto"/>
                <w:spacing w:val="-6"/>
                <w:kern w:val="21"/>
                <w:sz w:val="24"/>
                <w:szCs w:val="24"/>
              </w:rPr>
            </w:pPr>
            <w:r>
              <w:rPr>
                <w:rFonts w:hint="default" w:ascii="Times New Roman" w:hAnsi="Times New Roman" w:cs="Times New Roman"/>
                <w:snapToGrid w:val="0"/>
                <w:color w:val="auto"/>
                <w:spacing w:val="-6"/>
                <w:kern w:val="21"/>
                <w:sz w:val="24"/>
                <w:szCs w:val="24"/>
              </w:rPr>
              <w:fldChar w:fldCharType="begin"/>
            </w:r>
            <w:r>
              <w:rPr>
                <w:rFonts w:hint="default" w:ascii="Times New Roman" w:hAnsi="Times New Roman" w:cs="Times New Roman"/>
                <w:snapToGrid w:val="0"/>
                <w:color w:val="auto"/>
                <w:spacing w:val="-6"/>
                <w:kern w:val="21"/>
                <w:sz w:val="24"/>
                <w:szCs w:val="24"/>
              </w:rPr>
              <w:instrText xml:space="preserve"> = 7 \* GB3 \* MERGEFORMAT </w:instrText>
            </w:r>
            <w:r>
              <w:rPr>
                <w:rFonts w:hint="default" w:ascii="Times New Roman" w:hAnsi="Times New Roman" w:cs="Times New Roman"/>
                <w:snapToGrid w:val="0"/>
                <w:color w:val="auto"/>
                <w:spacing w:val="-6"/>
                <w:kern w:val="21"/>
                <w:sz w:val="24"/>
                <w:szCs w:val="24"/>
              </w:rPr>
              <w:fldChar w:fldCharType="separate"/>
            </w:r>
            <w:r>
              <w:rPr>
                <w:rFonts w:hint="default" w:ascii="Times New Roman" w:hAnsi="Times New Roman" w:cs="Times New Roman"/>
                <w:color w:val="auto"/>
                <w:sz w:val="24"/>
                <w:szCs w:val="24"/>
              </w:rPr>
              <w:t>⑦</w:t>
            </w:r>
            <w:r>
              <w:rPr>
                <w:rFonts w:hint="default" w:ascii="Times New Roman" w:hAnsi="Times New Roman" w:cs="Times New Roman"/>
                <w:snapToGrid w:val="0"/>
                <w:color w:val="auto"/>
                <w:spacing w:val="-6"/>
                <w:kern w:val="21"/>
                <w:sz w:val="24"/>
                <w:szCs w:val="24"/>
              </w:rPr>
              <w:fldChar w:fldCharType="end"/>
            </w:r>
          </w:p>
        </w:tc>
      </w:tr>
      <w:tr w14:paraId="3E66A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88" w:type="dxa"/>
            <w:vAlign w:val="center"/>
          </w:tcPr>
          <w:p w14:paraId="1549155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废气</w:t>
            </w:r>
          </w:p>
        </w:tc>
        <w:tc>
          <w:tcPr>
            <w:tcW w:w="1417" w:type="dxa"/>
            <w:vAlign w:val="center"/>
          </w:tcPr>
          <w:p w14:paraId="2FC5A31F">
            <w:pPr>
              <w:pStyle w:val="175"/>
              <w:spacing w:line="276" w:lineRule="auto"/>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cs="Times New Roman"/>
                <w:snapToGrid w:val="0"/>
                <w:color w:val="auto"/>
                <w:kern w:val="21"/>
                <w:sz w:val="24"/>
                <w:szCs w:val="24"/>
                <w:lang w:val="en-US" w:eastAsia="zh-CN"/>
              </w:rPr>
              <w:t>颗粒物</w:t>
            </w:r>
          </w:p>
        </w:tc>
        <w:tc>
          <w:tcPr>
            <w:tcW w:w="1701" w:type="dxa"/>
            <w:vAlign w:val="center"/>
          </w:tcPr>
          <w:p w14:paraId="4C0FAC49">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10514610">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18F9899D">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38210F8C">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0.54</w:t>
            </w:r>
            <w:r>
              <w:rPr>
                <w:rFonts w:hint="default" w:ascii="Times New Roman" w:hAnsi="Times New Roman" w:cs="Times New Roman"/>
                <w:color w:val="auto"/>
                <w:sz w:val="24"/>
                <w:szCs w:val="24"/>
              </w:rPr>
              <w:t>t/a</w:t>
            </w:r>
          </w:p>
        </w:tc>
        <w:tc>
          <w:tcPr>
            <w:tcW w:w="1559" w:type="dxa"/>
            <w:vAlign w:val="center"/>
          </w:tcPr>
          <w:p w14:paraId="675E3A95">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24FA6655">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0.54</w:t>
            </w:r>
            <w:r>
              <w:rPr>
                <w:rFonts w:hint="default" w:ascii="Times New Roman" w:hAnsi="Times New Roman" w:cs="Times New Roman"/>
                <w:color w:val="auto"/>
                <w:sz w:val="24"/>
                <w:szCs w:val="24"/>
              </w:rPr>
              <w:t>t/a</w:t>
            </w:r>
          </w:p>
        </w:tc>
        <w:tc>
          <w:tcPr>
            <w:tcW w:w="1286" w:type="dxa"/>
            <w:vAlign w:val="center"/>
          </w:tcPr>
          <w:p w14:paraId="35349C8D">
            <w:pPr>
              <w:spacing w:line="276"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0.54</w:t>
            </w:r>
            <w:r>
              <w:rPr>
                <w:rFonts w:hint="default" w:ascii="Times New Roman" w:hAnsi="Times New Roman" w:cs="Times New Roman"/>
                <w:color w:val="auto"/>
                <w:sz w:val="24"/>
                <w:szCs w:val="24"/>
              </w:rPr>
              <w:t>t/a</w:t>
            </w:r>
          </w:p>
        </w:tc>
      </w:tr>
      <w:tr w14:paraId="359C1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88" w:type="dxa"/>
            <w:vMerge w:val="restart"/>
            <w:vAlign w:val="center"/>
          </w:tcPr>
          <w:p w14:paraId="0312A34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废水</w:t>
            </w:r>
          </w:p>
        </w:tc>
        <w:tc>
          <w:tcPr>
            <w:tcW w:w="1417" w:type="dxa"/>
            <w:vAlign w:val="center"/>
          </w:tcPr>
          <w:p w14:paraId="7D0E0D17">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COD</w:t>
            </w:r>
            <w:r>
              <w:rPr>
                <w:rFonts w:hint="default" w:ascii="Times New Roman" w:hAnsi="Times New Roman" w:cs="Times New Roman"/>
                <w:snapToGrid w:val="0"/>
                <w:color w:val="auto"/>
                <w:kern w:val="21"/>
                <w:sz w:val="24"/>
                <w:szCs w:val="24"/>
                <w:vertAlign w:val="subscript"/>
              </w:rPr>
              <w:t>Cr</w:t>
            </w:r>
          </w:p>
        </w:tc>
        <w:tc>
          <w:tcPr>
            <w:tcW w:w="1701" w:type="dxa"/>
            <w:vAlign w:val="center"/>
          </w:tcPr>
          <w:p w14:paraId="1F191DB3">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21952DA0">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7304258B">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01213E36">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6t/a</w:t>
            </w:r>
          </w:p>
        </w:tc>
        <w:tc>
          <w:tcPr>
            <w:tcW w:w="1559" w:type="dxa"/>
            <w:vAlign w:val="center"/>
          </w:tcPr>
          <w:p w14:paraId="735C42B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3577F039">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6t/a</w:t>
            </w:r>
          </w:p>
        </w:tc>
        <w:tc>
          <w:tcPr>
            <w:tcW w:w="1286" w:type="dxa"/>
            <w:vAlign w:val="center"/>
          </w:tcPr>
          <w:p w14:paraId="55479140">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6t/a</w:t>
            </w:r>
          </w:p>
        </w:tc>
      </w:tr>
      <w:tr w14:paraId="4B74C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588" w:type="dxa"/>
            <w:vMerge w:val="continue"/>
            <w:vAlign w:val="center"/>
          </w:tcPr>
          <w:p w14:paraId="400D579B">
            <w:pPr>
              <w:pStyle w:val="175"/>
              <w:spacing w:line="276" w:lineRule="auto"/>
              <w:rPr>
                <w:rFonts w:hint="default" w:ascii="Times New Roman" w:hAnsi="Times New Roman" w:cs="Times New Roman"/>
                <w:snapToGrid w:val="0"/>
                <w:color w:val="auto"/>
                <w:kern w:val="21"/>
                <w:sz w:val="24"/>
                <w:szCs w:val="24"/>
              </w:rPr>
            </w:pPr>
          </w:p>
        </w:tc>
        <w:tc>
          <w:tcPr>
            <w:tcW w:w="1417" w:type="dxa"/>
            <w:vAlign w:val="center"/>
          </w:tcPr>
          <w:p w14:paraId="5AE6B969">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BOD</w:t>
            </w:r>
            <w:r>
              <w:rPr>
                <w:rFonts w:hint="default" w:ascii="Times New Roman" w:hAnsi="Times New Roman" w:cs="Times New Roman"/>
                <w:snapToGrid w:val="0"/>
                <w:color w:val="auto"/>
                <w:kern w:val="21"/>
                <w:sz w:val="24"/>
                <w:szCs w:val="24"/>
                <w:vertAlign w:val="subscript"/>
              </w:rPr>
              <w:t>5</w:t>
            </w:r>
          </w:p>
        </w:tc>
        <w:tc>
          <w:tcPr>
            <w:tcW w:w="1701" w:type="dxa"/>
            <w:vAlign w:val="center"/>
          </w:tcPr>
          <w:p w14:paraId="6063E4C2">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734BCABA">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3DAD431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3AF4D859">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t/a</w:t>
            </w:r>
          </w:p>
        </w:tc>
        <w:tc>
          <w:tcPr>
            <w:tcW w:w="1559" w:type="dxa"/>
            <w:vAlign w:val="center"/>
          </w:tcPr>
          <w:p w14:paraId="5E1CB13C">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0DC84203">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t/a</w:t>
            </w:r>
          </w:p>
        </w:tc>
        <w:tc>
          <w:tcPr>
            <w:tcW w:w="1286" w:type="dxa"/>
            <w:vAlign w:val="center"/>
          </w:tcPr>
          <w:p w14:paraId="56992031">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t/a</w:t>
            </w:r>
          </w:p>
        </w:tc>
      </w:tr>
      <w:tr w14:paraId="697F4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588" w:type="dxa"/>
            <w:vMerge w:val="continue"/>
            <w:vAlign w:val="center"/>
          </w:tcPr>
          <w:p w14:paraId="5AE91A44">
            <w:pPr>
              <w:pStyle w:val="175"/>
              <w:spacing w:line="276" w:lineRule="auto"/>
              <w:rPr>
                <w:rFonts w:hint="default" w:ascii="Times New Roman" w:hAnsi="Times New Roman" w:cs="Times New Roman"/>
                <w:snapToGrid w:val="0"/>
                <w:color w:val="auto"/>
                <w:kern w:val="21"/>
                <w:sz w:val="24"/>
                <w:szCs w:val="24"/>
              </w:rPr>
            </w:pPr>
          </w:p>
        </w:tc>
        <w:tc>
          <w:tcPr>
            <w:tcW w:w="1417" w:type="dxa"/>
            <w:vAlign w:val="center"/>
          </w:tcPr>
          <w:p w14:paraId="3BA1956B">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SS</w:t>
            </w:r>
          </w:p>
        </w:tc>
        <w:tc>
          <w:tcPr>
            <w:tcW w:w="1701" w:type="dxa"/>
            <w:vAlign w:val="center"/>
          </w:tcPr>
          <w:p w14:paraId="40EE073B">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069848B7">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1B2A45A3">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3FBE37AF">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0.007</w:t>
            </w:r>
            <w:r>
              <w:rPr>
                <w:rFonts w:hint="default" w:ascii="Times New Roman" w:hAnsi="Times New Roman" w:cs="Times New Roman"/>
                <w:color w:val="auto"/>
                <w:sz w:val="24"/>
                <w:szCs w:val="24"/>
              </w:rPr>
              <w:t>t/a</w:t>
            </w:r>
          </w:p>
        </w:tc>
        <w:tc>
          <w:tcPr>
            <w:tcW w:w="1559" w:type="dxa"/>
            <w:vAlign w:val="center"/>
          </w:tcPr>
          <w:p w14:paraId="7F6B1A9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4AE95519">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0.007</w:t>
            </w:r>
            <w:r>
              <w:rPr>
                <w:rFonts w:hint="default" w:ascii="Times New Roman" w:hAnsi="Times New Roman" w:cs="Times New Roman"/>
                <w:color w:val="auto"/>
                <w:sz w:val="24"/>
                <w:szCs w:val="24"/>
              </w:rPr>
              <w:t>t/a</w:t>
            </w:r>
          </w:p>
        </w:tc>
        <w:tc>
          <w:tcPr>
            <w:tcW w:w="1286" w:type="dxa"/>
            <w:vAlign w:val="center"/>
          </w:tcPr>
          <w:p w14:paraId="74728C5A">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0.007</w:t>
            </w:r>
            <w:r>
              <w:rPr>
                <w:rFonts w:hint="default" w:ascii="Times New Roman" w:hAnsi="Times New Roman" w:cs="Times New Roman"/>
                <w:color w:val="auto"/>
                <w:sz w:val="24"/>
                <w:szCs w:val="24"/>
              </w:rPr>
              <w:t>t/a</w:t>
            </w:r>
          </w:p>
        </w:tc>
      </w:tr>
      <w:tr w14:paraId="3675D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88" w:type="dxa"/>
            <w:vMerge w:val="continue"/>
            <w:vAlign w:val="center"/>
          </w:tcPr>
          <w:p w14:paraId="52774446">
            <w:pPr>
              <w:pStyle w:val="175"/>
              <w:spacing w:line="276" w:lineRule="auto"/>
              <w:rPr>
                <w:rFonts w:hint="default" w:ascii="Times New Roman" w:hAnsi="Times New Roman" w:cs="Times New Roman"/>
                <w:snapToGrid w:val="0"/>
                <w:color w:val="auto"/>
                <w:kern w:val="21"/>
                <w:sz w:val="24"/>
                <w:szCs w:val="24"/>
              </w:rPr>
            </w:pPr>
          </w:p>
        </w:tc>
        <w:tc>
          <w:tcPr>
            <w:tcW w:w="1417" w:type="dxa"/>
            <w:vAlign w:val="center"/>
          </w:tcPr>
          <w:p w14:paraId="44830F17">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氨氮</w:t>
            </w:r>
          </w:p>
        </w:tc>
        <w:tc>
          <w:tcPr>
            <w:tcW w:w="1701" w:type="dxa"/>
            <w:vAlign w:val="center"/>
          </w:tcPr>
          <w:p w14:paraId="72E6C12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198C6F7A">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3B9D564A">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1E042CDA">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w:t>
            </w:r>
            <w:r>
              <w:rPr>
                <w:rFonts w:hint="default"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t/a</w:t>
            </w:r>
          </w:p>
        </w:tc>
        <w:tc>
          <w:tcPr>
            <w:tcW w:w="1559" w:type="dxa"/>
            <w:vAlign w:val="center"/>
          </w:tcPr>
          <w:p w14:paraId="2139641D">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31C279DD">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w:t>
            </w:r>
            <w:r>
              <w:rPr>
                <w:rFonts w:hint="default"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t/a</w:t>
            </w:r>
          </w:p>
        </w:tc>
        <w:tc>
          <w:tcPr>
            <w:tcW w:w="1286" w:type="dxa"/>
            <w:vAlign w:val="center"/>
          </w:tcPr>
          <w:p w14:paraId="0CC9D826">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+0.00</w:t>
            </w:r>
            <w:r>
              <w:rPr>
                <w:rFonts w:hint="default"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t/a</w:t>
            </w:r>
          </w:p>
        </w:tc>
      </w:tr>
      <w:tr w14:paraId="445A8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88" w:type="dxa"/>
            <w:vMerge w:val="restart"/>
            <w:vAlign w:val="center"/>
          </w:tcPr>
          <w:p w14:paraId="624C899D">
            <w:pPr>
              <w:pStyle w:val="124"/>
              <w:spacing w:line="276"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一般工业固废</w:t>
            </w:r>
          </w:p>
        </w:tc>
        <w:tc>
          <w:tcPr>
            <w:tcW w:w="1417" w:type="dxa"/>
            <w:vAlign w:val="center"/>
          </w:tcPr>
          <w:p w14:paraId="2D482474">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kern w:val="2"/>
                <w:sz w:val="24"/>
                <w:szCs w:val="24"/>
                <w:lang w:val="en-US" w:eastAsia="zh-CN"/>
              </w:rPr>
              <w:t>废切割边角料</w:t>
            </w:r>
          </w:p>
        </w:tc>
        <w:tc>
          <w:tcPr>
            <w:tcW w:w="1701" w:type="dxa"/>
            <w:vAlign w:val="center"/>
          </w:tcPr>
          <w:p w14:paraId="43AB3681">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1A56CDD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0F230520">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4D885E90">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t/a</w:t>
            </w:r>
          </w:p>
        </w:tc>
        <w:tc>
          <w:tcPr>
            <w:tcW w:w="1559" w:type="dxa"/>
            <w:vAlign w:val="center"/>
          </w:tcPr>
          <w:p w14:paraId="03A08E29">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417A7830">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t/a</w:t>
            </w:r>
          </w:p>
        </w:tc>
        <w:tc>
          <w:tcPr>
            <w:tcW w:w="1286" w:type="dxa"/>
            <w:vAlign w:val="center"/>
          </w:tcPr>
          <w:p w14:paraId="1261933F">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t/a</w:t>
            </w:r>
          </w:p>
        </w:tc>
      </w:tr>
      <w:tr w14:paraId="57333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88" w:type="dxa"/>
            <w:vMerge w:val="continue"/>
            <w:vAlign w:val="center"/>
          </w:tcPr>
          <w:p w14:paraId="0EF8214F">
            <w:pPr>
              <w:pStyle w:val="124"/>
              <w:spacing w:line="276" w:lineRule="auto"/>
              <w:rPr>
                <w:rFonts w:hint="default" w:ascii="Times New Roman" w:hAnsi="Times New Roman" w:cs="Times New Roman"/>
                <w:color w:val="auto"/>
                <w:sz w:val="24"/>
                <w:szCs w:val="24"/>
              </w:rPr>
            </w:pPr>
          </w:p>
        </w:tc>
        <w:tc>
          <w:tcPr>
            <w:tcW w:w="1417" w:type="dxa"/>
            <w:vAlign w:val="center"/>
          </w:tcPr>
          <w:p w14:paraId="76EB07CD">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废脱模剂包装桶</w:t>
            </w:r>
          </w:p>
        </w:tc>
        <w:tc>
          <w:tcPr>
            <w:tcW w:w="1701" w:type="dxa"/>
            <w:vAlign w:val="center"/>
          </w:tcPr>
          <w:p w14:paraId="1F4978BA">
            <w:pPr>
              <w:spacing w:line="276" w:lineRule="auto"/>
              <w:jc w:val="center"/>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6A2C4BB3">
            <w:pPr>
              <w:spacing w:line="276" w:lineRule="auto"/>
              <w:jc w:val="center"/>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67926F75">
            <w:pPr>
              <w:spacing w:line="276" w:lineRule="auto"/>
              <w:jc w:val="center"/>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1FB954B2">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4t/a</w:t>
            </w:r>
          </w:p>
        </w:tc>
        <w:tc>
          <w:tcPr>
            <w:tcW w:w="1559" w:type="dxa"/>
            <w:vAlign w:val="center"/>
          </w:tcPr>
          <w:p w14:paraId="6A4B8DB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53B3D387">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4t/a</w:t>
            </w:r>
          </w:p>
        </w:tc>
        <w:tc>
          <w:tcPr>
            <w:tcW w:w="1286" w:type="dxa"/>
            <w:vAlign w:val="center"/>
          </w:tcPr>
          <w:p w14:paraId="652D21D0">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4t/a</w:t>
            </w:r>
          </w:p>
        </w:tc>
      </w:tr>
      <w:tr w14:paraId="7CA7C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88" w:type="dxa"/>
            <w:vMerge w:val="continue"/>
            <w:vAlign w:val="center"/>
          </w:tcPr>
          <w:p w14:paraId="4E21768F">
            <w:pPr>
              <w:pStyle w:val="124"/>
              <w:spacing w:line="276" w:lineRule="auto"/>
              <w:rPr>
                <w:rFonts w:hint="default" w:ascii="Times New Roman" w:hAnsi="Times New Roman" w:cs="Times New Roman"/>
                <w:color w:val="auto"/>
                <w:sz w:val="24"/>
                <w:szCs w:val="24"/>
              </w:rPr>
            </w:pPr>
          </w:p>
        </w:tc>
        <w:tc>
          <w:tcPr>
            <w:tcW w:w="1417" w:type="dxa"/>
            <w:vAlign w:val="center"/>
          </w:tcPr>
          <w:p w14:paraId="1F5ED899">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废布袋</w:t>
            </w:r>
          </w:p>
        </w:tc>
        <w:tc>
          <w:tcPr>
            <w:tcW w:w="1701" w:type="dxa"/>
            <w:vAlign w:val="center"/>
          </w:tcPr>
          <w:p w14:paraId="14A823B3">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116E53C3">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50900920">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40BAEDB0">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0.05</w:t>
            </w:r>
            <w:r>
              <w:rPr>
                <w:rFonts w:hint="default" w:ascii="Times New Roman" w:hAnsi="Times New Roman" w:cs="Times New Roman"/>
                <w:color w:val="auto"/>
                <w:sz w:val="24"/>
                <w:szCs w:val="24"/>
              </w:rPr>
              <w:t>t/a</w:t>
            </w:r>
          </w:p>
        </w:tc>
        <w:tc>
          <w:tcPr>
            <w:tcW w:w="1559" w:type="dxa"/>
            <w:vAlign w:val="center"/>
          </w:tcPr>
          <w:p w14:paraId="5E3D4357">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6F4D489A">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0.05</w:t>
            </w:r>
            <w:r>
              <w:rPr>
                <w:rFonts w:hint="default" w:ascii="Times New Roman" w:hAnsi="Times New Roman" w:cs="Times New Roman"/>
                <w:color w:val="auto"/>
                <w:sz w:val="24"/>
                <w:szCs w:val="24"/>
              </w:rPr>
              <w:t>t/a</w:t>
            </w:r>
          </w:p>
        </w:tc>
        <w:tc>
          <w:tcPr>
            <w:tcW w:w="1286" w:type="dxa"/>
            <w:vAlign w:val="center"/>
          </w:tcPr>
          <w:p w14:paraId="02E740A6">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0.05</w:t>
            </w:r>
            <w:r>
              <w:rPr>
                <w:rFonts w:hint="default" w:ascii="Times New Roman" w:hAnsi="Times New Roman" w:cs="Times New Roman"/>
                <w:color w:val="auto"/>
                <w:sz w:val="24"/>
                <w:szCs w:val="24"/>
              </w:rPr>
              <w:t>t/a</w:t>
            </w:r>
          </w:p>
        </w:tc>
      </w:tr>
      <w:tr w14:paraId="55392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14:paraId="4BA88606">
            <w:pPr>
              <w:pStyle w:val="124"/>
              <w:spacing w:line="276" w:lineRule="auto"/>
              <w:rPr>
                <w:rFonts w:hint="default" w:ascii="Times New Roman" w:hAnsi="Times New Roman" w:cs="Times New Roman"/>
                <w:color w:val="auto"/>
                <w:sz w:val="24"/>
                <w:szCs w:val="24"/>
              </w:rPr>
            </w:pPr>
          </w:p>
        </w:tc>
        <w:tc>
          <w:tcPr>
            <w:tcW w:w="1417" w:type="dxa"/>
            <w:vAlign w:val="center"/>
          </w:tcPr>
          <w:p w14:paraId="1B2A657B">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kern w:val="2"/>
                <w:sz w:val="24"/>
                <w:szCs w:val="24"/>
                <w:lang w:val="en-US" w:eastAsia="zh-CN"/>
              </w:rPr>
              <w:t>除尘灰</w:t>
            </w:r>
          </w:p>
        </w:tc>
        <w:tc>
          <w:tcPr>
            <w:tcW w:w="1701" w:type="dxa"/>
            <w:vAlign w:val="center"/>
          </w:tcPr>
          <w:p w14:paraId="4483D63B">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10BE784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7618929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27BC3BB7">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57.66</w:t>
            </w:r>
            <w:r>
              <w:rPr>
                <w:rFonts w:hint="default" w:ascii="Times New Roman" w:hAnsi="Times New Roman" w:cs="Times New Roman"/>
                <w:color w:val="auto"/>
                <w:sz w:val="24"/>
                <w:szCs w:val="24"/>
              </w:rPr>
              <w:t>t/a</w:t>
            </w:r>
          </w:p>
        </w:tc>
        <w:tc>
          <w:tcPr>
            <w:tcW w:w="1559" w:type="dxa"/>
            <w:vAlign w:val="center"/>
          </w:tcPr>
          <w:p w14:paraId="7B4BB05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21BA2500">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57.66</w:t>
            </w:r>
            <w:r>
              <w:rPr>
                <w:rFonts w:hint="default" w:ascii="Times New Roman" w:hAnsi="Times New Roman" w:cs="Times New Roman"/>
                <w:color w:val="auto"/>
                <w:sz w:val="24"/>
                <w:szCs w:val="24"/>
              </w:rPr>
              <w:t>t/a</w:t>
            </w:r>
          </w:p>
        </w:tc>
        <w:tc>
          <w:tcPr>
            <w:tcW w:w="1286" w:type="dxa"/>
            <w:vAlign w:val="center"/>
          </w:tcPr>
          <w:p w14:paraId="7D2A2778">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57.66</w:t>
            </w:r>
            <w:r>
              <w:rPr>
                <w:rFonts w:hint="default" w:ascii="Times New Roman" w:hAnsi="Times New Roman" w:cs="Times New Roman"/>
                <w:color w:val="auto"/>
                <w:sz w:val="24"/>
                <w:szCs w:val="24"/>
              </w:rPr>
              <w:t>t/a</w:t>
            </w:r>
          </w:p>
        </w:tc>
      </w:tr>
      <w:tr w14:paraId="1D47D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CDFCE71">
            <w:pPr>
              <w:pStyle w:val="124"/>
              <w:spacing w:line="276" w:lineRule="auto"/>
              <w:rPr>
                <w:rFonts w:hint="default" w:ascii="Times New Roman" w:hAnsi="Times New Roman" w:cs="Times New Roman"/>
                <w:color w:val="auto"/>
                <w:sz w:val="24"/>
                <w:szCs w:val="24"/>
              </w:rPr>
            </w:pPr>
          </w:p>
        </w:tc>
        <w:tc>
          <w:tcPr>
            <w:tcW w:w="1417" w:type="dxa"/>
            <w:vAlign w:val="center"/>
          </w:tcPr>
          <w:p w14:paraId="00FF89D7">
            <w:pPr>
              <w:topLinePun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en-US"/>
              </w:rPr>
              <w:t>沉淀池沉渣</w:t>
            </w:r>
          </w:p>
        </w:tc>
        <w:tc>
          <w:tcPr>
            <w:tcW w:w="1701" w:type="dxa"/>
            <w:vAlign w:val="center"/>
          </w:tcPr>
          <w:p w14:paraId="6657A6D7">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4BA8669D">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1675788B">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339E285D">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3.74</w:t>
            </w:r>
            <w:r>
              <w:rPr>
                <w:rFonts w:hint="default" w:ascii="Times New Roman" w:hAnsi="Times New Roman" w:cs="Times New Roman"/>
                <w:color w:val="auto"/>
                <w:sz w:val="24"/>
                <w:szCs w:val="24"/>
              </w:rPr>
              <w:t>t/a</w:t>
            </w:r>
          </w:p>
        </w:tc>
        <w:tc>
          <w:tcPr>
            <w:tcW w:w="1559" w:type="dxa"/>
            <w:vAlign w:val="center"/>
          </w:tcPr>
          <w:p w14:paraId="557F56A5">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112BD023">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lang w:val="en-US" w:eastAsia="zh-CN"/>
              </w:rPr>
              <w:t>3.74</w:t>
            </w:r>
            <w:r>
              <w:rPr>
                <w:rFonts w:hint="default" w:ascii="Times New Roman" w:hAnsi="Times New Roman" w:cs="Times New Roman"/>
                <w:color w:val="auto"/>
                <w:sz w:val="24"/>
                <w:szCs w:val="24"/>
              </w:rPr>
              <w:t>t/a</w:t>
            </w:r>
          </w:p>
        </w:tc>
        <w:tc>
          <w:tcPr>
            <w:tcW w:w="1286" w:type="dxa"/>
            <w:vAlign w:val="center"/>
          </w:tcPr>
          <w:p w14:paraId="58DC7A2C">
            <w:pPr>
              <w:topLinePunct/>
              <w:jc w:val="center"/>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3.74</w:t>
            </w:r>
            <w:r>
              <w:rPr>
                <w:rFonts w:hint="default" w:ascii="Times New Roman" w:hAnsi="Times New Roman" w:cs="Times New Roman"/>
                <w:color w:val="auto"/>
                <w:sz w:val="24"/>
                <w:szCs w:val="24"/>
              </w:rPr>
              <w:t>t/a</w:t>
            </w:r>
          </w:p>
        </w:tc>
      </w:tr>
      <w:tr w14:paraId="28567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735B00B">
            <w:pPr>
              <w:pStyle w:val="124"/>
              <w:spacing w:line="276" w:lineRule="auto"/>
              <w:rPr>
                <w:rFonts w:hint="default" w:ascii="Times New Roman" w:hAnsi="Times New Roman" w:cs="Times New Roman"/>
                <w:color w:val="auto"/>
                <w:sz w:val="24"/>
                <w:szCs w:val="24"/>
              </w:rPr>
            </w:pPr>
            <w:r>
              <w:rPr>
                <w:rFonts w:hint="default" w:ascii="Times New Roman" w:hAnsi="Times New Roman" w:cs="Times New Roman"/>
                <w:snapToGrid w:val="0"/>
                <w:color w:val="auto"/>
                <w:kern w:val="21"/>
                <w:sz w:val="24"/>
                <w:szCs w:val="24"/>
              </w:rPr>
              <w:t>危险废物</w:t>
            </w:r>
          </w:p>
        </w:tc>
        <w:tc>
          <w:tcPr>
            <w:tcW w:w="1417" w:type="dxa"/>
            <w:vAlign w:val="center"/>
          </w:tcPr>
          <w:p w14:paraId="11AF88DD">
            <w:pPr>
              <w:pStyle w:val="124"/>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w:t>
            </w:r>
            <w:r>
              <w:rPr>
                <w:rFonts w:hint="default" w:ascii="Times New Roman" w:hAnsi="Times New Roman" w:cs="Times New Roman"/>
                <w:color w:val="auto"/>
                <w:sz w:val="24"/>
                <w:szCs w:val="24"/>
                <w:lang w:val="en-US" w:eastAsia="zh-CN"/>
              </w:rPr>
              <w:t>机</w:t>
            </w:r>
            <w:r>
              <w:rPr>
                <w:rFonts w:hint="default" w:ascii="Times New Roman" w:hAnsi="Times New Roman" w:cs="Times New Roman"/>
                <w:color w:val="auto"/>
                <w:sz w:val="24"/>
                <w:szCs w:val="24"/>
              </w:rPr>
              <w:t>油</w:t>
            </w:r>
          </w:p>
        </w:tc>
        <w:tc>
          <w:tcPr>
            <w:tcW w:w="1701" w:type="dxa"/>
            <w:vAlign w:val="center"/>
          </w:tcPr>
          <w:p w14:paraId="16224B39">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3CAC8161">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40EC3E81">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4226B3A7">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0.05t/a</w:t>
            </w:r>
          </w:p>
        </w:tc>
        <w:tc>
          <w:tcPr>
            <w:tcW w:w="1559" w:type="dxa"/>
            <w:vAlign w:val="center"/>
          </w:tcPr>
          <w:p w14:paraId="61C6F0D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281387BC">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0.05t/a</w:t>
            </w:r>
          </w:p>
        </w:tc>
        <w:tc>
          <w:tcPr>
            <w:tcW w:w="1286" w:type="dxa"/>
            <w:vAlign w:val="center"/>
          </w:tcPr>
          <w:p w14:paraId="104B0048">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+0.05t/a</w:t>
            </w:r>
          </w:p>
        </w:tc>
      </w:tr>
      <w:tr w14:paraId="7920F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88" w:type="dxa"/>
            <w:vMerge w:val="continue"/>
            <w:vAlign w:val="center"/>
          </w:tcPr>
          <w:p w14:paraId="18A5C6F5">
            <w:pPr>
              <w:pStyle w:val="124"/>
              <w:spacing w:line="276" w:lineRule="auto"/>
              <w:rPr>
                <w:rFonts w:hint="default" w:ascii="Times New Roman" w:hAnsi="Times New Roman" w:cs="Times New Roman"/>
                <w:snapToGrid w:val="0"/>
                <w:color w:val="auto"/>
                <w:kern w:val="21"/>
                <w:sz w:val="24"/>
                <w:szCs w:val="24"/>
              </w:rPr>
            </w:pPr>
          </w:p>
        </w:tc>
        <w:tc>
          <w:tcPr>
            <w:tcW w:w="1417" w:type="dxa"/>
            <w:vAlign w:val="center"/>
          </w:tcPr>
          <w:p w14:paraId="2ACE6BAA">
            <w:pPr>
              <w:pStyle w:val="124"/>
              <w:spacing w:line="24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w:t>
            </w:r>
            <w:r>
              <w:rPr>
                <w:rFonts w:hint="default" w:ascii="Times New Roman" w:hAnsi="Times New Roman" w:cs="Times New Roman"/>
                <w:color w:val="auto"/>
                <w:sz w:val="24"/>
                <w:szCs w:val="24"/>
                <w:lang w:val="en-US" w:eastAsia="zh-CN"/>
              </w:rPr>
              <w:t>机</w:t>
            </w:r>
            <w:r>
              <w:rPr>
                <w:rFonts w:hint="default" w:ascii="Times New Roman" w:hAnsi="Times New Roman" w:cs="Times New Roman"/>
                <w:color w:val="auto"/>
                <w:sz w:val="24"/>
                <w:szCs w:val="24"/>
              </w:rPr>
              <w:t>油桶</w:t>
            </w:r>
          </w:p>
        </w:tc>
        <w:tc>
          <w:tcPr>
            <w:tcW w:w="1701" w:type="dxa"/>
            <w:vAlign w:val="center"/>
          </w:tcPr>
          <w:p w14:paraId="4C05173F">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276" w:type="dxa"/>
            <w:vAlign w:val="center"/>
          </w:tcPr>
          <w:p w14:paraId="7A59B874">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5F0641E9">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559" w:type="dxa"/>
            <w:vAlign w:val="center"/>
          </w:tcPr>
          <w:p w14:paraId="0E1B6695">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rPr>
              <w:t>t/a</w:t>
            </w:r>
          </w:p>
        </w:tc>
        <w:tc>
          <w:tcPr>
            <w:tcW w:w="1559" w:type="dxa"/>
            <w:vAlign w:val="center"/>
          </w:tcPr>
          <w:p w14:paraId="4C3B1AED">
            <w:pPr>
              <w:pStyle w:val="175"/>
              <w:spacing w:line="276"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0</w:t>
            </w:r>
          </w:p>
        </w:tc>
        <w:tc>
          <w:tcPr>
            <w:tcW w:w="1701" w:type="dxa"/>
            <w:vAlign w:val="center"/>
          </w:tcPr>
          <w:p w14:paraId="1284C3CD">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rPr>
              <w:t>t/a</w:t>
            </w:r>
          </w:p>
        </w:tc>
        <w:tc>
          <w:tcPr>
            <w:tcW w:w="1286" w:type="dxa"/>
            <w:vAlign w:val="center"/>
          </w:tcPr>
          <w:p w14:paraId="0A5850D0">
            <w:pPr>
              <w:pStyle w:val="124"/>
              <w:spacing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rPr>
              <w:t>t/a</w:t>
            </w:r>
          </w:p>
        </w:tc>
      </w:tr>
    </w:tbl>
    <w:p w14:paraId="14277AD0">
      <w:pPr>
        <w:pStyle w:val="175"/>
        <w:spacing w:before="249" w:beforeLines="80" w:after="24"/>
        <w:jc w:val="left"/>
        <w:rPr>
          <w:rFonts w:hint="eastAsia" w:ascii="宋体" w:hAnsi="宋体"/>
          <w:snapToGrid w:val="0"/>
          <w:color w:val="auto"/>
          <w:spacing w:val="-6"/>
          <w:kern w:val="21"/>
          <w:sz w:val="21"/>
        </w:rPr>
      </w:pPr>
      <w:r>
        <w:rPr>
          <w:rFonts w:ascii="宋体" w:hAnsi="宋体"/>
          <w:snapToGrid w:val="0"/>
          <w:color w:val="auto"/>
          <w:kern w:val="21"/>
          <w:sz w:val="21"/>
        </w:rPr>
        <w:t>注：</w:t>
      </w:r>
      <w:r>
        <w:rPr>
          <w:rFonts w:ascii="宋体" w:hAnsi="宋体"/>
          <w:snapToGrid w:val="0"/>
          <w:color w:val="auto"/>
          <w:spacing w:val="-16"/>
          <w:kern w:val="21"/>
          <w:sz w:val="21"/>
        </w:rPr>
        <w:fldChar w:fldCharType="begin"/>
      </w:r>
      <w:r>
        <w:rPr>
          <w:rFonts w:ascii="宋体" w:hAnsi="宋体"/>
          <w:snapToGrid w:val="0"/>
          <w:color w:val="auto"/>
          <w:spacing w:val="-16"/>
          <w:kern w:val="21"/>
          <w:sz w:val="21"/>
        </w:rPr>
        <w:instrText xml:space="preserve"> = 6 \* GB3 \* MERGEFORMAT </w:instrText>
      </w:r>
      <w:r>
        <w:rPr>
          <w:rFonts w:ascii="宋体" w:hAnsi="宋体"/>
          <w:snapToGrid w:val="0"/>
          <w:color w:val="auto"/>
          <w:spacing w:val="-16"/>
          <w:kern w:val="21"/>
          <w:sz w:val="21"/>
        </w:rPr>
        <w:fldChar w:fldCharType="separate"/>
      </w:r>
      <w:r>
        <w:rPr>
          <w:rFonts w:ascii="宋体" w:hAnsi="宋体"/>
          <w:color w:val="auto"/>
          <w:sz w:val="21"/>
        </w:rPr>
        <w:t>⑥</w:t>
      </w:r>
      <w:r>
        <w:rPr>
          <w:rFonts w:ascii="宋体" w:hAnsi="宋体"/>
          <w:snapToGrid w:val="0"/>
          <w:color w:val="auto"/>
          <w:spacing w:val="-16"/>
          <w:kern w:val="21"/>
          <w:sz w:val="21"/>
        </w:rPr>
        <w:fldChar w:fldCharType="end"/>
      </w:r>
      <w:r>
        <w:rPr>
          <w:rFonts w:ascii="宋体" w:hAnsi="宋体"/>
          <w:snapToGrid w:val="0"/>
          <w:color w:val="auto"/>
          <w:spacing w:val="-16"/>
          <w:kern w:val="21"/>
          <w:sz w:val="21"/>
        </w:rPr>
        <w:t>=</w:t>
      </w:r>
      <w:r>
        <w:rPr>
          <w:rFonts w:ascii="宋体" w:hAnsi="宋体"/>
          <w:snapToGrid w:val="0"/>
          <w:color w:val="auto"/>
          <w:spacing w:val="-6"/>
          <w:kern w:val="21"/>
          <w:sz w:val="21"/>
        </w:rPr>
        <w:fldChar w:fldCharType="begin"/>
      </w:r>
      <w:r>
        <w:rPr>
          <w:rFonts w:ascii="宋体" w:hAnsi="宋体"/>
          <w:snapToGrid w:val="0"/>
          <w:color w:val="auto"/>
          <w:spacing w:val="-6"/>
          <w:kern w:val="21"/>
          <w:sz w:val="21"/>
        </w:rPr>
        <w:instrText xml:space="preserve"> = 1 \* GB3 \* MERGEFORMAT </w:instrText>
      </w:r>
      <w:r>
        <w:rPr>
          <w:rFonts w:ascii="宋体" w:hAnsi="宋体"/>
          <w:snapToGrid w:val="0"/>
          <w:color w:val="auto"/>
          <w:spacing w:val="-6"/>
          <w:kern w:val="21"/>
          <w:sz w:val="21"/>
        </w:rPr>
        <w:fldChar w:fldCharType="separate"/>
      </w:r>
      <w:r>
        <w:rPr>
          <w:rFonts w:ascii="宋体" w:hAnsi="宋体"/>
          <w:color w:val="auto"/>
          <w:sz w:val="21"/>
        </w:rPr>
        <w:t>①</w:t>
      </w:r>
      <w:r>
        <w:rPr>
          <w:rFonts w:ascii="宋体" w:hAnsi="宋体"/>
          <w:snapToGrid w:val="0"/>
          <w:color w:val="auto"/>
          <w:spacing w:val="-6"/>
          <w:kern w:val="21"/>
          <w:sz w:val="21"/>
        </w:rPr>
        <w:fldChar w:fldCharType="end"/>
      </w:r>
      <w:r>
        <w:rPr>
          <w:rFonts w:ascii="宋体" w:hAnsi="宋体"/>
          <w:snapToGrid w:val="0"/>
          <w:color w:val="auto"/>
          <w:spacing w:val="-6"/>
          <w:kern w:val="21"/>
          <w:sz w:val="21"/>
        </w:rPr>
        <w:t>+</w:t>
      </w:r>
      <w:r>
        <w:rPr>
          <w:rFonts w:ascii="宋体" w:hAnsi="宋体"/>
          <w:snapToGrid w:val="0"/>
          <w:color w:val="auto"/>
          <w:spacing w:val="-6"/>
          <w:kern w:val="21"/>
          <w:sz w:val="21"/>
        </w:rPr>
        <w:fldChar w:fldCharType="begin"/>
      </w:r>
      <w:r>
        <w:rPr>
          <w:rFonts w:ascii="宋体" w:hAnsi="宋体"/>
          <w:snapToGrid w:val="0"/>
          <w:color w:val="auto"/>
          <w:spacing w:val="-6"/>
          <w:kern w:val="21"/>
          <w:sz w:val="21"/>
        </w:rPr>
        <w:instrText xml:space="preserve"> = 3 \* GB3 \* MERGEFORMAT </w:instrText>
      </w:r>
      <w:r>
        <w:rPr>
          <w:rFonts w:ascii="宋体" w:hAnsi="宋体"/>
          <w:snapToGrid w:val="0"/>
          <w:color w:val="auto"/>
          <w:spacing w:val="-6"/>
          <w:kern w:val="21"/>
          <w:sz w:val="21"/>
        </w:rPr>
        <w:fldChar w:fldCharType="separate"/>
      </w:r>
      <w:r>
        <w:rPr>
          <w:rFonts w:ascii="宋体" w:hAnsi="宋体"/>
          <w:color w:val="auto"/>
          <w:sz w:val="21"/>
        </w:rPr>
        <w:t>③</w:t>
      </w:r>
      <w:r>
        <w:rPr>
          <w:rFonts w:ascii="宋体" w:hAnsi="宋体"/>
          <w:snapToGrid w:val="0"/>
          <w:color w:val="auto"/>
          <w:spacing w:val="-6"/>
          <w:kern w:val="21"/>
          <w:sz w:val="21"/>
        </w:rPr>
        <w:fldChar w:fldCharType="end"/>
      </w:r>
      <w:r>
        <w:rPr>
          <w:rFonts w:ascii="宋体" w:hAnsi="宋体"/>
          <w:snapToGrid w:val="0"/>
          <w:color w:val="auto"/>
          <w:spacing w:val="-6"/>
          <w:kern w:val="21"/>
          <w:sz w:val="21"/>
        </w:rPr>
        <w:t>+</w:t>
      </w:r>
      <w:r>
        <w:rPr>
          <w:rFonts w:ascii="宋体" w:hAnsi="宋体"/>
          <w:snapToGrid w:val="0"/>
          <w:color w:val="auto"/>
          <w:spacing w:val="-6"/>
          <w:kern w:val="21"/>
          <w:sz w:val="21"/>
        </w:rPr>
        <w:fldChar w:fldCharType="begin"/>
      </w:r>
      <w:r>
        <w:rPr>
          <w:rFonts w:ascii="宋体" w:hAnsi="宋体"/>
          <w:snapToGrid w:val="0"/>
          <w:color w:val="auto"/>
          <w:spacing w:val="-6"/>
          <w:kern w:val="21"/>
          <w:sz w:val="21"/>
        </w:rPr>
        <w:instrText xml:space="preserve"> = 4 \* GB3 \* MERGEFORMAT </w:instrText>
      </w:r>
      <w:r>
        <w:rPr>
          <w:rFonts w:ascii="宋体" w:hAnsi="宋体"/>
          <w:snapToGrid w:val="0"/>
          <w:color w:val="auto"/>
          <w:spacing w:val="-6"/>
          <w:kern w:val="21"/>
          <w:sz w:val="21"/>
        </w:rPr>
        <w:fldChar w:fldCharType="separate"/>
      </w:r>
      <w:r>
        <w:rPr>
          <w:rFonts w:ascii="宋体" w:hAnsi="宋体"/>
          <w:color w:val="auto"/>
          <w:sz w:val="21"/>
        </w:rPr>
        <w:t>④</w:t>
      </w:r>
      <w:r>
        <w:rPr>
          <w:rFonts w:ascii="宋体" w:hAnsi="宋体"/>
          <w:snapToGrid w:val="0"/>
          <w:color w:val="auto"/>
          <w:spacing w:val="-6"/>
          <w:kern w:val="21"/>
          <w:sz w:val="21"/>
        </w:rPr>
        <w:fldChar w:fldCharType="end"/>
      </w:r>
      <w:r>
        <w:rPr>
          <w:rFonts w:ascii="宋体" w:hAnsi="宋体"/>
          <w:snapToGrid w:val="0"/>
          <w:color w:val="auto"/>
          <w:spacing w:val="-6"/>
          <w:kern w:val="21"/>
          <w:sz w:val="21"/>
        </w:rPr>
        <w:t>-</w:t>
      </w:r>
      <w:r>
        <w:rPr>
          <w:rFonts w:ascii="宋体" w:hAnsi="宋体"/>
          <w:snapToGrid w:val="0"/>
          <w:color w:val="auto"/>
          <w:spacing w:val="-16"/>
          <w:kern w:val="21"/>
          <w:sz w:val="21"/>
        </w:rPr>
        <w:fldChar w:fldCharType="begin"/>
      </w:r>
      <w:r>
        <w:rPr>
          <w:rFonts w:ascii="宋体" w:hAnsi="宋体"/>
          <w:snapToGrid w:val="0"/>
          <w:color w:val="auto"/>
          <w:spacing w:val="-16"/>
          <w:kern w:val="21"/>
          <w:sz w:val="21"/>
        </w:rPr>
        <w:instrText xml:space="preserve"> = 5 \* GB3 \* MERGEFORMAT </w:instrText>
      </w:r>
      <w:r>
        <w:rPr>
          <w:rFonts w:ascii="宋体" w:hAnsi="宋体"/>
          <w:snapToGrid w:val="0"/>
          <w:color w:val="auto"/>
          <w:spacing w:val="-16"/>
          <w:kern w:val="21"/>
          <w:sz w:val="21"/>
        </w:rPr>
        <w:fldChar w:fldCharType="separate"/>
      </w:r>
      <w:r>
        <w:rPr>
          <w:rFonts w:ascii="宋体" w:hAnsi="宋体"/>
          <w:color w:val="auto"/>
          <w:sz w:val="21"/>
        </w:rPr>
        <w:t>⑤</w:t>
      </w:r>
      <w:r>
        <w:rPr>
          <w:rFonts w:ascii="宋体" w:hAnsi="宋体"/>
          <w:snapToGrid w:val="0"/>
          <w:color w:val="auto"/>
          <w:spacing w:val="-16"/>
          <w:kern w:val="21"/>
          <w:sz w:val="21"/>
        </w:rPr>
        <w:fldChar w:fldCharType="end"/>
      </w:r>
      <w:r>
        <w:rPr>
          <w:rFonts w:ascii="宋体" w:hAnsi="宋体"/>
          <w:snapToGrid w:val="0"/>
          <w:color w:val="auto"/>
          <w:spacing w:val="-16"/>
          <w:kern w:val="21"/>
          <w:sz w:val="21"/>
        </w:rPr>
        <w:t>；</w:t>
      </w:r>
      <w:r>
        <w:rPr>
          <w:rFonts w:ascii="宋体" w:hAnsi="宋体"/>
          <w:snapToGrid w:val="0"/>
          <w:color w:val="auto"/>
          <w:spacing w:val="-6"/>
          <w:kern w:val="21"/>
          <w:sz w:val="21"/>
        </w:rPr>
        <w:fldChar w:fldCharType="begin"/>
      </w:r>
      <w:r>
        <w:rPr>
          <w:rFonts w:ascii="宋体" w:hAnsi="宋体"/>
          <w:snapToGrid w:val="0"/>
          <w:color w:val="auto"/>
          <w:spacing w:val="-6"/>
          <w:kern w:val="21"/>
          <w:sz w:val="21"/>
        </w:rPr>
        <w:instrText xml:space="preserve"> = 7 \* GB3 \* MERGEFORMAT </w:instrText>
      </w:r>
      <w:r>
        <w:rPr>
          <w:rFonts w:ascii="宋体" w:hAnsi="宋体"/>
          <w:snapToGrid w:val="0"/>
          <w:color w:val="auto"/>
          <w:spacing w:val="-6"/>
          <w:kern w:val="21"/>
          <w:sz w:val="21"/>
        </w:rPr>
        <w:fldChar w:fldCharType="separate"/>
      </w:r>
      <w:r>
        <w:rPr>
          <w:rFonts w:ascii="宋体" w:hAnsi="宋体"/>
          <w:color w:val="auto"/>
          <w:sz w:val="21"/>
        </w:rPr>
        <w:t>⑦</w:t>
      </w:r>
      <w:r>
        <w:rPr>
          <w:rFonts w:ascii="宋体" w:hAnsi="宋体"/>
          <w:snapToGrid w:val="0"/>
          <w:color w:val="auto"/>
          <w:spacing w:val="-6"/>
          <w:kern w:val="21"/>
          <w:sz w:val="21"/>
        </w:rPr>
        <w:fldChar w:fldCharType="end"/>
      </w:r>
      <w:r>
        <w:rPr>
          <w:rFonts w:ascii="宋体" w:hAnsi="宋体"/>
          <w:snapToGrid w:val="0"/>
          <w:color w:val="auto"/>
          <w:spacing w:val="-6"/>
          <w:kern w:val="21"/>
          <w:sz w:val="21"/>
        </w:rPr>
        <w:t>=</w:t>
      </w:r>
      <w:r>
        <w:rPr>
          <w:rFonts w:ascii="宋体" w:hAnsi="宋体"/>
          <w:snapToGrid w:val="0"/>
          <w:color w:val="auto"/>
          <w:spacing w:val="-16"/>
          <w:kern w:val="21"/>
          <w:sz w:val="21"/>
        </w:rPr>
        <w:fldChar w:fldCharType="begin"/>
      </w:r>
      <w:r>
        <w:rPr>
          <w:rFonts w:ascii="宋体" w:hAnsi="宋体"/>
          <w:snapToGrid w:val="0"/>
          <w:color w:val="auto"/>
          <w:spacing w:val="-16"/>
          <w:kern w:val="21"/>
          <w:sz w:val="21"/>
        </w:rPr>
        <w:instrText xml:space="preserve"> = 6 \* GB3 \* MERGEFORMAT </w:instrText>
      </w:r>
      <w:r>
        <w:rPr>
          <w:rFonts w:ascii="宋体" w:hAnsi="宋体"/>
          <w:snapToGrid w:val="0"/>
          <w:color w:val="auto"/>
          <w:spacing w:val="-16"/>
          <w:kern w:val="21"/>
          <w:sz w:val="21"/>
        </w:rPr>
        <w:fldChar w:fldCharType="separate"/>
      </w:r>
      <w:r>
        <w:rPr>
          <w:rFonts w:ascii="宋体" w:hAnsi="宋体"/>
          <w:color w:val="auto"/>
          <w:sz w:val="21"/>
        </w:rPr>
        <w:t>⑥</w:t>
      </w:r>
      <w:r>
        <w:rPr>
          <w:rFonts w:ascii="宋体" w:hAnsi="宋体"/>
          <w:snapToGrid w:val="0"/>
          <w:color w:val="auto"/>
          <w:spacing w:val="-16"/>
          <w:kern w:val="21"/>
          <w:sz w:val="21"/>
        </w:rPr>
        <w:fldChar w:fldCharType="end"/>
      </w:r>
      <w:r>
        <w:rPr>
          <w:rFonts w:ascii="宋体" w:hAnsi="宋体"/>
          <w:snapToGrid w:val="0"/>
          <w:color w:val="auto"/>
          <w:spacing w:val="-16"/>
          <w:kern w:val="21"/>
          <w:sz w:val="21"/>
        </w:rPr>
        <w:t>-</w:t>
      </w:r>
      <w:r>
        <w:rPr>
          <w:rFonts w:ascii="宋体" w:hAnsi="宋体"/>
          <w:snapToGrid w:val="0"/>
          <w:color w:val="auto"/>
          <w:spacing w:val="-6"/>
          <w:kern w:val="21"/>
          <w:sz w:val="21"/>
        </w:rPr>
        <w:fldChar w:fldCharType="begin"/>
      </w:r>
      <w:r>
        <w:rPr>
          <w:rFonts w:ascii="宋体" w:hAnsi="宋体"/>
          <w:snapToGrid w:val="0"/>
          <w:color w:val="auto"/>
          <w:spacing w:val="-6"/>
          <w:kern w:val="21"/>
          <w:sz w:val="21"/>
        </w:rPr>
        <w:instrText xml:space="preserve"> = 1 \* GB3 \* MERGEFORMAT </w:instrText>
      </w:r>
      <w:r>
        <w:rPr>
          <w:rFonts w:ascii="宋体" w:hAnsi="宋体"/>
          <w:snapToGrid w:val="0"/>
          <w:color w:val="auto"/>
          <w:spacing w:val="-6"/>
          <w:kern w:val="21"/>
          <w:sz w:val="21"/>
        </w:rPr>
        <w:fldChar w:fldCharType="separate"/>
      </w:r>
      <w:r>
        <w:rPr>
          <w:rFonts w:ascii="宋体" w:hAnsi="宋体"/>
          <w:color w:val="auto"/>
          <w:sz w:val="21"/>
        </w:rPr>
        <w:t>①</w:t>
      </w:r>
      <w:r>
        <w:rPr>
          <w:rFonts w:ascii="宋体" w:hAnsi="宋体"/>
          <w:snapToGrid w:val="0"/>
          <w:color w:val="auto"/>
          <w:spacing w:val="-6"/>
          <w:kern w:val="21"/>
          <w:sz w:val="21"/>
        </w:rPr>
        <w:fldChar w:fldCharType="end"/>
      </w:r>
    </w:p>
    <w:sectPr>
      <w:pgSz w:w="16838" w:h="11906" w:orient="landscape"/>
      <w:pgMar w:top="1508" w:right="1440" w:bottom="1797"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panose1 w:val="02010609030101010101"/>
    <w:charset w:val="86"/>
    <w:family w:val="roma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Kingsoft UE">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588B4">
    <w:pPr>
      <w:pStyle w:val="25"/>
      <w:framePr w:wrap="around" w:vAnchor="text" w:hAnchor="margin" w:xAlign="center" w:y="1"/>
      <w:rPr>
        <w:rStyle w:val="45"/>
      </w:rPr>
    </w:pPr>
    <w:r>
      <w:fldChar w:fldCharType="begin"/>
    </w:r>
    <w:r>
      <w:rPr>
        <w:rStyle w:val="45"/>
      </w:rPr>
      <w:instrText xml:space="preserve">PAGE  </w:instrText>
    </w:r>
    <w:r>
      <w:fldChar w:fldCharType="end"/>
    </w:r>
  </w:p>
  <w:p w14:paraId="07CA244E">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1CA96">
    <w:pPr>
      <w:pStyle w:val="25"/>
      <w:framePr w:wrap="around" w:vAnchor="text" w:hAnchor="margin" w:xAlign="center" w:y="1"/>
      <w:rPr>
        <w:rStyle w:val="45"/>
      </w:rPr>
    </w:pPr>
    <w:r>
      <w:fldChar w:fldCharType="begin"/>
    </w:r>
    <w:r>
      <w:rPr>
        <w:rStyle w:val="45"/>
      </w:rPr>
      <w:instrText xml:space="preserve">PAGE  </w:instrText>
    </w:r>
    <w:r>
      <w:fldChar w:fldCharType="separate"/>
    </w:r>
    <w:r>
      <w:rPr>
        <w:rStyle w:val="45"/>
      </w:rPr>
      <w:t>47</w:t>
    </w:r>
    <w:r>
      <w:fldChar w:fldCharType="end"/>
    </w:r>
  </w:p>
  <w:p w14:paraId="062BE4D4">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88F25">
    <w:pPr>
      <w:pStyle w:val="25"/>
      <w:framePr w:wrap="around" w:vAnchor="text" w:hAnchor="margin" w:xAlign="center" w:y="1"/>
      <w:rPr>
        <w:rStyle w:val="45"/>
      </w:rPr>
    </w:pPr>
    <w:r>
      <w:fldChar w:fldCharType="begin"/>
    </w:r>
    <w:r>
      <w:rPr>
        <w:rStyle w:val="45"/>
      </w:rPr>
      <w:instrText xml:space="preserve">PAGE  </w:instrText>
    </w:r>
    <w:r>
      <w:fldChar w:fldCharType="separate"/>
    </w:r>
    <w:r>
      <w:rPr>
        <w:rStyle w:val="45"/>
      </w:rPr>
      <w:t>77</w:t>
    </w:r>
    <w:r>
      <w:fldChar w:fldCharType="end"/>
    </w:r>
  </w:p>
  <w:p w14:paraId="6CD86205">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0676">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EA41B">
    <w:pPr>
      <w:pStyle w:val="2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kMDE2Y2Q1M2M3YzY3NDY4MmI4YzQxMTg3ODM1YmEifQ=="/>
  </w:docVars>
  <w:rsids>
    <w:rsidRoot w:val="00172A27"/>
    <w:rsid w:val="000000B2"/>
    <w:rsid w:val="000006FA"/>
    <w:rsid w:val="0000123C"/>
    <w:rsid w:val="0000155B"/>
    <w:rsid w:val="0000178D"/>
    <w:rsid w:val="00002FD9"/>
    <w:rsid w:val="000036E2"/>
    <w:rsid w:val="00003964"/>
    <w:rsid w:val="00003C73"/>
    <w:rsid w:val="00004006"/>
    <w:rsid w:val="000040C9"/>
    <w:rsid w:val="0000422E"/>
    <w:rsid w:val="0000432C"/>
    <w:rsid w:val="00004358"/>
    <w:rsid w:val="000048F6"/>
    <w:rsid w:val="00005108"/>
    <w:rsid w:val="000052E4"/>
    <w:rsid w:val="00005969"/>
    <w:rsid w:val="00005A49"/>
    <w:rsid w:val="00005D16"/>
    <w:rsid w:val="00005D34"/>
    <w:rsid w:val="000064DC"/>
    <w:rsid w:val="0000663E"/>
    <w:rsid w:val="0000668A"/>
    <w:rsid w:val="0000671C"/>
    <w:rsid w:val="000069BD"/>
    <w:rsid w:val="00006E32"/>
    <w:rsid w:val="00007486"/>
    <w:rsid w:val="000074DD"/>
    <w:rsid w:val="0000772B"/>
    <w:rsid w:val="00007B68"/>
    <w:rsid w:val="000103BF"/>
    <w:rsid w:val="000104DF"/>
    <w:rsid w:val="00010B22"/>
    <w:rsid w:val="000112D5"/>
    <w:rsid w:val="000125FE"/>
    <w:rsid w:val="0001284C"/>
    <w:rsid w:val="00012C02"/>
    <w:rsid w:val="000132F3"/>
    <w:rsid w:val="000133FD"/>
    <w:rsid w:val="00013965"/>
    <w:rsid w:val="000140B6"/>
    <w:rsid w:val="0001437E"/>
    <w:rsid w:val="00014CAA"/>
    <w:rsid w:val="00014DE5"/>
    <w:rsid w:val="000155A6"/>
    <w:rsid w:val="000156CF"/>
    <w:rsid w:val="0001635E"/>
    <w:rsid w:val="000169C1"/>
    <w:rsid w:val="00016ABE"/>
    <w:rsid w:val="0001715C"/>
    <w:rsid w:val="000176F7"/>
    <w:rsid w:val="00017D3E"/>
    <w:rsid w:val="0002029C"/>
    <w:rsid w:val="00020336"/>
    <w:rsid w:val="0002049C"/>
    <w:rsid w:val="000206FF"/>
    <w:rsid w:val="0002086E"/>
    <w:rsid w:val="00020C39"/>
    <w:rsid w:val="00021337"/>
    <w:rsid w:val="0002160A"/>
    <w:rsid w:val="000219D0"/>
    <w:rsid w:val="00021B32"/>
    <w:rsid w:val="00021EAC"/>
    <w:rsid w:val="000221F3"/>
    <w:rsid w:val="000222B3"/>
    <w:rsid w:val="0002249D"/>
    <w:rsid w:val="00022C07"/>
    <w:rsid w:val="000246DE"/>
    <w:rsid w:val="00024B24"/>
    <w:rsid w:val="00024B74"/>
    <w:rsid w:val="00024BC6"/>
    <w:rsid w:val="00024CC0"/>
    <w:rsid w:val="000251D7"/>
    <w:rsid w:val="00025ECB"/>
    <w:rsid w:val="00026135"/>
    <w:rsid w:val="0002663C"/>
    <w:rsid w:val="000268B5"/>
    <w:rsid w:val="00027AE3"/>
    <w:rsid w:val="00027BB7"/>
    <w:rsid w:val="00030274"/>
    <w:rsid w:val="000307D9"/>
    <w:rsid w:val="00030B9D"/>
    <w:rsid w:val="00031109"/>
    <w:rsid w:val="00031894"/>
    <w:rsid w:val="00031B14"/>
    <w:rsid w:val="00031DBA"/>
    <w:rsid w:val="0003206F"/>
    <w:rsid w:val="000320E9"/>
    <w:rsid w:val="00032837"/>
    <w:rsid w:val="0003294F"/>
    <w:rsid w:val="00032BAE"/>
    <w:rsid w:val="000340A3"/>
    <w:rsid w:val="000345D9"/>
    <w:rsid w:val="00034607"/>
    <w:rsid w:val="00034B87"/>
    <w:rsid w:val="00034DE7"/>
    <w:rsid w:val="0003556C"/>
    <w:rsid w:val="000357DC"/>
    <w:rsid w:val="00036149"/>
    <w:rsid w:val="00036243"/>
    <w:rsid w:val="00036388"/>
    <w:rsid w:val="00036C02"/>
    <w:rsid w:val="00036D32"/>
    <w:rsid w:val="00036E02"/>
    <w:rsid w:val="00036F56"/>
    <w:rsid w:val="00037079"/>
    <w:rsid w:val="00037E56"/>
    <w:rsid w:val="00040093"/>
    <w:rsid w:val="00041749"/>
    <w:rsid w:val="00042137"/>
    <w:rsid w:val="000425B4"/>
    <w:rsid w:val="00042770"/>
    <w:rsid w:val="00042921"/>
    <w:rsid w:val="00043057"/>
    <w:rsid w:val="000436DA"/>
    <w:rsid w:val="00043834"/>
    <w:rsid w:val="00043A3F"/>
    <w:rsid w:val="00043C03"/>
    <w:rsid w:val="00044114"/>
    <w:rsid w:val="000444D0"/>
    <w:rsid w:val="00044ED9"/>
    <w:rsid w:val="00044FA3"/>
    <w:rsid w:val="000450E5"/>
    <w:rsid w:val="00045933"/>
    <w:rsid w:val="00045DBB"/>
    <w:rsid w:val="000462B1"/>
    <w:rsid w:val="000476A5"/>
    <w:rsid w:val="000477E5"/>
    <w:rsid w:val="000502C1"/>
    <w:rsid w:val="000505C7"/>
    <w:rsid w:val="000506EE"/>
    <w:rsid w:val="000507C4"/>
    <w:rsid w:val="000507D0"/>
    <w:rsid w:val="00051021"/>
    <w:rsid w:val="000514E0"/>
    <w:rsid w:val="000519D2"/>
    <w:rsid w:val="00051C64"/>
    <w:rsid w:val="00051CBA"/>
    <w:rsid w:val="00051E84"/>
    <w:rsid w:val="00051F5F"/>
    <w:rsid w:val="00052263"/>
    <w:rsid w:val="00052DD1"/>
    <w:rsid w:val="0005339A"/>
    <w:rsid w:val="000533B6"/>
    <w:rsid w:val="0005349C"/>
    <w:rsid w:val="00053E01"/>
    <w:rsid w:val="0005482A"/>
    <w:rsid w:val="00054CCF"/>
    <w:rsid w:val="00054D14"/>
    <w:rsid w:val="00055093"/>
    <w:rsid w:val="00055431"/>
    <w:rsid w:val="00055951"/>
    <w:rsid w:val="00055DDB"/>
    <w:rsid w:val="00055DEF"/>
    <w:rsid w:val="00055F86"/>
    <w:rsid w:val="000563BE"/>
    <w:rsid w:val="00056404"/>
    <w:rsid w:val="0005649A"/>
    <w:rsid w:val="00056510"/>
    <w:rsid w:val="00056576"/>
    <w:rsid w:val="00056C5B"/>
    <w:rsid w:val="000570EC"/>
    <w:rsid w:val="00057133"/>
    <w:rsid w:val="0006006B"/>
    <w:rsid w:val="000600F0"/>
    <w:rsid w:val="000603A8"/>
    <w:rsid w:val="0006041B"/>
    <w:rsid w:val="00060454"/>
    <w:rsid w:val="0006059D"/>
    <w:rsid w:val="0006062F"/>
    <w:rsid w:val="00060B39"/>
    <w:rsid w:val="00060B62"/>
    <w:rsid w:val="0006119D"/>
    <w:rsid w:val="00061221"/>
    <w:rsid w:val="00061A5E"/>
    <w:rsid w:val="00061B5E"/>
    <w:rsid w:val="000620F5"/>
    <w:rsid w:val="0006247C"/>
    <w:rsid w:val="00062572"/>
    <w:rsid w:val="00062BC1"/>
    <w:rsid w:val="00062CCC"/>
    <w:rsid w:val="00062DE6"/>
    <w:rsid w:val="00062EA9"/>
    <w:rsid w:val="00062F52"/>
    <w:rsid w:val="00063020"/>
    <w:rsid w:val="00063256"/>
    <w:rsid w:val="0006412C"/>
    <w:rsid w:val="00064489"/>
    <w:rsid w:val="000646BC"/>
    <w:rsid w:val="00064846"/>
    <w:rsid w:val="00064ED2"/>
    <w:rsid w:val="000651F2"/>
    <w:rsid w:val="000653BF"/>
    <w:rsid w:val="00066579"/>
    <w:rsid w:val="0006735D"/>
    <w:rsid w:val="000676D1"/>
    <w:rsid w:val="00067A3D"/>
    <w:rsid w:val="000702A0"/>
    <w:rsid w:val="000702E0"/>
    <w:rsid w:val="000702F9"/>
    <w:rsid w:val="00070799"/>
    <w:rsid w:val="00070B20"/>
    <w:rsid w:val="00071623"/>
    <w:rsid w:val="000716DD"/>
    <w:rsid w:val="00071B1A"/>
    <w:rsid w:val="00071D75"/>
    <w:rsid w:val="00071FB5"/>
    <w:rsid w:val="00072F13"/>
    <w:rsid w:val="000732D4"/>
    <w:rsid w:val="00073449"/>
    <w:rsid w:val="00073FB4"/>
    <w:rsid w:val="0007492E"/>
    <w:rsid w:val="00074984"/>
    <w:rsid w:val="00074B89"/>
    <w:rsid w:val="00074D15"/>
    <w:rsid w:val="000757A1"/>
    <w:rsid w:val="00075920"/>
    <w:rsid w:val="00075ADF"/>
    <w:rsid w:val="00075BAF"/>
    <w:rsid w:val="000761B1"/>
    <w:rsid w:val="00076210"/>
    <w:rsid w:val="000766E3"/>
    <w:rsid w:val="00076899"/>
    <w:rsid w:val="00076C1C"/>
    <w:rsid w:val="00076E77"/>
    <w:rsid w:val="00077431"/>
    <w:rsid w:val="0007746F"/>
    <w:rsid w:val="00077E8F"/>
    <w:rsid w:val="00080070"/>
    <w:rsid w:val="0008041A"/>
    <w:rsid w:val="0008055B"/>
    <w:rsid w:val="000808A3"/>
    <w:rsid w:val="00080B8F"/>
    <w:rsid w:val="00080EC9"/>
    <w:rsid w:val="00081313"/>
    <w:rsid w:val="0008143F"/>
    <w:rsid w:val="00081B25"/>
    <w:rsid w:val="0008233E"/>
    <w:rsid w:val="00082C04"/>
    <w:rsid w:val="00082C68"/>
    <w:rsid w:val="00084B5C"/>
    <w:rsid w:val="00084DED"/>
    <w:rsid w:val="00084E37"/>
    <w:rsid w:val="00085382"/>
    <w:rsid w:val="00085D37"/>
    <w:rsid w:val="000869FB"/>
    <w:rsid w:val="00086AAC"/>
    <w:rsid w:val="00086C14"/>
    <w:rsid w:val="00086E0E"/>
    <w:rsid w:val="00087096"/>
    <w:rsid w:val="000870CA"/>
    <w:rsid w:val="00087216"/>
    <w:rsid w:val="00087E1C"/>
    <w:rsid w:val="00090016"/>
    <w:rsid w:val="00090A6D"/>
    <w:rsid w:val="00090A8B"/>
    <w:rsid w:val="00090AB8"/>
    <w:rsid w:val="00090B3D"/>
    <w:rsid w:val="000910C3"/>
    <w:rsid w:val="000916CF"/>
    <w:rsid w:val="00091CA8"/>
    <w:rsid w:val="00091CA9"/>
    <w:rsid w:val="00092398"/>
    <w:rsid w:val="00092664"/>
    <w:rsid w:val="000928BF"/>
    <w:rsid w:val="000932EB"/>
    <w:rsid w:val="00093620"/>
    <w:rsid w:val="0009372A"/>
    <w:rsid w:val="00093C81"/>
    <w:rsid w:val="0009402F"/>
    <w:rsid w:val="0009442D"/>
    <w:rsid w:val="000949FC"/>
    <w:rsid w:val="00094A64"/>
    <w:rsid w:val="00094BC7"/>
    <w:rsid w:val="00094E32"/>
    <w:rsid w:val="00094F26"/>
    <w:rsid w:val="000956BC"/>
    <w:rsid w:val="00095712"/>
    <w:rsid w:val="00095C6E"/>
    <w:rsid w:val="00096412"/>
    <w:rsid w:val="000969AE"/>
    <w:rsid w:val="000970A7"/>
    <w:rsid w:val="0009799B"/>
    <w:rsid w:val="00097ED6"/>
    <w:rsid w:val="000A079C"/>
    <w:rsid w:val="000A092E"/>
    <w:rsid w:val="000A09E2"/>
    <w:rsid w:val="000A0D54"/>
    <w:rsid w:val="000A0E0C"/>
    <w:rsid w:val="000A0FE0"/>
    <w:rsid w:val="000A10BD"/>
    <w:rsid w:val="000A122F"/>
    <w:rsid w:val="000A2039"/>
    <w:rsid w:val="000A209C"/>
    <w:rsid w:val="000A20F3"/>
    <w:rsid w:val="000A22AB"/>
    <w:rsid w:val="000A2322"/>
    <w:rsid w:val="000A2499"/>
    <w:rsid w:val="000A390B"/>
    <w:rsid w:val="000A3B01"/>
    <w:rsid w:val="000A3BC6"/>
    <w:rsid w:val="000A4049"/>
    <w:rsid w:val="000A4BF9"/>
    <w:rsid w:val="000A4DE3"/>
    <w:rsid w:val="000A50CD"/>
    <w:rsid w:val="000A5650"/>
    <w:rsid w:val="000A5BA4"/>
    <w:rsid w:val="000A5DAE"/>
    <w:rsid w:val="000A60AD"/>
    <w:rsid w:val="000A6EED"/>
    <w:rsid w:val="000A7AFA"/>
    <w:rsid w:val="000A7BA7"/>
    <w:rsid w:val="000B0121"/>
    <w:rsid w:val="000B14FD"/>
    <w:rsid w:val="000B18FA"/>
    <w:rsid w:val="000B19D2"/>
    <w:rsid w:val="000B1C91"/>
    <w:rsid w:val="000B1E3E"/>
    <w:rsid w:val="000B2714"/>
    <w:rsid w:val="000B2EEE"/>
    <w:rsid w:val="000B359F"/>
    <w:rsid w:val="000B382F"/>
    <w:rsid w:val="000B3B72"/>
    <w:rsid w:val="000B3CD9"/>
    <w:rsid w:val="000B3D9C"/>
    <w:rsid w:val="000B40B6"/>
    <w:rsid w:val="000B41AC"/>
    <w:rsid w:val="000B4534"/>
    <w:rsid w:val="000B480D"/>
    <w:rsid w:val="000B4DFB"/>
    <w:rsid w:val="000B4FBB"/>
    <w:rsid w:val="000B53EC"/>
    <w:rsid w:val="000B55F7"/>
    <w:rsid w:val="000B59C2"/>
    <w:rsid w:val="000B5A09"/>
    <w:rsid w:val="000B5B8C"/>
    <w:rsid w:val="000B63B2"/>
    <w:rsid w:val="000B738A"/>
    <w:rsid w:val="000B748B"/>
    <w:rsid w:val="000B767A"/>
    <w:rsid w:val="000B78D0"/>
    <w:rsid w:val="000B7EB5"/>
    <w:rsid w:val="000B7F09"/>
    <w:rsid w:val="000C0261"/>
    <w:rsid w:val="000C061D"/>
    <w:rsid w:val="000C0807"/>
    <w:rsid w:val="000C11A7"/>
    <w:rsid w:val="000C1369"/>
    <w:rsid w:val="000C1438"/>
    <w:rsid w:val="000C15E3"/>
    <w:rsid w:val="000C16C1"/>
    <w:rsid w:val="000C1C58"/>
    <w:rsid w:val="000C2BB8"/>
    <w:rsid w:val="000C30C1"/>
    <w:rsid w:val="000C3408"/>
    <w:rsid w:val="000C3982"/>
    <w:rsid w:val="000C3DD7"/>
    <w:rsid w:val="000C435B"/>
    <w:rsid w:val="000C4524"/>
    <w:rsid w:val="000C4933"/>
    <w:rsid w:val="000C5044"/>
    <w:rsid w:val="000C50DE"/>
    <w:rsid w:val="000C51AE"/>
    <w:rsid w:val="000C51CD"/>
    <w:rsid w:val="000C5288"/>
    <w:rsid w:val="000C54D3"/>
    <w:rsid w:val="000C57CB"/>
    <w:rsid w:val="000C5830"/>
    <w:rsid w:val="000C5E70"/>
    <w:rsid w:val="000C6145"/>
    <w:rsid w:val="000C61C2"/>
    <w:rsid w:val="000C630E"/>
    <w:rsid w:val="000C63A6"/>
    <w:rsid w:val="000C651C"/>
    <w:rsid w:val="000C67E4"/>
    <w:rsid w:val="000C6C3A"/>
    <w:rsid w:val="000C7974"/>
    <w:rsid w:val="000C79C7"/>
    <w:rsid w:val="000C79D0"/>
    <w:rsid w:val="000C7B55"/>
    <w:rsid w:val="000D00EE"/>
    <w:rsid w:val="000D08D4"/>
    <w:rsid w:val="000D0AA5"/>
    <w:rsid w:val="000D0F65"/>
    <w:rsid w:val="000D1264"/>
    <w:rsid w:val="000D1A7A"/>
    <w:rsid w:val="000D1CB4"/>
    <w:rsid w:val="000D1FCD"/>
    <w:rsid w:val="000D2465"/>
    <w:rsid w:val="000D2CC5"/>
    <w:rsid w:val="000D2D1A"/>
    <w:rsid w:val="000D3022"/>
    <w:rsid w:val="000D315C"/>
    <w:rsid w:val="000D3C37"/>
    <w:rsid w:val="000D422D"/>
    <w:rsid w:val="000D4490"/>
    <w:rsid w:val="000D4FB0"/>
    <w:rsid w:val="000D5167"/>
    <w:rsid w:val="000D54F1"/>
    <w:rsid w:val="000D56B8"/>
    <w:rsid w:val="000D583F"/>
    <w:rsid w:val="000D5AD9"/>
    <w:rsid w:val="000D5CC7"/>
    <w:rsid w:val="000D5F4F"/>
    <w:rsid w:val="000D6284"/>
    <w:rsid w:val="000D63D0"/>
    <w:rsid w:val="000D6700"/>
    <w:rsid w:val="000D67FB"/>
    <w:rsid w:val="000D6FD5"/>
    <w:rsid w:val="000D7009"/>
    <w:rsid w:val="000D701F"/>
    <w:rsid w:val="000D7380"/>
    <w:rsid w:val="000D75AD"/>
    <w:rsid w:val="000D777E"/>
    <w:rsid w:val="000D7E8A"/>
    <w:rsid w:val="000E0128"/>
    <w:rsid w:val="000E04ED"/>
    <w:rsid w:val="000E0B11"/>
    <w:rsid w:val="000E0EB5"/>
    <w:rsid w:val="000E1492"/>
    <w:rsid w:val="000E1831"/>
    <w:rsid w:val="000E207C"/>
    <w:rsid w:val="000E2122"/>
    <w:rsid w:val="000E24A8"/>
    <w:rsid w:val="000E3351"/>
    <w:rsid w:val="000E34EB"/>
    <w:rsid w:val="000E352C"/>
    <w:rsid w:val="000E359B"/>
    <w:rsid w:val="000E3732"/>
    <w:rsid w:val="000E3FD9"/>
    <w:rsid w:val="000E4134"/>
    <w:rsid w:val="000E4470"/>
    <w:rsid w:val="000E456B"/>
    <w:rsid w:val="000E4B32"/>
    <w:rsid w:val="000E4F61"/>
    <w:rsid w:val="000E530D"/>
    <w:rsid w:val="000E534A"/>
    <w:rsid w:val="000E5949"/>
    <w:rsid w:val="000E5F1E"/>
    <w:rsid w:val="000E65D2"/>
    <w:rsid w:val="000E67DF"/>
    <w:rsid w:val="000E6E08"/>
    <w:rsid w:val="000E6F22"/>
    <w:rsid w:val="000E7346"/>
    <w:rsid w:val="000E79CB"/>
    <w:rsid w:val="000E7C5C"/>
    <w:rsid w:val="000F0721"/>
    <w:rsid w:val="000F0A32"/>
    <w:rsid w:val="000F0C68"/>
    <w:rsid w:val="000F142B"/>
    <w:rsid w:val="000F162F"/>
    <w:rsid w:val="000F1D17"/>
    <w:rsid w:val="000F2504"/>
    <w:rsid w:val="000F25A0"/>
    <w:rsid w:val="000F2EB2"/>
    <w:rsid w:val="000F3083"/>
    <w:rsid w:val="000F31E0"/>
    <w:rsid w:val="000F3206"/>
    <w:rsid w:val="000F32ED"/>
    <w:rsid w:val="000F3B90"/>
    <w:rsid w:val="000F4155"/>
    <w:rsid w:val="000F4519"/>
    <w:rsid w:val="000F5090"/>
    <w:rsid w:val="000F56E9"/>
    <w:rsid w:val="000F595A"/>
    <w:rsid w:val="000F5BEB"/>
    <w:rsid w:val="000F5C29"/>
    <w:rsid w:val="000F5F49"/>
    <w:rsid w:val="000F6FD9"/>
    <w:rsid w:val="000F7642"/>
    <w:rsid w:val="000F7910"/>
    <w:rsid w:val="000F7949"/>
    <w:rsid w:val="000F7A38"/>
    <w:rsid w:val="000F7CD1"/>
    <w:rsid w:val="000F7CEB"/>
    <w:rsid w:val="001002BE"/>
    <w:rsid w:val="0010074C"/>
    <w:rsid w:val="001009C2"/>
    <w:rsid w:val="00100D92"/>
    <w:rsid w:val="00100FA9"/>
    <w:rsid w:val="0010116C"/>
    <w:rsid w:val="001012DC"/>
    <w:rsid w:val="00101543"/>
    <w:rsid w:val="00101F4F"/>
    <w:rsid w:val="00102793"/>
    <w:rsid w:val="00102BFC"/>
    <w:rsid w:val="00102E11"/>
    <w:rsid w:val="00102FE4"/>
    <w:rsid w:val="00103505"/>
    <w:rsid w:val="0010375E"/>
    <w:rsid w:val="00104922"/>
    <w:rsid w:val="00104D14"/>
    <w:rsid w:val="00105963"/>
    <w:rsid w:val="00105B7C"/>
    <w:rsid w:val="00105E23"/>
    <w:rsid w:val="00105E97"/>
    <w:rsid w:val="001066C3"/>
    <w:rsid w:val="00106960"/>
    <w:rsid w:val="00106A04"/>
    <w:rsid w:val="00106A8B"/>
    <w:rsid w:val="00106C0C"/>
    <w:rsid w:val="00107063"/>
    <w:rsid w:val="00107A7B"/>
    <w:rsid w:val="001100D2"/>
    <w:rsid w:val="00110978"/>
    <w:rsid w:val="00110D5C"/>
    <w:rsid w:val="0011171B"/>
    <w:rsid w:val="00111909"/>
    <w:rsid w:val="00111B56"/>
    <w:rsid w:val="00111B67"/>
    <w:rsid w:val="00111F84"/>
    <w:rsid w:val="0011205E"/>
    <w:rsid w:val="00112623"/>
    <w:rsid w:val="00112DE2"/>
    <w:rsid w:val="00112E3B"/>
    <w:rsid w:val="001130CD"/>
    <w:rsid w:val="001134A8"/>
    <w:rsid w:val="001134ED"/>
    <w:rsid w:val="001135DE"/>
    <w:rsid w:val="00113729"/>
    <w:rsid w:val="00113926"/>
    <w:rsid w:val="00113C0F"/>
    <w:rsid w:val="00113DD7"/>
    <w:rsid w:val="001140D4"/>
    <w:rsid w:val="001144BA"/>
    <w:rsid w:val="00114647"/>
    <w:rsid w:val="001148BF"/>
    <w:rsid w:val="00114D82"/>
    <w:rsid w:val="00114E14"/>
    <w:rsid w:val="00115689"/>
    <w:rsid w:val="001157EE"/>
    <w:rsid w:val="00115A50"/>
    <w:rsid w:val="00115B9C"/>
    <w:rsid w:val="00115D70"/>
    <w:rsid w:val="00115E80"/>
    <w:rsid w:val="0011658D"/>
    <w:rsid w:val="0011679A"/>
    <w:rsid w:val="0011699C"/>
    <w:rsid w:val="001169B2"/>
    <w:rsid w:val="00116D16"/>
    <w:rsid w:val="00116EE7"/>
    <w:rsid w:val="0011740D"/>
    <w:rsid w:val="001206C6"/>
    <w:rsid w:val="00120A10"/>
    <w:rsid w:val="00120F55"/>
    <w:rsid w:val="00120F98"/>
    <w:rsid w:val="001210D2"/>
    <w:rsid w:val="00121236"/>
    <w:rsid w:val="001217B2"/>
    <w:rsid w:val="00121C6E"/>
    <w:rsid w:val="001224C1"/>
    <w:rsid w:val="00122673"/>
    <w:rsid w:val="00122701"/>
    <w:rsid w:val="0012351D"/>
    <w:rsid w:val="00123CD4"/>
    <w:rsid w:val="00123E23"/>
    <w:rsid w:val="001244EB"/>
    <w:rsid w:val="00124509"/>
    <w:rsid w:val="0012468D"/>
    <w:rsid w:val="001246CE"/>
    <w:rsid w:val="00124D49"/>
    <w:rsid w:val="00124EF5"/>
    <w:rsid w:val="00124F20"/>
    <w:rsid w:val="001253BB"/>
    <w:rsid w:val="001253C0"/>
    <w:rsid w:val="001257CB"/>
    <w:rsid w:val="00125DE4"/>
    <w:rsid w:val="001265B7"/>
    <w:rsid w:val="0012661F"/>
    <w:rsid w:val="00126AD0"/>
    <w:rsid w:val="00126CF7"/>
    <w:rsid w:val="0012790F"/>
    <w:rsid w:val="00127A88"/>
    <w:rsid w:val="0013013A"/>
    <w:rsid w:val="00130177"/>
    <w:rsid w:val="00131380"/>
    <w:rsid w:val="00131409"/>
    <w:rsid w:val="0013143D"/>
    <w:rsid w:val="00131A8F"/>
    <w:rsid w:val="00131AAB"/>
    <w:rsid w:val="00131D55"/>
    <w:rsid w:val="00131DEF"/>
    <w:rsid w:val="00131E6E"/>
    <w:rsid w:val="001322F0"/>
    <w:rsid w:val="00132A43"/>
    <w:rsid w:val="00132B84"/>
    <w:rsid w:val="001331AF"/>
    <w:rsid w:val="001336BD"/>
    <w:rsid w:val="0013403D"/>
    <w:rsid w:val="001346F4"/>
    <w:rsid w:val="00134C17"/>
    <w:rsid w:val="00135233"/>
    <w:rsid w:val="00135860"/>
    <w:rsid w:val="00135AA2"/>
    <w:rsid w:val="00136455"/>
    <w:rsid w:val="00136B83"/>
    <w:rsid w:val="001371CE"/>
    <w:rsid w:val="001378FF"/>
    <w:rsid w:val="00140477"/>
    <w:rsid w:val="00140839"/>
    <w:rsid w:val="00140B59"/>
    <w:rsid w:val="00140B7C"/>
    <w:rsid w:val="00142018"/>
    <w:rsid w:val="00142363"/>
    <w:rsid w:val="00142375"/>
    <w:rsid w:val="00142629"/>
    <w:rsid w:val="00142882"/>
    <w:rsid w:val="001428DD"/>
    <w:rsid w:val="00142998"/>
    <w:rsid w:val="00142FDD"/>
    <w:rsid w:val="0014309C"/>
    <w:rsid w:val="00143D7F"/>
    <w:rsid w:val="001440EE"/>
    <w:rsid w:val="0014416A"/>
    <w:rsid w:val="00144752"/>
    <w:rsid w:val="0014480E"/>
    <w:rsid w:val="00144A62"/>
    <w:rsid w:val="00145043"/>
    <w:rsid w:val="00145267"/>
    <w:rsid w:val="00145CBB"/>
    <w:rsid w:val="00145E12"/>
    <w:rsid w:val="00145F0D"/>
    <w:rsid w:val="001462F0"/>
    <w:rsid w:val="001463D4"/>
    <w:rsid w:val="00146A76"/>
    <w:rsid w:val="00146AC3"/>
    <w:rsid w:val="00146D40"/>
    <w:rsid w:val="00147021"/>
    <w:rsid w:val="001470F1"/>
    <w:rsid w:val="001473FA"/>
    <w:rsid w:val="00147FFB"/>
    <w:rsid w:val="001509B9"/>
    <w:rsid w:val="00150B5C"/>
    <w:rsid w:val="00150E22"/>
    <w:rsid w:val="00150FD6"/>
    <w:rsid w:val="001511A3"/>
    <w:rsid w:val="001515FF"/>
    <w:rsid w:val="00151651"/>
    <w:rsid w:val="00151D6B"/>
    <w:rsid w:val="00151FAC"/>
    <w:rsid w:val="001520E3"/>
    <w:rsid w:val="00152884"/>
    <w:rsid w:val="00152C73"/>
    <w:rsid w:val="001532B3"/>
    <w:rsid w:val="0015383B"/>
    <w:rsid w:val="00153EAA"/>
    <w:rsid w:val="00153F08"/>
    <w:rsid w:val="0015443A"/>
    <w:rsid w:val="00154BF2"/>
    <w:rsid w:val="00155A47"/>
    <w:rsid w:val="00155ADD"/>
    <w:rsid w:val="00155B3C"/>
    <w:rsid w:val="00155DE6"/>
    <w:rsid w:val="00155EAE"/>
    <w:rsid w:val="00156164"/>
    <w:rsid w:val="001563BF"/>
    <w:rsid w:val="00156701"/>
    <w:rsid w:val="0015680C"/>
    <w:rsid w:val="0015683B"/>
    <w:rsid w:val="00156931"/>
    <w:rsid w:val="00156B48"/>
    <w:rsid w:val="00157197"/>
    <w:rsid w:val="0015766E"/>
    <w:rsid w:val="001604E7"/>
    <w:rsid w:val="001605D9"/>
    <w:rsid w:val="001606B8"/>
    <w:rsid w:val="00160767"/>
    <w:rsid w:val="00161625"/>
    <w:rsid w:val="001616C0"/>
    <w:rsid w:val="00161AB6"/>
    <w:rsid w:val="00161EA2"/>
    <w:rsid w:val="00162043"/>
    <w:rsid w:val="001621C1"/>
    <w:rsid w:val="0016237F"/>
    <w:rsid w:val="00162556"/>
    <w:rsid w:val="001625DE"/>
    <w:rsid w:val="0016352F"/>
    <w:rsid w:val="00163598"/>
    <w:rsid w:val="001638DD"/>
    <w:rsid w:val="00163ADF"/>
    <w:rsid w:val="00163E48"/>
    <w:rsid w:val="0016409A"/>
    <w:rsid w:val="001644CE"/>
    <w:rsid w:val="001645A9"/>
    <w:rsid w:val="00164A54"/>
    <w:rsid w:val="00164A5C"/>
    <w:rsid w:val="00165802"/>
    <w:rsid w:val="00165A74"/>
    <w:rsid w:val="00165B18"/>
    <w:rsid w:val="00165C10"/>
    <w:rsid w:val="001662B8"/>
    <w:rsid w:val="00166848"/>
    <w:rsid w:val="00166863"/>
    <w:rsid w:val="00166A21"/>
    <w:rsid w:val="00166A4B"/>
    <w:rsid w:val="001670D8"/>
    <w:rsid w:val="001671AD"/>
    <w:rsid w:val="00167427"/>
    <w:rsid w:val="00167524"/>
    <w:rsid w:val="001676F3"/>
    <w:rsid w:val="00167796"/>
    <w:rsid w:val="001703BB"/>
    <w:rsid w:val="00170571"/>
    <w:rsid w:val="00170BF2"/>
    <w:rsid w:val="00170CDC"/>
    <w:rsid w:val="001711FD"/>
    <w:rsid w:val="0017191F"/>
    <w:rsid w:val="00171B61"/>
    <w:rsid w:val="00171CCF"/>
    <w:rsid w:val="00171F28"/>
    <w:rsid w:val="00172949"/>
    <w:rsid w:val="0017299D"/>
    <w:rsid w:val="00172A27"/>
    <w:rsid w:val="00172A44"/>
    <w:rsid w:val="00172B49"/>
    <w:rsid w:val="00172C6E"/>
    <w:rsid w:val="00172F04"/>
    <w:rsid w:val="00173176"/>
    <w:rsid w:val="001734F7"/>
    <w:rsid w:val="001739FD"/>
    <w:rsid w:val="00173EFB"/>
    <w:rsid w:val="0017457D"/>
    <w:rsid w:val="00174B7E"/>
    <w:rsid w:val="0017510A"/>
    <w:rsid w:val="00175934"/>
    <w:rsid w:val="00175D42"/>
    <w:rsid w:val="0017629D"/>
    <w:rsid w:val="00176646"/>
    <w:rsid w:val="00176A8F"/>
    <w:rsid w:val="00176CAF"/>
    <w:rsid w:val="00177037"/>
    <w:rsid w:val="00177124"/>
    <w:rsid w:val="001776AB"/>
    <w:rsid w:val="001779C2"/>
    <w:rsid w:val="00177C48"/>
    <w:rsid w:val="00180278"/>
    <w:rsid w:val="00181947"/>
    <w:rsid w:val="00181BAB"/>
    <w:rsid w:val="00181BAC"/>
    <w:rsid w:val="001820C2"/>
    <w:rsid w:val="00182247"/>
    <w:rsid w:val="001827E8"/>
    <w:rsid w:val="00182FC0"/>
    <w:rsid w:val="00183294"/>
    <w:rsid w:val="00183478"/>
    <w:rsid w:val="0018360D"/>
    <w:rsid w:val="00183AA5"/>
    <w:rsid w:val="00183CAF"/>
    <w:rsid w:val="00183FAB"/>
    <w:rsid w:val="00184C0B"/>
    <w:rsid w:val="00185433"/>
    <w:rsid w:val="0018560C"/>
    <w:rsid w:val="0018564F"/>
    <w:rsid w:val="0018618C"/>
    <w:rsid w:val="001866AE"/>
    <w:rsid w:val="0018682A"/>
    <w:rsid w:val="00186ACE"/>
    <w:rsid w:val="00186C72"/>
    <w:rsid w:val="0018747C"/>
    <w:rsid w:val="00187487"/>
    <w:rsid w:val="001877F8"/>
    <w:rsid w:val="00190AA1"/>
    <w:rsid w:val="00190AAD"/>
    <w:rsid w:val="00191BAC"/>
    <w:rsid w:val="00191C46"/>
    <w:rsid w:val="00191D1F"/>
    <w:rsid w:val="0019204E"/>
    <w:rsid w:val="0019219C"/>
    <w:rsid w:val="001925A3"/>
    <w:rsid w:val="001925ED"/>
    <w:rsid w:val="00192C74"/>
    <w:rsid w:val="001939D8"/>
    <w:rsid w:val="00194B9D"/>
    <w:rsid w:val="00194D17"/>
    <w:rsid w:val="001952F6"/>
    <w:rsid w:val="001954DD"/>
    <w:rsid w:val="00195BE8"/>
    <w:rsid w:val="00195CDE"/>
    <w:rsid w:val="00195D6F"/>
    <w:rsid w:val="00195E96"/>
    <w:rsid w:val="001960B8"/>
    <w:rsid w:val="0019630D"/>
    <w:rsid w:val="0019682F"/>
    <w:rsid w:val="00196980"/>
    <w:rsid w:val="00196AF8"/>
    <w:rsid w:val="001971A8"/>
    <w:rsid w:val="00197841"/>
    <w:rsid w:val="00197C9A"/>
    <w:rsid w:val="001A03CB"/>
    <w:rsid w:val="001A04D5"/>
    <w:rsid w:val="001A0AC3"/>
    <w:rsid w:val="001A0EFF"/>
    <w:rsid w:val="001A1193"/>
    <w:rsid w:val="001A13A5"/>
    <w:rsid w:val="001A2149"/>
    <w:rsid w:val="001A2236"/>
    <w:rsid w:val="001A2598"/>
    <w:rsid w:val="001A268E"/>
    <w:rsid w:val="001A27D4"/>
    <w:rsid w:val="001A3432"/>
    <w:rsid w:val="001A37EE"/>
    <w:rsid w:val="001A3B34"/>
    <w:rsid w:val="001A3B3E"/>
    <w:rsid w:val="001A3F3C"/>
    <w:rsid w:val="001A4505"/>
    <w:rsid w:val="001A465A"/>
    <w:rsid w:val="001A4870"/>
    <w:rsid w:val="001A51E2"/>
    <w:rsid w:val="001A51F9"/>
    <w:rsid w:val="001A5607"/>
    <w:rsid w:val="001A5CAB"/>
    <w:rsid w:val="001A5FF9"/>
    <w:rsid w:val="001A633E"/>
    <w:rsid w:val="001A6498"/>
    <w:rsid w:val="001A715B"/>
    <w:rsid w:val="001A71C2"/>
    <w:rsid w:val="001A74EB"/>
    <w:rsid w:val="001A7676"/>
    <w:rsid w:val="001A7786"/>
    <w:rsid w:val="001A787F"/>
    <w:rsid w:val="001A7951"/>
    <w:rsid w:val="001B008C"/>
    <w:rsid w:val="001B024F"/>
    <w:rsid w:val="001B02C8"/>
    <w:rsid w:val="001B0374"/>
    <w:rsid w:val="001B07A7"/>
    <w:rsid w:val="001B0A58"/>
    <w:rsid w:val="001B0C3E"/>
    <w:rsid w:val="001B0D8B"/>
    <w:rsid w:val="001B1515"/>
    <w:rsid w:val="001B1B7D"/>
    <w:rsid w:val="001B1CB9"/>
    <w:rsid w:val="001B1D92"/>
    <w:rsid w:val="001B1DCB"/>
    <w:rsid w:val="001B1E00"/>
    <w:rsid w:val="001B1FF1"/>
    <w:rsid w:val="001B226E"/>
    <w:rsid w:val="001B22AD"/>
    <w:rsid w:val="001B26EF"/>
    <w:rsid w:val="001B2C7E"/>
    <w:rsid w:val="001B3B48"/>
    <w:rsid w:val="001B3E0A"/>
    <w:rsid w:val="001B4108"/>
    <w:rsid w:val="001B4366"/>
    <w:rsid w:val="001B4A1E"/>
    <w:rsid w:val="001B5086"/>
    <w:rsid w:val="001B5621"/>
    <w:rsid w:val="001B5E0F"/>
    <w:rsid w:val="001B637B"/>
    <w:rsid w:val="001B637E"/>
    <w:rsid w:val="001B6E6C"/>
    <w:rsid w:val="001B713F"/>
    <w:rsid w:val="001B71DD"/>
    <w:rsid w:val="001B73A4"/>
    <w:rsid w:val="001B7697"/>
    <w:rsid w:val="001B7CF0"/>
    <w:rsid w:val="001B7D5B"/>
    <w:rsid w:val="001B7DD1"/>
    <w:rsid w:val="001C09DC"/>
    <w:rsid w:val="001C0A67"/>
    <w:rsid w:val="001C0B23"/>
    <w:rsid w:val="001C0F9A"/>
    <w:rsid w:val="001C105A"/>
    <w:rsid w:val="001C10CF"/>
    <w:rsid w:val="001C10DD"/>
    <w:rsid w:val="001C1321"/>
    <w:rsid w:val="001C1841"/>
    <w:rsid w:val="001C1B55"/>
    <w:rsid w:val="001C1D6B"/>
    <w:rsid w:val="001C1DEC"/>
    <w:rsid w:val="001C2136"/>
    <w:rsid w:val="001C2183"/>
    <w:rsid w:val="001C25DE"/>
    <w:rsid w:val="001C26FA"/>
    <w:rsid w:val="001C2A7C"/>
    <w:rsid w:val="001C2BFF"/>
    <w:rsid w:val="001C2D59"/>
    <w:rsid w:val="001C2D8E"/>
    <w:rsid w:val="001C3014"/>
    <w:rsid w:val="001C3060"/>
    <w:rsid w:val="001C3100"/>
    <w:rsid w:val="001C3993"/>
    <w:rsid w:val="001C3B0C"/>
    <w:rsid w:val="001C3B76"/>
    <w:rsid w:val="001C415A"/>
    <w:rsid w:val="001C41BF"/>
    <w:rsid w:val="001C4643"/>
    <w:rsid w:val="001C4D7D"/>
    <w:rsid w:val="001C55FB"/>
    <w:rsid w:val="001C56BC"/>
    <w:rsid w:val="001C5767"/>
    <w:rsid w:val="001C57AF"/>
    <w:rsid w:val="001C5989"/>
    <w:rsid w:val="001C5BDC"/>
    <w:rsid w:val="001C5C42"/>
    <w:rsid w:val="001C6CA0"/>
    <w:rsid w:val="001C6E8B"/>
    <w:rsid w:val="001C775D"/>
    <w:rsid w:val="001D046F"/>
    <w:rsid w:val="001D1269"/>
    <w:rsid w:val="001D1553"/>
    <w:rsid w:val="001D1BBE"/>
    <w:rsid w:val="001D24B0"/>
    <w:rsid w:val="001D268F"/>
    <w:rsid w:val="001D2A0F"/>
    <w:rsid w:val="001D2E6C"/>
    <w:rsid w:val="001D334C"/>
    <w:rsid w:val="001D45D6"/>
    <w:rsid w:val="001D4719"/>
    <w:rsid w:val="001D496D"/>
    <w:rsid w:val="001D4AC8"/>
    <w:rsid w:val="001D4CE6"/>
    <w:rsid w:val="001D5189"/>
    <w:rsid w:val="001D5207"/>
    <w:rsid w:val="001D5651"/>
    <w:rsid w:val="001D5A9F"/>
    <w:rsid w:val="001D5ED2"/>
    <w:rsid w:val="001D5EFF"/>
    <w:rsid w:val="001D608E"/>
    <w:rsid w:val="001D6291"/>
    <w:rsid w:val="001D6668"/>
    <w:rsid w:val="001D6CBF"/>
    <w:rsid w:val="001D6EFF"/>
    <w:rsid w:val="001D70C1"/>
    <w:rsid w:val="001D7843"/>
    <w:rsid w:val="001D7A3A"/>
    <w:rsid w:val="001D7C7B"/>
    <w:rsid w:val="001E0515"/>
    <w:rsid w:val="001E0947"/>
    <w:rsid w:val="001E12B8"/>
    <w:rsid w:val="001E13D1"/>
    <w:rsid w:val="001E1AB9"/>
    <w:rsid w:val="001E1BF4"/>
    <w:rsid w:val="001E20DC"/>
    <w:rsid w:val="001E2B64"/>
    <w:rsid w:val="001E2BF7"/>
    <w:rsid w:val="001E3905"/>
    <w:rsid w:val="001E403D"/>
    <w:rsid w:val="001E46AF"/>
    <w:rsid w:val="001E4710"/>
    <w:rsid w:val="001E49E5"/>
    <w:rsid w:val="001E5468"/>
    <w:rsid w:val="001E5613"/>
    <w:rsid w:val="001E60AF"/>
    <w:rsid w:val="001E64E5"/>
    <w:rsid w:val="001E667D"/>
    <w:rsid w:val="001E68E0"/>
    <w:rsid w:val="001E72DF"/>
    <w:rsid w:val="001E7367"/>
    <w:rsid w:val="001E7524"/>
    <w:rsid w:val="001E7758"/>
    <w:rsid w:val="001E781B"/>
    <w:rsid w:val="001E7C07"/>
    <w:rsid w:val="001E7CF2"/>
    <w:rsid w:val="001F02B1"/>
    <w:rsid w:val="001F0331"/>
    <w:rsid w:val="001F0409"/>
    <w:rsid w:val="001F0647"/>
    <w:rsid w:val="001F1AF9"/>
    <w:rsid w:val="001F22EE"/>
    <w:rsid w:val="001F2968"/>
    <w:rsid w:val="001F2D8A"/>
    <w:rsid w:val="001F36EB"/>
    <w:rsid w:val="001F3B73"/>
    <w:rsid w:val="001F3D07"/>
    <w:rsid w:val="001F3DA2"/>
    <w:rsid w:val="001F4054"/>
    <w:rsid w:val="001F4170"/>
    <w:rsid w:val="001F43C0"/>
    <w:rsid w:val="001F4466"/>
    <w:rsid w:val="001F4C68"/>
    <w:rsid w:val="001F53B0"/>
    <w:rsid w:val="001F5B41"/>
    <w:rsid w:val="001F5BB8"/>
    <w:rsid w:val="001F5D0B"/>
    <w:rsid w:val="001F5F90"/>
    <w:rsid w:val="001F68C6"/>
    <w:rsid w:val="001F6BD2"/>
    <w:rsid w:val="001F6E5D"/>
    <w:rsid w:val="001F71B3"/>
    <w:rsid w:val="001F770B"/>
    <w:rsid w:val="001F78FF"/>
    <w:rsid w:val="001F7BB7"/>
    <w:rsid w:val="001F7E24"/>
    <w:rsid w:val="001F7F7F"/>
    <w:rsid w:val="002001A5"/>
    <w:rsid w:val="00200A49"/>
    <w:rsid w:val="00200CC9"/>
    <w:rsid w:val="0020123F"/>
    <w:rsid w:val="002013FE"/>
    <w:rsid w:val="002014C3"/>
    <w:rsid w:val="00201A77"/>
    <w:rsid w:val="00201E1A"/>
    <w:rsid w:val="002020CB"/>
    <w:rsid w:val="002022E6"/>
    <w:rsid w:val="00202573"/>
    <w:rsid w:val="00202613"/>
    <w:rsid w:val="0020263F"/>
    <w:rsid w:val="002030D9"/>
    <w:rsid w:val="002030E9"/>
    <w:rsid w:val="00203162"/>
    <w:rsid w:val="00203674"/>
    <w:rsid w:val="0020381C"/>
    <w:rsid w:val="00203B1E"/>
    <w:rsid w:val="002045A8"/>
    <w:rsid w:val="00204FC3"/>
    <w:rsid w:val="00205B41"/>
    <w:rsid w:val="00205C6F"/>
    <w:rsid w:val="00206264"/>
    <w:rsid w:val="00206444"/>
    <w:rsid w:val="0020659B"/>
    <w:rsid w:val="00206628"/>
    <w:rsid w:val="00206C17"/>
    <w:rsid w:val="00207161"/>
    <w:rsid w:val="00207496"/>
    <w:rsid w:val="00207766"/>
    <w:rsid w:val="00207E37"/>
    <w:rsid w:val="00210200"/>
    <w:rsid w:val="00210644"/>
    <w:rsid w:val="00210CF1"/>
    <w:rsid w:val="00211698"/>
    <w:rsid w:val="002117EE"/>
    <w:rsid w:val="00211B8F"/>
    <w:rsid w:val="00211E87"/>
    <w:rsid w:val="0021236C"/>
    <w:rsid w:val="00212835"/>
    <w:rsid w:val="0021294C"/>
    <w:rsid w:val="00213341"/>
    <w:rsid w:val="00213390"/>
    <w:rsid w:val="002134A9"/>
    <w:rsid w:val="0021366B"/>
    <w:rsid w:val="002136BB"/>
    <w:rsid w:val="002137D2"/>
    <w:rsid w:val="00213906"/>
    <w:rsid w:val="00213E16"/>
    <w:rsid w:val="00214447"/>
    <w:rsid w:val="00214D08"/>
    <w:rsid w:val="00214E85"/>
    <w:rsid w:val="002152A9"/>
    <w:rsid w:val="002152D0"/>
    <w:rsid w:val="00215341"/>
    <w:rsid w:val="002156AB"/>
    <w:rsid w:val="00215750"/>
    <w:rsid w:val="002157CE"/>
    <w:rsid w:val="00215886"/>
    <w:rsid w:val="0021595D"/>
    <w:rsid w:val="00215A61"/>
    <w:rsid w:val="00215B8D"/>
    <w:rsid w:val="002162B4"/>
    <w:rsid w:val="00216328"/>
    <w:rsid w:val="00216594"/>
    <w:rsid w:val="0021666C"/>
    <w:rsid w:val="00217056"/>
    <w:rsid w:val="00217578"/>
    <w:rsid w:val="00217B7C"/>
    <w:rsid w:val="002203B6"/>
    <w:rsid w:val="002204B4"/>
    <w:rsid w:val="002204D1"/>
    <w:rsid w:val="00220505"/>
    <w:rsid w:val="002209C0"/>
    <w:rsid w:val="00220AA2"/>
    <w:rsid w:val="002210D6"/>
    <w:rsid w:val="00221A26"/>
    <w:rsid w:val="00222662"/>
    <w:rsid w:val="00222CB5"/>
    <w:rsid w:val="00222D4B"/>
    <w:rsid w:val="00222E2A"/>
    <w:rsid w:val="002235E8"/>
    <w:rsid w:val="00223CB6"/>
    <w:rsid w:val="002245CF"/>
    <w:rsid w:val="002245DE"/>
    <w:rsid w:val="00224A2E"/>
    <w:rsid w:val="00224FFB"/>
    <w:rsid w:val="00225043"/>
    <w:rsid w:val="00225093"/>
    <w:rsid w:val="00225331"/>
    <w:rsid w:val="00225692"/>
    <w:rsid w:val="0022579F"/>
    <w:rsid w:val="0022590E"/>
    <w:rsid w:val="00225C2B"/>
    <w:rsid w:val="00225EDE"/>
    <w:rsid w:val="00225F98"/>
    <w:rsid w:val="00225FB7"/>
    <w:rsid w:val="00225FF5"/>
    <w:rsid w:val="00226070"/>
    <w:rsid w:val="00226882"/>
    <w:rsid w:val="002271AA"/>
    <w:rsid w:val="00227A13"/>
    <w:rsid w:val="00227B40"/>
    <w:rsid w:val="00227D18"/>
    <w:rsid w:val="00227F5F"/>
    <w:rsid w:val="002303FB"/>
    <w:rsid w:val="00230566"/>
    <w:rsid w:val="00230B3D"/>
    <w:rsid w:val="002311DF"/>
    <w:rsid w:val="00231655"/>
    <w:rsid w:val="00231BDD"/>
    <w:rsid w:val="002320AA"/>
    <w:rsid w:val="002324E1"/>
    <w:rsid w:val="00232B1A"/>
    <w:rsid w:val="00232D60"/>
    <w:rsid w:val="00232D99"/>
    <w:rsid w:val="00232FA2"/>
    <w:rsid w:val="002331AB"/>
    <w:rsid w:val="002335B1"/>
    <w:rsid w:val="002336FD"/>
    <w:rsid w:val="002338B0"/>
    <w:rsid w:val="00233C81"/>
    <w:rsid w:val="002348C6"/>
    <w:rsid w:val="00234C9F"/>
    <w:rsid w:val="00235833"/>
    <w:rsid w:val="00235C30"/>
    <w:rsid w:val="00235D18"/>
    <w:rsid w:val="00235D50"/>
    <w:rsid w:val="0023620C"/>
    <w:rsid w:val="0023642C"/>
    <w:rsid w:val="00236ABA"/>
    <w:rsid w:val="002371A2"/>
    <w:rsid w:val="0023772C"/>
    <w:rsid w:val="002406C8"/>
    <w:rsid w:val="002408AA"/>
    <w:rsid w:val="00240C23"/>
    <w:rsid w:val="00240E5A"/>
    <w:rsid w:val="002411D4"/>
    <w:rsid w:val="0024144A"/>
    <w:rsid w:val="00241598"/>
    <w:rsid w:val="00241749"/>
    <w:rsid w:val="002418C6"/>
    <w:rsid w:val="00243A87"/>
    <w:rsid w:val="00243C90"/>
    <w:rsid w:val="00244579"/>
    <w:rsid w:val="00244680"/>
    <w:rsid w:val="00244A68"/>
    <w:rsid w:val="00244E12"/>
    <w:rsid w:val="00244E2C"/>
    <w:rsid w:val="002457CF"/>
    <w:rsid w:val="00245AA9"/>
    <w:rsid w:val="002467DB"/>
    <w:rsid w:val="00246D1D"/>
    <w:rsid w:val="00246D2A"/>
    <w:rsid w:val="00247121"/>
    <w:rsid w:val="00247715"/>
    <w:rsid w:val="00250552"/>
    <w:rsid w:val="002507E7"/>
    <w:rsid w:val="00250882"/>
    <w:rsid w:val="002509B7"/>
    <w:rsid w:val="00250DDD"/>
    <w:rsid w:val="002513CB"/>
    <w:rsid w:val="00251443"/>
    <w:rsid w:val="00251676"/>
    <w:rsid w:val="00251E9D"/>
    <w:rsid w:val="0025254A"/>
    <w:rsid w:val="00252B04"/>
    <w:rsid w:val="00252CAE"/>
    <w:rsid w:val="002534D7"/>
    <w:rsid w:val="00253647"/>
    <w:rsid w:val="00253693"/>
    <w:rsid w:val="00253793"/>
    <w:rsid w:val="002538B8"/>
    <w:rsid w:val="00253A9C"/>
    <w:rsid w:val="0025404D"/>
    <w:rsid w:val="002540A6"/>
    <w:rsid w:val="002548AD"/>
    <w:rsid w:val="00254BF8"/>
    <w:rsid w:val="00254D15"/>
    <w:rsid w:val="00254DED"/>
    <w:rsid w:val="00254F3B"/>
    <w:rsid w:val="0025507E"/>
    <w:rsid w:val="002551CE"/>
    <w:rsid w:val="00255369"/>
    <w:rsid w:val="0025552A"/>
    <w:rsid w:val="00255DF9"/>
    <w:rsid w:val="00256BB6"/>
    <w:rsid w:val="002572D0"/>
    <w:rsid w:val="00257591"/>
    <w:rsid w:val="00257598"/>
    <w:rsid w:val="00257CA6"/>
    <w:rsid w:val="002600A8"/>
    <w:rsid w:val="002601A4"/>
    <w:rsid w:val="00260536"/>
    <w:rsid w:val="00260942"/>
    <w:rsid w:val="002610D3"/>
    <w:rsid w:val="002612A2"/>
    <w:rsid w:val="0026144A"/>
    <w:rsid w:val="00261FE1"/>
    <w:rsid w:val="002620F9"/>
    <w:rsid w:val="0026210B"/>
    <w:rsid w:val="00262285"/>
    <w:rsid w:val="002626E9"/>
    <w:rsid w:val="002631BF"/>
    <w:rsid w:val="00263369"/>
    <w:rsid w:val="00263527"/>
    <w:rsid w:val="0026402A"/>
    <w:rsid w:val="002654E3"/>
    <w:rsid w:val="00265637"/>
    <w:rsid w:val="00265793"/>
    <w:rsid w:val="00266BBD"/>
    <w:rsid w:val="00267225"/>
    <w:rsid w:val="0026722C"/>
    <w:rsid w:val="002675CD"/>
    <w:rsid w:val="0026771B"/>
    <w:rsid w:val="0027019B"/>
    <w:rsid w:val="0027056C"/>
    <w:rsid w:val="00270AF3"/>
    <w:rsid w:val="00271A95"/>
    <w:rsid w:val="00271BAC"/>
    <w:rsid w:val="002726BE"/>
    <w:rsid w:val="0027321D"/>
    <w:rsid w:val="00273679"/>
    <w:rsid w:val="002737B7"/>
    <w:rsid w:val="00274030"/>
    <w:rsid w:val="00274B45"/>
    <w:rsid w:val="00275875"/>
    <w:rsid w:val="00275E26"/>
    <w:rsid w:val="002763BB"/>
    <w:rsid w:val="00276504"/>
    <w:rsid w:val="002765A7"/>
    <w:rsid w:val="0027670E"/>
    <w:rsid w:val="00276B45"/>
    <w:rsid w:val="00276EC3"/>
    <w:rsid w:val="00277106"/>
    <w:rsid w:val="002772A6"/>
    <w:rsid w:val="00277586"/>
    <w:rsid w:val="00277813"/>
    <w:rsid w:val="0028013D"/>
    <w:rsid w:val="00280609"/>
    <w:rsid w:val="00280995"/>
    <w:rsid w:val="00280C57"/>
    <w:rsid w:val="00280E36"/>
    <w:rsid w:val="002817A8"/>
    <w:rsid w:val="00281C78"/>
    <w:rsid w:val="0028339B"/>
    <w:rsid w:val="0028341D"/>
    <w:rsid w:val="0028351A"/>
    <w:rsid w:val="002836F5"/>
    <w:rsid w:val="00283EF9"/>
    <w:rsid w:val="002840DE"/>
    <w:rsid w:val="00284132"/>
    <w:rsid w:val="002841E7"/>
    <w:rsid w:val="00284CE7"/>
    <w:rsid w:val="00284CF2"/>
    <w:rsid w:val="00284D84"/>
    <w:rsid w:val="00284EF4"/>
    <w:rsid w:val="002850AB"/>
    <w:rsid w:val="00285359"/>
    <w:rsid w:val="00285D62"/>
    <w:rsid w:val="00286464"/>
    <w:rsid w:val="002864FF"/>
    <w:rsid w:val="00286576"/>
    <w:rsid w:val="002872AA"/>
    <w:rsid w:val="002877E1"/>
    <w:rsid w:val="00287B0C"/>
    <w:rsid w:val="00287B35"/>
    <w:rsid w:val="00287C2F"/>
    <w:rsid w:val="0029062F"/>
    <w:rsid w:val="002908B4"/>
    <w:rsid w:val="00290CB2"/>
    <w:rsid w:val="00290E88"/>
    <w:rsid w:val="00291386"/>
    <w:rsid w:val="002917EB"/>
    <w:rsid w:val="00291978"/>
    <w:rsid w:val="00291DEF"/>
    <w:rsid w:val="0029236D"/>
    <w:rsid w:val="00292FCC"/>
    <w:rsid w:val="0029320C"/>
    <w:rsid w:val="002939E3"/>
    <w:rsid w:val="00293B2F"/>
    <w:rsid w:val="00293DB9"/>
    <w:rsid w:val="00293FCA"/>
    <w:rsid w:val="002942AC"/>
    <w:rsid w:val="002942D0"/>
    <w:rsid w:val="00294B20"/>
    <w:rsid w:val="00294E9C"/>
    <w:rsid w:val="00295480"/>
    <w:rsid w:val="00295F7F"/>
    <w:rsid w:val="002962DD"/>
    <w:rsid w:val="00296695"/>
    <w:rsid w:val="00296957"/>
    <w:rsid w:val="00296D8C"/>
    <w:rsid w:val="0029756F"/>
    <w:rsid w:val="00297A8D"/>
    <w:rsid w:val="00297CD9"/>
    <w:rsid w:val="002A003A"/>
    <w:rsid w:val="002A02CD"/>
    <w:rsid w:val="002A069F"/>
    <w:rsid w:val="002A08D0"/>
    <w:rsid w:val="002A0F96"/>
    <w:rsid w:val="002A12CE"/>
    <w:rsid w:val="002A1765"/>
    <w:rsid w:val="002A1D1B"/>
    <w:rsid w:val="002A1F31"/>
    <w:rsid w:val="002A2140"/>
    <w:rsid w:val="002A265F"/>
    <w:rsid w:val="002A27B7"/>
    <w:rsid w:val="002A289A"/>
    <w:rsid w:val="002A2FA8"/>
    <w:rsid w:val="002A3802"/>
    <w:rsid w:val="002A3B26"/>
    <w:rsid w:val="002A3BF7"/>
    <w:rsid w:val="002A4118"/>
    <w:rsid w:val="002A4241"/>
    <w:rsid w:val="002A431F"/>
    <w:rsid w:val="002A43FA"/>
    <w:rsid w:val="002A449D"/>
    <w:rsid w:val="002A463C"/>
    <w:rsid w:val="002A4924"/>
    <w:rsid w:val="002A4A10"/>
    <w:rsid w:val="002A4EB0"/>
    <w:rsid w:val="002A556E"/>
    <w:rsid w:val="002A5840"/>
    <w:rsid w:val="002A5C66"/>
    <w:rsid w:val="002A5D41"/>
    <w:rsid w:val="002A60AF"/>
    <w:rsid w:val="002A6672"/>
    <w:rsid w:val="002A67EF"/>
    <w:rsid w:val="002A6E5A"/>
    <w:rsid w:val="002A7AD1"/>
    <w:rsid w:val="002A7CDA"/>
    <w:rsid w:val="002A7D60"/>
    <w:rsid w:val="002B0254"/>
    <w:rsid w:val="002B0372"/>
    <w:rsid w:val="002B090A"/>
    <w:rsid w:val="002B0C14"/>
    <w:rsid w:val="002B1537"/>
    <w:rsid w:val="002B1740"/>
    <w:rsid w:val="002B1BFF"/>
    <w:rsid w:val="002B2202"/>
    <w:rsid w:val="002B237D"/>
    <w:rsid w:val="002B296C"/>
    <w:rsid w:val="002B2E81"/>
    <w:rsid w:val="002B31FF"/>
    <w:rsid w:val="002B35F8"/>
    <w:rsid w:val="002B3CBA"/>
    <w:rsid w:val="002B42C6"/>
    <w:rsid w:val="002B4350"/>
    <w:rsid w:val="002B51D0"/>
    <w:rsid w:val="002B5365"/>
    <w:rsid w:val="002B5CA3"/>
    <w:rsid w:val="002B5D78"/>
    <w:rsid w:val="002B60CA"/>
    <w:rsid w:val="002B6591"/>
    <w:rsid w:val="002B66DD"/>
    <w:rsid w:val="002B6E39"/>
    <w:rsid w:val="002B70DC"/>
    <w:rsid w:val="002B7AD6"/>
    <w:rsid w:val="002C03A3"/>
    <w:rsid w:val="002C0B92"/>
    <w:rsid w:val="002C0E50"/>
    <w:rsid w:val="002C16DF"/>
    <w:rsid w:val="002C1AAA"/>
    <w:rsid w:val="002C1BE4"/>
    <w:rsid w:val="002C1DE2"/>
    <w:rsid w:val="002C29B1"/>
    <w:rsid w:val="002C2AC4"/>
    <w:rsid w:val="002C31D4"/>
    <w:rsid w:val="002C3268"/>
    <w:rsid w:val="002C32FE"/>
    <w:rsid w:val="002C3449"/>
    <w:rsid w:val="002C3536"/>
    <w:rsid w:val="002C37EE"/>
    <w:rsid w:val="002C3836"/>
    <w:rsid w:val="002C3AAA"/>
    <w:rsid w:val="002C3ED1"/>
    <w:rsid w:val="002C4133"/>
    <w:rsid w:val="002C424B"/>
    <w:rsid w:val="002C4660"/>
    <w:rsid w:val="002C4DF2"/>
    <w:rsid w:val="002C50D0"/>
    <w:rsid w:val="002C5208"/>
    <w:rsid w:val="002C54DF"/>
    <w:rsid w:val="002C5C7E"/>
    <w:rsid w:val="002C5F29"/>
    <w:rsid w:val="002C613A"/>
    <w:rsid w:val="002C61B3"/>
    <w:rsid w:val="002C6711"/>
    <w:rsid w:val="002C6CA9"/>
    <w:rsid w:val="002C6CB6"/>
    <w:rsid w:val="002C7272"/>
    <w:rsid w:val="002C75FE"/>
    <w:rsid w:val="002C7F42"/>
    <w:rsid w:val="002D04BE"/>
    <w:rsid w:val="002D09CC"/>
    <w:rsid w:val="002D0D58"/>
    <w:rsid w:val="002D0E51"/>
    <w:rsid w:val="002D1303"/>
    <w:rsid w:val="002D17A8"/>
    <w:rsid w:val="002D1B70"/>
    <w:rsid w:val="002D1CAA"/>
    <w:rsid w:val="002D1D45"/>
    <w:rsid w:val="002D1E41"/>
    <w:rsid w:val="002D2062"/>
    <w:rsid w:val="002D25E0"/>
    <w:rsid w:val="002D312F"/>
    <w:rsid w:val="002D4645"/>
    <w:rsid w:val="002D506B"/>
    <w:rsid w:val="002D5196"/>
    <w:rsid w:val="002D528E"/>
    <w:rsid w:val="002D52D8"/>
    <w:rsid w:val="002D5382"/>
    <w:rsid w:val="002D54C5"/>
    <w:rsid w:val="002D567B"/>
    <w:rsid w:val="002D56F1"/>
    <w:rsid w:val="002D57BA"/>
    <w:rsid w:val="002D5B96"/>
    <w:rsid w:val="002D607D"/>
    <w:rsid w:val="002D6697"/>
    <w:rsid w:val="002D6C75"/>
    <w:rsid w:val="002D7992"/>
    <w:rsid w:val="002E0FEC"/>
    <w:rsid w:val="002E1C86"/>
    <w:rsid w:val="002E2079"/>
    <w:rsid w:val="002E2361"/>
    <w:rsid w:val="002E2B03"/>
    <w:rsid w:val="002E3020"/>
    <w:rsid w:val="002E413A"/>
    <w:rsid w:val="002E4C98"/>
    <w:rsid w:val="002E515C"/>
    <w:rsid w:val="002E57A9"/>
    <w:rsid w:val="002E57B8"/>
    <w:rsid w:val="002E6058"/>
    <w:rsid w:val="002E6534"/>
    <w:rsid w:val="002E658E"/>
    <w:rsid w:val="002E6689"/>
    <w:rsid w:val="002E6C02"/>
    <w:rsid w:val="002E6D2B"/>
    <w:rsid w:val="002E6E3E"/>
    <w:rsid w:val="002E6FBE"/>
    <w:rsid w:val="002E6FE9"/>
    <w:rsid w:val="002E7073"/>
    <w:rsid w:val="002E72AA"/>
    <w:rsid w:val="002E770D"/>
    <w:rsid w:val="002F0367"/>
    <w:rsid w:val="002F0474"/>
    <w:rsid w:val="002F0877"/>
    <w:rsid w:val="002F1948"/>
    <w:rsid w:val="002F1AFA"/>
    <w:rsid w:val="002F1BAE"/>
    <w:rsid w:val="002F23C4"/>
    <w:rsid w:val="002F2782"/>
    <w:rsid w:val="002F2A38"/>
    <w:rsid w:val="002F2BAC"/>
    <w:rsid w:val="002F2FD9"/>
    <w:rsid w:val="002F3031"/>
    <w:rsid w:val="002F3410"/>
    <w:rsid w:val="002F377C"/>
    <w:rsid w:val="002F380F"/>
    <w:rsid w:val="002F3B7E"/>
    <w:rsid w:val="002F424E"/>
    <w:rsid w:val="002F42A1"/>
    <w:rsid w:val="002F43B4"/>
    <w:rsid w:val="002F4604"/>
    <w:rsid w:val="002F557E"/>
    <w:rsid w:val="002F5FAD"/>
    <w:rsid w:val="002F5FC4"/>
    <w:rsid w:val="002F60B5"/>
    <w:rsid w:val="002F612A"/>
    <w:rsid w:val="002F62B8"/>
    <w:rsid w:val="002F6597"/>
    <w:rsid w:val="002F6D08"/>
    <w:rsid w:val="002F6EFA"/>
    <w:rsid w:val="002F710E"/>
    <w:rsid w:val="002F7AA3"/>
    <w:rsid w:val="00300301"/>
    <w:rsid w:val="00300645"/>
    <w:rsid w:val="003007D7"/>
    <w:rsid w:val="00300878"/>
    <w:rsid w:val="00300AFD"/>
    <w:rsid w:val="0030174E"/>
    <w:rsid w:val="00301895"/>
    <w:rsid w:val="00301DB7"/>
    <w:rsid w:val="00302021"/>
    <w:rsid w:val="003024D2"/>
    <w:rsid w:val="0030281F"/>
    <w:rsid w:val="00302914"/>
    <w:rsid w:val="00302E5A"/>
    <w:rsid w:val="00302F04"/>
    <w:rsid w:val="003031E6"/>
    <w:rsid w:val="00303272"/>
    <w:rsid w:val="003036E7"/>
    <w:rsid w:val="003038CE"/>
    <w:rsid w:val="00303A8E"/>
    <w:rsid w:val="00303ACA"/>
    <w:rsid w:val="00303B89"/>
    <w:rsid w:val="00303D12"/>
    <w:rsid w:val="0030438F"/>
    <w:rsid w:val="00304695"/>
    <w:rsid w:val="003046CF"/>
    <w:rsid w:val="003047EB"/>
    <w:rsid w:val="00304DCB"/>
    <w:rsid w:val="00304EA3"/>
    <w:rsid w:val="003050D0"/>
    <w:rsid w:val="00305181"/>
    <w:rsid w:val="00305206"/>
    <w:rsid w:val="0030560F"/>
    <w:rsid w:val="003056E1"/>
    <w:rsid w:val="00305853"/>
    <w:rsid w:val="003058CC"/>
    <w:rsid w:val="00306264"/>
    <w:rsid w:val="003065E0"/>
    <w:rsid w:val="00306B18"/>
    <w:rsid w:val="00307548"/>
    <w:rsid w:val="003075E8"/>
    <w:rsid w:val="003104B1"/>
    <w:rsid w:val="00310828"/>
    <w:rsid w:val="00310999"/>
    <w:rsid w:val="00310AB5"/>
    <w:rsid w:val="00310B50"/>
    <w:rsid w:val="00310BA7"/>
    <w:rsid w:val="00311926"/>
    <w:rsid w:val="00311AFD"/>
    <w:rsid w:val="00312206"/>
    <w:rsid w:val="00312298"/>
    <w:rsid w:val="00312602"/>
    <w:rsid w:val="00312873"/>
    <w:rsid w:val="00312B24"/>
    <w:rsid w:val="00313220"/>
    <w:rsid w:val="00314110"/>
    <w:rsid w:val="00314247"/>
    <w:rsid w:val="00314352"/>
    <w:rsid w:val="00314713"/>
    <w:rsid w:val="00314A60"/>
    <w:rsid w:val="0031510F"/>
    <w:rsid w:val="00315830"/>
    <w:rsid w:val="00315FFD"/>
    <w:rsid w:val="0031655B"/>
    <w:rsid w:val="00316587"/>
    <w:rsid w:val="00316707"/>
    <w:rsid w:val="00316D9E"/>
    <w:rsid w:val="00316F7E"/>
    <w:rsid w:val="00317335"/>
    <w:rsid w:val="00317968"/>
    <w:rsid w:val="00317A25"/>
    <w:rsid w:val="00317B63"/>
    <w:rsid w:val="00317CC6"/>
    <w:rsid w:val="00320577"/>
    <w:rsid w:val="003206D5"/>
    <w:rsid w:val="003209CA"/>
    <w:rsid w:val="00320A9F"/>
    <w:rsid w:val="0032117D"/>
    <w:rsid w:val="00321370"/>
    <w:rsid w:val="003219FD"/>
    <w:rsid w:val="00321ABC"/>
    <w:rsid w:val="00321D13"/>
    <w:rsid w:val="00321E28"/>
    <w:rsid w:val="00321F43"/>
    <w:rsid w:val="00322218"/>
    <w:rsid w:val="0032222C"/>
    <w:rsid w:val="00322C5B"/>
    <w:rsid w:val="00323364"/>
    <w:rsid w:val="0032347D"/>
    <w:rsid w:val="003241EF"/>
    <w:rsid w:val="0032462C"/>
    <w:rsid w:val="003248BD"/>
    <w:rsid w:val="00324AF7"/>
    <w:rsid w:val="0032547D"/>
    <w:rsid w:val="003256A8"/>
    <w:rsid w:val="00325748"/>
    <w:rsid w:val="003263A0"/>
    <w:rsid w:val="00326A6F"/>
    <w:rsid w:val="00326C3F"/>
    <w:rsid w:val="00326EA4"/>
    <w:rsid w:val="0032726D"/>
    <w:rsid w:val="00327BD8"/>
    <w:rsid w:val="00327EED"/>
    <w:rsid w:val="003308AA"/>
    <w:rsid w:val="003309A7"/>
    <w:rsid w:val="00330AD6"/>
    <w:rsid w:val="00330ECF"/>
    <w:rsid w:val="00331924"/>
    <w:rsid w:val="00331F1F"/>
    <w:rsid w:val="003326A3"/>
    <w:rsid w:val="003329A8"/>
    <w:rsid w:val="00332DE2"/>
    <w:rsid w:val="00332E64"/>
    <w:rsid w:val="00333306"/>
    <w:rsid w:val="00333BEB"/>
    <w:rsid w:val="00333E87"/>
    <w:rsid w:val="0033448C"/>
    <w:rsid w:val="0033450A"/>
    <w:rsid w:val="0033486C"/>
    <w:rsid w:val="00335012"/>
    <w:rsid w:val="00335278"/>
    <w:rsid w:val="0033530C"/>
    <w:rsid w:val="0033550A"/>
    <w:rsid w:val="00335796"/>
    <w:rsid w:val="0033589C"/>
    <w:rsid w:val="00335FD0"/>
    <w:rsid w:val="0033618A"/>
    <w:rsid w:val="003363E3"/>
    <w:rsid w:val="00336766"/>
    <w:rsid w:val="00337229"/>
    <w:rsid w:val="003373A4"/>
    <w:rsid w:val="00337930"/>
    <w:rsid w:val="00340164"/>
    <w:rsid w:val="00340A17"/>
    <w:rsid w:val="00340DFB"/>
    <w:rsid w:val="00340F3F"/>
    <w:rsid w:val="003410A5"/>
    <w:rsid w:val="00341315"/>
    <w:rsid w:val="00342348"/>
    <w:rsid w:val="00342AED"/>
    <w:rsid w:val="00342D25"/>
    <w:rsid w:val="00342D56"/>
    <w:rsid w:val="00342E3D"/>
    <w:rsid w:val="003434B6"/>
    <w:rsid w:val="00343E06"/>
    <w:rsid w:val="0034419B"/>
    <w:rsid w:val="003449B2"/>
    <w:rsid w:val="00344EB9"/>
    <w:rsid w:val="00345F6B"/>
    <w:rsid w:val="0034618C"/>
    <w:rsid w:val="003461FB"/>
    <w:rsid w:val="0034641A"/>
    <w:rsid w:val="00346A43"/>
    <w:rsid w:val="00346A79"/>
    <w:rsid w:val="00347431"/>
    <w:rsid w:val="00347450"/>
    <w:rsid w:val="00347889"/>
    <w:rsid w:val="00347C55"/>
    <w:rsid w:val="00347E14"/>
    <w:rsid w:val="003500EB"/>
    <w:rsid w:val="00350160"/>
    <w:rsid w:val="003506BD"/>
    <w:rsid w:val="003506F6"/>
    <w:rsid w:val="003508F9"/>
    <w:rsid w:val="00351138"/>
    <w:rsid w:val="003512BA"/>
    <w:rsid w:val="003513FC"/>
    <w:rsid w:val="00351428"/>
    <w:rsid w:val="0035190E"/>
    <w:rsid w:val="003519A0"/>
    <w:rsid w:val="003524F8"/>
    <w:rsid w:val="003529D6"/>
    <w:rsid w:val="00352DBD"/>
    <w:rsid w:val="00353147"/>
    <w:rsid w:val="0035404C"/>
    <w:rsid w:val="00354671"/>
    <w:rsid w:val="00354D50"/>
    <w:rsid w:val="00354F75"/>
    <w:rsid w:val="003551DA"/>
    <w:rsid w:val="00355760"/>
    <w:rsid w:val="003559CF"/>
    <w:rsid w:val="00355C7E"/>
    <w:rsid w:val="00356502"/>
    <w:rsid w:val="00356AE0"/>
    <w:rsid w:val="00356D43"/>
    <w:rsid w:val="00356FE5"/>
    <w:rsid w:val="0035790E"/>
    <w:rsid w:val="003579E0"/>
    <w:rsid w:val="0036048B"/>
    <w:rsid w:val="003606EF"/>
    <w:rsid w:val="00360973"/>
    <w:rsid w:val="0036098F"/>
    <w:rsid w:val="00360BB1"/>
    <w:rsid w:val="00361156"/>
    <w:rsid w:val="0036126E"/>
    <w:rsid w:val="00361C0A"/>
    <w:rsid w:val="0036205B"/>
    <w:rsid w:val="00362176"/>
    <w:rsid w:val="003621AF"/>
    <w:rsid w:val="00362407"/>
    <w:rsid w:val="00362BE9"/>
    <w:rsid w:val="00362D16"/>
    <w:rsid w:val="00362EF0"/>
    <w:rsid w:val="00363124"/>
    <w:rsid w:val="0036323E"/>
    <w:rsid w:val="00363525"/>
    <w:rsid w:val="003637DA"/>
    <w:rsid w:val="003639D7"/>
    <w:rsid w:val="00363DD7"/>
    <w:rsid w:val="00363E24"/>
    <w:rsid w:val="00363FE0"/>
    <w:rsid w:val="00363FF9"/>
    <w:rsid w:val="00364268"/>
    <w:rsid w:val="0036467C"/>
    <w:rsid w:val="003646D0"/>
    <w:rsid w:val="00364B82"/>
    <w:rsid w:val="0036551D"/>
    <w:rsid w:val="00365AD1"/>
    <w:rsid w:val="00365B7B"/>
    <w:rsid w:val="00365BB5"/>
    <w:rsid w:val="00365CBF"/>
    <w:rsid w:val="00365DEC"/>
    <w:rsid w:val="0036603E"/>
    <w:rsid w:val="003669AF"/>
    <w:rsid w:val="00366C23"/>
    <w:rsid w:val="0036796F"/>
    <w:rsid w:val="00367B83"/>
    <w:rsid w:val="003705E7"/>
    <w:rsid w:val="00370FFE"/>
    <w:rsid w:val="0037141B"/>
    <w:rsid w:val="00371B6B"/>
    <w:rsid w:val="00371B8A"/>
    <w:rsid w:val="003723BF"/>
    <w:rsid w:val="003726CD"/>
    <w:rsid w:val="00372CC6"/>
    <w:rsid w:val="00372DE5"/>
    <w:rsid w:val="00372F1C"/>
    <w:rsid w:val="003735C6"/>
    <w:rsid w:val="003735D6"/>
    <w:rsid w:val="003737D9"/>
    <w:rsid w:val="00373A67"/>
    <w:rsid w:val="00373E88"/>
    <w:rsid w:val="00373EE3"/>
    <w:rsid w:val="0037458F"/>
    <w:rsid w:val="00374642"/>
    <w:rsid w:val="0037486D"/>
    <w:rsid w:val="0037542C"/>
    <w:rsid w:val="0037546B"/>
    <w:rsid w:val="003757B4"/>
    <w:rsid w:val="00375B65"/>
    <w:rsid w:val="00375E07"/>
    <w:rsid w:val="00376142"/>
    <w:rsid w:val="00376151"/>
    <w:rsid w:val="0037635F"/>
    <w:rsid w:val="00376B0D"/>
    <w:rsid w:val="00376EBE"/>
    <w:rsid w:val="003774E1"/>
    <w:rsid w:val="00380286"/>
    <w:rsid w:val="00380381"/>
    <w:rsid w:val="00380586"/>
    <w:rsid w:val="00380D09"/>
    <w:rsid w:val="00380ECC"/>
    <w:rsid w:val="0038131A"/>
    <w:rsid w:val="00381332"/>
    <w:rsid w:val="0038155F"/>
    <w:rsid w:val="00381A89"/>
    <w:rsid w:val="003821E0"/>
    <w:rsid w:val="00382FE1"/>
    <w:rsid w:val="00383311"/>
    <w:rsid w:val="00384998"/>
    <w:rsid w:val="00384AD0"/>
    <w:rsid w:val="00384DA4"/>
    <w:rsid w:val="00384DA7"/>
    <w:rsid w:val="003856AC"/>
    <w:rsid w:val="00385B8F"/>
    <w:rsid w:val="00386199"/>
    <w:rsid w:val="00386400"/>
    <w:rsid w:val="00386604"/>
    <w:rsid w:val="003868A5"/>
    <w:rsid w:val="00386E92"/>
    <w:rsid w:val="00387214"/>
    <w:rsid w:val="003877AD"/>
    <w:rsid w:val="003879FC"/>
    <w:rsid w:val="00387A56"/>
    <w:rsid w:val="00387D75"/>
    <w:rsid w:val="003900EF"/>
    <w:rsid w:val="003902BA"/>
    <w:rsid w:val="00390376"/>
    <w:rsid w:val="003909A1"/>
    <w:rsid w:val="00390A81"/>
    <w:rsid w:val="00390BF9"/>
    <w:rsid w:val="0039101B"/>
    <w:rsid w:val="003918D1"/>
    <w:rsid w:val="00391BF5"/>
    <w:rsid w:val="00391DCE"/>
    <w:rsid w:val="00391E16"/>
    <w:rsid w:val="00391F0A"/>
    <w:rsid w:val="00392372"/>
    <w:rsid w:val="00392D20"/>
    <w:rsid w:val="00393344"/>
    <w:rsid w:val="003937D1"/>
    <w:rsid w:val="00393902"/>
    <w:rsid w:val="0039393B"/>
    <w:rsid w:val="0039438B"/>
    <w:rsid w:val="003944E1"/>
    <w:rsid w:val="00394A50"/>
    <w:rsid w:val="00394E0D"/>
    <w:rsid w:val="00395B10"/>
    <w:rsid w:val="00395F04"/>
    <w:rsid w:val="003960DF"/>
    <w:rsid w:val="0039699C"/>
    <w:rsid w:val="00396BB7"/>
    <w:rsid w:val="00396DAD"/>
    <w:rsid w:val="0039717E"/>
    <w:rsid w:val="00397510"/>
    <w:rsid w:val="00397685"/>
    <w:rsid w:val="0039776D"/>
    <w:rsid w:val="00397C4D"/>
    <w:rsid w:val="00397E75"/>
    <w:rsid w:val="003A00D6"/>
    <w:rsid w:val="003A024C"/>
    <w:rsid w:val="003A030C"/>
    <w:rsid w:val="003A050A"/>
    <w:rsid w:val="003A0F20"/>
    <w:rsid w:val="003A0F9D"/>
    <w:rsid w:val="003A168C"/>
    <w:rsid w:val="003A188A"/>
    <w:rsid w:val="003A19BE"/>
    <w:rsid w:val="003A2656"/>
    <w:rsid w:val="003A29EC"/>
    <w:rsid w:val="003A2AC0"/>
    <w:rsid w:val="003A2AF7"/>
    <w:rsid w:val="003A2FB1"/>
    <w:rsid w:val="003A305D"/>
    <w:rsid w:val="003A3674"/>
    <w:rsid w:val="003A383A"/>
    <w:rsid w:val="003A38FE"/>
    <w:rsid w:val="003A3BA0"/>
    <w:rsid w:val="003A3E6E"/>
    <w:rsid w:val="003A3F36"/>
    <w:rsid w:val="003A40A0"/>
    <w:rsid w:val="003A453C"/>
    <w:rsid w:val="003A47A1"/>
    <w:rsid w:val="003A483B"/>
    <w:rsid w:val="003A4C5D"/>
    <w:rsid w:val="003A5074"/>
    <w:rsid w:val="003A560B"/>
    <w:rsid w:val="003A5E0C"/>
    <w:rsid w:val="003A6473"/>
    <w:rsid w:val="003A64D2"/>
    <w:rsid w:val="003A6547"/>
    <w:rsid w:val="003A6816"/>
    <w:rsid w:val="003A6B16"/>
    <w:rsid w:val="003A7326"/>
    <w:rsid w:val="003A7905"/>
    <w:rsid w:val="003A7D78"/>
    <w:rsid w:val="003A7DE7"/>
    <w:rsid w:val="003B0945"/>
    <w:rsid w:val="003B0E35"/>
    <w:rsid w:val="003B0E6F"/>
    <w:rsid w:val="003B16FF"/>
    <w:rsid w:val="003B19D1"/>
    <w:rsid w:val="003B19F5"/>
    <w:rsid w:val="003B1C31"/>
    <w:rsid w:val="003B1FA2"/>
    <w:rsid w:val="003B21C0"/>
    <w:rsid w:val="003B27D7"/>
    <w:rsid w:val="003B2815"/>
    <w:rsid w:val="003B28BC"/>
    <w:rsid w:val="003B2A5F"/>
    <w:rsid w:val="003B313E"/>
    <w:rsid w:val="003B374B"/>
    <w:rsid w:val="003B3845"/>
    <w:rsid w:val="003B3F52"/>
    <w:rsid w:val="003B42F5"/>
    <w:rsid w:val="003B438E"/>
    <w:rsid w:val="003B4478"/>
    <w:rsid w:val="003B4C69"/>
    <w:rsid w:val="003B52F7"/>
    <w:rsid w:val="003B5302"/>
    <w:rsid w:val="003B5486"/>
    <w:rsid w:val="003B5F45"/>
    <w:rsid w:val="003B6097"/>
    <w:rsid w:val="003B63AC"/>
    <w:rsid w:val="003B6828"/>
    <w:rsid w:val="003B6840"/>
    <w:rsid w:val="003B6955"/>
    <w:rsid w:val="003B76F2"/>
    <w:rsid w:val="003B7BA4"/>
    <w:rsid w:val="003C0442"/>
    <w:rsid w:val="003C0BFD"/>
    <w:rsid w:val="003C105C"/>
    <w:rsid w:val="003C1248"/>
    <w:rsid w:val="003C18DD"/>
    <w:rsid w:val="003C1A2E"/>
    <w:rsid w:val="003C1A73"/>
    <w:rsid w:val="003C23BD"/>
    <w:rsid w:val="003C28C3"/>
    <w:rsid w:val="003C2B72"/>
    <w:rsid w:val="003C2C73"/>
    <w:rsid w:val="003C2CE4"/>
    <w:rsid w:val="003C2D32"/>
    <w:rsid w:val="003C2FBE"/>
    <w:rsid w:val="003C2FC8"/>
    <w:rsid w:val="003C3C0D"/>
    <w:rsid w:val="003C3DC9"/>
    <w:rsid w:val="003C49D0"/>
    <w:rsid w:val="003C4CDE"/>
    <w:rsid w:val="003C4FC8"/>
    <w:rsid w:val="003C555E"/>
    <w:rsid w:val="003C5B2A"/>
    <w:rsid w:val="003C5CA7"/>
    <w:rsid w:val="003C5EA5"/>
    <w:rsid w:val="003C6051"/>
    <w:rsid w:val="003C6153"/>
    <w:rsid w:val="003C644E"/>
    <w:rsid w:val="003C645C"/>
    <w:rsid w:val="003C756B"/>
    <w:rsid w:val="003C795B"/>
    <w:rsid w:val="003C7B42"/>
    <w:rsid w:val="003C7E3E"/>
    <w:rsid w:val="003C7E7F"/>
    <w:rsid w:val="003C7F7B"/>
    <w:rsid w:val="003D050E"/>
    <w:rsid w:val="003D05A2"/>
    <w:rsid w:val="003D0C15"/>
    <w:rsid w:val="003D0D68"/>
    <w:rsid w:val="003D1558"/>
    <w:rsid w:val="003D1B3A"/>
    <w:rsid w:val="003D1DCF"/>
    <w:rsid w:val="003D1E6A"/>
    <w:rsid w:val="003D1EF0"/>
    <w:rsid w:val="003D2020"/>
    <w:rsid w:val="003D24B0"/>
    <w:rsid w:val="003D24E1"/>
    <w:rsid w:val="003D308E"/>
    <w:rsid w:val="003D31C7"/>
    <w:rsid w:val="003D393C"/>
    <w:rsid w:val="003D3B0F"/>
    <w:rsid w:val="003D423A"/>
    <w:rsid w:val="003D4832"/>
    <w:rsid w:val="003D499D"/>
    <w:rsid w:val="003D4A99"/>
    <w:rsid w:val="003D4AF5"/>
    <w:rsid w:val="003D513A"/>
    <w:rsid w:val="003D5176"/>
    <w:rsid w:val="003D51FC"/>
    <w:rsid w:val="003D56A6"/>
    <w:rsid w:val="003D56C2"/>
    <w:rsid w:val="003D63AB"/>
    <w:rsid w:val="003D65EF"/>
    <w:rsid w:val="003D676B"/>
    <w:rsid w:val="003D67E0"/>
    <w:rsid w:val="003D72D4"/>
    <w:rsid w:val="003D73A3"/>
    <w:rsid w:val="003D74CB"/>
    <w:rsid w:val="003D7B0E"/>
    <w:rsid w:val="003D7DF0"/>
    <w:rsid w:val="003D7F85"/>
    <w:rsid w:val="003E02B3"/>
    <w:rsid w:val="003E0CB4"/>
    <w:rsid w:val="003E1A15"/>
    <w:rsid w:val="003E1C30"/>
    <w:rsid w:val="003E1CCD"/>
    <w:rsid w:val="003E2399"/>
    <w:rsid w:val="003E3690"/>
    <w:rsid w:val="003E3FC9"/>
    <w:rsid w:val="003E4792"/>
    <w:rsid w:val="003E4A5F"/>
    <w:rsid w:val="003E4E6D"/>
    <w:rsid w:val="003E53B6"/>
    <w:rsid w:val="003E546F"/>
    <w:rsid w:val="003E5C29"/>
    <w:rsid w:val="003E6A32"/>
    <w:rsid w:val="003E6F90"/>
    <w:rsid w:val="003E77B5"/>
    <w:rsid w:val="003E7A77"/>
    <w:rsid w:val="003E7F5B"/>
    <w:rsid w:val="003F029A"/>
    <w:rsid w:val="003F0A71"/>
    <w:rsid w:val="003F12A8"/>
    <w:rsid w:val="003F131F"/>
    <w:rsid w:val="003F20F6"/>
    <w:rsid w:val="003F2804"/>
    <w:rsid w:val="003F3A7D"/>
    <w:rsid w:val="003F3AD5"/>
    <w:rsid w:val="003F3B37"/>
    <w:rsid w:val="003F3DAD"/>
    <w:rsid w:val="003F4B01"/>
    <w:rsid w:val="003F4D2C"/>
    <w:rsid w:val="003F55AB"/>
    <w:rsid w:val="003F5706"/>
    <w:rsid w:val="003F5C7C"/>
    <w:rsid w:val="003F686B"/>
    <w:rsid w:val="003F6B83"/>
    <w:rsid w:val="003F6C4D"/>
    <w:rsid w:val="003F6CB2"/>
    <w:rsid w:val="003F75E6"/>
    <w:rsid w:val="003F7713"/>
    <w:rsid w:val="003F7BDF"/>
    <w:rsid w:val="00400019"/>
    <w:rsid w:val="00400A5B"/>
    <w:rsid w:val="00400E1C"/>
    <w:rsid w:val="00401399"/>
    <w:rsid w:val="004016C9"/>
    <w:rsid w:val="00401B64"/>
    <w:rsid w:val="00401B79"/>
    <w:rsid w:val="00401E21"/>
    <w:rsid w:val="00401E55"/>
    <w:rsid w:val="00402037"/>
    <w:rsid w:val="004023F6"/>
    <w:rsid w:val="00402616"/>
    <w:rsid w:val="00402776"/>
    <w:rsid w:val="00402AC4"/>
    <w:rsid w:val="004030E9"/>
    <w:rsid w:val="004036F9"/>
    <w:rsid w:val="00403897"/>
    <w:rsid w:val="00403A8C"/>
    <w:rsid w:val="00404B4D"/>
    <w:rsid w:val="00404CAB"/>
    <w:rsid w:val="0040505D"/>
    <w:rsid w:val="00405152"/>
    <w:rsid w:val="004055A9"/>
    <w:rsid w:val="00406495"/>
    <w:rsid w:val="00406ADF"/>
    <w:rsid w:val="00406DEC"/>
    <w:rsid w:val="00407058"/>
    <w:rsid w:val="004074A6"/>
    <w:rsid w:val="00407534"/>
    <w:rsid w:val="004078D0"/>
    <w:rsid w:val="00407EB7"/>
    <w:rsid w:val="00407FCB"/>
    <w:rsid w:val="00407FDF"/>
    <w:rsid w:val="00410328"/>
    <w:rsid w:val="0041047A"/>
    <w:rsid w:val="00410DB2"/>
    <w:rsid w:val="00410F88"/>
    <w:rsid w:val="00411014"/>
    <w:rsid w:val="004112BB"/>
    <w:rsid w:val="004117DB"/>
    <w:rsid w:val="00411BDA"/>
    <w:rsid w:val="00411EEA"/>
    <w:rsid w:val="004120E8"/>
    <w:rsid w:val="004126B9"/>
    <w:rsid w:val="00413F50"/>
    <w:rsid w:val="00414843"/>
    <w:rsid w:val="004148BF"/>
    <w:rsid w:val="00415578"/>
    <w:rsid w:val="004163A6"/>
    <w:rsid w:val="00416446"/>
    <w:rsid w:val="004166BF"/>
    <w:rsid w:val="00416AC6"/>
    <w:rsid w:val="00416F1A"/>
    <w:rsid w:val="004179E9"/>
    <w:rsid w:val="00417DF7"/>
    <w:rsid w:val="00420082"/>
    <w:rsid w:val="0042025B"/>
    <w:rsid w:val="0042092A"/>
    <w:rsid w:val="00421213"/>
    <w:rsid w:val="00421A70"/>
    <w:rsid w:val="004223E7"/>
    <w:rsid w:val="00422ACB"/>
    <w:rsid w:val="00422D12"/>
    <w:rsid w:val="0042316E"/>
    <w:rsid w:val="00423340"/>
    <w:rsid w:val="004237FB"/>
    <w:rsid w:val="00423D7A"/>
    <w:rsid w:val="00423FF1"/>
    <w:rsid w:val="0042429F"/>
    <w:rsid w:val="004242FF"/>
    <w:rsid w:val="004246C7"/>
    <w:rsid w:val="00424ABF"/>
    <w:rsid w:val="00424B50"/>
    <w:rsid w:val="00424EBC"/>
    <w:rsid w:val="00425764"/>
    <w:rsid w:val="00426009"/>
    <w:rsid w:val="004260EC"/>
    <w:rsid w:val="004264FB"/>
    <w:rsid w:val="00426694"/>
    <w:rsid w:val="00426902"/>
    <w:rsid w:val="00426BEA"/>
    <w:rsid w:val="00426DB4"/>
    <w:rsid w:val="004274B6"/>
    <w:rsid w:val="00427C6A"/>
    <w:rsid w:val="00427DBD"/>
    <w:rsid w:val="0043002B"/>
    <w:rsid w:val="004301A9"/>
    <w:rsid w:val="00430626"/>
    <w:rsid w:val="004306D6"/>
    <w:rsid w:val="0043075A"/>
    <w:rsid w:val="0043076F"/>
    <w:rsid w:val="00431037"/>
    <w:rsid w:val="00431788"/>
    <w:rsid w:val="004317D6"/>
    <w:rsid w:val="004319D0"/>
    <w:rsid w:val="00432500"/>
    <w:rsid w:val="0043252E"/>
    <w:rsid w:val="0043254C"/>
    <w:rsid w:val="00432ECF"/>
    <w:rsid w:val="0043309E"/>
    <w:rsid w:val="004335D7"/>
    <w:rsid w:val="004336D7"/>
    <w:rsid w:val="00433949"/>
    <w:rsid w:val="00433ABB"/>
    <w:rsid w:val="004348D2"/>
    <w:rsid w:val="00434DD0"/>
    <w:rsid w:val="00435732"/>
    <w:rsid w:val="00435D93"/>
    <w:rsid w:val="00436577"/>
    <w:rsid w:val="00436789"/>
    <w:rsid w:val="00437591"/>
    <w:rsid w:val="004375CC"/>
    <w:rsid w:val="004376E5"/>
    <w:rsid w:val="00437D76"/>
    <w:rsid w:val="0044053D"/>
    <w:rsid w:val="0044075E"/>
    <w:rsid w:val="00440AD2"/>
    <w:rsid w:val="00441357"/>
    <w:rsid w:val="00441545"/>
    <w:rsid w:val="00442F7B"/>
    <w:rsid w:val="004433CE"/>
    <w:rsid w:val="0044382B"/>
    <w:rsid w:val="00444206"/>
    <w:rsid w:val="004448E3"/>
    <w:rsid w:val="00444E57"/>
    <w:rsid w:val="004451C8"/>
    <w:rsid w:val="004454A1"/>
    <w:rsid w:val="00445729"/>
    <w:rsid w:val="00445858"/>
    <w:rsid w:val="00445980"/>
    <w:rsid w:val="00445A17"/>
    <w:rsid w:val="00445BE4"/>
    <w:rsid w:val="00445C10"/>
    <w:rsid w:val="00445CD8"/>
    <w:rsid w:val="004466DE"/>
    <w:rsid w:val="0044681B"/>
    <w:rsid w:val="004468CF"/>
    <w:rsid w:val="00446B96"/>
    <w:rsid w:val="00446C65"/>
    <w:rsid w:val="00447456"/>
    <w:rsid w:val="004479A7"/>
    <w:rsid w:val="00447A19"/>
    <w:rsid w:val="004509A1"/>
    <w:rsid w:val="00450B21"/>
    <w:rsid w:val="00450E72"/>
    <w:rsid w:val="00450F1F"/>
    <w:rsid w:val="0045102F"/>
    <w:rsid w:val="00451D28"/>
    <w:rsid w:val="0045290D"/>
    <w:rsid w:val="00452D49"/>
    <w:rsid w:val="00452DC1"/>
    <w:rsid w:val="0045377E"/>
    <w:rsid w:val="004538DC"/>
    <w:rsid w:val="00453925"/>
    <w:rsid w:val="00453BE4"/>
    <w:rsid w:val="00453D05"/>
    <w:rsid w:val="004542B8"/>
    <w:rsid w:val="004544EA"/>
    <w:rsid w:val="00455C4C"/>
    <w:rsid w:val="004560C4"/>
    <w:rsid w:val="00456CBD"/>
    <w:rsid w:val="00456F6D"/>
    <w:rsid w:val="00457C90"/>
    <w:rsid w:val="00457ECC"/>
    <w:rsid w:val="00460293"/>
    <w:rsid w:val="00460C89"/>
    <w:rsid w:val="00461308"/>
    <w:rsid w:val="00461334"/>
    <w:rsid w:val="00461ACF"/>
    <w:rsid w:val="00461DA8"/>
    <w:rsid w:val="004623AC"/>
    <w:rsid w:val="0046252B"/>
    <w:rsid w:val="00462A3E"/>
    <w:rsid w:val="00462B3B"/>
    <w:rsid w:val="00462ECE"/>
    <w:rsid w:val="00463091"/>
    <w:rsid w:val="00463137"/>
    <w:rsid w:val="0046346E"/>
    <w:rsid w:val="00463D09"/>
    <w:rsid w:val="00464299"/>
    <w:rsid w:val="00464397"/>
    <w:rsid w:val="004643CC"/>
    <w:rsid w:val="00464491"/>
    <w:rsid w:val="0046496D"/>
    <w:rsid w:val="004650EE"/>
    <w:rsid w:val="00465B9C"/>
    <w:rsid w:val="00465BAB"/>
    <w:rsid w:val="00465C6E"/>
    <w:rsid w:val="0046635A"/>
    <w:rsid w:val="00466397"/>
    <w:rsid w:val="00466609"/>
    <w:rsid w:val="0046676B"/>
    <w:rsid w:val="00466941"/>
    <w:rsid w:val="00467344"/>
    <w:rsid w:val="00467546"/>
    <w:rsid w:val="00467610"/>
    <w:rsid w:val="00467B18"/>
    <w:rsid w:val="00467B8D"/>
    <w:rsid w:val="004702D2"/>
    <w:rsid w:val="004706F0"/>
    <w:rsid w:val="0047084A"/>
    <w:rsid w:val="004708B6"/>
    <w:rsid w:val="00470FC9"/>
    <w:rsid w:val="00471626"/>
    <w:rsid w:val="00471782"/>
    <w:rsid w:val="004718A5"/>
    <w:rsid w:val="004722BF"/>
    <w:rsid w:val="0047250D"/>
    <w:rsid w:val="00472C8F"/>
    <w:rsid w:val="00472D59"/>
    <w:rsid w:val="00472ED0"/>
    <w:rsid w:val="00473497"/>
    <w:rsid w:val="004738EE"/>
    <w:rsid w:val="004743A6"/>
    <w:rsid w:val="004747F4"/>
    <w:rsid w:val="00474EB8"/>
    <w:rsid w:val="0047535A"/>
    <w:rsid w:val="00475866"/>
    <w:rsid w:val="00476056"/>
    <w:rsid w:val="0047622D"/>
    <w:rsid w:val="0047625A"/>
    <w:rsid w:val="00476819"/>
    <w:rsid w:val="0047692A"/>
    <w:rsid w:val="00476DA8"/>
    <w:rsid w:val="00476EEF"/>
    <w:rsid w:val="004778C0"/>
    <w:rsid w:val="00480095"/>
    <w:rsid w:val="0048031D"/>
    <w:rsid w:val="00480979"/>
    <w:rsid w:val="00480BB6"/>
    <w:rsid w:val="00480C91"/>
    <w:rsid w:val="00480F2E"/>
    <w:rsid w:val="00480FD2"/>
    <w:rsid w:val="00481258"/>
    <w:rsid w:val="0048139D"/>
    <w:rsid w:val="004814CF"/>
    <w:rsid w:val="0048163B"/>
    <w:rsid w:val="0048195A"/>
    <w:rsid w:val="004819C2"/>
    <w:rsid w:val="004819D3"/>
    <w:rsid w:val="004823EA"/>
    <w:rsid w:val="00483171"/>
    <w:rsid w:val="004831BB"/>
    <w:rsid w:val="004831EE"/>
    <w:rsid w:val="00483753"/>
    <w:rsid w:val="00483826"/>
    <w:rsid w:val="00483B0D"/>
    <w:rsid w:val="00483D3F"/>
    <w:rsid w:val="00484806"/>
    <w:rsid w:val="00484F1A"/>
    <w:rsid w:val="00485455"/>
    <w:rsid w:val="00485E40"/>
    <w:rsid w:val="00485F27"/>
    <w:rsid w:val="00485FF5"/>
    <w:rsid w:val="004860B3"/>
    <w:rsid w:val="00486C04"/>
    <w:rsid w:val="00486CE1"/>
    <w:rsid w:val="004870BE"/>
    <w:rsid w:val="004873FF"/>
    <w:rsid w:val="004878AA"/>
    <w:rsid w:val="004879FA"/>
    <w:rsid w:val="004901FF"/>
    <w:rsid w:val="0049028B"/>
    <w:rsid w:val="00490449"/>
    <w:rsid w:val="00490703"/>
    <w:rsid w:val="00490ADE"/>
    <w:rsid w:val="00490B31"/>
    <w:rsid w:val="004910A3"/>
    <w:rsid w:val="00491381"/>
    <w:rsid w:val="0049164C"/>
    <w:rsid w:val="00491790"/>
    <w:rsid w:val="0049179D"/>
    <w:rsid w:val="00491B3E"/>
    <w:rsid w:val="00492042"/>
    <w:rsid w:val="004921C2"/>
    <w:rsid w:val="004922C0"/>
    <w:rsid w:val="004926E9"/>
    <w:rsid w:val="00492950"/>
    <w:rsid w:val="00493EB0"/>
    <w:rsid w:val="004941F7"/>
    <w:rsid w:val="00494A1F"/>
    <w:rsid w:val="00494D3D"/>
    <w:rsid w:val="00495469"/>
    <w:rsid w:val="004954FD"/>
    <w:rsid w:val="00495C02"/>
    <w:rsid w:val="00495F66"/>
    <w:rsid w:val="00496755"/>
    <w:rsid w:val="0049684B"/>
    <w:rsid w:val="00496A00"/>
    <w:rsid w:val="00496B1B"/>
    <w:rsid w:val="00496CF9"/>
    <w:rsid w:val="00496E99"/>
    <w:rsid w:val="004973AA"/>
    <w:rsid w:val="00497551"/>
    <w:rsid w:val="004A059B"/>
    <w:rsid w:val="004A0954"/>
    <w:rsid w:val="004A0BF2"/>
    <w:rsid w:val="004A1397"/>
    <w:rsid w:val="004A1AF8"/>
    <w:rsid w:val="004A1DE0"/>
    <w:rsid w:val="004A1EBA"/>
    <w:rsid w:val="004A21E1"/>
    <w:rsid w:val="004A2ACF"/>
    <w:rsid w:val="004A2FF6"/>
    <w:rsid w:val="004A3006"/>
    <w:rsid w:val="004A36D5"/>
    <w:rsid w:val="004A3885"/>
    <w:rsid w:val="004A3BF1"/>
    <w:rsid w:val="004A3C64"/>
    <w:rsid w:val="004A40CB"/>
    <w:rsid w:val="004A4454"/>
    <w:rsid w:val="004A561E"/>
    <w:rsid w:val="004A5769"/>
    <w:rsid w:val="004A5E0B"/>
    <w:rsid w:val="004A6098"/>
    <w:rsid w:val="004A6165"/>
    <w:rsid w:val="004A61B6"/>
    <w:rsid w:val="004A67D0"/>
    <w:rsid w:val="004A6B69"/>
    <w:rsid w:val="004A74A9"/>
    <w:rsid w:val="004B0472"/>
    <w:rsid w:val="004B0B09"/>
    <w:rsid w:val="004B0EEA"/>
    <w:rsid w:val="004B0FA8"/>
    <w:rsid w:val="004B10ED"/>
    <w:rsid w:val="004B1C64"/>
    <w:rsid w:val="004B1F87"/>
    <w:rsid w:val="004B219F"/>
    <w:rsid w:val="004B2412"/>
    <w:rsid w:val="004B286B"/>
    <w:rsid w:val="004B3BA6"/>
    <w:rsid w:val="004B41DD"/>
    <w:rsid w:val="004B4256"/>
    <w:rsid w:val="004B466A"/>
    <w:rsid w:val="004B49F0"/>
    <w:rsid w:val="004B4AEF"/>
    <w:rsid w:val="004B4B16"/>
    <w:rsid w:val="004B4D65"/>
    <w:rsid w:val="004B50EA"/>
    <w:rsid w:val="004B5334"/>
    <w:rsid w:val="004B5A08"/>
    <w:rsid w:val="004B5AD8"/>
    <w:rsid w:val="004B5B77"/>
    <w:rsid w:val="004B5D46"/>
    <w:rsid w:val="004B64C8"/>
    <w:rsid w:val="004B652F"/>
    <w:rsid w:val="004B6624"/>
    <w:rsid w:val="004B71BC"/>
    <w:rsid w:val="004B73C8"/>
    <w:rsid w:val="004B7AA3"/>
    <w:rsid w:val="004B7DCC"/>
    <w:rsid w:val="004C01F9"/>
    <w:rsid w:val="004C02C0"/>
    <w:rsid w:val="004C0538"/>
    <w:rsid w:val="004C0663"/>
    <w:rsid w:val="004C0D13"/>
    <w:rsid w:val="004C222A"/>
    <w:rsid w:val="004C2B66"/>
    <w:rsid w:val="004C2BEB"/>
    <w:rsid w:val="004C33C6"/>
    <w:rsid w:val="004C33EF"/>
    <w:rsid w:val="004C350F"/>
    <w:rsid w:val="004C3D5F"/>
    <w:rsid w:val="004C3F11"/>
    <w:rsid w:val="004C444A"/>
    <w:rsid w:val="004C4597"/>
    <w:rsid w:val="004C4888"/>
    <w:rsid w:val="004C48C2"/>
    <w:rsid w:val="004C4D49"/>
    <w:rsid w:val="004C4D89"/>
    <w:rsid w:val="004C4D96"/>
    <w:rsid w:val="004C4EAF"/>
    <w:rsid w:val="004C520A"/>
    <w:rsid w:val="004C529D"/>
    <w:rsid w:val="004C5AD8"/>
    <w:rsid w:val="004C5F34"/>
    <w:rsid w:val="004C6035"/>
    <w:rsid w:val="004C6257"/>
    <w:rsid w:val="004C62EB"/>
    <w:rsid w:val="004C67B9"/>
    <w:rsid w:val="004C68DC"/>
    <w:rsid w:val="004C6B45"/>
    <w:rsid w:val="004C6C3D"/>
    <w:rsid w:val="004C7235"/>
    <w:rsid w:val="004C7411"/>
    <w:rsid w:val="004C769C"/>
    <w:rsid w:val="004C7733"/>
    <w:rsid w:val="004C7939"/>
    <w:rsid w:val="004C7D4B"/>
    <w:rsid w:val="004C7DA3"/>
    <w:rsid w:val="004D0491"/>
    <w:rsid w:val="004D0853"/>
    <w:rsid w:val="004D15AF"/>
    <w:rsid w:val="004D1DA5"/>
    <w:rsid w:val="004D28F1"/>
    <w:rsid w:val="004D321D"/>
    <w:rsid w:val="004D34C9"/>
    <w:rsid w:val="004D3C38"/>
    <w:rsid w:val="004D4FB2"/>
    <w:rsid w:val="004D5094"/>
    <w:rsid w:val="004D5F07"/>
    <w:rsid w:val="004D6069"/>
    <w:rsid w:val="004D6078"/>
    <w:rsid w:val="004D649D"/>
    <w:rsid w:val="004D71FC"/>
    <w:rsid w:val="004D7312"/>
    <w:rsid w:val="004D79A5"/>
    <w:rsid w:val="004E0142"/>
    <w:rsid w:val="004E0300"/>
    <w:rsid w:val="004E0B25"/>
    <w:rsid w:val="004E1310"/>
    <w:rsid w:val="004E1501"/>
    <w:rsid w:val="004E1512"/>
    <w:rsid w:val="004E2CBF"/>
    <w:rsid w:val="004E2F03"/>
    <w:rsid w:val="004E30B1"/>
    <w:rsid w:val="004E311D"/>
    <w:rsid w:val="004E33BB"/>
    <w:rsid w:val="004E3ADC"/>
    <w:rsid w:val="004E3D98"/>
    <w:rsid w:val="004E461C"/>
    <w:rsid w:val="004E48E9"/>
    <w:rsid w:val="004E5204"/>
    <w:rsid w:val="004E52E4"/>
    <w:rsid w:val="004E53D3"/>
    <w:rsid w:val="004E565D"/>
    <w:rsid w:val="004E56F1"/>
    <w:rsid w:val="004E5F09"/>
    <w:rsid w:val="004E65E0"/>
    <w:rsid w:val="004E694A"/>
    <w:rsid w:val="004E6EBE"/>
    <w:rsid w:val="004E71B5"/>
    <w:rsid w:val="004E7A41"/>
    <w:rsid w:val="004E7DA6"/>
    <w:rsid w:val="004E7EFB"/>
    <w:rsid w:val="004E7FD9"/>
    <w:rsid w:val="004F016E"/>
    <w:rsid w:val="004F06F7"/>
    <w:rsid w:val="004F0E7F"/>
    <w:rsid w:val="004F15AC"/>
    <w:rsid w:val="004F18D5"/>
    <w:rsid w:val="004F24A4"/>
    <w:rsid w:val="004F2550"/>
    <w:rsid w:val="004F2929"/>
    <w:rsid w:val="004F2D38"/>
    <w:rsid w:val="004F3126"/>
    <w:rsid w:val="004F3229"/>
    <w:rsid w:val="004F34AE"/>
    <w:rsid w:val="004F3619"/>
    <w:rsid w:val="004F361D"/>
    <w:rsid w:val="004F3656"/>
    <w:rsid w:val="004F38EF"/>
    <w:rsid w:val="004F395C"/>
    <w:rsid w:val="004F3B3C"/>
    <w:rsid w:val="004F3CFD"/>
    <w:rsid w:val="004F4043"/>
    <w:rsid w:val="004F43E3"/>
    <w:rsid w:val="004F4641"/>
    <w:rsid w:val="004F4DE3"/>
    <w:rsid w:val="004F4F12"/>
    <w:rsid w:val="004F5012"/>
    <w:rsid w:val="004F51DB"/>
    <w:rsid w:val="004F52DB"/>
    <w:rsid w:val="004F5D9F"/>
    <w:rsid w:val="004F6429"/>
    <w:rsid w:val="004F655F"/>
    <w:rsid w:val="004F67B7"/>
    <w:rsid w:val="004F6940"/>
    <w:rsid w:val="004F6BA2"/>
    <w:rsid w:val="004F6EE8"/>
    <w:rsid w:val="004F7386"/>
    <w:rsid w:val="004F7462"/>
    <w:rsid w:val="004F759A"/>
    <w:rsid w:val="004F7913"/>
    <w:rsid w:val="004F7B33"/>
    <w:rsid w:val="004F7C4F"/>
    <w:rsid w:val="00500ADC"/>
    <w:rsid w:val="00500B10"/>
    <w:rsid w:val="00500F55"/>
    <w:rsid w:val="005013B9"/>
    <w:rsid w:val="00501613"/>
    <w:rsid w:val="00501ACA"/>
    <w:rsid w:val="00501AEB"/>
    <w:rsid w:val="00501AFE"/>
    <w:rsid w:val="00501BBC"/>
    <w:rsid w:val="00501E0F"/>
    <w:rsid w:val="00501FDC"/>
    <w:rsid w:val="00502061"/>
    <w:rsid w:val="00502234"/>
    <w:rsid w:val="0050245D"/>
    <w:rsid w:val="005027A1"/>
    <w:rsid w:val="00502873"/>
    <w:rsid w:val="00502EC7"/>
    <w:rsid w:val="00503254"/>
    <w:rsid w:val="00503B4D"/>
    <w:rsid w:val="0050469B"/>
    <w:rsid w:val="00504C60"/>
    <w:rsid w:val="0050501F"/>
    <w:rsid w:val="00505358"/>
    <w:rsid w:val="0050538E"/>
    <w:rsid w:val="00505A1F"/>
    <w:rsid w:val="00505B0D"/>
    <w:rsid w:val="00506523"/>
    <w:rsid w:val="0050652C"/>
    <w:rsid w:val="0050661E"/>
    <w:rsid w:val="00506CBA"/>
    <w:rsid w:val="00506CC3"/>
    <w:rsid w:val="00506D16"/>
    <w:rsid w:val="005071DA"/>
    <w:rsid w:val="0050752B"/>
    <w:rsid w:val="00507AB7"/>
    <w:rsid w:val="00507AC2"/>
    <w:rsid w:val="00510900"/>
    <w:rsid w:val="00510A93"/>
    <w:rsid w:val="00510AAE"/>
    <w:rsid w:val="00511123"/>
    <w:rsid w:val="005113A2"/>
    <w:rsid w:val="005116F6"/>
    <w:rsid w:val="005117F9"/>
    <w:rsid w:val="00511A29"/>
    <w:rsid w:val="00511A59"/>
    <w:rsid w:val="00511C00"/>
    <w:rsid w:val="00511E95"/>
    <w:rsid w:val="00512061"/>
    <w:rsid w:val="00512641"/>
    <w:rsid w:val="0051275E"/>
    <w:rsid w:val="005127B9"/>
    <w:rsid w:val="00512808"/>
    <w:rsid w:val="005129E3"/>
    <w:rsid w:val="005129F5"/>
    <w:rsid w:val="00513968"/>
    <w:rsid w:val="00513B91"/>
    <w:rsid w:val="005141F5"/>
    <w:rsid w:val="005142EA"/>
    <w:rsid w:val="005144CA"/>
    <w:rsid w:val="00514C4E"/>
    <w:rsid w:val="00515470"/>
    <w:rsid w:val="005156FE"/>
    <w:rsid w:val="00515836"/>
    <w:rsid w:val="00515A1B"/>
    <w:rsid w:val="00515A38"/>
    <w:rsid w:val="00515B46"/>
    <w:rsid w:val="0051606A"/>
    <w:rsid w:val="005162A3"/>
    <w:rsid w:val="005163A9"/>
    <w:rsid w:val="00516454"/>
    <w:rsid w:val="00516632"/>
    <w:rsid w:val="00516928"/>
    <w:rsid w:val="00516FFA"/>
    <w:rsid w:val="00517919"/>
    <w:rsid w:val="00517A07"/>
    <w:rsid w:val="00517C0F"/>
    <w:rsid w:val="00517C54"/>
    <w:rsid w:val="0052017D"/>
    <w:rsid w:val="005204A0"/>
    <w:rsid w:val="00520C63"/>
    <w:rsid w:val="00520E6F"/>
    <w:rsid w:val="00520F40"/>
    <w:rsid w:val="005217B6"/>
    <w:rsid w:val="00521C1F"/>
    <w:rsid w:val="00522025"/>
    <w:rsid w:val="00522F98"/>
    <w:rsid w:val="00523170"/>
    <w:rsid w:val="00523AF1"/>
    <w:rsid w:val="005247E8"/>
    <w:rsid w:val="00524AE6"/>
    <w:rsid w:val="00524F54"/>
    <w:rsid w:val="0052543E"/>
    <w:rsid w:val="00525A05"/>
    <w:rsid w:val="00525AF8"/>
    <w:rsid w:val="00525BC3"/>
    <w:rsid w:val="00525C5A"/>
    <w:rsid w:val="00525E89"/>
    <w:rsid w:val="00526100"/>
    <w:rsid w:val="005263E5"/>
    <w:rsid w:val="005264BF"/>
    <w:rsid w:val="005269B6"/>
    <w:rsid w:val="00526EC6"/>
    <w:rsid w:val="00527125"/>
    <w:rsid w:val="0052721F"/>
    <w:rsid w:val="00527251"/>
    <w:rsid w:val="00527C29"/>
    <w:rsid w:val="005301B7"/>
    <w:rsid w:val="00530ECD"/>
    <w:rsid w:val="00531343"/>
    <w:rsid w:val="0053143D"/>
    <w:rsid w:val="00531461"/>
    <w:rsid w:val="00531DD6"/>
    <w:rsid w:val="005320A9"/>
    <w:rsid w:val="0053234C"/>
    <w:rsid w:val="0053262E"/>
    <w:rsid w:val="00532785"/>
    <w:rsid w:val="00532B2B"/>
    <w:rsid w:val="005330C3"/>
    <w:rsid w:val="005330D3"/>
    <w:rsid w:val="005330DF"/>
    <w:rsid w:val="00533197"/>
    <w:rsid w:val="0053333D"/>
    <w:rsid w:val="0053354D"/>
    <w:rsid w:val="00533FAD"/>
    <w:rsid w:val="005343E2"/>
    <w:rsid w:val="00534515"/>
    <w:rsid w:val="00534691"/>
    <w:rsid w:val="0053494A"/>
    <w:rsid w:val="00534AFA"/>
    <w:rsid w:val="00534F4B"/>
    <w:rsid w:val="0053592D"/>
    <w:rsid w:val="005359A9"/>
    <w:rsid w:val="0053629A"/>
    <w:rsid w:val="005365E7"/>
    <w:rsid w:val="00536821"/>
    <w:rsid w:val="00536EAC"/>
    <w:rsid w:val="00537440"/>
    <w:rsid w:val="005374A2"/>
    <w:rsid w:val="00537593"/>
    <w:rsid w:val="0053770C"/>
    <w:rsid w:val="0053777B"/>
    <w:rsid w:val="005377E2"/>
    <w:rsid w:val="00537CAC"/>
    <w:rsid w:val="00540088"/>
    <w:rsid w:val="00540367"/>
    <w:rsid w:val="0054041D"/>
    <w:rsid w:val="00540C2C"/>
    <w:rsid w:val="00541155"/>
    <w:rsid w:val="00541B99"/>
    <w:rsid w:val="00541D5F"/>
    <w:rsid w:val="00542297"/>
    <w:rsid w:val="0054251F"/>
    <w:rsid w:val="005428F0"/>
    <w:rsid w:val="00542A00"/>
    <w:rsid w:val="00542FD4"/>
    <w:rsid w:val="00543053"/>
    <w:rsid w:val="005432CD"/>
    <w:rsid w:val="00543A3E"/>
    <w:rsid w:val="00543DD4"/>
    <w:rsid w:val="00543E56"/>
    <w:rsid w:val="005443DD"/>
    <w:rsid w:val="005443F2"/>
    <w:rsid w:val="00544410"/>
    <w:rsid w:val="00544A01"/>
    <w:rsid w:val="00544B94"/>
    <w:rsid w:val="00544CD8"/>
    <w:rsid w:val="00544EA5"/>
    <w:rsid w:val="00545052"/>
    <w:rsid w:val="005453E0"/>
    <w:rsid w:val="005455C8"/>
    <w:rsid w:val="00545861"/>
    <w:rsid w:val="00545FB3"/>
    <w:rsid w:val="0054667A"/>
    <w:rsid w:val="0054698E"/>
    <w:rsid w:val="00547196"/>
    <w:rsid w:val="005478AC"/>
    <w:rsid w:val="00547B80"/>
    <w:rsid w:val="00550026"/>
    <w:rsid w:val="00550E2D"/>
    <w:rsid w:val="00550F10"/>
    <w:rsid w:val="00551C6F"/>
    <w:rsid w:val="00551E6C"/>
    <w:rsid w:val="00552D86"/>
    <w:rsid w:val="00552E2A"/>
    <w:rsid w:val="0055313D"/>
    <w:rsid w:val="00553646"/>
    <w:rsid w:val="00553E9B"/>
    <w:rsid w:val="00554243"/>
    <w:rsid w:val="005549B3"/>
    <w:rsid w:val="00554AD7"/>
    <w:rsid w:val="00554D21"/>
    <w:rsid w:val="00554DEE"/>
    <w:rsid w:val="00554E59"/>
    <w:rsid w:val="0055501A"/>
    <w:rsid w:val="0055506A"/>
    <w:rsid w:val="00556F09"/>
    <w:rsid w:val="0055703A"/>
    <w:rsid w:val="00557205"/>
    <w:rsid w:val="005572C1"/>
    <w:rsid w:val="00557303"/>
    <w:rsid w:val="00557544"/>
    <w:rsid w:val="005576A2"/>
    <w:rsid w:val="005577AA"/>
    <w:rsid w:val="00557B62"/>
    <w:rsid w:val="00557C40"/>
    <w:rsid w:val="00560299"/>
    <w:rsid w:val="005606FC"/>
    <w:rsid w:val="00560A31"/>
    <w:rsid w:val="00560BE8"/>
    <w:rsid w:val="00560D69"/>
    <w:rsid w:val="00560EEB"/>
    <w:rsid w:val="0056105F"/>
    <w:rsid w:val="0056109C"/>
    <w:rsid w:val="00561272"/>
    <w:rsid w:val="005612DC"/>
    <w:rsid w:val="0056164E"/>
    <w:rsid w:val="00561A20"/>
    <w:rsid w:val="00561DBD"/>
    <w:rsid w:val="005620A1"/>
    <w:rsid w:val="0056259A"/>
    <w:rsid w:val="0056288B"/>
    <w:rsid w:val="00562916"/>
    <w:rsid w:val="005632A9"/>
    <w:rsid w:val="00563326"/>
    <w:rsid w:val="005635F3"/>
    <w:rsid w:val="005649BD"/>
    <w:rsid w:val="00564B5B"/>
    <w:rsid w:val="00564EB3"/>
    <w:rsid w:val="00564ED3"/>
    <w:rsid w:val="00565326"/>
    <w:rsid w:val="00565EDF"/>
    <w:rsid w:val="00565F78"/>
    <w:rsid w:val="0056617C"/>
    <w:rsid w:val="00566521"/>
    <w:rsid w:val="005669B9"/>
    <w:rsid w:val="0056711F"/>
    <w:rsid w:val="005671A7"/>
    <w:rsid w:val="00567A1B"/>
    <w:rsid w:val="00570633"/>
    <w:rsid w:val="00570A4E"/>
    <w:rsid w:val="00570D54"/>
    <w:rsid w:val="005714CC"/>
    <w:rsid w:val="0057188E"/>
    <w:rsid w:val="00571932"/>
    <w:rsid w:val="00571998"/>
    <w:rsid w:val="00571DD9"/>
    <w:rsid w:val="005728E5"/>
    <w:rsid w:val="00573782"/>
    <w:rsid w:val="0057391A"/>
    <w:rsid w:val="00573B8C"/>
    <w:rsid w:val="00573C26"/>
    <w:rsid w:val="00573DB2"/>
    <w:rsid w:val="005741E1"/>
    <w:rsid w:val="00574237"/>
    <w:rsid w:val="005742C9"/>
    <w:rsid w:val="0057452B"/>
    <w:rsid w:val="00574834"/>
    <w:rsid w:val="00574A99"/>
    <w:rsid w:val="00574CBF"/>
    <w:rsid w:val="00574EC2"/>
    <w:rsid w:val="00575009"/>
    <w:rsid w:val="0057587B"/>
    <w:rsid w:val="005758A2"/>
    <w:rsid w:val="00575A3E"/>
    <w:rsid w:val="005760D6"/>
    <w:rsid w:val="00576577"/>
    <w:rsid w:val="005767B2"/>
    <w:rsid w:val="00576A53"/>
    <w:rsid w:val="00576E76"/>
    <w:rsid w:val="0057744C"/>
    <w:rsid w:val="0057747F"/>
    <w:rsid w:val="005778CD"/>
    <w:rsid w:val="005800CC"/>
    <w:rsid w:val="00580385"/>
    <w:rsid w:val="005806BC"/>
    <w:rsid w:val="0058085D"/>
    <w:rsid w:val="00580C37"/>
    <w:rsid w:val="005812CD"/>
    <w:rsid w:val="00581EBE"/>
    <w:rsid w:val="0058237E"/>
    <w:rsid w:val="0058251A"/>
    <w:rsid w:val="00582575"/>
    <w:rsid w:val="00582831"/>
    <w:rsid w:val="00582BAA"/>
    <w:rsid w:val="00583F6F"/>
    <w:rsid w:val="00584255"/>
    <w:rsid w:val="00584503"/>
    <w:rsid w:val="0058450E"/>
    <w:rsid w:val="005845C2"/>
    <w:rsid w:val="005849B8"/>
    <w:rsid w:val="00585200"/>
    <w:rsid w:val="00585507"/>
    <w:rsid w:val="005855BF"/>
    <w:rsid w:val="00585C6A"/>
    <w:rsid w:val="00585C71"/>
    <w:rsid w:val="00585D41"/>
    <w:rsid w:val="00585EE1"/>
    <w:rsid w:val="005860AC"/>
    <w:rsid w:val="005863E6"/>
    <w:rsid w:val="0058658D"/>
    <w:rsid w:val="005869FF"/>
    <w:rsid w:val="00586E21"/>
    <w:rsid w:val="00586E25"/>
    <w:rsid w:val="00587F40"/>
    <w:rsid w:val="00590609"/>
    <w:rsid w:val="00590702"/>
    <w:rsid w:val="00590A2C"/>
    <w:rsid w:val="00590A7F"/>
    <w:rsid w:val="00590DA1"/>
    <w:rsid w:val="0059109B"/>
    <w:rsid w:val="00591119"/>
    <w:rsid w:val="00591514"/>
    <w:rsid w:val="00591A09"/>
    <w:rsid w:val="005920FA"/>
    <w:rsid w:val="005924A6"/>
    <w:rsid w:val="00593DC0"/>
    <w:rsid w:val="00594389"/>
    <w:rsid w:val="00594F34"/>
    <w:rsid w:val="005954E8"/>
    <w:rsid w:val="005955C5"/>
    <w:rsid w:val="005955DA"/>
    <w:rsid w:val="005957E8"/>
    <w:rsid w:val="0059585A"/>
    <w:rsid w:val="00595F60"/>
    <w:rsid w:val="005960BD"/>
    <w:rsid w:val="00596312"/>
    <w:rsid w:val="0059632E"/>
    <w:rsid w:val="005964ED"/>
    <w:rsid w:val="00596996"/>
    <w:rsid w:val="00596C02"/>
    <w:rsid w:val="005977C0"/>
    <w:rsid w:val="005979D3"/>
    <w:rsid w:val="005979F8"/>
    <w:rsid w:val="005A0148"/>
    <w:rsid w:val="005A0901"/>
    <w:rsid w:val="005A1AD2"/>
    <w:rsid w:val="005A1C8B"/>
    <w:rsid w:val="005A1F11"/>
    <w:rsid w:val="005A1F85"/>
    <w:rsid w:val="005A2128"/>
    <w:rsid w:val="005A23D4"/>
    <w:rsid w:val="005A271A"/>
    <w:rsid w:val="005A2CCD"/>
    <w:rsid w:val="005A3565"/>
    <w:rsid w:val="005A36B8"/>
    <w:rsid w:val="005A3F85"/>
    <w:rsid w:val="005A405C"/>
    <w:rsid w:val="005A4FEC"/>
    <w:rsid w:val="005A553B"/>
    <w:rsid w:val="005A57AB"/>
    <w:rsid w:val="005A5D61"/>
    <w:rsid w:val="005A676B"/>
    <w:rsid w:val="005A6E2F"/>
    <w:rsid w:val="005A71C0"/>
    <w:rsid w:val="005A76B6"/>
    <w:rsid w:val="005A76F2"/>
    <w:rsid w:val="005A7A27"/>
    <w:rsid w:val="005A7A31"/>
    <w:rsid w:val="005A7B69"/>
    <w:rsid w:val="005A7B9B"/>
    <w:rsid w:val="005A7E8C"/>
    <w:rsid w:val="005B0FC6"/>
    <w:rsid w:val="005B0FED"/>
    <w:rsid w:val="005B10CA"/>
    <w:rsid w:val="005B1790"/>
    <w:rsid w:val="005B1CD2"/>
    <w:rsid w:val="005B234F"/>
    <w:rsid w:val="005B25B0"/>
    <w:rsid w:val="005B31E8"/>
    <w:rsid w:val="005B3228"/>
    <w:rsid w:val="005B32C1"/>
    <w:rsid w:val="005B3439"/>
    <w:rsid w:val="005B3F44"/>
    <w:rsid w:val="005B48F2"/>
    <w:rsid w:val="005B4C05"/>
    <w:rsid w:val="005B513A"/>
    <w:rsid w:val="005B5D12"/>
    <w:rsid w:val="005B6101"/>
    <w:rsid w:val="005B6653"/>
    <w:rsid w:val="005B717C"/>
    <w:rsid w:val="005B7302"/>
    <w:rsid w:val="005B7801"/>
    <w:rsid w:val="005B7D34"/>
    <w:rsid w:val="005C00A5"/>
    <w:rsid w:val="005C06B4"/>
    <w:rsid w:val="005C0AA0"/>
    <w:rsid w:val="005C1047"/>
    <w:rsid w:val="005C138F"/>
    <w:rsid w:val="005C1F91"/>
    <w:rsid w:val="005C2135"/>
    <w:rsid w:val="005C2205"/>
    <w:rsid w:val="005C233D"/>
    <w:rsid w:val="005C26DA"/>
    <w:rsid w:val="005C2C48"/>
    <w:rsid w:val="005C3519"/>
    <w:rsid w:val="005C36EF"/>
    <w:rsid w:val="005C495D"/>
    <w:rsid w:val="005C4C28"/>
    <w:rsid w:val="005C4F64"/>
    <w:rsid w:val="005C4F7A"/>
    <w:rsid w:val="005C5552"/>
    <w:rsid w:val="005C5556"/>
    <w:rsid w:val="005C5837"/>
    <w:rsid w:val="005C5AE5"/>
    <w:rsid w:val="005C5B34"/>
    <w:rsid w:val="005C5E32"/>
    <w:rsid w:val="005C5F05"/>
    <w:rsid w:val="005C63CD"/>
    <w:rsid w:val="005C6545"/>
    <w:rsid w:val="005C65D4"/>
    <w:rsid w:val="005C66D2"/>
    <w:rsid w:val="005C6756"/>
    <w:rsid w:val="005C6BE9"/>
    <w:rsid w:val="005C6D64"/>
    <w:rsid w:val="005C6FB0"/>
    <w:rsid w:val="005C7518"/>
    <w:rsid w:val="005C790F"/>
    <w:rsid w:val="005C7BAD"/>
    <w:rsid w:val="005D0519"/>
    <w:rsid w:val="005D0535"/>
    <w:rsid w:val="005D071E"/>
    <w:rsid w:val="005D0E07"/>
    <w:rsid w:val="005D163E"/>
    <w:rsid w:val="005D17A2"/>
    <w:rsid w:val="005D1D8E"/>
    <w:rsid w:val="005D223F"/>
    <w:rsid w:val="005D3AB9"/>
    <w:rsid w:val="005D3C14"/>
    <w:rsid w:val="005D3E52"/>
    <w:rsid w:val="005D41D7"/>
    <w:rsid w:val="005D4B29"/>
    <w:rsid w:val="005D5000"/>
    <w:rsid w:val="005D51EF"/>
    <w:rsid w:val="005D53F7"/>
    <w:rsid w:val="005D5505"/>
    <w:rsid w:val="005D593D"/>
    <w:rsid w:val="005D5A63"/>
    <w:rsid w:val="005D6171"/>
    <w:rsid w:val="005D61AC"/>
    <w:rsid w:val="005D61EE"/>
    <w:rsid w:val="005D68B6"/>
    <w:rsid w:val="005D7291"/>
    <w:rsid w:val="005D72EA"/>
    <w:rsid w:val="005D7420"/>
    <w:rsid w:val="005D7471"/>
    <w:rsid w:val="005D7F1A"/>
    <w:rsid w:val="005E028A"/>
    <w:rsid w:val="005E072B"/>
    <w:rsid w:val="005E0D40"/>
    <w:rsid w:val="005E117E"/>
    <w:rsid w:val="005E13CC"/>
    <w:rsid w:val="005E13E6"/>
    <w:rsid w:val="005E16EC"/>
    <w:rsid w:val="005E2284"/>
    <w:rsid w:val="005E3603"/>
    <w:rsid w:val="005E3A45"/>
    <w:rsid w:val="005E3E1D"/>
    <w:rsid w:val="005E45A1"/>
    <w:rsid w:val="005E4802"/>
    <w:rsid w:val="005E5340"/>
    <w:rsid w:val="005E53A9"/>
    <w:rsid w:val="005E5F3F"/>
    <w:rsid w:val="005E6683"/>
    <w:rsid w:val="005E6B24"/>
    <w:rsid w:val="005E6E3C"/>
    <w:rsid w:val="005E71D3"/>
    <w:rsid w:val="005E7445"/>
    <w:rsid w:val="005E7725"/>
    <w:rsid w:val="005E7965"/>
    <w:rsid w:val="005E7D2F"/>
    <w:rsid w:val="005F0B6C"/>
    <w:rsid w:val="005F19C0"/>
    <w:rsid w:val="005F1DB1"/>
    <w:rsid w:val="005F1DD7"/>
    <w:rsid w:val="005F1FBD"/>
    <w:rsid w:val="005F20F7"/>
    <w:rsid w:val="005F249D"/>
    <w:rsid w:val="005F27F1"/>
    <w:rsid w:val="005F2FC8"/>
    <w:rsid w:val="005F373C"/>
    <w:rsid w:val="005F3C53"/>
    <w:rsid w:val="005F3CA7"/>
    <w:rsid w:val="005F459F"/>
    <w:rsid w:val="005F56C9"/>
    <w:rsid w:val="005F5BE9"/>
    <w:rsid w:val="005F5D83"/>
    <w:rsid w:val="005F5DE9"/>
    <w:rsid w:val="005F5F20"/>
    <w:rsid w:val="005F63A0"/>
    <w:rsid w:val="005F65E9"/>
    <w:rsid w:val="005F7143"/>
    <w:rsid w:val="005F7169"/>
    <w:rsid w:val="005F7758"/>
    <w:rsid w:val="0060076C"/>
    <w:rsid w:val="006007DB"/>
    <w:rsid w:val="0060088D"/>
    <w:rsid w:val="006015B1"/>
    <w:rsid w:val="00601633"/>
    <w:rsid w:val="00601CCE"/>
    <w:rsid w:val="0060208D"/>
    <w:rsid w:val="006022C7"/>
    <w:rsid w:val="006023DE"/>
    <w:rsid w:val="0060251D"/>
    <w:rsid w:val="00602946"/>
    <w:rsid w:val="00602BF3"/>
    <w:rsid w:val="006034AD"/>
    <w:rsid w:val="006035D9"/>
    <w:rsid w:val="006036E9"/>
    <w:rsid w:val="0060386D"/>
    <w:rsid w:val="00604538"/>
    <w:rsid w:val="00604A01"/>
    <w:rsid w:val="006050CE"/>
    <w:rsid w:val="006052B8"/>
    <w:rsid w:val="006057E4"/>
    <w:rsid w:val="006059BC"/>
    <w:rsid w:val="00605F38"/>
    <w:rsid w:val="0060614B"/>
    <w:rsid w:val="00606268"/>
    <w:rsid w:val="00606D84"/>
    <w:rsid w:val="00607108"/>
    <w:rsid w:val="00607325"/>
    <w:rsid w:val="006077CD"/>
    <w:rsid w:val="00607AD8"/>
    <w:rsid w:val="00607C99"/>
    <w:rsid w:val="00607EEA"/>
    <w:rsid w:val="0061000C"/>
    <w:rsid w:val="00610044"/>
    <w:rsid w:val="00610127"/>
    <w:rsid w:val="00610B20"/>
    <w:rsid w:val="00610D00"/>
    <w:rsid w:val="006111B6"/>
    <w:rsid w:val="00612012"/>
    <w:rsid w:val="00612495"/>
    <w:rsid w:val="00612F30"/>
    <w:rsid w:val="0061340E"/>
    <w:rsid w:val="0061390A"/>
    <w:rsid w:val="00613E10"/>
    <w:rsid w:val="00613F63"/>
    <w:rsid w:val="0061456C"/>
    <w:rsid w:val="006145E8"/>
    <w:rsid w:val="00614B9A"/>
    <w:rsid w:val="00614F60"/>
    <w:rsid w:val="0061589A"/>
    <w:rsid w:val="0061591C"/>
    <w:rsid w:val="00616694"/>
    <w:rsid w:val="006168F9"/>
    <w:rsid w:val="00616AF6"/>
    <w:rsid w:val="00616D46"/>
    <w:rsid w:val="00616DEB"/>
    <w:rsid w:val="0061765D"/>
    <w:rsid w:val="00617770"/>
    <w:rsid w:val="006178F4"/>
    <w:rsid w:val="00617D7A"/>
    <w:rsid w:val="0062039E"/>
    <w:rsid w:val="006204D8"/>
    <w:rsid w:val="00620562"/>
    <w:rsid w:val="006206F2"/>
    <w:rsid w:val="0062073E"/>
    <w:rsid w:val="0062082E"/>
    <w:rsid w:val="00620C23"/>
    <w:rsid w:val="00620C47"/>
    <w:rsid w:val="00620D91"/>
    <w:rsid w:val="00620EB6"/>
    <w:rsid w:val="00620EEA"/>
    <w:rsid w:val="00621464"/>
    <w:rsid w:val="006217DB"/>
    <w:rsid w:val="00621BC2"/>
    <w:rsid w:val="00621C65"/>
    <w:rsid w:val="00622325"/>
    <w:rsid w:val="00622338"/>
    <w:rsid w:val="006230AF"/>
    <w:rsid w:val="006234B2"/>
    <w:rsid w:val="0062350C"/>
    <w:rsid w:val="00623768"/>
    <w:rsid w:val="00623B7A"/>
    <w:rsid w:val="00623EA5"/>
    <w:rsid w:val="00623FD7"/>
    <w:rsid w:val="00624140"/>
    <w:rsid w:val="006242F8"/>
    <w:rsid w:val="0062431B"/>
    <w:rsid w:val="00625180"/>
    <w:rsid w:val="006254EC"/>
    <w:rsid w:val="006257EB"/>
    <w:rsid w:val="00625963"/>
    <w:rsid w:val="00625A2E"/>
    <w:rsid w:val="00625AF2"/>
    <w:rsid w:val="00625B51"/>
    <w:rsid w:val="00625EF6"/>
    <w:rsid w:val="00625F29"/>
    <w:rsid w:val="00625FAF"/>
    <w:rsid w:val="00626500"/>
    <w:rsid w:val="00626DBD"/>
    <w:rsid w:val="00627C83"/>
    <w:rsid w:val="00627FF1"/>
    <w:rsid w:val="006301BD"/>
    <w:rsid w:val="006302B9"/>
    <w:rsid w:val="00630BA1"/>
    <w:rsid w:val="00630F7A"/>
    <w:rsid w:val="00631096"/>
    <w:rsid w:val="00631AEC"/>
    <w:rsid w:val="00631C02"/>
    <w:rsid w:val="00631F6E"/>
    <w:rsid w:val="00632348"/>
    <w:rsid w:val="00632906"/>
    <w:rsid w:val="00632AE5"/>
    <w:rsid w:val="006333F4"/>
    <w:rsid w:val="00633541"/>
    <w:rsid w:val="006339D6"/>
    <w:rsid w:val="00633DBD"/>
    <w:rsid w:val="00634691"/>
    <w:rsid w:val="0063478C"/>
    <w:rsid w:val="0063482A"/>
    <w:rsid w:val="00634A92"/>
    <w:rsid w:val="00634F23"/>
    <w:rsid w:val="00635287"/>
    <w:rsid w:val="0063574B"/>
    <w:rsid w:val="00635A93"/>
    <w:rsid w:val="00635B5C"/>
    <w:rsid w:val="00635DD2"/>
    <w:rsid w:val="00635EC8"/>
    <w:rsid w:val="00635F1F"/>
    <w:rsid w:val="00636762"/>
    <w:rsid w:val="00636A0C"/>
    <w:rsid w:val="00636AD9"/>
    <w:rsid w:val="006372E9"/>
    <w:rsid w:val="006374CF"/>
    <w:rsid w:val="00640424"/>
    <w:rsid w:val="00640917"/>
    <w:rsid w:val="00640939"/>
    <w:rsid w:val="00640EBC"/>
    <w:rsid w:val="006414F5"/>
    <w:rsid w:val="00641671"/>
    <w:rsid w:val="00641778"/>
    <w:rsid w:val="006417FF"/>
    <w:rsid w:val="006418F6"/>
    <w:rsid w:val="00641AD1"/>
    <w:rsid w:val="00641E4F"/>
    <w:rsid w:val="006423D0"/>
    <w:rsid w:val="00642760"/>
    <w:rsid w:val="0064303D"/>
    <w:rsid w:val="00643350"/>
    <w:rsid w:val="006437BD"/>
    <w:rsid w:val="0064458A"/>
    <w:rsid w:val="00644F32"/>
    <w:rsid w:val="00645996"/>
    <w:rsid w:val="006459B9"/>
    <w:rsid w:val="00645ECE"/>
    <w:rsid w:val="00646017"/>
    <w:rsid w:val="00646412"/>
    <w:rsid w:val="006464C2"/>
    <w:rsid w:val="00646518"/>
    <w:rsid w:val="00646705"/>
    <w:rsid w:val="00646883"/>
    <w:rsid w:val="00646959"/>
    <w:rsid w:val="00646BE3"/>
    <w:rsid w:val="00646C31"/>
    <w:rsid w:val="00646F10"/>
    <w:rsid w:val="00646F6B"/>
    <w:rsid w:val="0064718D"/>
    <w:rsid w:val="0064723D"/>
    <w:rsid w:val="00647B6A"/>
    <w:rsid w:val="00650658"/>
    <w:rsid w:val="006507BB"/>
    <w:rsid w:val="006508B9"/>
    <w:rsid w:val="00650C37"/>
    <w:rsid w:val="00651FD5"/>
    <w:rsid w:val="00652125"/>
    <w:rsid w:val="00652524"/>
    <w:rsid w:val="00652CCC"/>
    <w:rsid w:val="00652ED0"/>
    <w:rsid w:val="006533EF"/>
    <w:rsid w:val="00653439"/>
    <w:rsid w:val="0065358C"/>
    <w:rsid w:val="006535E3"/>
    <w:rsid w:val="00653B2A"/>
    <w:rsid w:val="006547DB"/>
    <w:rsid w:val="00654E05"/>
    <w:rsid w:val="00655196"/>
    <w:rsid w:val="0065564F"/>
    <w:rsid w:val="00655B1B"/>
    <w:rsid w:val="00655B1D"/>
    <w:rsid w:val="00655D4F"/>
    <w:rsid w:val="00655D65"/>
    <w:rsid w:val="00655F07"/>
    <w:rsid w:val="00655F2B"/>
    <w:rsid w:val="00656076"/>
    <w:rsid w:val="006564B5"/>
    <w:rsid w:val="00656536"/>
    <w:rsid w:val="00656586"/>
    <w:rsid w:val="00656886"/>
    <w:rsid w:val="00656FEE"/>
    <w:rsid w:val="006572E5"/>
    <w:rsid w:val="006572E9"/>
    <w:rsid w:val="00657469"/>
    <w:rsid w:val="0065750C"/>
    <w:rsid w:val="00657B44"/>
    <w:rsid w:val="00657FD9"/>
    <w:rsid w:val="0066091B"/>
    <w:rsid w:val="00660AE4"/>
    <w:rsid w:val="00660D31"/>
    <w:rsid w:val="006615B9"/>
    <w:rsid w:val="00661699"/>
    <w:rsid w:val="00661813"/>
    <w:rsid w:val="0066215C"/>
    <w:rsid w:val="0066227C"/>
    <w:rsid w:val="0066229B"/>
    <w:rsid w:val="00662686"/>
    <w:rsid w:val="00662931"/>
    <w:rsid w:val="00662C75"/>
    <w:rsid w:val="00662FE7"/>
    <w:rsid w:val="00663347"/>
    <w:rsid w:val="006634D6"/>
    <w:rsid w:val="00663720"/>
    <w:rsid w:val="006638B2"/>
    <w:rsid w:val="00663C80"/>
    <w:rsid w:val="0066422F"/>
    <w:rsid w:val="00664BCA"/>
    <w:rsid w:val="006653DA"/>
    <w:rsid w:val="006653DC"/>
    <w:rsid w:val="006653FA"/>
    <w:rsid w:val="00665C3C"/>
    <w:rsid w:val="00666357"/>
    <w:rsid w:val="006664E8"/>
    <w:rsid w:val="00666FA5"/>
    <w:rsid w:val="006672CA"/>
    <w:rsid w:val="0066766A"/>
    <w:rsid w:val="00667B83"/>
    <w:rsid w:val="00667D1B"/>
    <w:rsid w:val="006707F0"/>
    <w:rsid w:val="00670884"/>
    <w:rsid w:val="00670ABA"/>
    <w:rsid w:val="00670C07"/>
    <w:rsid w:val="006718D8"/>
    <w:rsid w:val="00671969"/>
    <w:rsid w:val="00671A80"/>
    <w:rsid w:val="00671A95"/>
    <w:rsid w:val="00671AD0"/>
    <w:rsid w:val="00672B60"/>
    <w:rsid w:val="00673153"/>
    <w:rsid w:val="006733AA"/>
    <w:rsid w:val="00673698"/>
    <w:rsid w:val="006736C1"/>
    <w:rsid w:val="00673D37"/>
    <w:rsid w:val="00674045"/>
    <w:rsid w:val="0067408F"/>
    <w:rsid w:val="006748EA"/>
    <w:rsid w:val="00674D97"/>
    <w:rsid w:val="00675564"/>
    <w:rsid w:val="006757F7"/>
    <w:rsid w:val="00675B6E"/>
    <w:rsid w:val="00675DA7"/>
    <w:rsid w:val="00676134"/>
    <w:rsid w:val="006763C9"/>
    <w:rsid w:val="00676607"/>
    <w:rsid w:val="0067689B"/>
    <w:rsid w:val="00676DCE"/>
    <w:rsid w:val="00677519"/>
    <w:rsid w:val="006776C8"/>
    <w:rsid w:val="00677732"/>
    <w:rsid w:val="00677BA6"/>
    <w:rsid w:val="00677C43"/>
    <w:rsid w:val="0068006D"/>
    <w:rsid w:val="00680142"/>
    <w:rsid w:val="0068031F"/>
    <w:rsid w:val="00680696"/>
    <w:rsid w:val="0068076E"/>
    <w:rsid w:val="00680F83"/>
    <w:rsid w:val="00681254"/>
    <w:rsid w:val="00681E82"/>
    <w:rsid w:val="00681F1C"/>
    <w:rsid w:val="00681F8F"/>
    <w:rsid w:val="0068231D"/>
    <w:rsid w:val="006827BD"/>
    <w:rsid w:val="00682C19"/>
    <w:rsid w:val="0068313A"/>
    <w:rsid w:val="00683290"/>
    <w:rsid w:val="0068368E"/>
    <w:rsid w:val="0068392D"/>
    <w:rsid w:val="006839EE"/>
    <w:rsid w:val="00684643"/>
    <w:rsid w:val="00684A9B"/>
    <w:rsid w:val="0068602C"/>
    <w:rsid w:val="00686145"/>
    <w:rsid w:val="0068621A"/>
    <w:rsid w:val="006864CD"/>
    <w:rsid w:val="00687823"/>
    <w:rsid w:val="00687AC0"/>
    <w:rsid w:val="00687EB2"/>
    <w:rsid w:val="00690531"/>
    <w:rsid w:val="00690577"/>
    <w:rsid w:val="0069069E"/>
    <w:rsid w:val="0069093D"/>
    <w:rsid w:val="00690AC4"/>
    <w:rsid w:val="00691506"/>
    <w:rsid w:val="00691ED5"/>
    <w:rsid w:val="0069207B"/>
    <w:rsid w:val="00692991"/>
    <w:rsid w:val="00692BA8"/>
    <w:rsid w:val="00692E34"/>
    <w:rsid w:val="006930A9"/>
    <w:rsid w:val="006931E6"/>
    <w:rsid w:val="0069354E"/>
    <w:rsid w:val="006939A9"/>
    <w:rsid w:val="00693A15"/>
    <w:rsid w:val="00693D44"/>
    <w:rsid w:val="00693EFB"/>
    <w:rsid w:val="00693FE3"/>
    <w:rsid w:val="00694053"/>
    <w:rsid w:val="00694F92"/>
    <w:rsid w:val="00695077"/>
    <w:rsid w:val="00695161"/>
    <w:rsid w:val="00695753"/>
    <w:rsid w:val="00695917"/>
    <w:rsid w:val="00695BA8"/>
    <w:rsid w:val="00695D17"/>
    <w:rsid w:val="0069619F"/>
    <w:rsid w:val="00696546"/>
    <w:rsid w:val="00696E72"/>
    <w:rsid w:val="006971EF"/>
    <w:rsid w:val="0069737F"/>
    <w:rsid w:val="006978AC"/>
    <w:rsid w:val="006978D6"/>
    <w:rsid w:val="00697DED"/>
    <w:rsid w:val="006A040B"/>
    <w:rsid w:val="006A0A87"/>
    <w:rsid w:val="006A0B22"/>
    <w:rsid w:val="006A0B30"/>
    <w:rsid w:val="006A0E15"/>
    <w:rsid w:val="006A13F3"/>
    <w:rsid w:val="006A1629"/>
    <w:rsid w:val="006A189C"/>
    <w:rsid w:val="006A1AB9"/>
    <w:rsid w:val="006A1AC1"/>
    <w:rsid w:val="006A21BF"/>
    <w:rsid w:val="006A2345"/>
    <w:rsid w:val="006A257F"/>
    <w:rsid w:val="006A2822"/>
    <w:rsid w:val="006A2C38"/>
    <w:rsid w:val="006A335A"/>
    <w:rsid w:val="006A343D"/>
    <w:rsid w:val="006A3938"/>
    <w:rsid w:val="006A3B45"/>
    <w:rsid w:val="006A408E"/>
    <w:rsid w:val="006A4242"/>
    <w:rsid w:val="006A425E"/>
    <w:rsid w:val="006A457E"/>
    <w:rsid w:val="006A47FF"/>
    <w:rsid w:val="006A49E9"/>
    <w:rsid w:val="006A5E65"/>
    <w:rsid w:val="006A5E7B"/>
    <w:rsid w:val="006A607B"/>
    <w:rsid w:val="006A626E"/>
    <w:rsid w:val="006A6280"/>
    <w:rsid w:val="006A6A55"/>
    <w:rsid w:val="006A6ED1"/>
    <w:rsid w:val="006A6F61"/>
    <w:rsid w:val="006A6FB5"/>
    <w:rsid w:val="006A70B3"/>
    <w:rsid w:val="006A7113"/>
    <w:rsid w:val="006A7DE1"/>
    <w:rsid w:val="006B042C"/>
    <w:rsid w:val="006B04C6"/>
    <w:rsid w:val="006B0857"/>
    <w:rsid w:val="006B0A80"/>
    <w:rsid w:val="006B0C73"/>
    <w:rsid w:val="006B0CAC"/>
    <w:rsid w:val="006B109B"/>
    <w:rsid w:val="006B133E"/>
    <w:rsid w:val="006B141B"/>
    <w:rsid w:val="006B15A4"/>
    <w:rsid w:val="006B19EF"/>
    <w:rsid w:val="006B2332"/>
    <w:rsid w:val="006B2F4B"/>
    <w:rsid w:val="006B31A3"/>
    <w:rsid w:val="006B330D"/>
    <w:rsid w:val="006B357D"/>
    <w:rsid w:val="006B3A87"/>
    <w:rsid w:val="006B3DEC"/>
    <w:rsid w:val="006B42BA"/>
    <w:rsid w:val="006B49E8"/>
    <w:rsid w:val="006B49F1"/>
    <w:rsid w:val="006B4A0E"/>
    <w:rsid w:val="006B4B14"/>
    <w:rsid w:val="006B4B1B"/>
    <w:rsid w:val="006B4B62"/>
    <w:rsid w:val="006B4CC5"/>
    <w:rsid w:val="006B512B"/>
    <w:rsid w:val="006B5A88"/>
    <w:rsid w:val="006B5BF7"/>
    <w:rsid w:val="006B5CE5"/>
    <w:rsid w:val="006B5DB9"/>
    <w:rsid w:val="006B6276"/>
    <w:rsid w:val="006B6703"/>
    <w:rsid w:val="006B679B"/>
    <w:rsid w:val="006B67AA"/>
    <w:rsid w:val="006B72B0"/>
    <w:rsid w:val="006B73DA"/>
    <w:rsid w:val="006C02AA"/>
    <w:rsid w:val="006C0374"/>
    <w:rsid w:val="006C0607"/>
    <w:rsid w:val="006C0997"/>
    <w:rsid w:val="006C185E"/>
    <w:rsid w:val="006C1C0D"/>
    <w:rsid w:val="006C1C51"/>
    <w:rsid w:val="006C1CA5"/>
    <w:rsid w:val="006C2C77"/>
    <w:rsid w:val="006C325A"/>
    <w:rsid w:val="006C34E0"/>
    <w:rsid w:val="006C36EE"/>
    <w:rsid w:val="006C3720"/>
    <w:rsid w:val="006C37AD"/>
    <w:rsid w:val="006C3C8A"/>
    <w:rsid w:val="006C3E11"/>
    <w:rsid w:val="006C4BE3"/>
    <w:rsid w:val="006C4D56"/>
    <w:rsid w:val="006C4F33"/>
    <w:rsid w:val="006C5C1B"/>
    <w:rsid w:val="006C60A4"/>
    <w:rsid w:val="006C60AB"/>
    <w:rsid w:val="006C62F5"/>
    <w:rsid w:val="006C6415"/>
    <w:rsid w:val="006C6D12"/>
    <w:rsid w:val="006C6E8D"/>
    <w:rsid w:val="006C71C7"/>
    <w:rsid w:val="006C7B7D"/>
    <w:rsid w:val="006D0139"/>
    <w:rsid w:val="006D02A0"/>
    <w:rsid w:val="006D085A"/>
    <w:rsid w:val="006D0930"/>
    <w:rsid w:val="006D0D90"/>
    <w:rsid w:val="006D1060"/>
    <w:rsid w:val="006D11CE"/>
    <w:rsid w:val="006D1731"/>
    <w:rsid w:val="006D1A7C"/>
    <w:rsid w:val="006D1B1B"/>
    <w:rsid w:val="006D1EFF"/>
    <w:rsid w:val="006D2823"/>
    <w:rsid w:val="006D345F"/>
    <w:rsid w:val="006D3CDA"/>
    <w:rsid w:val="006D5795"/>
    <w:rsid w:val="006D5C64"/>
    <w:rsid w:val="006D5CAB"/>
    <w:rsid w:val="006D5E05"/>
    <w:rsid w:val="006D5E32"/>
    <w:rsid w:val="006D649E"/>
    <w:rsid w:val="006D6568"/>
    <w:rsid w:val="006D6AB0"/>
    <w:rsid w:val="006D6B54"/>
    <w:rsid w:val="006D6CFF"/>
    <w:rsid w:val="006D70AD"/>
    <w:rsid w:val="006D732C"/>
    <w:rsid w:val="006D73B2"/>
    <w:rsid w:val="006D7B5B"/>
    <w:rsid w:val="006E01DE"/>
    <w:rsid w:val="006E0412"/>
    <w:rsid w:val="006E0780"/>
    <w:rsid w:val="006E10C1"/>
    <w:rsid w:val="006E1233"/>
    <w:rsid w:val="006E198E"/>
    <w:rsid w:val="006E1F6C"/>
    <w:rsid w:val="006E2805"/>
    <w:rsid w:val="006E2C40"/>
    <w:rsid w:val="006E2C82"/>
    <w:rsid w:val="006E302D"/>
    <w:rsid w:val="006E3A70"/>
    <w:rsid w:val="006E3B24"/>
    <w:rsid w:val="006E3DF1"/>
    <w:rsid w:val="006E4166"/>
    <w:rsid w:val="006E42AB"/>
    <w:rsid w:val="006E4730"/>
    <w:rsid w:val="006E4B6C"/>
    <w:rsid w:val="006E4FE4"/>
    <w:rsid w:val="006E5237"/>
    <w:rsid w:val="006E5850"/>
    <w:rsid w:val="006E5880"/>
    <w:rsid w:val="006E6550"/>
    <w:rsid w:val="006E6EFB"/>
    <w:rsid w:val="006E76DF"/>
    <w:rsid w:val="006E784A"/>
    <w:rsid w:val="006E794D"/>
    <w:rsid w:val="006E7A58"/>
    <w:rsid w:val="006F0603"/>
    <w:rsid w:val="006F07AE"/>
    <w:rsid w:val="006F1154"/>
    <w:rsid w:val="006F150A"/>
    <w:rsid w:val="006F1689"/>
    <w:rsid w:val="006F1F50"/>
    <w:rsid w:val="006F2344"/>
    <w:rsid w:val="006F252F"/>
    <w:rsid w:val="006F2DE9"/>
    <w:rsid w:val="006F30D8"/>
    <w:rsid w:val="006F320C"/>
    <w:rsid w:val="006F366C"/>
    <w:rsid w:val="006F37B8"/>
    <w:rsid w:val="006F3B92"/>
    <w:rsid w:val="006F3F4A"/>
    <w:rsid w:val="006F440C"/>
    <w:rsid w:val="006F5607"/>
    <w:rsid w:val="006F5790"/>
    <w:rsid w:val="006F58E5"/>
    <w:rsid w:val="006F5989"/>
    <w:rsid w:val="006F5E0F"/>
    <w:rsid w:val="006F5E2B"/>
    <w:rsid w:val="006F68CB"/>
    <w:rsid w:val="006F6CE6"/>
    <w:rsid w:val="006F6CF4"/>
    <w:rsid w:val="006F6FAE"/>
    <w:rsid w:val="006F764F"/>
    <w:rsid w:val="006F7C82"/>
    <w:rsid w:val="006F7EE6"/>
    <w:rsid w:val="007002D6"/>
    <w:rsid w:val="007006EE"/>
    <w:rsid w:val="00700CD7"/>
    <w:rsid w:val="0070137C"/>
    <w:rsid w:val="007016B8"/>
    <w:rsid w:val="0070193B"/>
    <w:rsid w:val="0070318D"/>
    <w:rsid w:val="007031DE"/>
    <w:rsid w:val="00703484"/>
    <w:rsid w:val="0070372C"/>
    <w:rsid w:val="007037A2"/>
    <w:rsid w:val="00703F4C"/>
    <w:rsid w:val="0070434F"/>
    <w:rsid w:val="00704893"/>
    <w:rsid w:val="00704C41"/>
    <w:rsid w:val="00704E12"/>
    <w:rsid w:val="00704F31"/>
    <w:rsid w:val="00705029"/>
    <w:rsid w:val="007050B2"/>
    <w:rsid w:val="007050DB"/>
    <w:rsid w:val="00705387"/>
    <w:rsid w:val="0070585C"/>
    <w:rsid w:val="00705C63"/>
    <w:rsid w:val="00705DB7"/>
    <w:rsid w:val="00705EB4"/>
    <w:rsid w:val="0070605C"/>
    <w:rsid w:val="0070614F"/>
    <w:rsid w:val="00706B32"/>
    <w:rsid w:val="007070FD"/>
    <w:rsid w:val="00707446"/>
    <w:rsid w:val="00707FEA"/>
    <w:rsid w:val="00710065"/>
    <w:rsid w:val="00710246"/>
    <w:rsid w:val="00710530"/>
    <w:rsid w:val="007105E7"/>
    <w:rsid w:val="00710E3E"/>
    <w:rsid w:val="00710FFA"/>
    <w:rsid w:val="00711324"/>
    <w:rsid w:val="0071150D"/>
    <w:rsid w:val="007121C4"/>
    <w:rsid w:val="00712413"/>
    <w:rsid w:val="00712479"/>
    <w:rsid w:val="00712588"/>
    <w:rsid w:val="00712E44"/>
    <w:rsid w:val="00712F94"/>
    <w:rsid w:val="00713154"/>
    <w:rsid w:val="00713595"/>
    <w:rsid w:val="007135CC"/>
    <w:rsid w:val="00713617"/>
    <w:rsid w:val="007138EE"/>
    <w:rsid w:val="00714767"/>
    <w:rsid w:val="00714C2C"/>
    <w:rsid w:val="00714FD4"/>
    <w:rsid w:val="007152FD"/>
    <w:rsid w:val="007153B9"/>
    <w:rsid w:val="00715B62"/>
    <w:rsid w:val="00715DBE"/>
    <w:rsid w:val="00715FBD"/>
    <w:rsid w:val="007160F8"/>
    <w:rsid w:val="0071620E"/>
    <w:rsid w:val="007162C5"/>
    <w:rsid w:val="00716C7D"/>
    <w:rsid w:val="0071727C"/>
    <w:rsid w:val="00717559"/>
    <w:rsid w:val="007204F3"/>
    <w:rsid w:val="0072095C"/>
    <w:rsid w:val="00720CD2"/>
    <w:rsid w:val="00720EAF"/>
    <w:rsid w:val="00721189"/>
    <w:rsid w:val="0072126C"/>
    <w:rsid w:val="007212AA"/>
    <w:rsid w:val="00721574"/>
    <w:rsid w:val="00721F03"/>
    <w:rsid w:val="007221EA"/>
    <w:rsid w:val="00722C41"/>
    <w:rsid w:val="0072321A"/>
    <w:rsid w:val="00723A0F"/>
    <w:rsid w:val="00724414"/>
    <w:rsid w:val="00724522"/>
    <w:rsid w:val="007248FE"/>
    <w:rsid w:val="00724A78"/>
    <w:rsid w:val="007250CA"/>
    <w:rsid w:val="007252FD"/>
    <w:rsid w:val="007258F8"/>
    <w:rsid w:val="00725A22"/>
    <w:rsid w:val="00725AE6"/>
    <w:rsid w:val="00725C25"/>
    <w:rsid w:val="0072681A"/>
    <w:rsid w:val="00726872"/>
    <w:rsid w:val="00726FDC"/>
    <w:rsid w:val="0072766C"/>
    <w:rsid w:val="00727854"/>
    <w:rsid w:val="00727B27"/>
    <w:rsid w:val="00727BEE"/>
    <w:rsid w:val="00727C8D"/>
    <w:rsid w:val="00727D1C"/>
    <w:rsid w:val="00727EC9"/>
    <w:rsid w:val="00727F58"/>
    <w:rsid w:val="00730535"/>
    <w:rsid w:val="007305F7"/>
    <w:rsid w:val="007308B8"/>
    <w:rsid w:val="0073092E"/>
    <w:rsid w:val="0073122C"/>
    <w:rsid w:val="0073168A"/>
    <w:rsid w:val="00731DCD"/>
    <w:rsid w:val="00731DD0"/>
    <w:rsid w:val="007325E5"/>
    <w:rsid w:val="00732964"/>
    <w:rsid w:val="00732C5A"/>
    <w:rsid w:val="00732F49"/>
    <w:rsid w:val="00733281"/>
    <w:rsid w:val="00733784"/>
    <w:rsid w:val="00733F6A"/>
    <w:rsid w:val="00734217"/>
    <w:rsid w:val="007342FF"/>
    <w:rsid w:val="00734541"/>
    <w:rsid w:val="0073484E"/>
    <w:rsid w:val="00734BFC"/>
    <w:rsid w:val="00734CF5"/>
    <w:rsid w:val="0073576D"/>
    <w:rsid w:val="00735AD3"/>
    <w:rsid w:val="00735CEB"/>
    <w:rsid w:val="0073617A"/>
    <w:rsid w:val="0073668C"/>
    <w:rsid w:val="00736870"/>
    <w:rsid w:val="00737AAD"/>
    <w:rsid w:val="00740356"/>
    <w:rsid w:val="0074075B"/>
    <w:rsid w:val="007407A0"/>
    <w:rsid w:val="00740BA6"/>
    <w:rsid w:val="00740CD8"/>
    <w:rsid w:val="00740CE7"/>
    <w:rsid w:val="007411A6"/>
    <w:rsid w:val="007416DD"/>
    <w:rsid w:val="00741869"/>
    <w:rsid w:val="00741944"/>
    <w:rsid w:val="007419BB"/>
    <w:rsid w:val="00741DBD"/>
    <w:rsid w:val="00741DF2"/>
    <w:rsid w:val="00741E2B"/>
    <w:rsid w:val="007421CA"/>
    <w:rsid w:val="00742A27"/>
    <w:rsid w:val="00742BA6"/>
    <w:rsid w:val="00742E6F"/>
    <w:rsid w:val="007430A3"/>
    <w:rsid w:val="00744096"/>
    <w:rsid w:val="007443F4"/>
    <w:rsid w:val="00744451"/>
    <w:rsid w:val="007447B6"/>
    <w:rsid w:val="00744A50"/>
    <w:rsid w:val="00744B10"/>
    <w:rsid w:val="00744D59"/>
    <w:rsid w:val="0074508A"/>
    <w:rsid w:val="007451BE"/>
    <w:rsid w:val="00745C22"/>
    <w:rsid w:val="00746232"/>
    <w:rsid w:val="007464B5"/>
    <w:rsid w:val="00746BAC"/>
    <w:rsid w:val="00746DF5"/>
    <w:rsid w:val="00747A1F"/>
    <w:rsid w:val="00750670"/>
    <w:rsid w:val="00750E22"/>
    <w:rsid w:val="007525A1"/>
    <w:rsid w:val="007526DF"/>
    <w:rsid w:val="00752BAB"/>
    <w:rsid w:val="00752D52"/>
    <w:rsid w:val="00753060"/>
    <w:rsid w:val="007534AB"/>
    <w:rsid w:val="007534EC"/>
    <w:rsid w:val="007535AE"/>
    <w:rsid w:val="007536F1"/>
    <w:rsid w:val="007538F6"/>
    <w:rsid w:val="00753EF6"/>
    <w:rsid w:val="00753F92"/>
    <w:rsid w:val="00754011"/>
    <w:rsid w:val="00754BAC"/>
    <w:rsid w:val="00754E43"/>
    <w:rsid w:val="00754F58"/>
    <w:rsid w:val="00755276"/>
    <w:rsid w:val="007554A2"/>
    <w:rsid w:val="007554F8"/>
    <w:rsid w:val="00755725"/>
    <w:rsid w:val="00755946"/>
    <w:rsid w:val="007559A8"/>
    <w:rsid w:val="00755A8F"/>
    <w:rsid w:val="00755DA0"/>
    <w:rsid w:val="007565EC"/>
    <w:rsid w:val="00756A69"/>
    <w:rsid w:val="00756E3B"/>
    <w:rsid w:val="00757339"/>
    <w:rsid w:val="0075750E"/>
    <w:rsid w:val="00757824"/>
    <w:rsid w:val="00757BCC"/>
    <w:rsid w:val="007601C5"/>
    <w:rsid w:val="00760E75"/>
    <w:rsid w:val="00760FE3"/>
    <w:rsid w:val="0076220B"/>
    <w:rsid w:val="0076224D"/>
    <w:rsid w:val="00762295"/>
    <w:rsid w:val="00762CC7"/>
    <w:rsid w:val="007631D9"/>
    <w:rsid w:val="0076346F"/>
    <w:rsid w:val="00763727"/>
    <w:rsid w:val="00763765"/>
    <w:rsid w:val="007637D7"/>
    <w:rsid w:val="00763DA3"/>
    <w:rsid w:val="0076426F"/>
    <w:rsid w:val="00764793"/>
    <w:rsid w:val="00765DC7"/>
    <w:rsid w:val="007663E4"/>
    <w:rsid w:val="00766CA8"/>
    <w:rsid w:val="00766D31"/>
    <w:rsid w:val="00767181"/>
    <w:rsid w:val="00767221"/>
    <w:rsid w:val="00767629"/>
    <w:rsid w:val="007679E4"/>
    <w:rsid w:val="0077018B"/>
    <w:rsid w:val="00770367"/>
    <w:rsid w:val="007709B1"/>
    <w:rsid w:val="007709C8"/>
    <w:rsid w:val="00770C46"/>
    <w:rsid w:val="00771035"/>
    <w:rsid w:val="007714E7"/>
    <w:rsid w:val="00771574"/>
    <w:rsid w:val="007727BB"/>
    <w:rsid w:val="007738A6"/>
    <w:rsid w:val="00773D49"/>
    <w:rsid w:val="0077438F"/>
    <w:rsid w:val="007745FD"/>
    <w:rsid w:val="007746B2"/>
    <w:rsid w:val="00774A75"/>
    <w:rsid w:val="00774DCA"/>
    <w:rsid w:val="00775316"/>
    <w:rsid w:val="007757A7"/>
    <w:rsid w:val="00775A59"/>
    <w:rsid w:val="00775B21"/>
    <w:rsid w:val="00775EE8"/>
    <w:rsid w:val="00776264"/>
    <w:rsid w:val="007763E7"/>
    <w:rsid w:val="0077688F"/>
    <w:rsid w:val="007768D0"/>
    <w:rsid w:val="00776B1B"/>
    <w:rsid w:val="00776B8F"/>
    <w:rsid w:val="00777C8E"/>
    <w:rsid w:val="00780329"/>
    <w:rsid w:val="00781242"/>
    <w:rsid w:val="00781288"/>
    <w:rsid w:val="00781391"/>
    <w:rsid w:val="00781778"/>
    <w:rsid w:val="00782EDC"/>
    <w:rsid w:val="0078325E"/>
    <w:rsid w:val="007836B1"/>
    <w:rsid w:val="007836CB"/>
    <w:rsid w:val="00783D5E"/>
    <w:rsid w:val="00783EAC"/>
    <w:rsid w:val="007842A3"/>
    <w:rsid w:val="007843B9"/>
    <w:rsid w:val="007843E3"/>
    <w:rsid w:val="007846B2"/>
    <w:rsid w:val="00784E71"/>
    <w:rsid w:val="0078582F"/>
    <w:rsid w:val="00785A31"/>
    <w:rsid w:val="00786705"/>
    <w:rsid w:val="0078680F"/>
    <w:rsid w:val="00786A60"/>
    <w:rsid w:val="00786D31"/>
    <w:rsid w:val="00786DD2"/>
    <w:rsid w:val="00786DFB"/>
    <w:rsid w:val="00787250"/>
    <w:rsid w:val="00787279"/>
    <w:rsid w:val="0079005C"/>
    <w:rsid w:val="007900D1"/>
    <w:rsid w:val="007909F7"/>
    <w:rsid w:val="00790AB9"/>
    <w:rsid w:val="00790B1B"/>
    <w:rsid w:val="00791243"/>
    <w:rsid w:val="00791498"/>
    <w:rsid w:val="00791893"/>
    <w:rsid w:val="00791DA0"/>
    <w:rsid w:val="00792BD3"/>
    <w:rsid w:val="00792C61"/>
    <w:rsid w:val="00792D58"/>
    <w:rsid w:val="007935A0"/>
    <w:rsid w:val="007935D2"/>
    <w:rsid w:val="007938B2"/>
    <w:rsid w:val="00793D62"/>
    <w:rsid w:val="00793F85"/>
    <w:rsid w:val="0079421C"/>
    <w:rsid w:val="007946C9"/>
    <w:rsid w:val="00794B87"/>
    <w:rsid w:val="00794D42"/>
    <w:rsid w:val="0079572A"/>
    <w:rsid w:val="00796556"/>
    <w:rsid w:val="00797765"/>
    <w:rsid w:val="00797B5D"/>
    <w:rsid w:val="00797C0A"/>
    <w:rsid w:val="00797CCE"/>
    <w:rsid w:val="00797F51"/>
    <w:rsid w:val="007A0484"/>
    <w:rsid w:val="007A05A1"/>
    <w:rsid w:val="007A06E9"/>
    <w:rsid w:val="007A0A25"/>
    <w:rsid w:val="007A0E14"/>
    <w:rsid w:val="007A227E"/>
    <w:rsid w:val="007A23DF"/>
    <w:rsid w:val="007A2693"/>
    <w:rsid w:val="007A2960"/>
    <w:rsid w:val="007A2CA0"/>
    <w:rsid w:val="007A2E9B"/>
    <w:rsid w:val="007A3182"/>
    <w:rsid w:val="007A31D7"/>
    <w:rsid w:val="007A34B3"/>
    <w:rsid w:val="007A3517"/>
    <w:rsid w:val="007A367F"/>
    <w:rsid w:val="007A383D"/>
    <w:rsid w:val="007A3AE5"/>
    <w:rsid w:val="007A3C96"/>
    <w:rsid w:val="007A445A"/>
    <w:rsid w:val="007A4596"/>
    <w:rsid w:val="007A5050"/>
    <w:rsid w:val="007A5158"/>
    <w:rsid w:val="007A54F1"/>
    <w:rsid w:val="007A68B8"/>
    <w:rsid w:val="007A6AFD"/>
    <w:rsid w:val="007A7620"/>
    <w:rsid w:val="007A7784"/>
    <w:rsid w:val="007A7CF4"/>
    <w:rsid w:val="007B04E6"/>
    <w:rsid w:val="007B07C0"/>
    <w:rsid w:val="007B0A99"/>
    <w:rsid w:val="007B0AE9"/>
    <w:rsid w:val="007B0D3B"/>
    <w:rsid w:val="007B14DD"/>
    <w:rsid w:val="007B1805"/>
    <w:rsid w:val="007B1AC5"/>
    <w:rsid w:val="007B1B3D"/>
    <w:rsid w:val="007B1FA5"/>
    <w:rsid w:val="007B24E7"/>
    <w:rsid w:val="007B296F"/>
    <w:rsid w:val="007B2C10"/>
    <w:rsid w:val="007B3727"/>
    <w:rsid w:val="007B39D4"/>
    <w:rsid w:val="007B3A0A"/>
    <w:rsid w:val="007B3BA9"/>
    <w:rsid w:val="007B3D28"/>
    <w:rsid w:val="007B40C5"/>
    <w:rsid w:val="007B4C57"/>
    <w:rsid w:val="007B5169"/>
    <w:rsid w:val="007B5400"/>
    <w:rsid w:val="007B5614"/>
    <w:rsid w:val="007B5642"/>
    <w:rsid w:val="007B57F7"/>
    <w:rsid w:val="007B5852"/>
    <w:rsid w:val="007B5C15"/>
    <w:rsid w:val="007B5CCE"/>
    <w:rsid w:val="007B5FB1"/>
    <w:rsid w:val="007B628A"/>
    <w:rsid w:val="007B7822"/>
    <w:rsid w:val="007C0174"/>
    <w:rsid w:val="007C0353"/>
    <w:rsid w:val="007C0980"/>
    <w:rsid w:val="007C0CCA"/>
    <w:rsid w:val="007C0F1F"/>
    <w:rsid w:val="007C14F3"/>
    <w:rsid w:val="007C1927"/>
    <w:rsid w:val="007C1E73"/>
    <w:rsid w:val="007C2090"/>
    <w:rsid w:val="007C20C8"/>
    <w:rsid w:val="007C21BD"/>
    <w:rsid w:val="007C27D7"/>
    <w:rsid w:val="007C2883"/>
    <w:rsid w:val="007C2CF4"/>
    <w:rsid w:val="007C32CA"/>
    <w:rsid w:val="007C33D5"/>
    <w:rsid w:val="007C3783"/>
    <w:rsid w:val="007C387F"/>
    <w:rsid w:val="007C3C4A"/>
    <w:rsid w:val="007C3E45"/>
    <w:rsid w:val="007C417A"/>
    <w:rsid w:val="007C427C"/>
    <w:rsid w:val="007C48D0"/>
    <w:rsid w:val="007C49BA"/>
    <w:rsid w:val="007C6078"/>
    <w:rsid w:val="007C6458"/>
    <w:rsid w:val="007C649E"/>
    <w:rsid w:val="007C6751"/>
    <w:rsid w:val="007C6BAC"/>
    <w:rsid w:val="007C6C41"/>
    <w:rsid w:val="007C6CE4"/>
    <w:rsid w:val="007C70FA"/>
    <w:rsid w:val="007C7198"/>
    <w:rsid w:val="007C734D"/>
    <w:rsid w:val="007C7DB8"/>
    <w:rsid w:val="007C7F0C"/>
    <w:rsid w:val="007D0482"/>
    <w:rsid w:val="007D04DF"/>
    <w:rsid w:val="007D0CF4"/>
    <w:rsid w:val="007D0D7D"/>
    <w:rsid w:val="007D0F37"/>
    <w:rsid w:val="007D10F5"/>
    <w:rsid w:val="007D1600"/>
    <w:rsid w:val="007D1B67"/>
    <w:rsid w:val="007D1F0C"/>
    <w:rsid w:val="007D1FC3"/>
    <w:rsid w:val="007D2142"/>
    <w:rsid w:val="007D2312"/>
    <w:rsid w:val="007D2E61"/>
    <w:rsid w:val="007D2F1D"/>
    <w:rsid w:val="007D300E"/>
    <w:rsid w:val="007D34FB"/>
    <w:rsid w:val="007D382A"/>
    <w:rsid w:val="007D4113"/>
    <w:rsid w:val="007D41FC"/>
    <w:rsid w:val="007D4212"/>
    <w:rsid w:val="007D43E2"/>
    <w:rsid w:val="007D44BF"/>
    <w:rsid w:val="007D482A"/>
    <w:rsid w:val="007D4C07"/>
    <w:rsid w:val="007D54BD"/>
    <w:rsid w:val="007D560E"/>
    <w:rsid w:val="007D571E"/>
    <w:rsid w:val="007D59A5"/>
    <w:rsid w:val="007D5CAF"/>
    <w:rsid w:val="007D6449"/>
    <w:rsid w:val="007D6455"/>
    <w:rsid w:val="007D6759"/>
    <w:rsid w:val="007D6975"/>
    <w:rsid w:val="007D6A6E"/>
    <w:rsid w:val="007D6DE5"/>
    <w:rsid w:val="007D72E2"/>
    <w:rsid w:val="007D73A3"/>
    <w:rsid w:val="007D7437"/>
    <w:rsid w:val="007D7492"/>
    <w:rsid w:val="007D774B"/>
    <w:rsid w:val="007D7CB0"/>
    <w:rsid w:val="007E0457"/>
    <w:rsid w:val="007E0D1F"/>
    <w:rsid w:val="007E1849"/>
    <w:rsid w:val="007E23B3"/>
    <w:rsid w:val="007E2458"/>
    <w:rsid w:val="007E2A45"/>
    <w:rsid w:val="007E2B5C"/>
    <w:rsid w:val="007E2DCA"/>
    <w:rsid w:val="007E304A"/>
    <w:rsid w:val="007E30C1"/>
    <w:rsid w:val="007E34E0"/>
    <w:rsid w:val="007E3506"/>
    <w:rsid w:val="007E37C6"/>
    <w:rsid w:val="007E3AA1"/>
    <w:rsid w:val="007E426F"/>
    <w:rsid w:val="007E444C"/>
    <w:rsid w:val="007E44E6"/>
    <w:rsid w:val="007E4862"/>
    <w:rsid w:val="007E4894"/>
    <w:rsid w:val="007E49B9"/>
    <w:rsid w:val="007E50ED"/>
    <w:rsid w:val="007E52D6"/>
    <w:rsid w:val="007E58EA"/>
    <w:rsid w:val="007E5985"/>
    <w:rsid w:val="007E635F"/>
    <w:rsid w:val="007E64FD"/>
    <w:rsid w:val="007E690F"/>
    <w:rsid w:val="007E7160"/>
    <w:rsid w:val="007E74CB"/>
    <w:rsid w:val="007E7CD6"/>
    <w:rsid w:val="007F0266"/>
    <w:rsid w:val="007F09DA"/>
    <w:rsid w:val="007F0BB3"/>
    <w:rsid w:val="007F0C53"/>
    <w:rsid w:val="007F0D2D"/>
    <w:rsid w:val="007F142C"/>
    <w:rsid w:val="007F16A8"/>
    <w:rsid w:val="007F2067"/>
    <w:rsid w:val="007F245E"/>
    <w:rsid w:val="007F2464"/>
    <w:rsid w:val="007F273C"/>
    <w:rsid w:val="007F2986"/>
    <w:rsid w:val="007F2B0C"/>
    <w:rsid w:val="007F3131"/>
    <w:rsid w:val="007F326C"/>
    <w:rsid w:val="007F32C0"/>
    <w:rsid w:val="007F3338"/>
    <w:rsid w:val="007F39A8"/>
    <w:rsid w:val="007F3B1D"/>
    <w:rsid w:val="007F3CB7"/>
    <w:rsid w:val="007F3DBC"/>
    <w:rsid w:val="007F455D"/>
    <w:rsid w:val="007F4773"/>
    <w:rsid w:val="007F4E8C"/>
    <w:rsid w:val="007F53CC"/>
    <w:rsid w:val="007F53D6"/>
    <w:rsid w:val="007F5AFD"/>
    <w:rsid w:val="007F684A"/>
    <w:rsid w:val="007F6DF3"/>
    <w:rsid w:val="007F6FCE"/>
    <w:rsid w:val="007F722B"/>
    <w:rsid w:val="007F7316"/>
    <w:rsid w:val="007F7379"/>
    <w:rsid w:val="007F7424"/>
    <w:rsid w:val="007F76E0"/>
    <w:rsid w:val="007F79ED"/>
    <w:rsid w:val="0080033E"/>
    <w:rsid w:val="008008CB"/>
    <w:rsid w:val="008016DE"/>
    <w:rsid w:val="00801CB4"/>
    <w:rsid w:val="00802215"/>
    <w:rsid w:val="00802726"/>
    <w:rsid w:val="00802888"/>
    <w:rsid w:val="00802921"/>
    <w:rsid w:val="00803192"/>
    <w:rsid w:val="008038A8"/>
    <w:rsid w:val="00804043"/>
    <w:rsid w:val="008049C7"/>
    <w:rsid w:val="00804AFD"/>
    <w:rsid w:val="00804F9B"/>
    <w:rsid w:val="008053EA"/>
    <w:rsid w:val="0080597B"/>
    <w:rsid w:val="0080651F"/>
    <w:rsid w:val="0080680D"/>
    <w:rsid w:val="00806C5F"/>
    <w:rsid w:val="00806D9D"/>
    <w:rsid w:val="00807149"/>
    <w:rsid w:val="00807567"/>
    <w:rsid w:val="00807772"/>
    <w:rsid w:val="008079E7"/>
    <w:rsid w:val="00807A4E"/>
    <w:rsid w:val="00807C17"/>
    <w:rsid w:val="00807D55"/>
    <w:rsid w:val="00807E7C"/>
    <w:rsid w:val="00810049"/>
    <w:rsid w:val="00810092"/>
    <w:rsid w:val="008101E3"/>
    <w:rsid w:val="008102D6"/>
    <w:rsid w:val="00810300"/>
    <w:rsid w:val="00810412"/>
    <w:rsid w:val="008104B7"/>
    <w:rsid w:val="008104E7"/>
    <w:rsid w:val="00810CA9"/>
    <w:rsid w:val="00810D23"/>
    <w:rsid w:val="00811388"/>
    <w:rsid w:val="00811848"/>
    <w:rsid w:val="00811AEF"/>
    <w:rsid w:val="00811EAA"/>
    <w:rsid w:val="00812073"/>
    <w:rsid w:val="00812CC9"/>
    <w:rsid w:val="00812F20"/>
    <w:rsid w:val="0081321B"/>
    <w:rsid w:val="00813818"/>
    <w:rsid w:val="00813B5E"/>
    <w:rsid w:val="008145DF"/>
    <w:rsid w:val="008146B8"/>
    <w:rsid w:val="008148EC"/>
    <w:rsid w:val="00814D9C"/>
    <w:rsid w:val="00815646"/>
    <w:rsid w:val="00815D46"/>
    <w:rsid w:val="00816557"/>
    <w:rsid w:val="008168A0"/>
    <w:rsid w:val="00816B7C"/>
    <w:rsid w:val="008176C4"/>
    <w:rsid w:val="00817A47"/>
    <w:rsid w:val="00817CF3"/>
    <w:rsid w:val="00817E7E"/>
    <w:rsid w:val="00820067"/>
    <w:rsid w:val="008200AD"/>
    <w:rsid w:val="00820469"/>
    <w:rsid w:val="0082086E"/>
    <w:rsid w:val="00820962"/>
    <w:rsid w:val="00820E63"/>
    <w:rsid w:val="00820EDC"/>
    <w:rsid w:val="00820FCC"/>
    <w:rsid w:val="00821297"/>
    <w:rsid w:val="008212AB"/>
    <w:rsid w:val="008215C8"/>
    <w:rsid w:val="00821752"/>
    <w:rsid w:val="00821E59"/>
    <w:rsid w:val="00822987"/>
    <w:rsid w:val="00822C3C"/>
    <w:rsid w:val="00823138"/>
    <w:rsid w:val="00823175"/>
    <w:rsid w:val="0082352F"/>
    <w:rsid w:val="008236A0"/>
    <w:rsid w:val="00823A5C"/>
    <w:rsid w:val="00823BC6"/>
    <w:rsid w:val="00823FD6"/>
    <w:rsid w:val="008241CC"/>
    <w:rsid w:val="00824374"/>
    <w:rsid w:val="0082466A"/>
    <w:rsid w:val="00824919"/>
    <w:rsid w:val="0082536F"/>
    <w:rsid w:val="0082568D"/>
    <w:rsid w:val="008256BA"/>
    <w:rsid w:val="00825C8E"/>
    <w:rsid w:val="00826659"/>
    <w:rsid w:val="00826B2D"/>
    <w:rsid w:val="00826B36"/>
    <w:rsid w:val="00826C74"/>
    <w:rsid w:val="008279FF"/>
    <w:rsid w:val="00827CE1"/>
    <w:rsid w:val="008300B9"/>
    <w:rsid w:val="0083079D"/>
    <w:rsid w:val="0083083E"/>
    <w:rsid w:val="00831084"/>
    <w:rsid w:val="008318B2"/>
    <w:rsid w:val="00831D7A"/>
    <w:rsid w:val="00831E41"/>
    <w:rsid w:val="008323DD"/>
    <w:rsid w:val="008324B6"/>
    <w:rsid w:val="00833215"/>
    <w:rsid w:val="008344BD"/>
    <w:rsid w:val="008357DE"/>
    <w:rsid w:val="00835C6E"/>
    <w:rsid w:val="00836C6D"/>
    <w:rsid w:val="008374ED"/>
    <w:rsid w:val="008378AF"/>
    <w:rsid w:val="00837CC9"/>
    <w:rsid w:val="008400D0"/>
    <w:rsid w:val="0084020C"/>
    <w:rsid w:val="00840299"/>
    <w:rsid w:val="00840433"/>
    <w:rsid w:val="00840784"/>
    <w:rsid w:val="0084082D"/>
    <w:rsid w:val="00842055"/>
    <w:rsid w:val="008421A2"/>
    <w:rsid w:val="00842460"/>
    <w:rsid w:val="00842C55"/>
    <w:rsid w:val="00842EEF"/>
    <w:rsid w:val="00843633"/>
    <w:rsid w:val="0084373F"/>
    <w:rsid w:val="0084385B"/>
    <w:rsid w:val="00843BB3"/>
    <w:rsid w:val="00844270"/>
    <w:rsid w:val="00844352"/>
    <w:rsid w:val="008444B4"/>
    <w:rsid w:val="0084544B"/>
    <w:rsid w:val="0084545B"/>
    <w:rsid w:val="0084584F"/>
    <w:rsid w:val="00845FB2"/>
    <w:rsid w:val="00846458"/>
    <w:rsid w:val="00847048"/>
    <w:rsid w:val="008471E2"/>
    <w:rsid w:val="00847750"/>
    <w:rsid w:val="00847985"/>
    <w:rsid w:val="00847ED2"/>
    <w:rsid w:val="00847FEB"/>
    <w:rsid w:val="00850291"/>
    <w:rsid w:val="00850497"/>
    <w:rsid w:val="008508D4"/>
    <w:rsid w:val="00850972"/>
    <w:rsid w:val="00850B07"/>
    <w:rsid w:val="00850F19"/>
    <w:rsid w:val="008515CD"/>
    <w:rsid w:val="00851681"/>
    <w:rsid w:val="008517F9"/>
    <w:rsid w:val="0085188C"/>
    <w:rsid w:val="00851A29"/>
    <w:rsid w:val="00851D9D"/>
    <w:rsid w:val="008527DF"/>
    <w:rsid w:val="008528AB"/>
    <w:rsid w:val="00852B0D"/>
    <w:rsid w:val="008531FF"/>
    <w:rsid w:val="008535E0"/>
    <w:rsid w:val="0085396E"/>
    <w:rsid w:val="00853EE5"/>
    <w:rsid w:val="008541F3"/>
    <w:rsid w:val="00854A2B"/>
    <w:rsid w:val="008554D8"/>
    <w:rsid w:val="00855970"/>
    <w:rsid w:val="00855BDB"/>
    <w:rsid w:val="00855C65"/>
    <w:rsid w:val="00855C7B"/>
    <w:rsid w:val="00856273"/>
    <w:rsid w:val="0085657E"/>
    <w:rsid w:val="008566AB"/>
    <w:rsid w:val="008567B4"/>
    <w:rsid w:val="00856B4D"/>
    <w:rsid w:val="008578CC"/>
    <w:rsid w:val="0085790B"/>
    <w:rsid w:val="00857A61"/>
    <w:rsid w:val="00860053"/>
    <w:rsid w:val="008601CB"/>
    <w:rsid w:val="0086040E"/>
    <w:rsid w:val="008608EB"/>
    <w:rsid w:val="00860DFB"/>
    <w:rsid w:val="00860E0A"/>
    <w:rsid w:val="00861192"/>
    <w:rsid w:val="008613C1"/>
    <w:rsid w:val="0086178B"/>
    <w:rsid w:val="0086227E"/>
    <w:rsid w:val="008622DE"/>
    <w:rsid w:val="0086247C"/>
    <w:rsid w:val="008626A2"/>
    <w:rsid w:val="0086289C"/>
    <w:rsid w:val="00863415"/>
    <w:rsid w:val="0086383B"/>
    <w:rsid w:val="00863D8C"/>
    <w:rsid w:val="00863D8D"/>
    <w:rsid w:val="00863E22"/>
    <w:rsid w:val="00864156"/>
    <w:rsid w:val="008644FA"/>
    <w:rsid w:val="008647AE"/>
    <w:rsid w:val="00864BD1"/>
    <w:rsid w:val="00865085"/>
    <w:rsid w:val="008650E5"/>
    <w:rsid w:val="008652BE"/>
    <w:rsid w:val="00865C82"/>
    <w:rsid w:val="00865EEA"/>
    <w:rsid w:val="00866235"/>
    <w:rsid w:val="008668BD"/>
    <w:rsid w:val="00866944"/>
    <w:rsid w:val="00866968"/>
    <w:rsid w:val="00866B71"/>
    <w:rsid w:val="00866EC8"/>
    <w:rsid w:val="00867074"/>
    <w:rsid w:val="00867930"/>
    <w:rsid w:val="00870202"/>
    <w:rsid w:val="008702D5"/>
    <w:rsid w:val="0087117B"/>
    <w:rsid w:val="008711DB"/>
    <w:rsid w:val="0087199F"/>
    <w:rsid w:val="008727EF"/>
    <w:rsid w:val="008737F1"/>
    <w:rsid w:val="008738CC"/>
    <w:rsid w:val="00873D09"/>
    <w:rsid w:val="008743C4"/>
    <w:rsid w:val="00874B9C"/>
    <w:rsid w:val="00874D19"/>
    <w:rsid w:val="00875420"/>
    <w:rsid w:val="008758C7"/>
    <w:rsid w:val="00875AD0"/>
    <w:rsid w:val="00875BE8"/>
    <w:rsid w:val="00875F06"/>
    <w:rsid w:val="00876319"/>
    <w:rsid w:val="0087656E"/>
    <w:rsid w:val="0087681D"/>
    <w:rsid w:val="00876D5F"/>
    <w:rsid w:val="00877763"/>
    <w:rsid w:val="00877894"/>
    <w:rsid w:val="00880222"/>
    <w:rsid w:val="008809B1"/>
    <w:rsid w:val="00880B91"/>
    <w:rsid w:val="00880D2E"/>
    <w:rsid w:val="0088152D"/>
    <w:rsid w:val="0088181A"/>
    <w:rsid w:val="00881C2F"/>
    <w:rsid w:val="00882377"/>
    <w:rsid w:val="00882A46"/>
    <w:rsid w:val="00882D98"/>
    <w:rsid w:val="00883751"/>
    <w:rsid w:val="00883F92"/>
    <w:rsid w:val="008841D6"/>
    <w:rsid w:val="008844D3"/>
    <w:rsid w:val="008848DC"/>
    <w:rsid w:val="00884C82"/>
    <w:rsid w:val="008850AE"/>
    <w:rsid w:val="008860F4"/>
    <w:rsid w:val="008863D7"/>
    <w:rsid w:val="008864C6"/>
    <w:rsid w:val="008867A3"/>
    <w:rsid w:val="00886A38"/>
    <w:rsid w:val="00886C8F"/>
    <w:rsid w:val="00886E64"/>
    <w:rsid w:val="00886ED2"/>
    <w:rsid w:val="00887FF4"/>
    <w:rsid w:val="008901F1"/>
    <w:rsid w:val="008905F3"/>
    <w:rsid w:val="00890E89"/>
    <w:rsid w:val="008913B5"/>
    <w:rsid w:val="00891620"/>
    <w:rsid w:val="00891C4C"/>
    <w:rsid w:val="008925D8"/>
    <w:rsid w:val="008928DE"/>
    <w:rsid w:val="00892CE0"/>
    <w:rsid w:val="008934E5"/>
    <w:rsid w:val="00893874"/>
    <w:rsid w:val="00893D64"/>
    <w:rsid w:val="00893F0B"/>
    <w:rsid w:val="00894020"/>
    <w:rsid w:val="00894031"/>
    <w:rsid w:val="00894581"/>
    <w:rsid w:val="008946BE"/>
    <w:rsid w:val="008947CC"/>
    <w:rsid w:val="00895107"/>
    <w:rsid w:val="00895207"/>
    <w:rsid w:val="00896117"/>
    <w:rsid w:val="00896618"/>
    <w:rsid w:val="008966DC"/>
    <w:rsid w:val="00896905"/>
    <w:rsid w:val="00896A50"/>
    <w:rsid w:val="00897741"/>
    <w:rsid w:val="00897E7F"/>
    <w:rsid w:val="008A09F0"/>
    <w:rsid w:val="008A10A6"/>
    <w:rsid w:val="008A1487"/>
    <w:rsid w:val="008A2592"/>
    <w:rsid w:val="008A28C3"/>
    <w:rsid w:val="008A2DF1"/>
    <w:rsid w:val="008A2E54"/>
    <w:rsid w:val="008A3272"/>
    <w:rsid w:val="008A3833"/>
    <w:rsid w:val="008A38CE"/>
    <w:rsid w:val="008A39BE"/>
    <w:rsid w:val="008A4647"/>
    <w:rsid w:val="008A4C7C"/>
    <w:rsid w:val="008A5F15"/>
    <w:rsid w:val="008A64C0"/>
    <w:rsid w:val="008A65A1"/>
    <w:rsid w:val="008A65F0"/>
    <w:rsid w:val="008A6B60"/>
    <w:rsid w:val="008A6C06"/>
    <w:rsid w:val="008A6F9D"/>
    <w:rsid w:val="008A7725"/>
    <w:rsid w:val="008A7815"/>
    <w:rsid w:val="008A7832"/>
    <w:rsid w:val="008B0158"/>
    <w:rsid w:val="008B0394"/>
    <w:rsid w:val="008B11AC"/>
    <w:rsid w:val="008B14E9"/>
    <w:rsid w:val="008B17B3"/>
    <w:rsid w:val="008B1C41"/>
    <w:rsid w:val="008B1D0B"/>
    <w:rsid w:val="008B218A"/>
    <w:rsid w:val="008B24E4"/>
    <w:rsid w:val="008B2D19"/>
    <w:rsid w:val="008B2D88"/>
    <w:rsid w:val="008B3366"/>
    <w:rsid w:val="008B34A7"/>
    <w:rsid w:val="008B37DD"/>
    <w:rsid w:val="008B3814"/>
    <w:rsid w:val="008B3B77"/>
    <w:rsid w:val="008B3E37"/>
    <w:rsid w:val="008B4179"/>
    <w:rsid w:val="008B4564"/>
    <w:rsid w:val="008B461B"/>
    <w:rsid w:val="008B479B"/>
    <w:rsid w:val="008B47FA"/>
    <w:rsid w:val="008B4827"/>
    <w:rsid w:val="008B4AC3"/>
    <w:rsid w:val="008B4D13"/>
    <w:rsid w:val="008B5148"/>
    <w:rsid w:val="008B58B7"/>
    <w:rsid w:val="008B5D77"/>
    <w:rsid w:val="008B658C"/>
    <w:rsid w:val="008B733B"/>
    <w:rsid w:val="008B7835"/>
    <w:rsid w:val="008C049E"/>
    <w:rsid w:val="008C06BA"/>
    <w:rsid w:val="008C0994"/>
    <w:rsid w:val="008C12C6"/>
    <w:rsid w:val="008C1653"/>
    <w:rsid w:val="008C1974"/>
    <w:rsid w:val="008C1F6D"/>
    <w:rsid w:val="008C2531"/>
    <w:rsid w:val="008C26C6"/>
    <w:rsid w:val="008C34C6"/>
    <w:rsid w:val="008C3772"/>
    <w:rsid w:val="008C39C0"/>
    <w:rsid w:val="008C4399"/>
    <w:rsid w:val="008C4BA5"/>
    <w:rsid w:val="008C4CC4"/>
    <w:rsid w:val="008C524E"/>
    <w:rsid w:val="008C5512"/>
    <w:rsid w:val="008C60CB"/>
    <w:rsid w:val="008C61F2"/>
    <w:rsid w:val="008C62CE"/>
    <w:rsid w:val="008C6771"/>
    <w:rsid w:val="008C6869"/>
    <w:rsid w:val="008C6D39"/>
    <w:rsid w:val="008C70D0"/>
    <w:rsid w:val="008C765A"/>
    <w:rsid w:val="008C77BD"/>
    <w:rsid w:val="008C7E78"/>
    <w:rsid w:val="008D0C0B"/>
    <w:rsid w:val="008D19AD"/>
    <w:rsid w:val="008D1F83"/>
    <w:rsid w:val="008D2371"/>
    <w:rsid w:val="008D2800"/>
    <w:rsid w:val="008D3490"/>
    <w:rsid w:val="008D34AD"/>
    <w:rsid w:val="008D3AF6"/>
    <w:rsid w:val="008D3D53"/>
    <w:rsid w:val="008D3EB7"/>
    <w:rsid w:val="008D4887"/>
    <w:rsid w:val="008D48E0"/>
    <w:rsid w:val="008D4BFE"/>
    <w:rsid w:val="008D4EC8"/>
    <w:rsid w:val="008D4F94"/>
    <w:rsid w:val="008D51CE"/>
    <w:rsid w:val="008D51E6"/>
    <w:rsid w:val="008D54D6"/>
    <w:rsid w:val="008D5C82"/>
    <w:rsid w:val="008D5E24"/>
    <w:rsid w:val="008D63C1"/>
    <w:rsid w:val="008D6F27"/>
    <w:rsid w:val="008D6FBD"/>
    <w:rsid w:val="008D70AC"/>
    <w:rsid w:val="008D72A5"/>
    <w:rsid w:val="008D7789"/>
    <w:rsid w:val="008D7B0F"/>
    <w:rsid w:val="008D7B58"/>
    <w:rsid w:val="008D7D25"/>
    <w:rsid w:val="008E0139"/>
    <w:rsid w:val="008E0ED5"/>
    <w:rsid w:val="008E1800"/>
    <w:rsid w:val="008E18A3"/>
    <w:rsid w:val="008E2E09"/>
    <w:rsid w:val="008E37EA"/>
    <w:rsid w:val="008E3884"/>
    <w:rsid w:val="008E38AC"/>
    <w:rsid w:val="008E3CD4"/>
    <w:rsid w:val="008E3EE8"/>
    <w:rsid w:val="008E4032"/>
    <w:rsid w:val="008E476F"/>
    <w:rsid w:val="008E484E"/>
    <w:rsid w:val="008E4864"/>
    <w:rsid w:val="008E4CA4"/>
    <w:rsid w:val="008E5E8A"/>
    <w:rsid w:val="008E6174"/>
    <w:rsid w:val="008E67C0"/>
    <w:rsid w:val="008E6809"/>
    <w:rsid w:val="008E748A"/>
    <w:rsid w:val="008F0BC0"/>
    <w:rsid w:val="008F1116"/>
    <w:rsid w:val="008F1281"/>
    <w:rsid w:val="008F1DFC"/>
    <w:rsid w:val="008F24CA"/>
    <w:rsid w:val="008F2977"/>
    <w:rsid w:val="008F2F4B"/>
    <w:rsid w:val="008F3636"/>
    <w:rsid w:val="008F3F6E"/>
    <w:rsid w:val="008F45CF"/>
    <w:rsid w:val="008F4697"/>
    <w:rsid w:val="008F4A8B"/>
    <w:rsid w:val="008F4A9F"/>
    <w:rsid w:val="008F4DFC"/>
    <w:rsid w:val="008F4E1B"/>
    <w:rsid w:val="008F5526"/>
    <w:rsid w:val="008F583A"/>
    <w:rsid w:val="008F5898"/>
    <w:rsid w:val="008F5FA1"/>
    <w:rsid w:val="008F6237"/>
    <w:rsid w:val="008F6962"/>
    <w:rsid w:val="008F73F4"/>
    <w:rsid w:val="008F7561"/>
    <w:rsid w:val="008F75C8"/>
    <w:rsid w:val="008F79C9"/>
    <w:rsid w:val="008F7A56"/>
    <w:rsid w:val="00900692"/>
    <w:rsid w:val="0090096D"/>
    <w:rsid w:val="00900D7C"/>
    <w:rsid w:val="00900EAD"/>
    <w:rsid w:val="00901631"/>
    <w:rsid w:val="009016BF"/>
    <w:rsid w:val="009017BE"/>
    <w:rsid w:val="009019D5"/>
    <w:rsid w:val="00901BB9"/>
    <w:rsid w:val="00901D48"/>
    <w:rsid w:val="00902776"/>
    <w:rsid w:val="009031FF"/>
    <w:rsid w:val="00903A4F"/>
    <w:rsid w:val="00903AC0"/>
    <w:rsid w:val="009042A1"/>
    <w:rsid w:val="00904584"/>
    <w:rsid w:val="00904592"/>
    <w:rsid w:val="009048C2"/>
    <w:rsid w:val="00905203"/>
    <w:rsid w:val="009053F2"/>
    <w:rsid w:val="009054BF"/>
    <w:rsid w:val="00905910"/>
    <w:rsid w:val="009063FB"/>
    <w:rsid w:val="00906BFB"/>
    <w:rsid w:val="00906F83"/>
    <w:rsid w:val="009070F8"/>
    <w:rsid w:val="00907201"/>
    <w:rsid w:val="00907592"/>
    <w:rsid w:val="00910287"/>
    <w:rsid w:val="00910C44"/>
    <w:rsid w:val="00910D1F"/>
    <w:rsid w:val="00911869"/>
    <w:rsid w:val="00911DFB"/>
    <w:rsid w:val="009124D9"/>
    <w:rsid w:val="00912BC1"/>
    <w:rsid w:val="00912E1C"/>
    <w:rsid w:val="009134D0"/>
    <w:rsid w:val="009144C0"/>
    <w:rsid w:val="0091473B"/>
    <w:rsid w:val="009147C4"/>
    <w:rsid w:val="00914B87"/>
    <w:rsid w:val="00914ED0"/>
    <w:rsid w:val="00915127"/>
    <w:rsid w:val="00915385"/>
    <w:rsid w:val="009155B9"/>
    <w:rsid w:val="00915664"/>
    <w:rsid w:val="009159AE"/>
    <w:rsid w:val="0091606A"/>
    <w:rsid w:val="009168A2"/>
    <w:rsid w:val="00916C12"/>
    <w:rsid w:val="00917153"/>
    <w:rsid w:val="00917B7C"/>
    <w:rsid w:val="00917EAD"/>
    <w:rsid w:val="00917FA8"/>
    <w:rsid w:val="00920275"/>
    <w:rsid w:val="0092041F"/>
    <w:rsid w:val="009206B5"/>
    <w:rsid w:val="00921392"/>
    <w:rsid w:val="0092295C"/>
    <w:rsid w:val="00922A16"/>
    <w:rsid w:val="00922A7F"/>
    <w:rsid w:val="00922D48"/>
    <w:rsid w:val="00922FA8"/>
    <w:rsid w:val="009234F0"/>
    <w:rsid w:val="009239B3"/>
    <w:rsid w:val="0092433C"/>
    <w:rsid w:val="00924A6C"/>
    <w:rsid w:val="00924F2B"/>
    <w:rsid w:val="00924F83"/>
    <w:rsid w:val="009252CC"/>
    <w:rsid w:val="0092562E"/>
    <w:rsid w:val="0092570E"/>
    <w:rsid w:val="009259A6"/>
    <w:rsid w:val="00925C9B"/>
    <w:rsid w:val="00926436"/>
    <w:rsid w:val="009269F7"/>
    <w:rsid w:val="00926C3C"/>
    <w:rsid w:val="00926CBE"/>
    <w:rsid w:val="00927624"/>
    <w:rsid w:val="009277BD"/>
    <w:rsid w:val="00927F24"/>
    <w:rsid w:val="009303FB"/>
    <w:rsid w:val="009305F8"/>
    <w:rsid w:val="00930A85"/>
    <w:rsid w:val="00930FF4"/>
    <w:rsid w:val="0093162F"/>
    <w:rsid w:val="00931CAF"/>
    <w:rsid w:val="00932679"/>
    <w:rsid w:val="00932904"/>
    <w:rsid w:val="009332CA"/>
    <w:rsid w:val="00933304"/>
    <w:rsid w:val="00933464"/>
    <w:rsid w:val="00933629"/>
    <w:rsid w:val="00933CFE"/>
    <w:rsid w:val="00933FE9"/>
    <w:rsid w:val="0093428D"/>
    <w:rsid w:val="00934681"/>
    <w:rsid w:val="00934817"/>
    <w:rsid w:val="00934CF6"/>
    <w:rsid w:val="00934EB9"/>
    <w:rsid w:val="0093517B"/>
    <w:rsid w:val="009358B3"/>
    <w:rsid w:val="00935AE2"/>
    <w:rsid w:val="00935D81"/>
    <w:rsid w:val="00936159"/>
    <w:rsid w:val="009365C3"/>
    <w:rsid w:val="00936934"/>
    <w:rsid w:val="00936CBA"/>
    <w:rsid w:val="0093732B"/>
    <w:rsid w:val="00937C34"/>
    <w:rsid w:val="009403CC"/>
    <w:rsid w:val="009409B0"/>
    <w:rsid w:val="00940C96"/>
    <w:rsid w:val="00940F6B"/>
    <w:rsid w:val="00940FA9"/>
    <w:rsid w:val="009413EA"/>
    <w:rsid w:val="00941D17"/>
    <w:rsid w:val="00942442"/>
    <w:rsid w:val="009424A8"/>
    <w:rsid w:val="00942A0A"/>
    <w:rsid w:val="00942D09"/>
    <w:rsid w:val="00942E43"/>
    <w:rsid w:val="00942E60"/>
    <w:rsid w:val="00943117"/>
    <w:rsid w:val="00943308"/>
    <w:rsid w:val="0094369C"/>
    <w:rsid w:val="0094373D"/>
    <w:rsid w:val="00943F76"/>
    <w:rsid w:val="00944204"/>
    <w:rsid w:val="00944296"/>
    <w:rsid w:val="00944E83"/>
    <w:rsid w:val="00945563"/>
    <w:rsid w:val="00945E97"/>
    <w:rsid w:val="0094667E"/>
    <w:rsid w:val="00946A7B"/>
    <w:rsid w:val="00947328"/>
    <w:rsid w:val="00947806"/>
    <w:rsid w:val="00947944"/>
    <w:rsid w:val="00947C88"/>
    <w:rsid w:val="0095004B"/>
    <w:rsid w:val="009503C0"/>
    <w:rsid w:val="009509F5"/>
    <w:rsid w:val="00950A22"/>
    <w:rsid w:val="00950AAD"/>
    <w:rsid w:val="00950C04"/>
    <w:rsid w:val="00950CFB"/>
    <w:rsid w:val="00950FB7"/>
    <w:rsid w:val="009510D5"/>
    <w:rsid w:val="0095116E"/>
    <w:rsid w:val="00951A19"/>
    <w:rsid w:val="00952BC6"/>
    <w:rsid w:val="00952D36"/>
    <w:rsid w:val="00952D78"/>
    <w:rsid w:val="00953516"/>
    <w:rsid w:val="00953AEB"/>
    <w:rsid w:val="00953CEB"/>
    <w:rsid w:val="00953E9C"/>
    <w:rsid w:val="009545AA"/>
    <w:rsid w:val="009548D7"/>
    <w:rsid w:val="00954A4E"/>
    <w:rsid w:val="00955027"/>
    <w:rsid w:val="00955202"/>
    <w:rsid w:val="0095554F"/>
    <w:rsid w:val="00955559"/>
    <w:rsid w:val="00955965"/>
    <w:rsid w:val="00955BC1"/>
    <w:rsid w:val="00955E52"/>
    <w:rsid w:val="0095602A"/>
    <w:rsid w:val="00956CE4"/>
    <w:rsid w:val="00956E70"/>
    <w:rsid w:val="00957516"/>
    <w:rsid w:val="00957612"/>
    <w:rsid w:val="00957739"/>
    <w:rsid w:val="009601D8"/>
    <w:rsid w:val="00960BC6"/>
    <w:rsid w:val="00960E66"/>
    <w:rsid w:val="00961437"/>
    <w:rsid w:val="0096210B"/>
    <w:rsid w:val="0096274C"/>
    <w:rsid w:val="009627F7"/>
    <w:rsid w:val="009629A7"/>
    <w:rsid w:val="00963045"/>
    <w:rsid w:val="00963501"/>
    <w:rsid w:val="00963639"/>
    <w:rsid w:val="00963CB5"/>
    <w:rsid w:val="00964494"/>
    <w:rsid w:val="00964841"/>
    <w:rsid w:val="009649DB"/>
    <w:rsid w:val="00964B8D"/>
    <w:rsid w:val="00964D2B"/>
    <w:rsid w:val="00964E43"/>
    <w:rsid w:val="00964EF7"/>
    <w:rsid w:val="009659EC"/>
    <w:rsid w:val="00965A3B"/>
    <w:rsid w:val="0096630E"/>
    <w:rsid w:val="00966955"/>
    <w:rsid w:val="0096712D"/>
    <w:rsid w:val="009671E3"/>
    <w:rsid w:val="0096754F"/>
    <w:rsid w:val="009675FF"/>
    <w:rsid w:val="009679C3"/>
    <w:rsid w:val="00967C39"/>
    <w:rsid w:val="00967CBF"/>
    <w:rsid w:val="00970A77"/>
    <w:rsid w:val="00970DA6"/>
    <w:rsid w:val="00971280"/>
    <w:rsid w:val="0097164D"/>
    <w:rsid w:val="00971B95"/>
    <w:rsid w:val="00971BA7"/>
    <w:rsid w:val="00971E73"/>
    <w:rsid w:val="00972390"/>
    <w:rsid w:val="009723C1"/>
    <w:rsid w:val="00972A77"/>
    <w:rsid w:val="00972F21"/>
    <w:rsid w:val="0097341C"/>
    <w:rsid w:val="00973B8F"/>
    <w:rsid w:val="00973E8F"/>
    <w:rsid w:val="0097413F"/>
    <w:rsid w:val="0097426F"/>
    <w:rsid w:val="00974356"/>
    <w:rsid w:val="009748F6"/>
    <w:rsid w:val="009749DC"/>
    <w:rsid w:val="00974E1D"/>
    <w:rsid w:val="009759CB"/>
    <w:rsid w:val="00975A12"/>
    <w:rsid w:val="00975B43"/>
    <w:rsid w:val="00975CB0"/>
    <w:rsid w:val="00975D47"/>
    <w:rsid w:val="00976296"/>
    <w:rsid w:val="0097649F"/>
    <w:rsid w:val="00976639"/>
    <w:rsid w:val="009766C1"/>
    <w:rsid w:val="00976D8B"/>
    <w:rsid w:val="00976FC9"/>
    <w:rsid w:val="0097787F"/>
    <w:rsid w:val="0098078A"/>
    <w:rsid w:val="00980A5A"/>
    <w:rsid w:val="00981C9C"/>
    <w:rsid w:val="009827E8"/>
    <w:rsid w:val="0098280B"/>
    <w:rsid w:val="00982B47"/>
    <w:rsid w:val="00982E18"/>
    <w:rsid w:val="0098344C"/>
    <w:rsid w:val="009839F7"/>
    <w:rsid w:val="00983C7D"/>
    <w:rsid w:val="00983DA4"/>
    <w:rsid w:val="00984154"/>
    <w:rsid w:val="00984532"/>
    <w:rsid w:val="00984A82"/>
    <w:rsid w:val="00985015"/>
    <w:rsid w:val="009852E2"/>
    <w:rsid w:val="009852FB"/>
    <w:rsid w:val="0098595A"/>
    <w:rsid w:val="00985E8A"/>
    <w:rsid w:val="00986064"/>
    <w:rsid w:val="0098609F"/>
    <w:rsid w:val="0098650C"/>
    <w:rsid w:val="0098671F"/>
    <w:rsid w:val="00986B7C"/>
    <w:rsid w:val="00986C38"/>
    <w:rsid w:val="00986D0F"/>
    <w:rsid w:val="00987D41"/>
    <w:rsid w:val="00987D65"/>
    <w:rsid w:val="0099035F"/>
    <w:rsid w:val="009907E1"/>
    <w:rsid w:val="00990839"/>
    <w:rsid w:val="00990C54"/>
    <w:rsid w:val="00990CC4"/>
    <w:rsid w:val="00990EFA"/>
    <w:rsid w:val="0099169D"/>
    <w:rsid w:val="00991719"/>
    <w:rsid w:val="00991764"/>
    <w:rsid w:val="0099178F"/>
    <w:rsid w:val="00991BC6"/>
    <w:rsid w:val="00991C56"/>
    <w:rsid w:val="00991C88"/>
    <w:rsid w:val="0099202B"/>
    <w:rsid w:val="009926BE"/>
    <w:rsid w:val="0099340B"/>
    <w:rsid w:val="00993DAF"/>
    <w:rsid w:val="00993EF8"/>
    <w:rsid w:val="0099433D"/>
    <w:rsid w:val="009945D5"/>
    <w:rsid w:val="00994A28"/>
    <w:rsid w:val="00994A39"/>
    <w:rsid w:val="009950BE"/>
    <w:rsid w:val="009951AF"/>
    <w:rsid w:val="00995724"/>
    <w:rsid w:val="0099585D"/>
    <w:rsid w:val="00995A10"/>
    <w:rsid w:val="00995E86"/>
    <w:rsid w:val="00996538"/>
    <w:rsid w:val="00996BE8"/>
    <w:rsid w:val="0099712D"/>
    <w:rsid w:val="009972B7"/>
    <w:rsid w:val="00997802"/>
    <w:rsid w:val="00997AA8"/>
    <w:rsid w:val="00997AEC"/>
    <w:rsid w:val="00997DA4"/>
    <w:rsid w:val="009A0164"/>
    <w:rsid w:val="009A05A4"/>
    <w:rsid w:val="009A0B45"/>
    <w:rsid w:val="009A0D07"/>
    <w:rsid w:val="009A1023"/>
    <w:rsid w:val="009A119B"/>
    <w:rsid w:val="009A13D0"/>
    <w:rsid w:val="009A15FA"/>
    <w:rsid w:val="009A1A22"/>
    <w:rsid w:val="009A1C12"/>
    <w:rsid w:val="009A1D3D"/>
    <w:rsid w:val="009A1DD3"/>
    <w:rsid w:val="009A1E0B"/>
    <w:rsid w:val="009A2047"/>
    <w:rsid w:val="009A250A"/>
    <w:rsid w:val="009A2631"/>
    <w:rsid w:val="009A2D68"/>
    <w:rsid w:val="009A2FC1"/>
    <w:rsid w:val="009A35EB"/>
    <w:rsid w:val="009A3A40"/>
    <w:rsid w:val="009A4A76"/>
    <w:rsid w:val="009A4E67"/>
    <w:rsid w:val="009A5FE4"/>
    <w:rsid w:val="009A60B6"/>
    <w:rsid w:val="009A695D"/>
    <w:rsid w:val="009A73CF"/>
    <w:rsid w:val="009A7481"/>
    <w:rsid w:val="009A7485"/>
    <w:rsid w:val="009A74BE"/>
    <w:rsid w:val="009A79B3"/>
    <w:rsid w:val="009B038C"/>
    <w:rsid w:val="009B0586"/>
    <w:rsid w:val="009B0C88"/>
    <w:rsid w:val="009B0E45"/>
    <w:rsid w:val="009B1042"/>
    <w:rsid w:val="009B14B8"/>
    <w:rsid w:val="009B1931"/>
    <w:rsid w:val="009B1F76"/>
    <w:rsid w:val="009B1FFD"/>
    <w:rsid w:val="009B1FFE"/>
    <w:rsid w:val="009B2112"/>
    <w:rsid w:val="009B26C7"/>
    <w:rsid w:val="009B2DBA"/>
    <w:rsid w:val="009B3847"/>
    <w:rsid w:val="009B3DFE"/>
    <w:rsid w:val="009B42FA"/>
    <w:rsid w:val="009B47FF"/>
    <w:rsid w:val="009B4883"/>
    <w:rsid w:val="009B48F5"/>
    <w:rsid w:val="009B4A25"/>
    <w:rsid w:val="009B4BC8"/>
    <w:rsid w:val="009B4EAE"/>
    <w:rsid w:val="009B557D"/>
    <w:rsid w:val="009B5C38"/>
    <w:rsid w:val="009B604C"/>
    <w:rsid w:val="009B68B2"/>
    <w:rsid w:val="009B6A23"/>
    <w:rsid w:val="009C01AB"/>
    <w:rsid w:val="009C03FE"/>
    <w:rsid w:val="009C0824"/>
    <w:rsid w:val="009C0B42"/>
    <w:rsid w:val="009C14DE"/>
    <w:rsid w:val="009C1555"/>
    <w:rsid w:val="009C237F"/>
    <w:rsid w:val="009C23E0"/>
    <w:rsid w:val="009C2A88"/>
    <w:rsid w:val="009C39F7"/>
    <w:rsid w:val="009C3A97"/>
    <w:rsid w:val="009C41F8"/>
    <w:rsid w:val="009C458A"/>
    <w:rsid w:val="009C4E4D"/>
    <w:rsid w:val="009C5380"/>
    <w:rsid w:val="009C59AF"/>
    <w:rsid w:val="009C5E9F"/>
    <w:rsid w:val="009C6240"/>
    <w:rsid w:val="009C699F"/>
    <w:rsid w:val="009C6CBE"/>
    <w:rsid w:val="009C735A"/>
    <w:rsid w:val="009C79F7"/>
    <w:rsid w:val="009C7A3F"/>
    <w:rsid w:val="009C7E73"/>
    <w:rsid w:val="009C7F9E"/>
    <w:rsid w:val="009D051D"/>
    <w:rsid w:val="009D0801"/>
    <w:rsid w:val="009D0A1B"/>
    <w:rsid w:val="009D0DD3"/>
    <w:rsid w:val="009D120C"/>
    <w:rsid w:val="009D1998"/>
    <w:rsid w:val="009D1EC9"/>
    <w:rsid w:val="009D1F4E"/>
    <w:rsid w:val="009D1F67"/>
    <w:rsid w:val="009D2F97"/>
    <w:rsid w:val="009D2FC7"/>
    <w:rsid w:val="009D37CF"/>
    <w:rsid w:val="009D3C85"/>
    <w:rsid w:val="009D3DF6"/>
    <w:rsid w:val="009D43E3"/>
    <w:rsid w:val="009D4862"/>
    <w:rsid w:val="009D4EAE"/>
    <w:rsid w:val="009D50EA"/>
    <w:rsid w:val="009D553D"/>
    <w:rsid w:val="009D5A5A"/>
    <w:rsid w:val="009D61B0"/>
    <w:rsid w:val="009D6474"/>
    <w:rsid w:val="009D64DE"/>
    <w:rsid w:val="009D6BDD"/>
    <w:rsid w:val="009D704C"/>
    <w:rsid w:val="009D724E"/>
    <w:rsid w:val="009D7406"/>
    <w:rsid w:val="009D77A9"/>
    <w:rsid w:val="009D7D4E"/>
    <w:rsid w:val="009E0002"/>
    <w:rsid w:val="009E0425"/>
    <w:rsid w:val="009E0D8B"/>
    <w:rsid w:val="009E1A5B"/>
    <w:rsid w:val="009E1B2B"/>
    <w:rsid w:val="009E2393"/>
    <w:rsid w:val="009E2394"/>
    <w:rsid w:val="009E23D4"/>
    <w:rsid w:val="009E2B18"/>
    <w:rsid w:val="009E2F3B"/>
    <w:rsid w:val="009E3161"/>
    <w:rsid w:val="009E32BA"/>
    <w:rsid w:val="009E33AB"/>
    <w:rsid w:val="009E3826"/>
    <w:rsid w:val="009E388E"/>
    <w:rsid w:val="009E3B4A"/>
    <w:rsid w:val="009E3D32"/>
    <w:rsid w:val="009E4241"/>
    <w:rsid w:val="009E42A2"/>
    <w:rsid w:val="009E477F"/>
    <w:rsid w:val="009E56A8"/>
    <w:rsid w:val="009E5C82"/>
    <w:rsid w:val="009E5E96"/>
    <w:rsid w:val="009E6290"/>
    <w:rsid w:val="009E6475"/>
    <w:rsid w:val="009E69C6"/>
    <w:rsid w:val="009E7AB6"/>
    <w:rsid w:val="009E7F59"/>
    <w:rsid w:val="009F00AE"/>
    <w:rsid w:val="009F00DA"/>
    <w:rsid w:val="009F01D1"/>
    <w:rsid w:val="009F0C89"/>
    <w:rsid w:val="009F10BE"/>
    <w:rsid w:val="009F154E"/>
    <w:rsid w:val="009F1B83"/>
    <w:rsid w:val="009F1C75"/>
    <w:rsid w:val="009F2523"/>
    <w:rsid w:val="009F25AE"/>
    <w:rsid w:val="009F25F6"/>
    <w:rsid w:val="009F2D09"/>
    <w:rsid w:val="009F2D84"/>
    <w:rsid w:val="009F2E0D"/>
    <w:rsid w:val="009F332A"/>
    <w:rsid w:val="009F33F8"/>
    <w:rsid w:val="009F374B"/>
    <w:rsid w:val="009F38DA"/>
    <w:rsid w:val="009F3EC2"/>
    <w:rsid w:val="009F4027"/>
    <w:rsid w:val="009F4250"/>
    <w:rsid w:val="009F42BA"/>
    <w:rsid w:val="009F4450"/>
    <w:rsid w:val="009F4969"/>
    <w:rsid w:val="009F4C69"/>
    <w:rsid w:val="009F5B7D"/>
    <w:rsid w:val="009F5D0D"/>
    <w:rsid w:val="009F5DB3"/>
    <w:rsid w:val="009F5F5A"/>
    <w:rsid w:val="009F671B"/>
    <w:rsid w:val="009F6C9C"/>
    <w:rsid w:val="009F7285"/>
    <w:rsid w:val="009F76EC"/>
    <w:rsid w:val="009F77A5"/>
    <w:rsid w:val="009F7E73"/>
    <w:rsid w:val="00A00021"/>
    <w:rsid w:val="00A0015D"/>
    <w:rsid w:val="00A003DC"/>
    <w:rsid w:val="00A004CB"/>
    <w:rsid w:val="00A009A8"/>
    <w:rsid w:val="00A00B6C"/>
    <w:rsid w:val="00A00B9B"/>
    <w:rsid w:val="00A00C7D"/>
    <w:rsid w:val="00A00ECF"/>
    <w:rsid w:val="00A00F4B"/>
    <w:rsid w:val="00A01339"/>
    <w:rsid w:val="00A0145E"/>
    <w:rsid w:val="00A01C19"/>
    <w:rsid w:val="00A01C38"/>
    <w:rsid w:val="00A0210F"/>
    <w:rsid w:val="00A02132"/>
    <w:rsid w:val="00A0220E"/>
    <w:rsid w:val="00A0257B"/>
    <w:rsid w:val="00A02709"/>
    <w:rsid w:val="00A027C0"/>
    <w:rsid w:val="00A0332A"/>
    <w:rsid w:val="00A03437"/>
    <w:rsid w:val="00A0355A"/>
    <w:rsid w:val="00A03889"/>
    <w:rsid w:val="00A03EA6"/>
    <w:rsid w:val="00A03FE9"/>
    <w:rsid w:val="00A04476"/>
    <w:rsid w:val="00A044AF"/>
    <w:rsid w:val="00A0474A"/>
    <w:rsid w:val="00A04BB6"/>
    <w:rsid w:val="00A05572"/>
    <w:rsid w:val="00A055EC"/>
    <w:rsid w:val="00A058A1"/>
    <w:rsid w:val="00A0621C"/>
    <w:rsid w:val="00A062D8"/>
    <w:rsid w:val="00A065B4"/>
    <w:rsid w:val="00A06BAF"/>
    <w:rsid w:val="00A06FFD"/>
    <w:rsid w:val="00A07610"/>
    <w:rsid w:val="00A076AF"/>
    <w:rsid w:val="00A0773F"/>
    <w:rsid w:val="00A07B97"/>
    <w:rsid w:val="00A10011"/>
    <w:rsid w:val="00A10296"/>
    <w:rsid w:val="00A1037C"/>
    <w:rsid w:val="00A1090F"/>
    <w:rsid w:val="00A10A17"/>
    <w:rsid w:val="00A10D2F"/>
    <w:rsid w:val="00A10E35"/>
    <w:rsid w:val="00A1166C"/>
    <w:rsid w:val="00A116CE"/>
    <w:rsid w:val="00A1210D"/>
    <w:rsid w:val="00A1253D"/>
    <w:rsid w:val="00A12CEB"/>
    <w:rsid w:val="00A12E0A"/>
    <w:rsid w:val="00A13239"/>
    <w:rsid w:val="00A1351E"/>
    <w:rsid w:val="00A13827"/>
    <w:rsid w:val="00A13ADB"/>
    <w:rsid w:val="00A13D25"/>
    <w:rsid w:val="00A14137"/>
    <w:rsid w:val="00A14B0B"/>
    <w:rsid w:val="00A14E1F"/>
    <w:rsid w:val="00A15D5B"/>
    <w:rsid w:val="00A16247"/>
    <w:rsid w:val="00A1632B"/>
    <w:rsid w:val="00A1640A"/>
    <w:rsid w:val="00A16513"/>
    <w:rsid w:val="00A1663D"/>
    <w:rsid w:val="00A16678"/>
    <w:rsid w:val="00A16701"/>
    <w:rsid w:val="00A16B46"/>
    <w:rsid w:val="00A17A88"/>
    <w:rsid w:val="00A17CA4"/>
    <w:rsid w:val="00A17F3D"/>
    <w:rsid w:val="00A201A2"/>
    <w:rsid w:val="00A204D7"/>
    <w:rsid w:val="00A206B3"/>
    <w:rsid w:val="00A20AE2"/>
    <w:rsid w:val="00A210C4"/>
    <w:rsid w:val="00A2123C"/>
    <w:rsid w:val="00A2138D"/>
    <w:rsid w:val="00A2179F"/>
    <w:rsid w:val="00A21E51"/>
    <w:rsid w:val="00A21FAD"/>
    <w:rsid w:val="00A22001"/>
    <w:rsid w:val="00A22D0E"/>
    <w:rsid w:val="00A230AF"/>
    <w:rsid w:val="00A231EF"/>
    <w:rsid w:val="00A23297"/>
    <w:rsid w:val="00A237B6"/>
    <w:rsid w:val="00A23EF8"/>
    <w:rsid w:val="00A23FB5"/>
    <w:rsid w:val="00A23FDB"/>
    <w:rsid w:val="00A24077"/>
    <w:rsid w:val="00A243EF"/>
    <w:rsid w:val="00A24531"/>
    <w:rsid w:val="00A24660"/>
    <w:rsid w:val="00A24C87"/>
    <w:rsid w:val="00A25A3F"/>
    <w:rsid w:val="00A25CD0"/>
    <w:rsid w:val="00A25DB4"/>
    <w:rsid w:val="00A25E4C"/>
    <w:rsid w:val="00A260DB"/>
    <w:rsid w:val="00A262E3"/>
    <w:rsid w:val="00A26E10"/>
    <w:rsid w:val="00A277B6"/>
    <w:rsid w:val="00A27855"/>
    <w:rsid w:val="00A27BD6"/>
    <w:rsid w:val="00A304E1"/>
    <w:rsid w:val="00A30AFD"/>
    <w:rsid w:val="00A315BB"/>
    <w:rsid w:val="00A31968"/>
    <w:rsid w:val="00A31AC0"/>
    <w:rsid w:val="00A325DF"/>
    <w:rsid w:val="00A32BAD"/>
    <w:rsid w:val="00A336DB"/>
    <w:rsid w:val="00A33BAD"/>
    <w:rsid w:val="00A33C03"/>
    <w:rsid w:val="00A33F24"/>
    <w:rsid w:val="00A34A96"/>
    <w:rsid w:val="00A34F77"/>
    <w:rsid w:val="00A3520E"/>
    <w:rsid w:val="00A352AC"/>
    <w:rsid w:val="00A3581B"/>
    <w:rsid w:val="00A35975"/>
    <w:rsid w:val="00A35AF0"/>
    <w:rsid w:val="00A35BB9"/>
    <w:rsid w:val="00A35D24"/>
    <w:rsid w:val="00A366DD"/>
    <w:rsid w:val="00A3770D"/>
    <w:rsid w:val="00A37B55"/>
    <w:rsid w:val="00A37FF5"/>
    <w:rsid w:val="00A40719"/>
    <w:rsid w:val="00A40C31"/>
    <w:rsid w:val="00A4173B"/>
    <w:rsid w:val="00A41CE4"/>
    <w:rsid w:val="00A422B8"/>
    <w:rsid w:val="00A4290E"/>
    <w:rsid w:val="00A42D19"/>
    <w:rsid w:val="00A42EAC"/>
    <w:rsid w:val="00A4325C"/>
    <w:rsid w:val="00A432CE"/>
    <w:rsid w:val="00A4376A"/>
    <w:rsid w:val="00A4381B"/>
    <w:rsid w:val="00A441F0"/>
    <w:rsid w:val="00A44401"/>
    <w:rsid w:val="00A44545"/>
    <w:rsid w:val="00A449AC"/>
    <w:rsid w:val="00A44CF5"/>
    <w:rsid w:val="00A4502D"/>
    <w:rsid w:val="00A452C4"/>
    <w:rsid w:val="00A45AE6"/>
    <w:rsid w:val="00A4613E"/>
    <w:rsid w:val="00A4658A"/>
    <w:rsid w:val="00A46678"/>
    <w:rsid w:val="00A46A16"/>
    <w:rsid w:val="00A46F72"/>
    <w:rsid w:val="00A4700C"/>
    <w:rsid w:val="00A47104"/>
    <w:rsid w:val="00A4736D"/>
    <w:rsid w:val="00A50708"/>
    <w:rsid w:val="00A50A8F"/>
    <w:rsid w:val="00A50EC6"/>
    <w:rsid w:val="00A50F2A"/>
    <w:rsid w:val="00A517B6"/>
    <w:rsid w:val="00A51CD7"/>
    <w:rsid w:val="00A51E1C"/>
    <w:rsid w:val="00A51FC6"/>
    <w:rsid w:val="00A521FC"/>
    <w:rsid w:val="00A528D8"/>
    <w:rsid w:val="00A52981"/>
    <w:rsid w:val="00A52EE5"/>
    <w:rsid w:val="00A5323D"/>
    <w:rsid w:val="00A5408A"/>
    <w:rsid w:val="00A542BF"/>
    <w:rsid w:val="00A54826"/>
    <w:rsid w:val="00A54DE6"/>
    <w:rsid w:val="00A55091"/>
    <w:rsid w:val="00A55595"/>
    <w:rsid w:val="00A556FD"/>
    <w:rsid w:val="00A558F4"/>
    <w:rsid w:val="00A55B0B"/>
    <w:rsid w:val="00A55C38"/>
    <w:rsid w:val="00A55FD6"/>
    <w:rsid w:val="00A56377"/>
    <w:rsid w:val="00A56AB3"/>
    <w:rsid w:val="00A56AD6"/>
    <w:rsid w:val="00A56E05"/>
    <w:rsid w:val="00A56F32"/>
    <w:rsid w:val="00A57387"/>
    <w:rsid w:val="00A57458"/>
    <w:rsid w:val="00A57C54"/>
    <w:rsid w:val="00A57F15"/>
    <w:rsid w:val="00A57F27"/>
    <w:rsid w:val="00A57FE9"/>
    <w:rsid w:val="00A57FF6"/>
    <w:rsid w:val="00A6008E"/>
    <w:rsid w:val="00A6125F"/>
    <w:rsid w:val="00A6129F"/>
    <w:rsid w:val="00A61456"/>
    <w:rsid w:val="00A61544"/>
    <w:rsid w:val="00A616CE"/>
    <w:rsid w:val="00A6170C"/>
    <w:rsid w:val="00A617BD"/>
    <w:rsid w:val="00A61844"/>
    <w:rsid w:val="00A619C4"/>
    <w:rsid w:val="00A620CF"/>
    <w:rsid w:val="00A621AA"/>
    <w:rsid w:val="00A62631"/>
    <w:rsid w:val="00A62FE1"/>
    <w:rsid w:val="00A63A07"/>
    <w:rsid w:val="00A63AD0"/>
    <w:rsid w:val="00A63AF8"/>
    <w:rsid w:val="00A63B3C"/>
    <w:rsid w:val="00A63CA8"/>
    <w:rsid w:val="00A6424F"/>
    <w:rsid w:val="00A64890"/>
    <w:rsid w:val="00A65773"/>
    <w:rsid w:val="00A6592C"/>
    <w:rsid w:val="00A65C10"/>
    <w:rsid w:val="00A65C29"/>
    <w:rsid w:val="00A66229"/>
    <w:rsid w:val="00A6680E"/>
    <w:rsid w:val="00A66A9A"/>
    <w:rsid w:val="00A66BC8"/>
    <w:rsid w:val="00A67138"/>
    <w:rsid w:val="00A67B54"/>
    <w:rsid w:val="00A702DB"/>
    <w:rsid w:val="00A70513"/>
    <w:rsid w:val="00A705C1"/>
    <w:rsid w:val="00A70709"/>
    <w:rsid w:val="00A707BD"/>
    <w:rsid w:val="00A7135A"/>
    <w:rsid w:val="00A7138A"/>
    <w:rsid w:val="00A713E4"/>
    <w:rsid w:val="00A715DA"/>
    <w:rsid w:val="00A716B0"/>
    <w:rsid w:val="00A716C8"/>
    <w:rsid w:val="00A7182D"/>
    <w:rsid w:val="00A71B32"/>
    <w:rsid w:val="00A71F1C"/>
    <w:rsid w:val="00A7223F"/>
    <w:rsid w:val="00A72AEB"/>
    <w:rsid w:val="00A73234"/>
    <w:rsid w:val="00A734D0"/>
    <w:rsid w:val="00A737AC"/>
    <w:rsid w:val="00A73E49"/>
    <w:rsid w:val="00A74766"/>
    <w:rsid w:val="00A74B4A"/>
    <w:rsid w:val="00A7519B"/>
    <w:rsid w:val="00A752A8"/>
    <w:rsid w:val="00A75718"/>
    <w:rsid w:val="00A75B43"/>
    <w:rsid w:val="00A75D3E"/>
    <w:rsid w:val="00A76693"/>
    <w:rsid w:val="00A7687B"/>
    <w:rsid w:val="00A76B03"/>
    <w:rsid w:val="00A76B2B"/>
    <w:rsid w:val="00A7782E"/>
    <w:rsid w:val="00A77B82"/>
    <w:rsid w:val="00A808E2"/>
    <w:rsid w:val="00A80A3B"/>
    <w:rsid w:val="00A80B47"/>
    <w:rsid w:val="00A80F64"/>
    <w:rsid w:val="00A81B0B"/>
    <w:rsid w:val="00A81B82"/>
    <w:rsid w:val="00A82618"/>
    <w:rsid w:val="00A82F1E"/>
    <w:rsid w:val="00A832F9"/>
    <w:rsid w:val="00A83A8E"/>
    <w:rsid w:val="00A83CB4"/>
    <w:rsid w:val="00A8407A"/>
    <w:rsid w:val="00A84BF1"/>
    <w:rsid w:val="00A84FED"/>
    <w:rsid w:val="00A85651"/>
    <w:rsid w:val="00A8566C"/>
    <w:rsid w:val="00A86073"/>
    <w:rsid w:val="00A863FB"/>
    <w:rsid w:val="00A86C35"/>
    <w:rsid w:val="00A86CE5"/>
    <w:rsid w:val="00A86FEF"/>
    <w:rsid w:val="00A874A2"/>
    <w:rsid w:val="00A875F2"/>
    <w:rsid w:val="00A87C14"/>
    <w:rsid w:val="00A87E44"/>
    <w:rsid w:val="00A906D5"/>
    <w:rsid w:val="00A909AC"/>
    <w:rsid w:val="00A90ADE"/>
    <w:rsid w:val="00A91361"/>
    <w:rsid w:val="00A920CC"/>
    <w:rsid w:val="00A92128"/>
    <w:rsid w:val="00A9255F"/>
    <w:rsid w:val="00A92704"/>
    <w:rsid w:val="00A92ECB"/>
    <w:rsid w:val="00A93244"/>
    <w:rsid w:val="00A93806"/>
    <w:rsid w:val="00A93891"/>
    <w:rsid w:val="00A93F63"/>
    <w:rsid w:val="00A9445B"/>
    <w:rsid w:val="00A94927"/>
    <w:rsid w:val="00A95734"/>
    <w:rsid w:val="00A95E5B"/>
    <w:rsid w:val="00A961DF"/>
    <w:rsid w:val="00A9671F"/>
    <w:rsid w:val="00A968DA"/>
    <w:rsid w:val="00A97558"/>
    <w:rsid w:val="00A977A7"/>
    <w:rsid w:val="00A97CAA"/>
    <w:rsid w:val="00A97CD8"/>
    <w:rsid w:val="00AA0A50"/>
    <w:rsid w:val="00AA1367"/>
    <w:rsid w:val="00AA17CB"/>
    <w:rsid w:val="00AA1A6F"/>
    <w:rsid w:val="00AA21A7"/>
    <w:rsid w:val="00AA27CC"/>
    <w:rsid w:val="00AA28E4"/>
    <w:rsid w:val="00AA2BE5"/>
    <w:rsid w:val="00AA31D0"/>
    <w:rsid w:val="00AA3404"/>
    <w:rsid w:val="00AA36E6"/>
    <w:rsid w:val="00AA3A2D"/>
    <w:rsid w:val="00AA3A7A"/>
    <w:rsid w:val="00AA3FC7"/>
    <w:rsid w:val="00AA4505"/>
    <w:rsid w:val="00AA4E21"/>
    <w:rsid w:val="00AA501B"/>
    <w:rsid w:val="00AA5223"/>
    <w:rsid w:val="00AA5BAB"/>
    <w:rsid w:val="00AA5C08"/>
    <w:rsid w:val="00AA6003"/>
    <w:rsid w:val="00AA7313"/>
    <w:rsid w:val="00AB016D"/>
    <w:rsid w:val="00AB024D"/>
    <w:rsid w:val="00AB0900"/>
    <w:rsid w:val="00AB0CAA"/>
    <w:rsid w:val="00AB0CF6"/>
    <w:rsid w:val="00AB0DDB"/>
    <w:rsid w:val="00AB0F6B"/>
    <w:rsid w:val="00AB15C8"/>
    <w:rsid w:val="00AB15F7"/>
    <w:rsid w:val="00AB1FA5"/>
    <w:rsid w:val="00AB219E"/>
    <w:rsid w:val="00AB23FB"/>
    <w:rsid w:val="00AB2501"/>
    <w:rsid w:val="00AB2ACB"/>
    <w:rsid w:val="00AB2E26"/>
    <w:rsid w:val="00AB2EFF"/>
    <w:rsid w:val="00AB361D"/>
    <w:rsid w:val="00AB3EF0"/>
    <w:rsid w:val="00AB412B"/>
    <w:rsid w:val="00AB41FD"/>
    <w:rsid w:val="00AB441D"/>
    <w:rsid w:val="00AB459A"/>
    <w:rsid w:val="00AB4BDA"/>
    <w:rsid w:val="00AB51AB"/>
    <w:rsid w:val="00AB51DF"/>
    <w:rsid w:val="00AB5456"/>
    <w:rsid w:val="00AB5635"/>
    <w:rsid w:val="00AB56CF"/>
    <w:rsid w:val="00AB581B"/>
    <w:rsid w:val="00AB5C21"/>
    <w:rsid w:val="00AB6359"/>
    <w:rsid w:val="00AB63F6"/>
    <w:rsid w:val="00AB7220"/>
    <w:rsid w:val="00AB75EF"/>
    <w:rsid w:val="00AB773F"/>
    <w:rsid w:val="00AB7B95"/>
    <w:rsid w:val="00AB7E4C"/>
    <w:rsid w:val="00AC098F"/>
    <w:rsid w:val="00AC0C52"/>
    <w:rsid w:val="00AC0ECB"/>
    <w:rsid w:val="00AC1038"/>
    <w:rsid w:val="00AC1C84"/>
    <w:rsid w:val="00AC1F0E"/>
    <w:rsid w:val="00AC2439"/>
    <w:rsid w:val="00AC2690"/>
    <w:rsid w:val="00AC291A"/>
    <w:rsid w:val="00AC29A0"/>
    <w:rsid w:val="00AC30B0"/>
    <w:rsid w:val="00AC31F6"/>
    <w:rsid w:val="00AC36CE"/>
    <w:rsid w:val="00AC3A48"/>
    <w:rsid w:val="00AC3F86"/>
    <w:rsid w:val="00AC4428"/>
    <w:rsid w:val="00AC444F"/>
    <w:rsid w:val="00AC499A"/>
    <w:rsid w:val="00AC4EEF"/>
    <w:rsid w:val="00AC551F"/>
    <w:rsid w:val="00AC5836"/>
    <w:rsid w:val="00AC58E8"/>
    <w:rsid w:val="00AC5D1F"/>
    <w:rsid w:val="00AC5D7A"/>
    <w:rsid w:val="00AC5DEC"/>
    <w:rsid w:val="00AC609F"/>
    <w:rsid w:val="00AC62D9"/>
    <w:rsid w:val="00AC640B"/>
    <w:rsid w:val="00AC6936"/>
    <w:rsid w:val="00AC787D"/>
    <w:rsid w:val="00AC7DF4"/>
    <w:rsid w:val="00AD028C"/>
    <w:rsid w:val="00AD06D9"/>
    <w:rsid w:val="00AD0A55"/>
    <w:rsid w:val="00AD0B62"/>
    <w:rsid w:val="00AD0D46"/>
    <w:rsid w:val="00AD12FF"/>
    <w:rsid w:val="00AD1533"/>
    <w:rsid w:val="00AD18CE"/>
    <w:rsid w:val="00AD18D7"/>
    <w:rsid w:val="00AD1A0F"/>
    <w:rsid w:val="00AD1B30"/>
    <w:rsid w:val="00AD1C02"/>
    <w:rsid w:val="00AD1DFF"/>
    <w:rsid w:val="00AD1E97"/>
    <w:rsid w:val="00AD20BE"/>
    <w:rsid w:val="00AD2445"/>
    <w:rsid w:val="00AD31F5"/>
    <w:rsid w:val="00AD348C"/>
    <w:rsid w:val="00AD3856"/>
    <w:rsid w:val="00AD3B15"/>
    <w:rsid w:val="00AD3DB7"/>
    <w:rsid w:val="00AD40DB"/>
    <w:rsid w:val="00AD47CC"/>
    <w:rsid w:val="00AD491F"/>
    <w:rsid w:val="00AD4921"/>
    <w:rsid w:val="00AD4C89"/>
    <w:rsid w:val="00AD4FB4"/>
    <w:rsid w:val="00AD507B"/>
    <w:rsid w:val="00AD558A"/>
    <w:rsid w:val="00AD5670"/>
    <w:rsid w:val="00AD5B9A"/>
    <w:rsid w:val="00AD5E9C"/>
    <w:rsid w:val="00AD5F05"/>
    <w:rsid w:val="00AD5FF1"/>
    <w:rsid w:val="00AD65BD"/>
    <w:rsid w:val="00AD670B"/>
    <w:rsid w:val="00AD6ACB"/>
    <w:rsid w:val="00AD7417"/>
    <w:rsid w:val="00AD76BE"/>
    <w:rsid w:val="00AD7A47"/>
    <w:rsid w:val="00AD7ECF"/>
    <w:rsid w:val="00AE0881"/>
    <w:rsid w:val="00AE0ED7"/>
    <w:rsid w:val="00AE1383"/>
    <w:rsid w:val="00AE18C1"/>
    <w:rsid w:val="00AE1D65"/>
    <w:rsid w:val="00AE21F1"/>
    <w:rsid w:val="00AE27A4"/>
    <w:rsid w:val="00AE27D4"/>
    <w:rsid w:val="00AE2885"/>
    <w:rsid w:val="00AE29FA"/>
    <w:rsid w:val="00AE2E10"/>
    <w:rsid w:val="00AE30F4"/>
    <w:rsid w:val="00AE31A8"/>
    <w:rsid w:val="00AE34E3"/>
    <w:rsid w:val="00AE3ADD"/>
    <w:rsid w:val="00AE3B33"/>
    <w:rsid w:val="00AE406F"/>
    <w:rsid w:val="00AE4299"/>
    <w:rsid w:val="00AE441B"/>
    <w:rsid w:val="00AE44B6"/>
    <w:rsid w:val="00AE4A1F"/>
    <w:rsid w:val="00AE4D1B"/>
    <w:rsid w:val="00AE4FFD"/>
    <w:rsid w:val="00AE58D3"/>
    <w:rsid w:val="00AE5F43"/>
    <w:rsid w:val="00AE6046"/>
    <w:rsid w:val="00AE613C"/>
    <w:rsid w:val="00AE61E0"/>
    <w:rsid w:val="00AE6B06"/>
    <w:rsid w:val="00AE70F2"/>
    <w:rsid w:val="00AE7441"/>
    <w:rsid w:val="00AE7535"/>
    <w:rsid w:val="00AE7B99"/>
    <w:rsid w:val="00AF07D5"/>
    <w:rsid w:val="00AF1563"/>
    <w:rsid w:val="00AF1959"/>
    <w:rsid w:val="00AF1E6B"/>
    <w:rsid w:val="00AF1EE3"/>
    <w:rsid w:val="00AF207F"/>
    <w:rsid w:val="00AF25F9"/>
    <w:rsid w:val="00AF28DC"/>
    <w:rsid w:val="00AF2CD7"/>
    <w:rsid w:val="00AF30E0"/>
    <w:rsid w:val="00AF3390"/>
    <w:rsid w:val="00AF33B7"/>
    <w:rsid w:val="00AF34E3"/>
    <w:rsid w:val="00AF3561"/>
    <w:rsid w:val="00AF3687"/>
    <w:rsid w:val="00AF3A1A"/>
    <w:rsid w:val="00AF3BF5"/>
    <w:rsid w:val="00AF3D39"/>
    <w:rsid w:val="00AF48C6"/>
    <w:rsid w:val="00AF49B3"/>
    <w:rsid w:val="00AF55DE"/>
    <w:rsid w:val="00AF57D8"/>
    <w:rsid w:val="00AF59DB"/>
    <w:rsid w:val="00AF5ACA"/>
    <w:rsid w:val="00AF5F7C"/>
    <w:rsid w:val="00AF63D8"/>
    <w:rsid w:val="00AF6457"/>
    <w:rsid w:val="00AF64D2"/>
    <w:rsid w:val="00AF695E"/>
    <w:rsid w:val="00AF6974"/>
    <w:rsid w:val="00AF6F5E"/>
    <w:rsid w:val="00AF6FEE"/>
    <w:rsid w:val="00AF7061"/>
    <w:rsid w:val="00AF73D6"/>
    <w:rsid w:val="00AF755D"/>
    <w:rsid w:val="00AF7704"/>
    <w:rsid w:val="00AF7729"/>
    <w:rsid w:val="00AF773E"/>
    <w:rsid w:val="00AF7DAB"/>
    <w:rsid w:val="00B000D3"/>
    <w:rsid w:val="00B00588"/>
    <w:rsid w:val="00B006D2"/>
    <w:rsid w:val="00B00CDA"/>
    <w:rsid w:val="00B00DA7"/>
    <w:rsid w:val="00B00EA2"/>
    <w:rsid w:val="00B018C7"/>
    <w:rsid w:val="00B01DB0"/>
    <w:rsid w:val="00B01FBC"/>
    <w:rsid w:val="00B0208E"/>
    <w:rsid w:val="00B020D6"/>
    <w:rsid w:val="00B02143"/>
    <w:rsid w:val="00B02182"/>
    <w:rsid w:val="00B025FF"/>
    <w:rsid w:val="00B02BD9"/>
    <w:rsid w:val="00B02EA1"/>
    <w:rsid w:val="00B03131"/>
    <w:rsid w:val="00B03207"/>
    <w:rsid w:val="00B03B5A"/>
    <w:rsid w:val="00B03DE8"/>
    <w:rsid w:val="00B04AF0"/>
    <w:rsid w:val="00B04F42"/>
    <w:rsid w:val="00B050EB"/>
    <w:rsid w:val="00B053CA"/>
    <w:rsid w:val="00B053D9"/>
    <w:rsid w:val="00B059E2"/>
    <w:rsid w:val="00B05F4F"/>
    <w:rsid w:val="00B0635C"/>
    <w:rsid w:val="00B06384"/>
    <w:rsid w:val="00B06671"/>
    <w:rsid w:val="00B0698E"/>
    <w:rsid w:val="00B06E9B"/>
    <w:rsid w:val="00B06EF3"/>
    <w:rsid w:val="00B074C6"/>
    <w:rsid w:val="00B078A1"/>
    <w:rsid w:val="00B103C1"/>
    <w:rsid w:val="00B10540"/>
    <w:rsid w:val="00B10B9E"/>
    <w:rsid w:val="00B10F3E"/>
    <w:rsid w:val="00B110E8"/>
    <w:rsid w:val="00B11645"/>
    <w:rsid w:val="00B11820"/>
    <w:rsid w:val="00B11821"/>
    <w:rsid w:val="00B11F48"/>
    <w:rsid w:val="00B12246"/>
    <w:rsid w:val="00B122F4"/>
    <w:rsid w:val="00B12307"/>
    <w:rsid w:val="00B13365"/>
    <w:rsid w:val="00B13825"/>
    <w:rsid w:val="00B13BCA"/>
    <w:rsid w:val="00B13C8E"/>
    <w:rsid w:val="00B14912"/>
    <w:rsid w:val="00B14C43"/>
    <w:rsid w:val="00B14DA2"/>
    <w:rsid w:val="00B14E96"/>
    <w:rsid w:val="00B15061"/>
    <w:rsid w:val="00B1562A"/>
    <w:rsid w:val="00B1576F"/>
    <w:rsid w:val="00B15D6A"/>
    <w:rsid w:val="00B15E21"/>
    <w:rsid w:val="00B16778"/>
    <w:rsid w:val="00B167B4"/>
    <w:rsid w:val="00B16C73"/>
    <w:rsid w:val="00B16EAC"/>
    <w:rsid w:val="00B17301"/>
    <w:rsid w:val="00B17B26"/>
    <w:rsid w:val="00B2079F"/>
    <w:rsid w:val="00B2085C"/>
    <w:rsid w:val="00B21025"/>
    <w:rsid w:val="00B2150D"/>
    <w:rsid w:val="00B219B9"/>
    <w:rsid w:val="00B21EE1"/>
    <w:rsid w:val="00B225EA"/>
    <w:rsid w:val="00B228F3"/>
    <w:rsid w:val="00B22E2A"/>
    <w:rsid w:val="00B22E64"/>
    <w:rsid w:val="00B23390"/>
    <w:rsid w:val="00B235A7"/>
    <w:rsid w:val="00B236EE"/>
    <w:rsid w:val="00B23914"/>
    <w:rsid w:val="00B23B8B"/>
    <w:rsid w:val="00B23D5B"/>
    <w:rsid w:val="00B241C5"/>
    <w:rsid w:val="00B24277"/>
    <w:rsid w:val="00B25550"/>
    <w:rsid w:val="00B25AAC"/>
    <w:rsid w:val="00B268BF"/>
    <w:rsid w:val="00B26D8C"/>
    <w:rsid w:val="00B27261"/>
    <w:rsid w:val="00B27C87"/>
    <w:rsid w:val="00B301E7"/>
    <w:rsid w:val="00B30C7E"/>
    <w:rsid w:val="00B30E8B"/>
    <w:rsid w:val="00B31191"/>
    <w:rsid w:val="00B31263"/>
    <w:rsid w:val="00B3190C"/>
    <w:rsid w:val="00B31AB8"/>
    <w:rsid w:val="00B32B4D"/>
    <w:rsid w:val="00B32B85"/>
    <w:rsid w:val="00B339CD"/>
    <w:rsid w:val="00B34070"/>
    <w:rsid w:val="00B34527"/>
    <w:rsid w:val="00B34825"/>
    <w:rsid w:val="00B348B8"/>
    <w:rsid w:val="00B34C28"/>
    <w:rsid w:val="00B34E93"/>
    <w:rsid w:val="00B3501C"/>
    <w:rsid w:val="00B355C2"/>
    <w:rsid w:val="00B35C9F"/>
    <w:rsid w:val="00B35DA9"/>
    <w:rsid w:val="00B35E56"/>
    <w:rsid w:val="00B3640C"/>
    <w:rsid w:val="00B36434"/>
    <w:rsid w:val="00B36B28"/>
    <w:rsid w:val="00B36B3D"/>
    <w:rsid w:val="00B36CAA"/>
    <w:rsid w:val="00B37126"/>
    <w:rsid w:val="00B372A8"/>
    <w:rsid w:val="00B374B0"/>
    <w:rsid w:val="00B3792E"/>
    <w:rsid w:val="00B37977"/>
    <w:rsid w:val="00B40023"/>
    <w:rsid w:val="00B40088"/>
    <w:rsid w:val="00B40414"/>
    <w:rsid w:val="00B406DE"/>
    <w:rsid w:val="00B4077C"/>
    <w:rsid w:val="00B40B3E"/>
    <w:rsid w:val="00B4160A"/>
    <w:rsid w:val="00B41968"/>
    <w:rsid w:val="00B41E00"/>
    <w:rsid w:val="00B42030"/>
    <w:rsid w:val="00B423BB"/>
    <w:rsid w:val="00B42899"/>
    <w:rsid w:val="00B43465"/>
    <w:rsid w:val="00B44189"/>
    <w:rsid w:val="00B4423C"/>
    <w:rsid w:val="00B4457A"/>
    <w:rsid w:val="00B447BC"/>
    <w:rsid w:val="00B44AA9"/>
    <w:rsid w:val="00B44FA7"/>
    <w:rsid w:val="00B459C0"/>
    <w:rsid w:val="00B45E53"/>
    <w:rsid w:val="00B45ED9"/>
    <w:rsid w:val="00B46736"/>
    <w:rsid w:val="00B46DBD"/>
    <w:rsid w:val="00B47A63"/>
    <w:rsid w:val="00B47AA6"/>
    <w:rsid w:val="00B47AD7"/>
    <w:rsid w:val="00B47E3B"/>
    <w:rsid w:val="00B50021"/>
    <w:rsid w:val="00B5021F"/>
    <w:rsid w:val="00B5084F"/>
    <w:rsid w:val="00B50870"/>
    <w:rsid w:val="00B508B5"/>
    <w:rsid w:val="00B50B82"/>
    <w:rsid w:val="00B516D7"/>
    <w:rsid w:val="00B51B55"/>
    <w:rsid w:val="00B51B5B"/>
    <w:rsid w:val="00B51FE7"/>
    <w:rsid w:val="00B52EEB"/>
    <w:rsid w:val="00B52F94"/>
    <w:rsid w:val="00B5370F"/>
    <w:rsid w:val="00B53DE3"/>
    <w:rsid w:val="00B54B9D"/>
    <w:rsid w:val="00B550A3"/>
    <w:rsid w:val="00B5554A"/>
    <w:rsid w:val="00B555AC"/>
    <w:rsid w:val="00B556AF"/>
    <w:rsid w:val="00B55B7D"/>
    <w:rsid w:val="00B561E3"/>
    <w:rsid w:val="00B5622A"/>
    <w:rsid w:val="00B56993"/>
    <w:rsid w:val="00B56AB2"/>
    <w:rsid w:val="00B57283"/>
    <w:rsid w:val="00B57A46"/>
    <w:rsid w:val="00B57DA8"/>
    <w:rsid w:val="00B57FAB"/>
    <w:rsid w:val="00B603A3"/>
    <w:rsid w:val="00B608B2"/>
    <w:rsid w:val="00B608FA"/>
    <w:rsid w:val="00B611D4"/>
    <w:rsid w:val="00B61328"/>
    <w:rsid w:val="00B613AB"/>
    <w:rsid w:val="00B6145E"/>
    <w:rsid w:val="00B61A66"/>
    <w:rsid w:val="00B61E7E"/>
    <w:rsid w:val="00B62293"/>
    <w:rsid w:val="00B62C58"/>
    <w:rsid w:val="00B62F7C"/>
    <w:rsid w:val="00B632E0"/>
    <w:rsid w:val="00B6341C"/>
    <w:rsid w:val="00B634EE"/>
    <w:rsid w:val="00B63A4C"/>
    <w:rsid w:val="00B63C48"/>
    <w:rsid w:val="00B63D07"/>
    <w:rsid w:val="00B63F58"/>
    <w:rsid w:val="00B6489F"/>
    <w:rsid w:val="00B64934"/>
    <w:rsid w:val="00B64E7D"/>
    <w:rsid w:val="00B651A6"/>
    <w:rsid w:val="00B6521E"/>
    <w:rsid w:val="00B653F6"/>
    <w:rsid w:val="00B654FC"/>
    <w:rsid w:val="00B6552B"/>
    <w:rsid w:val="00B6582A"/>
    <w:rsid w:val="00B65851"/>
    <w:rsid w:val="00B65984"/>
    <w:rsid w:val="00B65ADF"/>
    <w:rsid w:val="00B664B4"/>
    <w:rsid w:val="00B66532"/>
    <w:rsid w:val="00B66ED4"/>
    <w:rsid w:val="00B67848"/>
    <w:rsid w:val="00B6793F"/>
    <w:rsid w:val="00B67D78"/>
    <w:rsid w:val="00B700E5"/>
    <w:rsid w:val="00B70283"/>
    <w:rsid w:val="00B71AB4"/>
    <w:rsid w:val="00B71B37"/>
    <w:rsid w:val="00B71D9D"/>
    <w:rsid w:val="00B71DD1"/>
    <w:rsid w:val="00B71F8F"/>
    <w:rsid w:val="00B7237A"/>
    <w:rsid w:val="00B72BE5"/>
    <w:rsid w:val="00B72E50"/>
    <w:rsid w:val="00B72F62"/>
    <w:rsid w:val="00B731A3"/>
    <w:rsid w:val="00B734BE"/>
    <w:rsid w:val="00B73BF9"/>
    <w:rsid w:val="00B73D0F"/>
    <w:rsid w:val="00B749C3"/>
    <w:rsid w:val="00B74F3A"/>
    <w:rsid w:val="00B7537B"/>
    <w:rsid w:val="00B75447"/>
    <w:rsid w:val="00B759DA"/>
    <w:rsid w:val="00B75D83"/>
    <w:rsid w:val="00B7697E"/>
    <w:rsid w:val="00B76CFB"/>
    <w:rsid w:val="00B770DA"/>
    <w:rsid w:val="00B7720A"/>
    <w:rsid w:val="00B803E9"/>
    <w:rsid w:val="00B805B0"/>
    <w:rsid w:val="00B80E9D"/>
    <w:rsid w:val="00B80F94"/>
    <w:rsid w:val="00B810E9"/>
    <w:rsid w:val="00B8123E"/>
    <w:rsid w:val="00B81937"/>
    <w:rsid w:val="00B81ABE"/>
    <w:rsid w:val="00B8206D"/>
    <w:rsid w:val="00B8225A"/>
    <w:rsid w:val="00B828A3"/>
    <w:rsid w:val="00B8302C"/>
    <w:rsid w:val="00B83310"/>
    <w:rsid w:val="00B8356A"/>
    <w:rsid w:val="00B83A23"/>
    <w:rsid w:val="00B842D7"/>
    <w:rsid w:val="00B84AC2"/>
    <w:rsid w:val="00B84D82"/>
    <w:rsid w:val="00B84E7F"/>
    <w:rsid w:val="00B84F10"/>
    <w:rsid w:val="00B8557B"/>
    <w:rsid w:val="00B855F5"/>
    <w:rsid w:val="00B85748"/>
    <w:rsid w:val="00B85D8D"/>
    <w:rsid w:val="00B8685E"/>
    <w:rsid w:val="00B869A4"/>
    <w:rsid w:val="00B869E9"/>
    <w:rsid w:val="00B87021"/>
    <w:rsid w:val="00B874EF"/>
    <w:rsid w:val="00B87684"/>
    <w:rsid w:val="00B876CF"/>
    <w:rsid w:val="00B876D9"/>
    <w:rsid w:val="00B8798D"/>
    <w:rsid w:val="00B87A82"/>
    <w:rsid w:val="00B90BDF"/>
    <w:rsid w:val="00B913CB"/>
    <w:rsid w:val="00B916B2"/>
    <w:rsid w:val="00B917E7"/>
    <w:rsid w:val="00B91F0C"/>
    <w:rsid w:val="00B91FEF"/>
    <w:rsid w:val="00B92249"/>
    <w:rsid w:val="00B929E6"/>
    <w:rsid w:val="00B92B76"/>
    <w:rsid w:val="00B92BE9"/>
    <w:rsid w:val="00B92BF2"/>
    <w:rsid w:val="00B92FA2"/>
    <w:rsid w:val="00B93341"/>
    <w:rsid w:val="00B93360"/>
    <w:rsid w:val="00B933DF"/>
    <w:rsid w:val="00B93FAE"/>
    <w:rsid w:val="00B94592"/>
    <w:rsid w:val="00B94D5A"/>
    <w:rsid w:val="00B94E83"/>
    <w:rsid w:val="00B95154"/>
    <w:rsid w:val="00B955AC"/>
    <w:rsid w:val="00B957F1"/>
    <w:rsid w:val="00B95976"/>
    <w:rsid w:val="00B95BCC"/>
    <w:rsid w:val="00B95BE7"/>
    <w:rsid w:val="00B96CA3"/>
    <w:rsid w:val="00B974BD"/>
    <w:rsid w:val="00B97B02"/>
    <w:rsid w:val="00B97CAA"/>
    <w:rsid w:val="00BA0E6A"/>
    <w:rsid w:val="00BA1596"/>
    <w:rsid w:val="00BA1913"/>
    <w:rsid w:val="00BA1C27"/>
    <w:rsid w:val="00BA1E7A"/>
    <w:rsid w:val="00BA2193"/>
    <w:rsid w:val="00BA2C03"/>
    <w:rsid w:val="00BA2DF3"/>
    <w:rsid w:val="00BA36E0"/>
    <w:rsid w:val="00BA384C"/>
    <w:rsid w:val="00BA3F26"/>
    <w:rsid w:val="00BA40D5"/>
    <w:rsid w:val="00BA423C"/>
    <w:rsid w:val="00BA455A"/>
    <w:rsid w:val="00BA473F"/>
    <w:rsid w:val="00BA497F"/>
    <w:rsid w:val="00BA4D9E"/>
    <w:rsid w:val="00BA5609"/>
    <w:rsid w:val="00BA6339"/>
    <w:rsid w:val="00BA712E"/>
    <w:rsid w:val="00BA77C5"/>
    <w:rsid w:val="00BA7DE1"/>
    <w:rsid w:val="00BB0212"/>
    <w:rsid w:val="00BB05E7"/>
    <w:rsid w:val="00BB091F"/>
    <w:rsid w:val="00BB0CAC"/>
    <w:rsid w:val="00BB11A0"/>
    <w:rsid w:val="00BB1B3A"/>
    <w:rsid w:val="00BB1C88"/>
    <w:rsid w:val="00BB229A"/>
    <w:rsid w:val="00BB23F8"/>
    <w:rsid w:val="00BB274E"/>
    <w:rsid w:val="00BB2ED4"/>
    <w:rsid w:val="00BB2F62"/>
    <w:rsid w:val="00BB312B"/>
    <w:rsid w:val="00BB3190"/>
    <w:rsid w:val="00BB3C5D"/>
    <w:rsid w:val="00BB4804"/>
    <w:rsid w:val="00BB5796"/>
    <w:rsid w:val="00BB5C81"/>
    <w:rsid w:val="00BB5CA3"/>
    <w:rsid w:val="00BB66FF"/>
    <w:rsid w:val="00BB6D66"/>
    <w:rsid w:val="00BB763E"/>
    <w:rsid w:val="00BB76D7"/>
    <w:rsid w:val="00BC03AA"/>
    <w:rsid w:val="00BC07C3"/>
    <w:rsid w:val="00BC0A9B"/>
    <w:rsid w:val="00BC17DE"/>
    <w:rsid w:val="00BC18DE"/>
    <w:rsid w:val="00BC274D"/>
    <w:rsid w:val="00BC2AC7"/>
    <w:rsid w:val="00BC2C3A"/>
    <w:rsid w:val="00BC2EC4"/>
    <w:rsid w:val="00BC309C"/>
    <w:rsid w:val="00BC3276"/>
    <w:rsid w:val="00BC355A"/>
    <w:rsid w:val="00BC3A32"/>
    <w:rsid w:val="00BC4158"/>
    <w:rsid w:val="00BC4345"/>
    <w:rsid w:val="00BC4435"/>
    <w:rsid w:val="00BC4B70"/>
    <w:rsid w:val="00BC4BCA"/>
    <w:rsid w:val="00BC4EC9"/>
    <w:rsid w:val="00BC4FDB"/>
    <w:rsid w:val="00BC53B9"/>
    <w:rsid w:val="00BC5405"/>
    <w:rsid w:val="00BC62CF"/>
    <w:rsid w:val="00BC67C5"/>
    <w:rsid w:val="00BC6A7A"/>
    <w:rsid w:val="00BC6B1A"/>
    <w:rsid w:val="00BC7179"/>
    <w:rsid w:val="00BC750C"/>
    <w:rsid w:val="00BC79CD"/>
    <w:rsid w:val="00BC7D0D"/>
    <w:rsid w:val="00BC7E46"/>
    <w:rsid w:val="00BD05D4"/>
    <w:rsid w:val="00BD05F6"/>
    <w:rsid w:val="00BD0FD7"/>
    <w:rsid w:val="00BD0FE6"/>
    <w:rsid w:val="00BD12F9"/>
    <w:rsid w:val="00BD14C2"/>
    <w:rsid w:val="00BD19F7"/>
    <w:rsid w:val="00BD1CB5"/>
    <w:rsid w:val="00BD290A"/>
    <w:rsid w:val="00BD2A05"/>
    <w:rsid w:val="00BD2B82"/>
    <w:rsid w:val="00BD3149"/>
    <w:rsid w:val="00BD33FA"/>
    <w:rsid w:val="00BD349E"/>
    <w:rsid w:val="00BD3796"/>
    <w:rsid w:val="00BD39E1"/>
    <w:rsid w:val="00BD3CB1"/>
    <w:rsid w:val="00BD3F34"/>
    <w:rsid w:val="00BD4192"/>
    <w:rsid w:val="00BD442F"/>
    <w:rsid w:val="00BD443D"/>
    <w:rsid w:val="00BD455C"/>
    <w:rsid w:val="00BD46F7"/>
    <w:rsid w:val="00BD54E6"/>
    <w:rsid w:val="00BD6497"/>
    <w:rsid w:val="00BD6753"/>
    <w:rsid w:val="00BD6AA6"/>
    <w:rsid w:val="00BD6FD3"/>
    <w:rsid w:val="00BD7702"/>
    <w:rsid w:val="00BD798A"/>
    <w:rsid w:val="00BD79E4"/>
    <w:rsid w:val="00BD7DDD"/>
    <w:rsid w:val="00BE0444"/>
    <w:rsid w:val="00BE0822"/>
    <w:rsid w:val="00BE0D23"/>
    <w:rsid w:val="00BE1587"/>
    <w:rsid w:val="00BE1B9C"/>
    <w:rsid w:val="00BE1C6D"/>
    <w:rsid w:val="00BE1CF0"/>
    <w:rsid w:val="00BE1D90"/>
    <w:rsid w:val="00BE1F57"/>
    <w:rsid w:val="00BE285B"/>
    <w:rsid w:val="00BE2E31"/>
    <w:rsid w:val="00BE2FBF"/>
    <w:rsid w:val="00BE3102"/>
    <w:rsid w:val="00BE350E"/>
    <w:rsid w:val="00BE3E58"/>
    <w:rsid w:val="00BE408C"/>
    <w:rsid w:val="00BE457E"/>
    <w:rsid w:val="00BE4894"/>
    <w:rsid w:val="00BE5319"/>
    <w:rsid w:val="00BE5799"/>
    <w:rsid w:val="00BE5A7E"/>
    <w:rsid w:val="00BE5ECB"/>
    <w:rsid w:val="00BE63D2"/>
    <w:rsid w:val="00BE665D"/>
    <w:rsid w:val="00BE6AA1"/>
    <w:rsid w:val="00BE6F23"/>
    <w:rsid w:val="00BE7091"/>
    <w:rsid w:val="00BE719F"/>
    <w:rsid w:val="00BE7673"/>
    <w:rsid w:val="00BE79C7"/>
    <w:rsid w:val="00BE7C9C"/>
    <w:rsid w:val="00BE7EC5"/>
    <w:rsid w:val="00BE7F19"/>
    <w:rsid w:val="00BF0703"/>
    <w:rsid w:val="00BF085F"/>
    <w:rsid w:val="00BF0ED4"/>
    <w:rsid w:val="00BF11EB"/>
    <w:rsid w:val="00BF1966"/>
    <w:rsid w:val="00BF1A02"/>
    <w:rsid w:val="00BF1A64"/>
    <w:rsid w:val="00BF1C74"/>
    <w:rsid w:val="00BF1DD7"/>
    <w:rsid w:val="00BF23E5"/>
    <w:rsid w:val="00BF2FD8"/>
    <w:rsid w:val="00BF32DE"/>
    <w:rsid w:val="00BF34CD"/>
    <w:rsid w:val="00BF359B"/>
    <w:rsid w:val="00BF3936"/>
    <w:rsid w:val="00BF3C55"/>
    <w:rsid w:val="00BF3ECA"/>
    <w:rsid w:val="00BF49A1"/>
    <w:rsid w:val="00BF4D32"/>
    <w:rsid w:val="00BF4FDA"/>
    <w:rsid w:val="00BF5396"/>
    <w:rsid w:val="00BF5AB3"/>
    <w:rsid w:val="00BF6038"/>
    <w:rsid w:val="00BF686B"/>
    <w:rsid w:val="00BF690D"/>
    <w:rsid w:val="00BF69F8"/>
    <w:rsid w:val="00BF6D6D"/>
    <w:rsid w:val="00BF726B"/>
    <w:rsid w:val="00BF74A3"/>
    <w:rsid w:val="00BF74E4"/>
    <w:rsid w:val="00BF7816"/>
    <w:rsid w:val="00BF7892"/>
    <w:rsid w:val="00BF7A5B"/>
    <w:rsid w:val="00BF7B80"/>
    <w:rsid w:val="00C00AA8"/>
    <w:rsid w:val="00C010E8"/>
    <w:rsid w:val="00C017C2"/>
    <w:rsid w:val="00C0189D"/>
    <w:rsid w:val="00C01AC9"/>
    <w:rsid w:val="00C01EC2"/>
    <w:rsid w:val="00C02D9C"/>
    <w:rsid w:val="00C033B6"/>
    <w:rsid w:val="00C034F8"/>
    <w:rsid w:val="00C0360B"/>
    <w:rsid w:val="00C037EE"/>
    <w:rsid w:val="00C03844"/>
    <w:rsid w:val="00C038FF"/>
    <w:rsid w:val="00C03B8E"/>
    <w:rsid w:val="00C03BD4"/>
    <w:rsid w:val="00C03D80"/>
    <w:rsid w:val="00C043B2"/>
    <w:rsid w:val="00C046B1"/>
    <w:rsid w:val="00C04973"/>
    <w:rsid w:val="00C04A89"/>
    <w:rsid w:val="00C04BE9"/>
    <w:rsid w:val="00C05075"/>
    <w:rsid w:val="00C05253"/>
    <w:rsid w:val="00C056D2"/>
    <w:rsid w:val="00C0577C"/>
    <w:rsid w:val="00C05CCE"/>
    <w:rsid w:val="00C06243"/>
    <w:rsid w:val="00C062EA"/>
    <w:rsid w:val="00C06CAE"/>
    <w:rsid w:val="00C06ED5"/>
    <w:rsid w:val="00C07C2C"/>
    <w:rsid w:val="00C07D7D"/>
    <w:rsid w:val="00C10214"/>
    <w:rsid w:val="00C1047A"/>
    <w:rsid w:val="00C104F1"/>
    <w:rsid w:val="00C10943"/>
    <w:rsid w:val="00C10F2F"/>
    <w:rsid w:val="00C10FEB"/>
    <w:rsid w:val="00C113CB"/>
    <w:rsid w:val="00C11429"/>
    <w:rsid w:val="00C11496"/>
    <w:rsid w:val="00C11769"/>
    <w:rsid w:val="00C1186A"/>
    <w:rsid w:val="00C11DBF"/>
    <w:rsid w:val="00C12258"/>
    <w:rsid w:val="00C137F6"/>
    <w:rsid w:val="00C139E2"/>
    <w:rsid w:val="00C14B42"/>
    <w:rsid w:val="00C14FDE"/>
    <w:rsid w:val="00C152BB"/>
    <w:rsid w:val="00C154ED"/>
    <w:rsid w:val="00C155AF"/>
    <w:rsid w:val="00C156B1"/>
    <w:rsid w:val="00C15E77"/>
    <w:rsid w:val="00C163F2"/>
    <w:rsid w:val="00C168D0"/>
    <w:rsid w:val="00C169B9"/>
    <w:rsid w:val="00C16B35"/>
    <w:rsid w:val="00C176B5"/>
    <w:rsid w:val="00C1797C"/>
    <w:rsid w:val="00C20181"/>
    <w:rsid w:val="00C201C3"/>
    <w:rsid w:val="00C20642"/>
    <w:rsid w:val="00C20D80"/>
    <w:rsid w:val="00C210F7"/>
    <w:rsid w:val="00C21310"/>
    <w:rsid w:val="00C215CD"/>
    <w:rsid w:val="00C2179C"/>
    <w:rsid w:val="00C21CAC"/>
    <w:rsid w:val="00C2302E"/>
    <w:rsid w:val="00C2352A"/>
    <w:rsid w:val="00C23858"/>
    <w:rsid w:val="00C23EC1"/>
    <w:rsid w:val="00C24ED2"/>
    <w:rsid w:val="00C252B9"/>
    <w:rsid w:val="00C2541B"/>
    <w:rsid w:val="00C25621"/>
    <w:rsid w:val="00C259B5"/>
    <w:rsid w:val="00C25BAD"/>
    <w:rsid w:val="00C25D02"/>
    <w:rsid w:val="00C26058"/>
    <w:rsid w:val="00C265FD"/>
    <w:rsid w:val="00C269BA"/>
    <w:rsid w:val="00C26CD0"/>
    <w:rsid w:val="00C272AC"/>
    <w:rsid w:val="00C2739D"/>
    <w:rsid w:val="00C276D6"/>
    <w:rsid w:val="00C27C61"/>
    <w:rsid w:val="00C27DEB"/>
    <w:rsid w:val="00C304CE"/>
    <w:rsid w:val="00C307A5"/>
    <w:rsid w:val="00C30873"/>
    <w:rsid w:val="00C30FA3"/>
    <w:rsid w:val="00C31163"/>
    <w:rsid w:val="00C31B24"/>
    <w:rsid w:val="00C31FCD"/>
    <w:rsid w:val="00C31FEB"/>
    <w:rsid w:val="00C326EC"/>
    <w:rsid w:val="00C32A9A"/>
    <w:rsid w:val="00C32AC3"/>
    <w:rsid w:val="00C32C76"/>
    <w:rsid w:val="00C3362F"/>
    <w:rsid w:val="00C33651"/>
    <w:rsid w:val="00C3366C"/>
    <w:rsid w:val="00C3386E"/>
    <w:rsid w:val="00C33886"/>
    <w:rsid w:val="00C33BF4"/>
    <w:rsid w:val="00C33F32"/>
    <w:rsid w:val="00C348A9"/>
    <w:rsid w:val="00C348C2"/>
    <w:rsid w:val="00C352B9"/>
    <w:rsid w:val="00C35366"/>
    <w:rsid w:val="00C35BB9"/>
    <w:rsid w:val="00C36110"/>
    <w:rsid w:val="00C36343"/>
    <w:rsid w:val="00C370C4"/>
    <w:rsid w:val="00C372F8"/>
    <w:rsid w:val="00C37352"/>
    <w:rsid w:val="00C404A9"/>
    <w:rsid w:val="00C407DC"/>
    <w:rsid w:val="00C40843"/>
    <w:rsid w:val="00C4169E"/>
    <w:rsid w:val="00C416D4"/>
    <w:rsid w:val="00C425E7"/>
    <w:rsid w:val="00C42749"/>
    <w:rsid w:val="00C42C1B"/>
    <w:rsid w:val="00C42D8E"/>
    <w:rsid w:val="00C42F3F"/>
    <w:rsid w:val="00C43220"/>
    <w:rsid w:val="00C438A1"/>
    <w:rsid w:val="00C43B42"/>
    <w:rsid w:val="00C440F7"/>
    <w:rsid w:val="00C443D9"/>
    <w:rsid w:val="00C445EA"/>
    <w:rsid w:val="00C44601"/>
    <w:rsid w:val="00C44E85"/>
    <w:rsid w:val="00C45786"/>
    <w:rsid w:val="00C4582A"/>
    <w:rsid w:val="00C46B66"/>
    <w:rsid w:val="00C470E2"/>
    <w:rsid w:val="00C47F00"/>
    <w:rsid w:val="00C501C1"/>
    <w:rsid w:val="00C50202"/>
    <w:rsid w:val="00C50276"/>
    <w:rsid w:val="00C50BC1"/>
    <w:rsid w:val="00C51B56"/>
    <w:rsid w:val="00C51C9B"/>
    <w:rsid w:val="00C51EBE"/>
    <w:rsid w:val="00C520D1"/>
    <w:rsid w:val="00C521F4"/>
    <w:rsid w:val="00C522A1"/>
    <w:rsid w:val="00C5239D"/>
    <w:rsid w:val="00C52ADB"/>
    <w:rsid w:val="00C53A26"/>
    <w:rsid w:val="00C53C81"/>
    <w:rsid w:val="00C53CED"/>
    <w:rsid w:val="00C54254"/>
    <w:rsid w:val="00C54333"/>
    <w:rsid w:val="00C543E9"/>
    <w:rsid w:val="00C5444A"/>
    <w:rsid w:val="00C549DF"/>
    <w:rsid w:val="00C54CA9"/>
    <w:rsid w:val="00C5665D"/>
    <w:rsid w:val="00C56AA9"/>
    <w:rsid w:val="00C5738F"/>
    <w:rsid w:val="00C57A88"/>
    <w:rsid w:val="00C57C4A"/>
    <w:rsid w:val="00C60170"/>
    <w:rsid w:val="00C60305"/>
    <w:rsid w:val="00C60460"/>
    <w:rsid w:val="00C60530"/>
    <w:rsid w:val="00C606DB"/>
    <w:rsid w:val="00C60722"/>
    <w:rsid w:val="00C609E3"/>
    <w:rsid w:val="00C60A5B"/>
    <w:rsid w:val="00C60ABA"/>
    <w:rsid w:val="00C60C79"/>
    <w:rsid w:val="00C60EE1"/>
    <w:rsid w:val="00C60FBD"/>
    <w:rsid w:val="00C61BCD"/>
    <w:rsid w:val="00C6200F"/>
    <w:rsid w:val="00C62165"/>
    <w:rsid w:val="00C621CE"/>
    <w:rsid w:val="00C626BF"/>
    <w:rsid w:val="00C63432"/>
    <w:rsid w:val="00C636D6"/>
    <w:rsid w:val="00C638E8"/>
    <w:rsid w:val="00C63EF4"/>
    <w:rsid w:val="00C6403F"/>
    <w:rsid w:val="00C640EB"/>
    <w:rsid w:val="00C64661"/>
    <w:rsid w:val="00C64722"/>
    <w:rsid w:val="00C648DB"/>
    <w:rsid w:val="00C657E4"/>
    <w:rsid w:val="00C65D94"/>
    <w:rsid w:val="00C66031"/>
    <w:rsid w:val="00C6653C"/>
    <w:rsid w:val="00C6672E"/>
    <w:rsid w:val="00C66E5C"/>
    <w:rsid w:val="00C67373"/>
    <w:rsid w:val="00C675D1"/>
    <w:rsid w:val="00C67869"/>
    <w:rsid w:val="00C702C0"/>
    <w:rsid w:val="00C70657"/>
    <w:rsid w:val="00C70913"/>
    <w:rsid w:val="00C71151"/>
    <w:rsid w:val="00C7151C"/>
    <w:rsid w:val="00C719D7"/>
    <w:rsid w:val="00C728A6"/>
    <w:rsid w:val="00C72F9A"/>
    <w:rsid w:val="00C733B2"/>
    <w:rsid w:val="00C735D4"/>
    <w:rsid w:val="00C73C22"/>
    <w:rsid w:val="00C741AD"/>
    <w:rsid w:val="00C74302"/>
    <w:rsid w:val="00C75856"/>
    <w:rsid w:val="00C7592F"/>
    <w:rsid w:val="00C75A23"/>
    <w:rsid w:val="00C75F35"/>
    <w:rsid w:val="00C766F9"/>
    <w:rsid w:val="00C76737"/>
    <w:rsid w:val="00C7699F"/>
    <w:rsid w:val="00C76AF1"/>
    <w:rsid w:val="00C7761B"/>
    <w:rsid w:val="00C77639"/>
    <w:rsid w:val="00C777AE"/>
    <w:rsid w:val="00C77A8B"/>
    <w:rsid w:val="00C801AC"/>
    <w:rsid w:val="00C805E9"/>
    <w:rsid w:val="00C808C6"/>
    <w:rsid w:val="00C80A98"/>
    <w:rsid w:val="00C80BF1"/>
    <w:rsid w:val="00C80F67"/>
    <w:rsid w:val="00C812D5"/>
    <w:rsid w:val="00C81481"/>
    <w:rsid w:val="00C815AB"/>
    <w:rsid w:val="00C81EEF"/>
    <w:rsid w:val="00C83048"/>
    <w:rsid w:val="00C83242"/>
    <w:rsid w:val="00C83E3E"/>
    <w:rsid w:val="00C841D5"/>
    <w:rsid w:val="00C851D8"/>
    <w:rsid w:val="00C8550C"/>
    <w:rsid w:val="00C85514"/>
    <w:rsid w:val="00C855D4"/>
    <w:rsid w:val="00C85811"/>
    <w:rsid w:val="00C858C9"/>
    <w:rsid w:val="00C8596D"/>
    <w:rsid w:val="00C85C32"/>
    <w:rsid w:val="00C86183"/>
    <w:rsid w:val="00C861A8"/>
    <w:rsid w:val="00C864D5"/>
    <w:rsid w:val="00C865C2"/>
    <w:rsid w:val="00C865D8"/>
    <w:rsid w:val="00C869FC"/>
    <w:rsid w:val="00C86AC1"/>
    <w:rsid w:val="00C86EA4"/>
    <w:rsid w:val="00C87466"/>
    <w:rsid w:val="00C874E9"/>
    <w:rsid w:val="00C8761E"/>
    <w:rsid w:val="00C87E5C"/>
    <w:rsid w:val="00C90130"/>
    <w:rsid w:val="00C905ED"/>
    <w:rsid w:val="00C90E64"/>
    <w:rsid w:val="00C913E6"/>
    <w:rsid w:val="00C91526"/>
    <w:rsid w:val="00C91613"/>
    <w:rsid w:val="00C91AE5"/>
    <w:rsid w:val="00C91C3E"/>
    <w:rsid w:val="00C91ED4"/>
    <w:rsid w:val="00C9264D"/>
    <w:rsid w:val="00C92762"/>
    <w:rsid w:val="00C92A42"/>
    <w:rsid w:val="00C935AF"/>
    <w:rsid w:val="00C93F2B"/>
    <w:rsid w:val="00C94319"/>
    <w:rsid w:val="00C945C5"/>
    <w:rsid w:val="00C9552F"/>
    <w:rsid w:val="00C95794"/>
    <w:rsid w:val="00C958CE"/>
    <w:rsid w:val="00C95904"/>
    <w:rsid w:val="00C959C2"/>
    <w:rsid w:val="00C95C17"/>
    <w:rsid w:val="00C96381"/>
    <w:rsid w:val="00C9666D"/>
    <w:rsid w:val="00C976AE"/>
    <w:rsid w:val="00C9784E"/>
    <w:rsid w:val="00C97DB3"/>
    <w:rsid w:val="00CA0228"/>
    <w:rsid w:val="00CA029E"/>
    <w:rsid w:val="00CA034C"/>
    <w:rsid w:val="00CA05C1"/>
    <w:rsid w:val="00CA0D15"/>
    <w:rsid w:val="00CA0D7C"/>
    <w:rsid w:val="00CA0EC9"/>
    <w:rsid w:val="00CA0F7C"/>
    <w:rsid w:val="00CA1115"/>
    <w:rsid w:val="00CA1157"/>
    <w:rsid w:val="00CA1373"/>
    <w:rsid w:val="00CA16E1"/>
    <w:rsid w:val="00CA17CF"/>
    <w:rsid w:val="00CA187D"/>
    <w:rsid w:val="00CA1B77"/>
    <w:rsid w:val="00CA1F50"/>
    <w:rsid w:val="00CA233D"/>
    <w:rsid w:val="00CA2D73"/>
    <w:rsid w:val="00CA3121"/>
    <w:rsid w:val="00CA32AA"/>
    <w:rsid w:val="00CA32C3"/>
    <w:rsid w:val="00CA34D3"/>
    <w:rsid w:val="00CA3664"/>
    <w:rsid w:val="00CA3C15"/>
    <w:rsid w:val="00CA3D31"/>
    <w:rsid w:val="00CA3E86"/>
    <w:rsid w:val="00CA485A"/>
    <w:rsid w:val="00CA5265"/>
    <w:rsid w:val="00CA5558"/>
    <w:rsid w:val="00CA57F7"/>
    <w:rsid w:val="00CA61CC"/>
    <w:rsid w:val="00CA6209"/>
    <w:rsid w:val="00CA6424"/>
    <w:rsid w:val="00CA649F"/>
    <w:rsid w:val="00CA7271"/>
    <w:rsid w:val="00CA76A3"/>
    <w:rsid w:val="00CB0029"/>
    <w:rsid w:val="00CB014E"/>
    <w:rsid w:val="00CB042C"/>
    <w:rsid w:val="00CB080F"/>
    <w:rsid w:val="00CB105D"/>
    <w:rsid w:val="00CB1A5B"/>
    <w:rsid w:val="00CB20F6"/>
    <w:rsid w:val="00CB24AC"/>
    <w:rsid w:val="00CB2AD9"/>
    <w:rsid w:val="00CB2DBA"/>
    <w:rsid w:val="00CB2ED4"/>
    <w:rsid w:val="00CB300E"/>
    <w:rsid w:val="00CB30CE"/>
    <w:rsid w:val="00CB360B"/>
    <w:rsid w:val="00CB38EE"/>
    <w:rsid w:val="00CB3979"/>
    <w:rsid w:val="00CB3C27"/>
    <w:rsid w:val="00CB3FC8"/>
    <w:rsid w:val="00CB421B"/>
    <w:rsid w:val="00CB4467"/>
    <w:rsid w:val="00CB4874"/>
    <w:rsid w:val="00CB4A62"/>
    <w:rsid w:val="00CB4CDF"/>
    <w:rsid w:val="00CB5091"/>
    <w:rsid w:val="00CB562A"/>
    <w:rsid w:val="00CB5B8E"/>
    <w:rsid w:val="00CB5C05"/>
    <w:rsid w:val="00CB5FC9"/>
    <w:rsid w:val="00CB602C"/>
    <w:rsid w:val="00CB6078"/>
    <w:rsid w:val="00CB6104"/>
    <w:rsid w:val="00CB6130"/>
    <w:rsid w:val="00CB6D8B"/>
    <w:rsid w:val="00CB7054"/>
    <w:rsid w:val="00CB754D"/>
    <w:rsid w:val="00CB762C"/>
    <w:rsid w:val="00CB7883"/>
    <w:rsid w:val="00CB796A"/>
    <w:rsid w:val="00CB7D60"/>
    <w:rsid w:val="00CB7E99"/>
    <w:rsid w:val="00CC0257"/>
    <w:rsid w:val="00CC0357"/>
    <w:rsid w:val="00CC0615"/>
    <w:rsid w:val="00CC07C5"/>
    <w:rsid w:val="00CC07DB"/>
    <w:rsid w:val="00CC122B"/>
    <w:rsid w:val="00CC1D99"/>
    <w:rsid w:val="00CC1ED8"/>
    <w:rsid w:val="00CC20EF"/>
    <w:rsid w:val="00CC279B"/>
    <w:rsid w:val="00CC34D6"/>
    <w:rsid w:val="00CC37D3"/>
    <w:rsid w:val="00CC3EBB"/>
    <w:rsid w:val="00CC4197"/>
    <w:rsid w:val="00CC4218"/>
    <w:rsid w:val="00CC44A2"/>
    <w:rsid w:val="00CC483E"/>
    <w:rsid w:val="00CC485D"/>
    <w:rsid w:val="00CC4930"/>
    <w:rsid w:val="00CC4D76"/>
    <w:rsid w:val="00CC4DE7"/>
    <w:rsid w:val="00CC50EF"/>
    <w:rsid w:val="00CC51C5"/>
    <w:rsid w:val="00CC5BD3"/>
    <w:rsid w:val="00CC71AD"/>
    <w:rsid w:val="00CC7201"/>
    <w:rsid w:val="00CC727C"/>
    <w:rsid w:val="00CC74A7"/>
    <w:rsid w:val="00CC758A"/>
    <w:rsid w:val="00CC7716"/>
    <w:rsid w:val="00CC7B89"/>
    <w:rsid w:val="00CC7E3D"/>
    <w:rsid w:val="00CD0639"/>
    <w:rsid w:val="00CD0DCC"/>
    <w:rsid w:val="00CD0F94"/>
    <w:rsid w:val="00CD1679"/>
    <w:rsid w:val="00CD1A4C"/>
    <w:rsid w:val="00CD1A8E"/>
    <w:rsid w:val="00CD1DD9"/>
    <w:rsid w:val="00CD1E03"/>
    <w:rsid w:val="00CD1E7B"/>
    <w:rsid w:val="00CD29D6"/>
    <w:rsid w:val="00CD2CE9"/>
    <w:rsid w:val="00CD300D"/>
    <w:rsid w:val="00CD371D"/>
    <w:rsid w:val="00CD3936"/>
    <w:rsid w:val="00CD3A84"/>
    <w:rsid w:val="00CD4041"/>
    <w:rsid w:val="00CD40D7"/>
    <w:rsid w:val="00CD449E"/>
    <w:rsid w:val="00CD464C"/>
    <w:rsid w:val="00CD46AB"/>
    <w:rsid w:val="00CD46E4"/>
    <w:rsid w:val="00CD4B97"/>
    <w:rsid w:val="00CD4CCF"/>
    <w:rsid w:val="00CD4D85"/>
    <w:rsid w:val="00CD4E0F"/>
    <w:rsid w:val="00CD4F15"/>
    <w:rsid w:val="00CD5383"/>
    <w:rsid w:val="00CD576A"/>
    <w:rsid w:val="00CD6441"/>
    <w:rsid w:val="00CD6760"/>
    <w:rsid w:val="00CD6A6F"/>
    <w:rsid w:val="00CD6E7B"/>
    <w:rsid w:val="00CD77C3"/>
    <w:rsid w:val="00CD7943"/>
    <w:rsid w:val="00CD7985"/>
    <w:rsid w:val="00CE005E"/>
    <w:rsid w:val="00CE02AF"/>
    <w:rsid w:val="00CE0380"/>
    <w:rsid w:val="00CE041E"/>
    <w:rsid w:val="00CE11A4"/>
    <w:rsid w:val="00CE1F99"/>
    <w:rsid w:val="00CE2457"/>
    <w:rsid w:val="00CE2B6D"/>
    <w:rsid w:val="00CE2D6D"/>
    <w:rsid w:val="00CE38F8"/>
    <w:rsid w:val="00CE3997"/>
    <w:rsid w:val="00CE3C29"/>
    <w:rsid w:val="00CE439A"/>
    <w:rsid w:val="00CE444C"/>
    <w:rsid w:val="00CE464B"/>
    <w:rsid w:val="00CE4B58"/>
    <w:rsid w:val="00CE4D0E"/>
    <w:rsid w:val="00CE4EA4"/>
    <w:rsid w:val="00CE4FED"/>
    <w:rsid w:val="00CE5611"/>
    <w:rsid w:val="00CE5A80"/>
    <w:rsid w:val="00CE5B2F"/>
    <w:rsid w:val="00CE601A"/>
    <w:rsid w:val="00CE62FC"/>
    <w:rsid w:val="00CE6593"/>
    <w:rsid w:val="00CE6764"/>
    <w:rsid w:val="00CE67AE"/>
    <w:rsid w:val="00CE68F5"/>
    <w:rsid w:val="00CF0043"/>
    <w:rsid w:val="00CF08BD"/>
    <w:rsid w:val="00CF0A97"/>
    <w:rsid w:val="00CF1214"/>
    <w:rsid w:val="00CF17DC"/>
    <w:rsid w:val="00CF1B22"/>
    <w:rsid w:val="00CF267D"/>
    <w:rsid w:val="00CF2E8E"/>
    <w:rsid w:val="00CF2FE1"/>
    <w:rsid w:val="00CF38F1"/>
    <w:rsid w:val="00CF3ABA"/>
    <w:rsid w:val="00CF3C8E"/>
    <w:rsid w:val="00CF3E5B"/>
    <w:rsid w:val="00CF4130"/>
    <w:rsid w:val="00CF427D"/>
    <w:rsid w:val="00CF4761"/>
    <w:rsid w:val="00CF5426"/>
    <w:rsid w:val="00CF5BD6"/>
    <w:rsid w:val="00CF5E5B"/>
    <w:rsid w:val="00CF6223"/>
    <w:rsid w:val="00CF62D3"/>
    <w:rsid w:val="00CF65F3"/>
    <w:rsid w:val="00CF672D"/>
    <w:rsid w:val="00CF6F88"/>
    <w:rsid w:val="00CF6FCD"/>
    <w:rsid w:val="00CF70B4"/>
    <w:rsid w:val="00CF7336"/>
    <w:rsid w:val="00CF73B0"/>
    <w:rsid w:val="00CF7C22"/>
    <w:rsid w:val="00D00D60"/>
    <w:rsid w:val="00D00D62"/>
    <w:rsid w:val="00D00DB5"/>
    <w:rsid w:val="00D0138E"/>
    <w:rsid w:val="00D01933"/>
    <w:rsid w:val="00D01BD0"/>
    <w:rsid w:val="00D01CA1"/>
    <w:rsid w:val="00D01CEA"/>
    <w:rsid w:val="00D01DF0"/>
    <w:rsid w:val="00D02387"/>
    <w:rsid w:val="00D025CD"/>
    <w:rsid w:val="00D02840"/>
    <w:rsid w:val="00D0295B"/>
    <w:rsid w:val="00D03A17"/>
    <w:rsid w:val="00D03BB0"/>
    <w:rsid w:val="00D0454D"/>
    <w:rsid w:val="00D04C68"/>
    <w:rsid w:val="00D05289"/>
    <w:rsid w:val="00D05519"/>
    <w:rsid w:val="00D060CE"/>
    <w:rsid w:val="00D069ED"/>
    <w:rsid w:val="00D07631"/>
    <w:rsid w:val="00D07663"/>
    <w:rsid w:val="00D07F18"/>
    <w:rsid w:val="00D106DA"/>
    <w:rsid w:val="00D10756"/>
    <w:rsid w:val="00D11177"/>
    <w:rsid w:val="00D120DC"/>
    <w:rsid w:val="00D12187"/>
    <w:rsid w:val="00D12CA0"/>
    <w:rsid w:val="00D12D85"/>
    <w:rsid w:val="00D12E17"/>
    <w:rsid w:val="00D12EE4"/>
    <w:rsid w:val="00D132CD"/>
    <w:rsid w:val="00D13D3A"/>
    <w:rsid w:val="00D14B48"/>
    <w:rsid w:val="00D14B9D"/>
    <w:rsid w:val="00D15B95"/>
    <w:rsid w:val="00D15DD2"/>
    <w:rsid w:val="00D16506"/>
    <w:rsid w:val="00D167E0"/>
    <w:rsid w:val="00D16854"/>
    <w:rsid w:val="00D16ED9"/>
    <w:rsid w:val="00D173D2"/>
    <w:rsid w:val="00D17DC1"/>
    <w:rsid w:val="00D20381"/>
    <w:rsid w:val="00D205BE"/>
    <w:rsid w:val="00D20954"/>
    <w:rsid w:val="00D20A60"/>
    <w:rsid w:val="00D213DD"/>
    <w:rsid w:val="00D21776"/>
    <w:rsid w:val="00D21B80"/>
    <w:rsid w:val="00D225C0"/>
    <w:rsid w:val="00D225EA"/>
    <w:rsid w:val="00D2264F"/>
    <w:rsid w:val="00D22667"/>
    <w:rsid w:val="00D22B8C"/>
    <w:rsid w:val="00D2336A"/>
    <w:rsid w:val="00D233D9"/>
    <w:rsid w:val="00D23990"/>
    <w:rsid w:val="00D23E0D"/>
    <w:rsid w:val="00D2445B"/>
    <w:rsid w:val="00D24B82"/>
    <w:rsid w:val="00D25194"/>
    <w:rsid w:val="00D25489"/>
    <w:rsid w:val="00D25688"/>
    <w:rsid w:val="00D25D2C"/>
    <w:rsid w:val="00D25FC3"/>
    <w:rsid w:val="00D26789"/>
    <w:rsid w:val="00D26BD2"/>
    <w:rsid w:val="00D26CEF"/>
    <w:rsid w:val="00D270E5"/>
    <w:rsid w:val="00D27167"/>
    <w:rsid w:val="00D27202"/>
    <w:rsid w:val="00D2789A"/>
    <w:rsid w:val="00D278F1"/>
    <w:rsid w:val="00D27FC5"/>
    <w:rsid w:val="00D27FD7"/>
    <w:rsid w:val="00D3011F"/>
    <w:rsid w:val="00D30965"/>
    <w:rsid w:val="00D31B0B"/>
    <w:rsid w:val="00D326CB"/>
    <w:rsid w:val="00D327D4"/>
    <w:rsid w:val="00D32A0B"/>
    <w:rsid w:val="00D335E7"/>
    <w:rsid w:val="00D33AE4"/>
    <w:rsid w:val="00D33CFC"/>
    <w:rsid w:val="00D33D85"/>
    <w:rsid w:val="00D33F4A"/>
    <w:rsid w:val="00D34150"/>
    <w:rsid w:val="00D343D7"/>
    <w:rsid w:val="00D347AA"/>
    <w:rsid w:val="00D3483B"/>
    <w:rsid w:val="00D34B52"/>
    <w:rsid w:val="00D34EAB"/>
    <w:rsid w:val="00D3502B"/>
    <w:rsid w:val="00D35035"/>
    <w:rsid w:val="00D350E2"/>
    <w:rsid w:val="00D3588A"/>
    <w:rsid w:val="00D360D2"/>
    <w:rsid w:val="00D36D84"/>
    <w:rsid w:val="00D3724A"/>
    <w:rsid w:val="00D37497"/>
    <w:rsid w:val="00D376E0"/>
    <w:rsid w:val="00D37BB3"/>
    <w:rsid w:val="00D405F2"/>
    <w:rsid w:val="00D40DC1"/>
    <w:rsid w:val="00D40F44"/>
    <w:rsid w:val="00D4102E"/>
    <w:rsid w:val="00D4135F"/>
    <w:rsid w:val="00D41442"/>
    <w:rsid w:val="00D41490"/>
    <w:rsid w:val="00D414F0"/>
    <w:rsid w:val="00D416D1"/>
    <w:rsid w:val="00D418D9"/>
    <w:rsid w:val="00D41A5F"/>
    <w:rsid w:val="00D41C42"/>
    <w:rsid w:val="00D421BB"/>
    <w:rsid w:val="00D4226A"/>
    <w:rsid w:val="00D42286"/>
    <w:rsid w:val="00D42365"/>
    <w:rsid w:val="00D428FF"/>
    <w:rsid w:val="00D42E95"/>
    <w:rsid w:val="00D4301E"/>
    <w:rsid w:val="00D4381D"/>
    <w:rsid w:val="00D43931"/>
    <w:rsid w:val="00D43BBC"/>
    <w:rsid w:val="00D43E76"/>
    <w:rsid w:val="00D4404B"/>
    <w:rsid w:val="00D4456E"/>
    <w:rsid w:val="00D4461A"/>
    <w:rsid w:val="00D449F1"/>
    <w:rsid w:val="00D44E89"/>
    <w:rsid w:val="00D4516B"/>
    <w:rsid w:val="00D45305"/>
    <w:rsid w:val="00D47BC8"/>
    <w:rsid w:val="00D47D3B"/>
    <w:rsid w:val="00D47D6F"/>
    <w:rsid w:val="00D47E4A"/>
    <w:rsid w:val="00D5016C"/>
    <w:rsid w:val="00D505E3"/>
    <w:rsid w:val="00D50B2B"/>
    <w:rsid w:val="00D5159D"/>
    <w:rsid w:val="00D517D0"/>
    <w:rsid w:val="00D519F7"/>
    <w:rsid w:val="00D51A70"/>
    <w:rsid w:val="00D51AE5"/>
    <w:rsid w:val="00D520A9"/>
    <w:rsid w:val="00D52192"/>
    <w:rsid w:val="00D52444"/>
    <w:rsid w:val="00D525FB"/>
    <w:rsid w:val="00D526D2"/>
    <w:rsid w:val="00D5297A"/>
    <w:rsid w:val="00D52B64"/>
    <w:rsid w:val="00D534F6"/>
    <w:rsid w:val="00D53C91"/>
    <w:rsid w:val="00D53E93"/>
    <w:rsid w:val="00D54C91"/>
    <w:rsid w:val="00D54DFF"/>
    <w:rsid w:val="00D54E1F"/>
    <w:rsid w:val="00D5562C"/>
    <w:rsid w:val="00D556F9"/>
    <w:rsid w:val="00D55705"/>
    <w:rsid w:val="00D568AF"/>
    <w:rsid w:val="00D56D32"/>
    <w:rsid w:val="00D57791"/>
    <w:rsid w:val="00D579EF"/>
    <w:rsid w:val="00D57FAE"/>
    <w:rsid w:val="00D601B5"/>
    <w:rsid w:val="00D606F1"/>
    <w:rsid w:val="00D608BA"/>
    <w:rsid w:val="00D60BC9"/>
    <w:rsid w:val="00D612F1"/>
    <w:rsid w:val="00D615B3"/>
    <w:rsid w:val="00D618BB"/>
    <w:rsid w:val="00D61AD2"/>
    <w:rsid w:val="00D62A00"/>
    <w:rsid w:val="00D62D38"/>
    <w:rsid w:val="00D62DB1"/>
    <w:rsid w:val="00D62F80"/>
    <w:rsid w:val="00D63245"/>
    <w:rsid w:val="00D6397D"/>
    <w:rsid w:val="00D639BD"/>
    <w:rsid w:val="00D63FC1"/>
    <w:rsid w:val="00D6474F"/>
    <w:rsid w:val="00D648BF"/>
    <w:rsid w:val="00D65287"/>
    <w:rsid w:val="00D65324"/>
    <w:rsid w:val="00D6535F"/>
    <w:rsid w:val="00D656EF"/>
    <w:rsid w:val="00D65E27"/>
    <w:rsid w:val="00D6603C"/>
    <w:rsid w:val="00D660B9"/>
    <w:rsid w:val="00D663BA"/>
    <w:rsid w:val="00D668A3"/>
    <w:rsid w:val="00D66A46"/>
    <w:rsid w:val="00D66BAD"/>
    <w:rsid w:val="00D6738D"/>
    <w:rsid w:val="00D67596"/>
    <w:rsid w:val="00D676F3"/>
    <w:rsid w:val="00D67C12"/>
    <w:rsid w:val="00D70240"/>
    <w:rsid w:val="00D70C59"/>
    <w:rsid w:val="00D70FB8"/>
    <w:rsid w:val="00D71603"/>
    <w:rsid w:val="00D71B74"/>
    <w:rsid w:val="00D71B94"/>
    <w:rsid w:val="00D71E5B"/>
    <w:rsid w:val="00D71ED7"/>
    <w:rsid w:val="00D71EEF"/>
    <w:rsid w:val="00D71EF4"/>
    <w:rsid w:val="00D7224D"/>
    <w:rsid w:val="00D723E9"/>
    <w:rsid w:val="00D72808"/>
    <w:rsid w:val="00D7294D"/>
    <w:rsid w:val="00D72B3D"/>
    <w:rsid w:val="00D72BDC"/>
    <w:rsid w:val="00D7363E"/>
    <w:rsid w:val="00D7364B"/>
    <w:rsid w:val="00D738F4"/>
    <w:rsid w:val="00D73962"/>
    <w:rsid w:val="00D739AF"/>
    <w:rsid w:val="00D73A73"/>
    <w:rsid w:val="00D73B00"/>
    <w:rsid w:val="00D73EDE"/>
    <w:rsid w:val="00D74295"/>
    <w:rsid w:val="00D74458"/>
    <w:rsid w:val="00D74905"/>
    <w:rsid w:val="00D74E9B"/>
    <w:rsid w:val="00D75553"/>
    <w:rsid w:val="00D75A09"/>
    <w:rsid w:val="00D75C83"/>
    <w:rsid w:val="00D75D5E"/>
    <w:rsid w:val="00D762E8"/>
    <w:rsid w:val="00D765D1"/>
    <w:rsid w:val="00D7672C"/>
    <w:rsid w:val="00D7759A"/>
    <w:rsid w:val="00D775EF"/>
    <w:rsid w:val="00D77849"/>
    <w:rsid w:val="00D779CF"/>
    <w:rsid w:val="00D77A86"/>
    <w:rsid w:val="00D77CA9"/>
    <w:rsid w:val="00D77E96"/>
    <w:rsid w:val="00D800ED"/>
    <w:rsid w:val="00D801C9"/>
    <w:rsid w:val="00D80E23"/>
    <w:rsid w:val="00D80E24"/>
    <w:rsid w:val="00D812CA"/>
    <w:rsid w:val="00D817C9"/>
    <w:rsid w:val="00D81995"/>
    <w:rsid w:val="00D81FAC"/>
    <w:rsid w:val="00D820DD"/>
    <w:rsid w:val="00D82405"/>
    <w:rsid w:val="00D82C9F"/>
    <w:rsid w:val="00D83667"/>
    <w:rsid w:val="00D83714"/>
    <w:rsid w:val="00D839C0"/>
    <w:rsid w:val="00D83AEA"/>
    <w:rsid w:val="00D83D02"/>
    <w:rsid w:val="00D8416F"/>
    <w:rsid w:val="00D84305"/>
    <w:rsid w:val="00D84501"/>
    <w:rsid w:val="00D848CC"/>
    <w:rsid w:val="00D84A8E"/>
    <w:rsid w:val="00D84BE8"/>
    <w:rsid w:val="00D85362"/>
    <w:rsid w:val="00D85478"/>
    <w:rsid w:val="00D85882"/>
    <w:rsid w:val="00D85A1A"/>
    <w:rsid w:val="00D85B34"/>
    <w:rsid w:val="00D85ECD"/>
    <w:rsid w:val="00D85EE1"/>
    <w:rsid w:val="00D864A3"/>
    <w:rsid w:val="00D86E88"/>
    <w:rsid w:val="00D87FAB"/>
    <w:rsid w:val="00D90485"/>
    <w:rsid w:val="00D90BEC"/>
    <w:rsid w:val="00D90FEB"/>
    <w:rsid w:val="00D91240"/>
    <w:rsid w:val="00D918F5"/>
    <w:rsid w:val="00D91DD0"/>
    <w:rsid w:val="00D91E30"/>
    <w:rsid w:val="00D91E5A"/>
    <w:rsid w:val="00D92061"/>
    <w:rsid w:val="00D9209D"/>
    <w:rsid w:val="00D924C0"/>
    <w:rsid w:val="00D926F5"/>
    <w:rsid w:val="00D928EC"/>
    <w:rsid w:val="00D92EFD"/>
    <w:rsid w:val="00D9354D"/>
    <w:rsid w:val="00D9394D"/>
    <w:rsid w:val="00D93F76"/>
    <w:rsid w:val="00D94A2C"/>
    <w:rsid w:val="00D957BA"/>
    <w:rsid w:val="00D96BF5"/>
    <w:rsid w:val="00D96E43"/>
    <w:rsid w:val="00D97033"/>
    <w:rsid w:val="00D973DB"/>
    <w:rsid w:val="00D973FA"/>
    <w:rsid w:val="00D9741E"/>
    <w:rsid w:val="00D978A8"/>
    <w:rsid w:val="00D978FA"/>
    <w:rsid w:val="00D97908"/>
    <w:rsid w:val="00D97B8F"/>
    <w:rsid w:val="00DA0CC9"/>
    <w:rsid w:val="00DA1244"/>
    <w:rsid w:val="00DA1382"/>
    <w:rsid w:val="00DA13A4"/>
    <w:rsid w:val="00DA14C4"/>
    <w:rsid w:val="00DA1BF6"/>
    <w:rsid w:val="00DA219A"/>
    <w:rsid w:val="00DA2387"/>
    <w:rsid w:val="00DA23B5"/>
    <w:rsid w:val="00DA2490"/>
    <w:rsid w:val="00DA31FA"/>
    <w:rsid w:val="00DA3B8D"/>
    <w:rsid w:val="00DA3BCB"/>
    <w:rsid w:val="00DA4198"/>
    <w:rsid w:val="00DA43F8"/>
    <w:rsid w:val="00DA4642"/>
    <w:rsid w:val="00DA4F97"/>
    <w:rsid w:val="00DA522A"/>
    <w:rsid w:val="00DA538A"/>
    <w:rsid w:val="00DA570D"/>
    <w:rsid w:val="00DA5780"/>
    <w:rsid w:val="00DA5B1C"/>
    <w:rsid w:val="00DA5B9C"/>
    <w:rsid w:val="00DA60EA"/>
    <w:rsid w:val="00DA66B3"/>
    <w:rsid w:val="00DA68B2"/>
    <w:rsid w:val="00DA6A20"/>
    <w:rsid w:val="00DA710F"/>
    <w:rsid w:val="00DA7325"/>
    <w:rsid w:val="00DA734E"/>
    <w:rsid w:val="00DA7933"/>
    <w:rsid w:val="00DA7C9B"/>
    <w:rsid w:val="00DA7CF6"/>
    <w:rsid w:val="00DB03CC"/>
    <w:rsid w:val="00DB03EE"/>
    <w:rsid w:val="00DB0681"/>
    <w:rsid w:val="00DB0687"/>
    <w:rsid w:val="00DB0C77"/>
    <w:rsid w:val="00DB0DB6"/>
    <w:rsid w:val="00DB15E0"/>
    <w:rsid w:val="00DB19D1"/>
    <w:rsid w:val="00DB1B02"/>
    <w:rsid w:val="00DB1B93"/>
    <w:rsid w:val="00DB1CCE"/>
    <w:rsid w:val="00DB1E7A"/>
    <w:rsid w:val="00DB27E6"/>
    <w:rsid w:val="00DB2931"/>
    <w:rsid w:val="00DB2D4D"/>
    <w:rsid w:val="00DB3357"/>
    <w:rsid w:val="00DB34E3"/>
    <w:rsid w:val="00DB3679"/>
    <w:rsid w:val="00DB3713"/>
    <w:rsid w:val="00DB3C1E"/>
    <w:rsid w:val="00DB3E1B"/>
    <w:rsid w:val="00DB4077"/>
    <w:rsid w:val="00DB4261"/>
    <w:rsid w:val="00DB4323"/>
    <w:rsid w:val="00DB4D18"/>
    <w:rsid w:val="00DB50CD"/>
    <w:rsid w:val="00DB5312"/>
    <w:rsid w:val="00DB5765"/>
    <w:rsid w:val="00DB5B3F"/>
    <w:rsid w:val="00DB5CE5"/>
    <w:rsid w:val="00DB688E"/>
    <w:rsid w:val="00DB7260"/>
    <w:rsid w:val="00DB73EB"/>
    <w:rsid w:val="00DB76A7"/>
    <w:rsid w:val="00DB76BD"/>
    <w:rsid w:val="00DB7EE1"/>
    <w:rsid w:val="00DB7FD2"/>
    <w:rsid w:val="00DC0583"/>
    <w:rsid w:val="00DC074D"/>
    <w:rsid w:val="00DC0E54"/>
    <w:rsid w:val="00DC0E76"/>
    <w:rsid w:val="00DC1153"/>
    <w:rsid w:val="00DC1B2C"/>
    <w:rsid w:val="00DC1F63"/>
    <w:rsid w:val="00DC21C1"/>
    <w:rsid w:val="00DC23D1"/>
    <w:rsid w:val="00DC259F"/>
    <w:rsid w:val="00DC3090"/>
    <w:rsid w:val="00DC3122"/>
    <w:rsid w:val="00DC3425"/>
    <w:rsid w:val="00DC3A4E"/>
    <w:rsid w:val="00DC3BF6"/>
    <w:rsid w:val="00DC3CC0"/>
    <w:rsid w:val="00DC3D2D"/>
    <w:rsid w:val="00DC3ECD"/>
    <w:rsid w:val="00DC3FF0"/>
    <w:rsid w:val="00DC41AC"/>
    <w:rsid w:val="00DC4421"/>
    <w:rsid w:val="00DC4725"/>
    <w:rsid w:val="00DC4BCE"/>
    <w:rsid w:val="00DC51EC"/>
    <w:rsid w:val="00DC5602"/>
    <w:rsid w:val="00DC5BA3"/>
    <w:rsid w:val="00DC5D67"/>
    <w:rsid w:val="00DC5FF5"/>
    <w:rsid w:val="00DC671E"/>
    <w:rsid w:val="00DC685A"/>
    <w:rsid w:val="00DC6FDD"/>
    <w:rsid w:val="00DC70D4"/>
    <w:rsid w:val="00DC7222"/>
    <w:rsid w:val="00DC7512"/>
    <w:rsid w:val="00DC78F7"/>
    <w:rsid w:val="00DC799E"/>
    <w:rsid w:val="00DD019F"/>
    <w:rsid w:val="00DD01D1"/>
    <w:rsid w:val="00DD0A47"/>
    <w:rsid w:val="00DD0A51"/>
    <w:rsid w:val="00DD0AF0"/>
    <w:rsid w:val="00DD127A"/>
    <w:rsid w:val="00DD1952"/>
    <w:rsid w:val="00DD1CA3"/>
    <w:rsid w:val="00DD1F89"/>
    <w:rsid w:val="00DD22C4"/>
    <w:rsid w:val="00DD3597"/>
    <w:rsid w:val="00DD38CC"/>
    <w:rsid w:val="00DD3CB3"/>
    <w:rsid w:val="00DD4C78"/>
    <w:rsid w:val="00DD4FC8"/>
    <w:rsid w:val="00DD5574"/>
    <w:rsid w:val="00DD5579"/>
    <w:rsid w:val="00DD55FB"/>
    <w:rsid w:val="00DD5628"/>
    <w:rsid w:val="00DD5726"/>
    <w:rsid w:val="00DD598E"/>
    <w:rsid w:val="00DD6159"/>
    <w:rsid w:val="00DD644F"/>
    <w:rsid w:val="00DD6D6C"/>
    <w:rsid w:val="00DD723D"/>
    <w:rsid w:val="00DD724C"/>
    <w:rsid w:val="00DD7B0D"/>
    <w:rsid w:val="00DD7C7C"/>
    <w:rsid w:val="00DE052D"/>
    <w:rsid w:val="00DE06AF"/>
    <w:rsid w:val="00DE0A2B"/>
    <w:rsid w:val="00DE111C"/>
    <w:rsid w:val="00DE1740"/>
    <w:rsid w:val="00DE1873"/>
    <w:rsid w:val="00DE18A0"/>
    <w:rsid w:val="00DE1CB1"/>
    <w:rsid w:val="00DE22A8"/>
    <w:rsid w:val="00DE246E"/>
    <w:rsid w:val="00DE2739"/>
    <w:rsid w:val="00DE27DC"/>
    <w:rsid w:val="00DE2CA5"/>
    <w:rsid w:val="00DE2CB1"/>
    <w:rsid w:val="00DE2CCA"/>
    <w:rsid w:val="00DE2D57"/>
    <w:rsid w:val="00DE2F43"/>
    <w:rsid w:val="00DE3536"/>
    <w:rsid w:val="00DE3F0B"/>
    <w:rsid w:val="00DE45F0"/>
    <w:rsid w:val="00DE4EDD"/>
    <w:rsid w:val="00DE4F10"/>
    <w:rsid w:val="00DE5069"/>
    <w:rsid w:val="00DE5AD1"/>
    <w:rsid w:val="00DE610C"/>
    <w:rsid w:val="00DE6252"/>
    <w:rsid w:val="00DE655A"/>
    <w:rsid w:val="00DE663E"/>
    <w:rsid w:val="00DE6878"/>
    <w:rsid w:val="00DE6F00"/>
    <w:rsid w:val="00DE7794"/>
    <w:rsid w:val="00DF0354"/>
    <w:rsid w:val="00DF0A15"/>
    <w:rsid w:val="00DF15CB"/>
    <w:rsid w:val="00DF1691"/>
    <w:rsid w:val="00DF24B4"/>
    <w:rsid w:val="00DF2854"/>
    <w:rsid w:val="00DF3577"/>
    <w:rsid w:val="00DF4267"/>
    <w:rsid w:val="00DF44F6"/>
    <w:rsid w:val="00DF54BD"/>
    <w:rsid w:val="00DF578D"/>
    <w:rsid w:val="00DF5798"/>
    <w:rsid w:val="00DF587D"/>
    <w:rsid w:val="00DF5BCC"/>
    <w:rsid w:val="00DF6039"/>
    <w:rsid w:val="00DF6885"/>
    <w:rsid w:val="00DF68C8"/>
    <w:rsid w:val="00DF70D1"/>
    <w:rsid w:val="00DF72FF"/>
    <w:rsid w:val="00DF75F2"/>
    <w:rsid w:val="00DF772A"/>
    <w:rsid w:val="00DF7B2C"/>
    <w:rsid w:val="00DF7C5C"/>
    <w:rsid w:val="00E0102A"/>
    <w:rsid w:val="00E01213"/>
    <w:rsid w:val="00E01340"/>
    <w:rsid w:val="00E013C1"/>
    <w:rsid w:val="00E0219B"/>
    <w:rsid w:val="00E0231C"/>
    <w:rsid w:val="00E023E9"/>
    <w:rsid w:val="00E0245D"/>
    <w:rsid w:val="00E03257"/>
    <w:rsid w:val="00E03362"/>
    <w:rsid w:val="00E03682"/>
    <w:rsid w:val="00E036B4"/>
    <w:rsid w:val="00E041F2"/>
    <w:rsid w:val="00E044F8"/>
    <w:rsid w:val="00E048D7"/>
    <w:rsid w:val="00E04B29"/>
    <w:rsid w:val="00E04C43"/>
    <w:rsid w:val="00E05BCE"/>
    <w:rsid w:val="00E06934"/>
    <w:rsid w:val="00E06A0C"/>
    <w:rsid w:val="00E06CC5"/>
    <w:rsid w:val="00E06D68"/>
    <w:rsid w:val="00E071F4"/>
    <w:rsid w:val="00E073BD"/>
    <w:rsid w:val="00E073C7"/>
    <w:rsid w:val="00E075E4"/>
    <w:rsid w:val="00E078A0"/>
    <w:rsid w:val="00E07BC7"/>
    <w:rsid w:val="00E07BE1"/>
    <w:rsid w:val="00E07C07"/>
    <w:rsid w:val="00E07C6E"/>
    <w:rsid w:val="00E07C84"/>
    <w:rsid w:val="00E103B0"/>
    <w:rsid w:val="00E10BBC"/>
    <w:rsid w:val="00E10D96"/>
    <w:rsid w:val="00E10F3C"/>
    <w:rsid w:val="00E10FD3"/>
    <w:rsid w:val="00E11164"/>
    <w:rsid w:val="00E11637"/>
    <w:rsid w:val="00E121F3"/>
    <w:rsid w:val="00E1220E"/>
    <w:rsid w:val="00E12255"/>
    <w:rsid w:val="00E12386"/>
    <w:rsid w:val="00E124C7"/>
    <w:rsid w:val="00E128DE"/>
    <w:rsid w:val="00E12D56"/>
    <w:rsid w:val="00E12D75"/>
    <w:rsid w:val="00E12E37"/>
    <w:rsid w:val="00E13350"/>
    <w:rsid w:val="00E13483"/>
    <w:rsid w:val="00E13E4A"/>
    <w:rsid w:val="00E13E54"/>
    <w:rsid w:val="00E14091"/>
    <w:rsid w:val="00E14152"/>
    <w:rsid w:val="00E14574"/>
    <w:rsid w:val="00E14775"/>
    <w:rsid w:val="00E14878"/>
    <w:rsid w:val="00E14C7F"/>
    <w:rsid w:val="00E14CDB"/>
    <w:rsid w:val="00E14EC4"/>
    <w:rsid w:val="00E14F3B"/>
    <w:rsid w:val="00E150DC"/>
    <w:rsid w:val="00E15544"/>
    <w:rsid w:val="00E15E60"/>
    <w:rsid w:val="00E15FAC"/>
    <w:rsid w:val="00E1643A"/>
    <w:rsid w:val="00E165C1"/>
    <w:rsid w:val="00E17736"/>
    <w:rsid w:val="00E17946"/>
    <w:rsid w:val="00E17A2F"/>
    <w:rsid w:val="00E2034E"/>
    <w:rsid w:val="00E20FAE"/>
    <w:rsid w:val="00E2106B"/>
    <w:rsid w:val="00E210A5"/>
    <w:rsid w:val="00E2131E"/>
    <w:rsid w:val="00E21D5F"/>
    <w:rsid w:val="00E22469"/>
    <w:rsid w:val="00E227CD"/>
    <w:rsid w:val="00E229D4"/>
    <w:rsid w:val="00E22AD4"/>
    <w:rsid w:val="00E22E3E"/>
    <w:rsid w:val="00E232B6"/>
    <w:rsid w:val="00E23505"/>
    <w:rsid w:val="00E2379E"/>
    <w:rsid w:val="00E23BF0"/>
    <w:rsid w:val="00E24134"/>
    <w:rsid w:val="00E243F7"/>
    <w:rsid w:val="00E244A4"/>
    <w:rsid w:val="00E247B4"/>
    <w:rsid w:val="00E2587A"/>
    <w:rsid w:val="00E25DEA"/>
    <w:rsid w:val="00E25E1C"/>
    <w:rsid w:val="00E266FE"/>
    <w:rsid w:val="00E2699F"/>
    <w:rsid w:val="00E26A95"/>
    <w:rsid w:val="00E27105"/>
    <w:rsid w:val="00E27109"/>
    <w:rsid w:val="00E2752D"/>
    <w:rsid w:val="00E275AD"/>
    <w:rsid w:val="00E276E5"/>
    <w:rsid w:val="00E30418"/>
    <w:rsid w:val="00E30993"/>
    <w:rsid w:val="00E30F1E"/>
    <w:rsid w:val="00E31245"/>
    <w:rsid w:val="00E314E2"/>
    <w:rsid w:val="00E31712"/>
    <w:rsid w:val="00E317CD"/>
    <w:rsid w:val="00E31AD7"/>
    <w:rsid w:val="00E31AE2"/>
    <w:rsid w:val="00E31DEA"/>
    <w:rsid w:val="00E321B0"/>
    <w:rsid w:val="00E322DE"/>
    <w:rsid w:val="00E326B1"/>
    <w:rsid w:val="00E32A7B"/>
    <w:rsid w:val="00E32CE0"/>
    <w:rsid w:val="00E33869"/>
    <w:rsid w:val="00E33973"/>
    <w:rsid w:val="00E33B3C"/>
    <w:rsid w:val="00E33DA3"/>
    <w:rsid w:val="00E34FD0"/>
    <w:rsid w:val="00E351CA"/>
    <w:rsid w:val="00E35249"/>
    <w:rsid w:val="00E35532"/>
    <w:rsid w:val="00E35558"/>
    <w:rsid w:val="00E35D36"/>
    <w:rsid w:val="00E36199"/>
    <w:rsid w:val="00E36B8F"/>
    <w:rsid w:val="00E370CB"/>
    <w:rsid w:val="00E37453"/>
    <w:rsid w:val="00E37C6E"/>
    <w:rsid w:val="00E4025B"/>
    <w:rsid w:val="00E4046D"/>
    <w:rsid w:val="00E40A6B"/>
    <w:rsid w:val="00E40EB5"/>
    <w:rsid w:val="00E41300"/>
    <w:rsid w:val="00E419BD"/>
    <w:rsid w:val="00E41DB0"/>
    <w:rsid w:val="00E424F8"/>
    <w:rsid w:val="00E427CD"/>
    <w:rsid w:val="00E427DA"/>
    <w:rsid w:val="00E42B51"/>
    <w:rsid w:val="00E42D4F"/>
    <w:rsid w:val="00E42DD3"/>
    <w:rsid w:val="00E42F85"/>
    <w:rsid w:val="00E43230"/>
    <w:rsid w:val="00E43482"/>
    <w:rsid w:val="00E436EA"/>
    <w:rsid w:val="00E436F3"/>
    <w:rsid w:val="00E4399A"/>
    <w:rsid w:val="00E441E7"/>
    <w:rsid w:val="00E44711"/>
    <w:rsid w:val="00E45446"/>
    <w:rsid w:val="00E45609"/>
    <w:rsid w:val="00E46049"/>
    <w:rsid w:val="00E46076"/>
    <w:rsid w:val="00E46461"/>
    <w:rsid w:val="00E46A75"/>
    <w:rsid w:val="00E46A7D"/>
    <w:rsid w:val="00E46AE5"/>
    <w:rsid w:val="00E46BCE"/>
    <w:rsid w:val="00E46C97"/>
    <w:rsid w:val="00E46CC4"/>
    <w:rsid w:val="00E47135"/>
    <w:rsid w:val="00E476AD"/>
    <w:rsid w:val="00E47A20"/>
    <w:rsid w:val="00E47B45"/>
    <w:rsid w:val="00E5043B"/>
    <w:rsid w:val="00E505D5"/>
    <w:rsid w:val="00E50B21"/>
    <w:rsid w:val="00E50B91"/>
    <w:rsid w:val="00E50C59"/>
    <w:rsid w:val="00E50E7E"/>
    <w:rsid w:val="00E50E99"/>
    <w:rsid w:val="00E51B74"/>
    <w:rsid w:val="00E520B7"/>
    <w:rsid w:val="00E521E5"/>
    <w:rsid w:val="00E5247D"/>
    <w:rsid w:val="00E5281C"/>
    <w:rsid w:val="00E53234"/>
    <w:rsid w:val="00E535FC"/>
    <w:rsid w:val="00E5384A"/>
    <w:rsid w:val="00E53E93"/>
    <w:rsid w:val="00E53FAC"/>
    <w:rsid w:val="00E5453C"/>
    <w:rsid w:val="00E54A79"/>
    <w:rsid w:val="00E55250"/>
    <w:rsid w:val="00E552B9"/>
    <w:rsid w:val="00E552DF"/>
    <w:rsid w:val="00E55AFE"/>
    <w:rsid w:val="00E5612F"/>
    <w:rsid w:val="00E5624D"/>
    <w:rsid w:val="00E56578"/>
    <w:rsid w:val="00E56611"/>
    <w:rsid w:val="00E5670F"/>
    <w:rsid w:val="00E56750"/>
    <w:rsid w:val="00E5701C"/>
    <w:rsid w:val="00E572FF"/>
    <w:rsid w:val="00E5738F"/>
    <w:rsid w:val="00E57B4F"/>
    <w:rsid w:val="00E60211"/>
    <w:rsid w:val="00E60311"/>
    <w:rsid w:val="00E609AC"/>
    <w:rsid w:val="00E6136A"/>
    <w:rsid w:val="00E61817"/>
    <w:rsid w:val="00E6189B"/>
    <w:rsid w:val="00E6227A"/>
    <w:rsid w:val="00E622AD"/>
    <w:rsid w:val="00E62406"/>
    <w:rsid w:val="00E62611"/>
    <w:rsid w:val="00E62903"/>
    <w:rsid w:val="00E629AE"/>
    <w:rsid w:val="00E62C7A"/>
    <w:rsid w:val="00E63186"/>
    <w:rsid w:val="00E63930"/>
    <w:rsid w:val="00E6486F"/>
    <w:rsid w:val="00E64877"/>
    <w:rsid w:val="00E64A8C"/>
    <w:rsid w:val="00E64FF8"/>
    <w:rsid w:val="00E65095"/>
    <w:rsid w:val="00E65B97"/>
    <w:rsid w:val="00E663DD"/>
    <w:rsid w:val="00E664F7"/>
    <w:rsid w:val="00E66AE3"/>
    <w:rsid w:val="00E66F7B"/>
    <w:rsid w:val="00E67984"/>
    <w:rsid w:val="00E679F7"/>
    <w:rsid w:val="00E67AD1"/>
    <w:rsid w:val="00E7014F"/>
    <w:rsid w:val="00E701D3"/>
    <w:rsid w:val="00E70827"/>
    <w:rsid w:val="00E717A1"/>
    <w:rsid w:val="00E71DEF"/>
    <w:rsid w:val="00E71F8A"/>
    <w:rsid w:val="00E7212E"/>
    <w:rsid w:val="00E72341"/>
    <w:rsid w:val="00E72F88"/>
    <w:rsid w:val="00E734F4"/>
    <w:rsid w:val="00E73BBA"/>
    <w:rsid w:val="00E74C14"/>
    <w:rsid w:val="00E74D37"/>
    <w:rsid w:val="00E751DF"/>
    <w:rsid w:val="00E75403"/>
    <w:rsid w:val="00E757BF"/>
    <w:rsid w:val="00E75C87"/>
    <w:rsid w:val="00E75E80"/>
    <w:rsid w:val="00E76B11"/>
    <w:rsid w:val="00E76B47"/>
    <w:rsid w:val="00E76BE6"/>
    <w:rsid w:val="00E76C6C"/>
    <w:rsid w:val="00E76F30"/>
    <w:rsid w:val="00E770DF"/>
    <w:rsid w:val="00E77692"/>
    <w:rsid w:val="00E776E7"/>
    <w:rsid w:val="00E77DB9"/>
    <w:rsid w:val="00E8057D"/>
    <w:rsid w:val="00E8071C"/>
    <w:rsid w:val="00E80939"/>
    <w:rsid w:val="00E80987"/>
    <w:rsid w:val="00E80EC4"/>
    <w:rsid w:val="00E80ED3"/>
    <w:rsid w:val="00E81127"/>
    <w:rsid w:val="00E811E7"/>
    <w:rsid w:val="00E81386"/>
    <w:rsid w:val="00E814FB"/>
    <w:rsid w:val="00E81911"/>
    <w:rsid w:val="00E81B32"/>
    <w:rsid w:val="00E81BC7"/>
    <w:rsid w:val="00E82520"/>
    <w:rsid w:val="00E8294C"/>
    <w:rsid w:val="00E829B5"/>
    <w:rsid w:val="00E82FCC"/>
    <w:rsid w:val="00E8322F"/>
    <w:rsid w:val="00E832C8"/>
    <w:rsid w:val="00E832FB"/>
    <w:rsid w:val="00E8384F"/>
    <w:rsid w:val="00E8390E"/>
    <w:rsid w:val="00E83AF6"/>
    <w:rsid w:val="00E84759"/>
    <w:rsid w:val="00E848A9"/>
    <w:rsid w:val="00E8538E"/>
    <w:rsid w:val="00E85462"/>
    <w:rsid w:val="00E856D6"/>
    <w:rsid w:val="00E8575F"/>
    <w:rsid w:val="00E85ABF"/>
    <w:rsid w:val="00E8609C"/>
    <w:rsid w:val="00E861AB"/>
    <w:rsid w:val="00E864C0"/>
    <w:rsid w:val="00E86CE4"/>
    <w:rsid w:val="00E86F77"/>
    <w:rsid w:val="00E87041"/>
    <w:rsid w:val="00E879C8"/>
    <w:rsid w:val="00E87A1B"/>
    <w:rsid w:val="00E87A53"/>
    <w:rsid w:val="00E9064E"/>
    <w:rsid w:val="00E90824"/>
    <w:rsid w:val="00E90826"/>
    <w:rsid w:val="00E90BB4"/>
    <w:rsid w:val="00E90DBA"/>
    <w:rsid w:val="00E912DC"/>
    <w:rsid w:val="00E915E4"/>
    <w:rsid w:val="00E91D73"/>
    <w:rsid w:val="00E92429"/>
    <w:rsid w:val="00E93630"/>
    <w:rsid w:val="00E937A4"/>
    <w:rsid w:val="00E93B0E"/>
    <w:rsid w:val="00E940CD"/>
    <w:rsid w:val="00E94518"/>
    <w:rsid w:val="00E948E4"/>
    <w:rsid w:val="00E94C2A"/>
    <w:rsid w:val="00E94D8E"/>
    <w:rsid w:val="00E94EB2"/>
    <w:rsid w:val="00E9544F"/>
    <w:rsid w:val="00E95F35"/>
    <w:rsid w:val="00E96411"/>
    <w:rsid w:val="00E9659B"/>
    <w:rsid w:val="00E9664C"/>
    <w:rsid w:val="00E96826"/>
    <w:rsid w:val="00E96969"/>
    <w:rsid w:val="00E96A73"/>
    <w:rsid w:val="00E96B0D"/>
    <w:rsid w:val="00E96EA5"/>
    <w:rsid w:val="00E96EF9"/>
    <w:rsid w:val="00E97D6B"/>
    <w:rsid w:val="00E97EAF"/>
    <w:rsid w:val="00E97EC3"/>
    <w:rsid w:val="00EA023E"/>
    <w:rsid w:val="00EA04C2"/>
    <w:rsid w:val="00EA08F9"/>
    <w:rsid w:val="00EA0D79"/>
    <w:rsid w:val="00EA0E84"/>
    <w:rsid w:val="00EA12FC"/>
    <w:rsid w:val="00EA1676"/>
    <w:rsid w:val="00EA17BF"/>
    <w:rsid w:val="00EA1EC4"/>
    <w:rsid w:val="00EA1FD0"/>
    <w:rsid w:val="00EA275F"/>
    <w:rsid w:val="00EA2CE9"/>
    <w:rsid w:val="00EA2D77"/>
    <w:rsid w:val="00EA2FAD"/>
    <w:rsid w:val="00EA3C77"/>
    <w:rsid w:val="00EA41D3"/>
    <w:rsid w:val="00EA438D"/>
    <w:rsid w:val="00EA4611"/>
    <w:rsid w:val="00EA5160"/>
    <w:rsid w:val="00EA5413"/>
    <w:rsid w:val="00EA54DB"/>
    <w:rsid w:val="00EA54DF"/>
    <w:rsid w:val="00EA610F"/>
    <w:rsid w:val="00EA6931"/>
    <w:rsid w:val="00EA77B7"/>
    <w:rsid w:val="00EA7E12"/>
    <w:rsid w:val="00EB0803"/>
    <w:rsid w:val="00EB0AD1"/>
    <w:rsid w:val="00EB0C21"/>
    <w:rsid w:val="00EB0FCE"/>
    <w:rsid w:val="00EB16A7"/>
    <w:rsid w:val="00EB18F3"/>
    <w:rsid w:val="00EB1A00"/>
    <w:rsid w:val="00EB1A58"/>
    <w:rsid w:val="00EB1EEB"/>
    <w:rsid w:val="00EB2369"/>
    <w:rsid w:val="00EB2658"/>
    <w:rsid w:val="00EB35D5"/>
    <w:rsid w:val="00EB36F9"/>
    <w:rsid w:val="00EB3C85"/>
    <w:rsid w:val="00EB4013"/>
    <w:rsid w:val="00EB4109"/>
    <w:rsid w:val="00EB419C"/>
    <w:rsid w:val="00EB42B6"/>
    <w:rsid w:val="00EB43AD"/>
    <w:rsid w:val="00EB46B0"/>
    <w:rsid w:val="00EB4B12"/>
    <w:rsid w:val="00EB5620"/>
    <w:rsid w:val="00EB5885"/>
    <w:rsid w:val="00EB5D24"/>
    <w:rsid w:val="00EB5F41"/>
    <w:rsid w:val="00EB6101"/>
    <w:rsid w:val="00EB68F2"/>
    <w:rsid w:val="00EB711D"/>
    <w:rsid w:val="00EB754E"/>
    <w:rsid w:val="00EB76A5"/>
    <w:rsid w:val="00EB7EA4"/>
    <w:rsid w:val="00EC00D7"/>
    <w:rsid w:val="00EC0342"/>
    <w:rsid w:val="00EC04AA"/>
    <w:rsid w:val="00EC073F"/>
    <w:rsid w:val="00EC0FF6"/>
    <w:rsid w:val="00EC1137"/>
    <w:rsid w:val="00EC148C"/>
    <w:rsid w:val="00EC1544"/>
    <w:rsid w:val="00EC17B1"/>
    <w:rsid w:val="00EC1A4F"/>
    <w:rsid w:val="00EC1DDF"/>
    <w:rsid w:val="00EC27D7"/>
    <w:rsid w:val="00EC2AD3"/>
    <w:rsid w:val="00EC30E4"/>
    <w:rsid w:val="00EC327E"/>
    <w:rsid w:val="00EC37AE"/>
    <w:rsid w:val="00EC3A76"/>
    <w:rsid w:val="00EC3B0A"/>
    <w:rsid w:val="00EC4064"/>
    <w:rsid w:val="00EC4195"/>
    <w:rsid w:val="00EC4A38"/>
    <w:rsid w:val="00EC52F5"/>
    <w:rsid w:val="00EC5FEA"/>
    <w:rsid w:val="00EC6683"/>
    <w:rsid w:val="00EC6DF9"/>
    <w:rsid w:val="00EC79DE"/>
    <w:rsid w:val="00ED0198"/>
    <w:rsid w:val="00ED05BB"/>
    <w:rsid w:val="00ED069D"/>
    <w:rsid w:val="00ED0991"/>
    <w:rsid w:val="00ED0EEF"/>
    <w:rsid w:val="00ED1384"/>
    <w:rsid w:val="00ED1403"/>
    <w:rsid w:val="00ED1A12"/>
    <w:rsid w:val="00ED1CD6"/>
    <w:rsid w:val="00ED1D48"/>
    <w:rsid w:val="00ED1E3B"/>
    <w:rsid w:val="00ED2565"/>
    <w:rsid w:val="00ED2C04"/>
    <w:rsid w:val="00ED2E23"/>
    <w:rsid w:val="00ED2E9F"/>
    <w:rsid w:val="00ED2F9E"/>
    <w:rsid w:val="00ED3248"/>
    <w:rsid w:val="00ED3E7B"/>
    <w:rsid w:val="00ED4C31"/>
    <w:rsid w:val="00ED4CC2"/>
    <w:rsid w:val="00ED4DE8"/>
    <w:rsid w:val="00ED4E9A"/>
    <w:rsid w:val="00ED55ED"/>
    <w:rsid w:val="00ED5A20"/>
    <w:rsid w:val="00ED5AAF"/>
    <w:rsid w:val="00ED5B3A"/>
    <w:rsid w:val="00ED5F8D"/>
    <w:rsid w:val="00ED65D9"/>
    <w:rsid w:val="00ED7475"/>
    <w:rsid w:val="00ED7CB4"/>
    <w:rsid w:val="00EE0A65"/>
    <w:rsid w:val="00EE0BEC"/>
    <w:rsid w:val="00EE1199"/>
    <w:rsid w:val="00EE11D0"/>
    <w:rsid w:val="00EE1405"/>
    <w:rsid w:val="00EE158B"/>
    <w:rsid w:val="00EE1CFF"/>
    <w:rsid w:val="00EE2079"/>
    <w:rsid w:val="00EE2863"/>
    <w:rsid w:val="00EE289A"/>
    <w:rsid w:val="00EE2D99"/>
    <w:rsid w:val="00EE2D9B"/>
    <w:rsid w:val="00EE2DC1"/>
    <w:rsid w:val="00EE3342"/>
    <w:rsid w:val="00EE396E"/>
    <w:rsid w:val="00EE5AF7"/>
    <w:rsid w:val="00EE6380"/>
    <w:rsid w:val="00EE73D2"/>
    <w:rsid w:val="00EE7A9F"/>
    <w:rsid w:val="00EE7E2B"/>
    <w:rsid w:val="00EF0055"/>
    <w:rsid w:val="00EF0264"/>
    <w:rsid w:val="00EF0800"/>
    <w:rsid w:val="00EF0E62"/>
    <w:rsid w:val="00EF1581"/>
    <w:rsid w:val="00EF15DB"/>
    <w:rsid w:val="00EF16BF"/>
    <w:rsid w:val="00EF1940"/>
    <w:rsid w:val="00EF1A92"/>
    <w:rsid w:val="00EF1AC5"/>
    <w:rsid w:val="00EF2257"/>
    <w:rsid w:val="00EF28F4"/>
    <w:rsid w:val="00EF2F52"/>
    <w:rsid w:val="00EF2F91"/>
    <w:rsid w:val="00EF30A8"/>
    <w:rsid w:val="00EF30BB"/>
    <w:rsid w:val="00EF313C"/>
    <w:rsid w:val="00EF32C8"/>
    <w:rsid w:val="00EF32DA"/>
    <w:rsid w:val="00EF3327"/>
    <w:rsid w:val="00EF33B0"/>
    <w:rsid w:val="00EF33F5"/>
    <w:rsid w:val="00EF3570"/>
    <w:rsid w:val="00EF3976"/>
    <w:rsid w:val="00EF3A3F"/>
    <w:rsid w:val="00EF3E98"/>
    <w:rsid w:val="00EF442F"/>
    <w:rsid w:val="00EF4681"/>
    <w:rsid w:val="00EF47FC"/>
    <w:rsid w:val="00EF4CD8"/>
    <w:rsid w:val="00EF4D11"/>
    <w:rsid w:val="00EF51CB"/>
    <w:rsid w:val="00EF5369"/>
    <w:rsid w:val="00EF5674"/>
    <w:rsid w:val="00EF5915"/>
    <w:rsid w:val="00EF67D9"/>
    <w:rsid w:val="00EF6909"/>
    <w:rsid w:val="00EF6F12"/>
    <w:rsid w:val="00EF6F45"/>
    <w:rsid w:val="00EF725A"/>
    <w:rsid w:val="00F00001"/>
    <w:rsid w:val="00F00BCC"/>
    <w:rsid w:val="00F00D89"/>
    <w:rsid w:val="00F00FF0"/>
    <w:rsid w:val="00F014D2"/>
    <w:rsid w:val="00F01794"/>
    <w:rsid w:val="00F01CE0"/>
    <w:rsid w:val="00F02726"/>
    <w:rsid w:val="00F0294D"/>
    <w:rsid w:val="00F02ABC"/>
    <w:rsid w:val="00F02BBB"/>
    <w:rsid w:val="00F03D16"/>
    <w:rsid w:val="00F03FC2"/>
    <w:rsid w:val="00F04624"/>
    <w:rsid w:val="00F04783"/>
    <w:rsid w:val="00F04CF9"/>
    <w:rsid w:val="00F04F73"/>
    <w:rsid w:val="00F04F96"/>
    <w:rsid w:val="00F05255"/>
    <w:rsid w:val="00F053FD"/>
    <w:rsid w:val="00F056CB"/>
    <w:rsid w:val="00F057F1"/>
    <w:rsid w:val="00F05FDB"/>
    <w:rsid w:val="00F06137"/>
    <w:rsid w:val="00F067C1"/>
    <w:rsid w:val="00F068FF"/>
    <w:rsid w:val="00F06992"/>
    <w:rsid w:val="00F06BC0"/>
    <w:rsid w:val="00F078AF"/>
    <w:rsid w:val="00F07F5B"/>
    <w:rsid w:val="00F07F8C"/>
    <w:rsid w:val="00F102CC"/>
    <w:rsid w:val="00F1046D"/>
    <w:rsid w:val="00F1050C"/>
    <w:rsid w:val="00F106AA"/>
    <w:rsid w:val="00F108B9"/>
    <w:rsid w:val="00F10EE8"/>
    <w:rsid w:val="00F1122D"/>
    <w:rsid w:val="00F11262"/>
    <w:rsid w:val="00F11678"/>
    <w:rsid w:val="00F120C1"/>
    <w:rsid w:val="00F12349"/>
    <w:rsid w:val="00F123C1"/>
    <w:rsid w:val="00F129FC"/>
    <w:rsid w:val="00F12F92"/>
    <w:rsid w:val="00F13863"/>
    <w:rsid w:val="00F1399A"/>
    <w:rsid w:val="00F139EC"/>
    <w:rsid w:val="00F140A5"/>
    <w:rsid w:val="00F145E5"/>
    <w:rsid w:val="00F145F2"/>
    <w:rsid w:val="00F145FB"/>
    <w:rsid w:val="00F15868"/>
    <w:rsid w:val="00F15B20"/>
    <w:rsid w:val="00F15DBD"/>
    <w:rsid w:val="00F15EF1"/>
    <w:rsid w:val="00F15F67"/>
    <w:rsid w:val="00F1608D"/>
    <w:rsid w:val="00F16C53"/>
    <w:rsid w:val="00F176E8"/>
    <w:rsid w:val="00F2063E"/>
    <w:rsid w:val="00F2088A"/>
    <w:rsid w:val="00F20D70"/>
    <w:rsid w:val="00F20FD3"/>
    <w:rsid w:val="00F21037"/>
    <w:rsid w:val="00F21314"/>
    <w:rsid w:val="00F2179E"/>
    <w:rsid w:val="00F219A3"/>
    <w:rsid w:val="00F21B18"/>
    <w:rsid w:val="00F21ECD"/>
    <w:rsid w:val="00F22575"/>
    <w:rsid w:val="00F22831"/>
    <w:rsid w:val="00F228DE"/>
    <w:rsid w:val="00F22A7C"/>
    <w:rsid w:val="00F23A04"/>
    <w:rsid w:val="00F23E6B"/>
    <w:rsid w:val="00F23F4F"/>
    <w:rsid w:val="00F2498A"/>
    <w:rsid w:val="00F24C39"/>
    <w:rsid w:val="00F24EAA"/>
    <w:rsid w:val="00F25836"/>
    <w:rsid w:val="00F25FDC"/>
    <w:rsid w:val="00F264D4"/>
    <w:rsid w:val="00F3081E"/>
    <w:rsid w:val="00F3087F"/>
    <w:rsid w:val="00F30F06"/>
    <w:rsid w:val="00F31558"/>
    <w:rsid w:val="00F31EC8"/>
    <w:rsid w:val="00F32586"/>
    <w:rsid w:val="00F32740"/>
    <w:rsid w:val="00F32B44"/>
    <w:rsid w:val="00F32C3A"/>
    <w:rsid w:val="00F32D07"/>
    <w:rsid w:val="00F32D3A"/>
    <w:rsid w:val="00F33531"/>
    <w:rsid w:val="00F33AEA"/>
    <w:rsid w:val="00F33B6B"/>
    <w:rsid w:val="00F33CDA"/>
    <w:rsid w:val="00F341DD"/>
    <w:rsid w:val="00F34555"/>
    <w:rsid w:val="00F34763"/>
    <w:rsid w:val="00F34AC5"/>
    <w:rsid w:val="00F34ECF"/>
    <w:rsid w:val="00F35B29"/>
    <w:rsid w:val="00F35CCB"/>
    <w:rsid w:val="00F362B6"/>
    <w:rsid w:val="00F368A0"/>
    <w:rsid w:val="00F36DFD"/>
    <w:rsid w:val="00F37252"/>
    <w:rsid w:val="00F37409"/>
    <w:rsid w:val="00F37B1A"/>
    <w:rsid w:val="00F40C8C"/>
    <w:rsid w:val="00F41070"/>
    <w:rsid w:val="00F41250"/>
    <w:rsid w:val="00F4148E"/>
    <w:rsid w:val="00F41750"/>
    <w:rsid w:val="00F419CF"/>
    <w:rsid w:val="00F42155"/>
    <w:rsid w:val="00F426F4"/>
    <w:rsid w:val="00F42C39"/>
    <w:rsid w:val="00F42E75"/>
    <w:rsid w:val="00F436B6"/>
    <w:rsid w:val="00F436E8"/>
    <w:rsid w:val="00F43862"/>
    <w:rsid w:val="00F438BE"/>
    <w:rsid w:val="00F438FF"/>
    <w:rsid w:val="00F441AC"/>
    <w:rsid w:val="00F442CD"/>
    <w:rsid w:val="00F442E7"/>
    <w:rsid w:val="00F44870"/>
    <w:rsid w:val="00F451A9"/>
    <w:rsid w:val="00F4554C"/>
    <w:rsid w:val="00F4572A"/>
    <w:rsid w:val="00F45B1C"/>
    <w:rsid w:val="00F45C55"/>
    <w:rsid w:val="00F460FB"/>
    <w:rsid w:val="00F46455"/>
    <w:rsid w:val="00F4651C"/>
    <w:rsid w:val="00F46AB9"/>
    <w:rsid w:val="00F46CD4"/>
    <w:rsid w:val="00F474FB"/>
    <w:rsid w:val="00F47505"/>
    <w:rsid w:val="00F505F4"/>
    <w:rsid w:val="00F517E9"/>
    <w:rsid w:val="00F51A88"/>
    <w:rsid w:val="00F51A8B"/>
    <w:rsid w:val="00F528A2"/>
    <w:rsid w:val="00F53095"/>
    <w:rsid w:val="00F53268"/>
    <w:rsid w:val="00F533F4"/>
    <w:rsid w:val="00F5355B"/>
    <w:rsid w:val="00F537AC"/>
    <w:rsid w:val="00F53A8F"/>
    <w:rsid w:val="00F53E9E"/>
    <w:rsid w:val="00F53F96"/>
    <w:rsid w:val="00F541B6"/>
    <w:rsid w:val="00F54211"/>
    <w:rsid w:val="00F5460D"/>
    <w:rsid w:val="00F54C00"/>
    <w:rsid w:val="00F54EA3"/>
    <w:rsid w:val="00F54F24"/>
    <w:rsid w:val="00F55148"/>
    <w:rsid w:val="00F562D6"/>
    <w:rsid w:val="00F56BD1"/>
    <w:rsid w:val="00F57479"/>
    <w:rsid w:val="00F576C7"/>
    <w:rsid w:val="00F57AF5"/>
    <w:rsid w:val="00F60362"/>
    <w:rsid w:val="00F60373"/>
    <w:rsid w:val="00F603A1"/>
    <w:rsid w:val="00F6075A"/>
    <w:rsid w:val="00F61473"/>
    <w:rsid w:val="00F61812"/>
    <w:rsid w:val="00F61E32"/>
    <w:rsid w:val="00F62329"/>
    <w:rsid w:val="00F6242D"/>
    <w:rsid w:val="00F62849"/>
    <w:rsid w:val="00F62CAC"/>
    <w:rsid w:val="00F62DFD"/>
    <w:rsid w:val="00F62EB9"/>
    <w:rsid w:val="00F6338B"/>
    <w:rsid w:val="00F635D2"/>
    <w:rsid w:val="00F63881"/>
    <w:rsid w:val="00F63DE3"/>
    <w:rsid w:val="00F63E72"/>
    <w:rsid w:val="00F63F5B"/>
    <w:rsid w:val="00F6413E"/>
    <w:rsid w:val="00F6453F"/>
    <w:rsid w:val="00F6556F"/>
    <w:rsid w:val="00F6569D"/>
    <w:rsid w:val="00F65D39"/>
    <w:rsid w:val="00F66528"/>
    <w:rsid w:val="00F667A7"/>
    <w:rsid w:val="00F67171"/>
    <w:rsid w:val="00F6719D"/>
    <w:rsid w:val="00F67A35"/>
    <w:rsid w:val="00F67BDD"/>
    <w:rsid w:val="00F67D64"/>
    <w:rsid w:val="00F67FEE"/>
    <w:rsid w:val="00F709D1"/>
    <w:rsid w:val="00F70F13"/>
    <w:rsid w:val="00F710E8"/>
    <w:rsid w:val="00F712D4"/>
    <w:rsid w:val="00F71690"/>
    <w:rsid w:val="00F71A50"/>
    <w:rsid w:val="00F71B7F"/>
    <w:rsid w:val="00F721B9"/>
    <w:rsid w:val="00F72640"/>
    <w:rsid w:val="00F73039"/>
    <w:rsid w:val="00F73D02"/>
    <w:rsid w:val="00F73E47"/>
    <w:rsid w:val="00F73FF9"/>
    <w:rsid w:val="00F740C5"/>
    <w:rsid w:val="00F74788"/>
    <w:rsid w:val="00F747F6"/>
    <w:rsid w:val="00F74ACB"/>
    <w:rsid w:val="00F75891"/>
    <w:rsid w:val="00F75C3C"/>
    <w:rsid w:val="00F766B6"/>
    <w:rsid w:val="00F76998"/>
    <w:rsid w:val="00F76A89"/>
    <w:rsid w:val="00F76BE8"/>
    <w:rsid w:val="00F76CAC"/>
    <w:rsid w:val="00F76DCE"/>
    <w:rsid w:val="00F771B7"/>
    <w:rsid w:val="00F77304"/>
    <w:rsid w:val="00F77608"/>
    <w:rsid w:val="00F7766E"/>
    <w:rsid w:val="00F77C69"/>
    <w:rsid w:val="00F80C1B"/>
    <w:rsid w:val="00F81C28"/>
    <w:rsid w:val="00F81CF2"/>
    <w:rsid w:val="00F81EED"/>
    <w:rsid w:val="00F82121"/>
    <w:rsid w:val="00F821FE"/>
    <w:rsid w:val="00F82668"/>
    <w:rsid w:val="00F82981"/>
    <w:rsid w:val="00F82F3C"/>
    <w:rsid w:val="00F830F7"/>
    <w:rsid w:val="00F834C6"/>
    <w:rsid w:val="00F838EC"/>
    <w:rsid w:val="00F83D07"/>
    <w:rsid w:val="00F840B8"/>
    <w:rsid w:val="00F8416F"/>
    <w:rsid w:val="00F8419B"/>
    <w:rsid w:val="00F8423D"/>
    <w:rsid w:val="00F84320"/>
    <w:rsid w:val="00F84DFF"/>
    <w:rsid w:val="00F852B2"/>
    <w:rsid w:val="00F85EC3"/>
    <w:rsid w:val="00F85F79"/>
    <w:rsid w:val="00F868BC"/>
    <w:rsid w:val="00F86932"/>
    <w:rsid w:val="00F86BEE"/>
    <w:rsid w:val="00F86ED6"/>
    <w:rsid w:val="00F86EEC"/>
    <w:rsid w:val="00F86F3C"/>
    <w:rsid w:val="00F87067"/>
    <w:rsid w:val="00F87881"/>
    <w:rsid w:val="00F87BBE"/>
    <w:rsid w:val="00F87D77"/>
    <w:rsid w:val="00F87F74"/>
    <w:rsid w:val="00F9007C"/>
    <w:rsid w:val="00F90110"/>
    <w:rsid w:val="00F902F0"/>
    <w:rsid w:val="00F90619"/>
    <w:rsid w:val="00F90981"/>
    <w:rsid w:val="00F90C6E"/>
    <w:rsid w:val="00F91866"/>
    <w:rsid w:val="00F91F7B"/>
    <w:rsid w:val="00F91FC2"/>
    <w:rsid w:val="00F9215A"/>
    <w:rsid w:val="00F923B8"/>
    <w:rsid w:val="00F92774"/>
    <w:rsid w:val="00F9278A"/>
    <w:rsid w:val="00F92F13"/>
    <w:rsid w:val="00F93189"/>
    <w:rsid w:val="00F93282"/>
    <w:rsid w:val="00F938C5"/>
    <w:rsid w:val="00F9413F"/>
    <w:rsid w:val="00F94920"/>
    <w:rsid w:val="00F95376"/>
    <w:rsid w:val="00F953C8"/>
    <w:rsid w:val="00F95A29"/>
    <w:rsid w:val="00F95C50"/>
    <w:rsid w:val="00F96548"/>
    <w:rsid w:val="00F9718D"/>
    <w:rsid w:val="00F971E1"/>
    <w:rsid w:val="00F972F1"/>
    <w:rsid w:val="00F97A8C"/>
    <w:rsid w:val="00FA00DE"/>
    <w:rsid w:val="00FA07A7"/>
    <w:rsid w:val="00FA0AAB"/>
    <w:rsid w:val="00FA0E7D"/>
    <w:rsid w:val="00FA1213"/>
    <w:rsid w:val="00FA1C80"/>
    <w:rsid w:val="00FA2167"/>
    <w:rsid w:val="00FA24D7"/>
    <w:rsid w:val="00FA2611"/>
    <w:rsid w:val="00FA4D8A"/>
    <w:rsid w:val="00FA516C"/>
    <w:rsid w:val="00FA54C2"/>
    <w:rsid w:val="00FA54F4"/>
    <w:rsid w:val="00FA5CC7"/>
    <w:rsid w:val="00FA631C"/>
    <w:rsid w:val="00FA67FF"/>
    <w:rsid w:val="00FA6CA6"/>
    <w:rsid w:val="00FA7164"/>
    <w:rsid w:val="00FA7689"/>
    <w:rsid w:val="00FA7F36"/>
    <w:rsid w:val="00FB0433"/>
    <w:rsid w:val="00FB0440"/>
    <w:rsid w:val="00FB0650"/>
    <w:rsid w:val="00FB0668"/>
    <w:rsid w:val="00FB0721"/>
    <w:rsid w:val="00FB07EA"/>
    <w:rsid w:val="00FB0ABA"/>
    <w:rsid w:val="00FB0ADE"/>
    <w:rsid w:val="00FB0BDA"/>
    <w:rsid w:val="00FB0EF5"/>
    <w:rsid w:val="00FB1788"/>
    <w:rsid w:val="00FB1B59"/>
    <w:rsid w:val="00FB22B6"/>
    <w:rsid w:val="00FB2883"/>
    <w:rsid w:val="00FB2BBF"/>
    <w:rsid w:val="00FB2DFF"/>
    <w:rsid w:val="00FB2F84"/>
    <w:rsid w:val="00FB30C6"/>
    <w:rsid w:val="00FB35DC"/>
    <w:rsid w:val="00FB36BB"/>
    <w:rsid w:val="00FB49D7"/>
    <w:rsid w:val="00FB4AE7"/>
    <w:rsid w:val="00FB4EDA"/>
    <w:rsid w:val="00FB56A6"/>
    <w:rsid w:val="00FB56CF"/>
    <w:rsid w:val="00FB598D"/>
    <w:rsid w:val="00FB6617"/>
    <w:rsid w:val="00FB66C4"/>
    <w:rsid w:val="00FB6773"/>
    <w:rsid w:val="00FB69AD"/>
    <w:rsid w:val="00FB6CA4"/>
    <w:rsid w:val="00FB6EAB"/>
    <w:rsid w:val="00FB7556"/>
    <w:rsid w:val="00FB7BDC"/>
    <w:rsid w:val="00FC1582"/>
    <w:rsid w:val="00FC1B09"/>
    <w:rsid w:val="00FC2220"/>
    <w:rsid w:val="00FC2677"/>
    <w:rsid w:val="00FC29E7"/>
    <w:rsid w:val="00FC2C99"/>
    <w:rsid w:val="00FC3E51"/>
    <w:rsid w:val="00FC4252"/>
    <w:rsid w:val="00FC46BC"/>
    <w:rsid w:val="00FC47EC"/>
    <w:rsid w:val="00FC4F84"/>
    <w:rsid w:val="00FC51DE"/>
    <w:rsid w:val="00FC5481"/>
    <w:rsid w:val="00FC569C"/>
    <w:rsid w:val="00FC5743"/>
    <w:rsid w:val="00FC5D98"/>
    <w:rsid w:val="00FC5F76"/>
    <w:rsid w:val="00FC638C"/>
    <w:rsid w:val="00FC6E08"/>
    <w:rsid w:val="00FC7108"/>
    <w:rsid w:val="00FC76E9"/>
    <w:rsid w:val="00FC7739"/>
    <w:rsid w:val="00FC7A88"/>
    <w:rsid w:val="00FC7AC6"/>
    <w:rsid w:val="00FC7B6E"/>
    <w:rsid w:val="00FC7EB0"/>
    <w:rsid w:val="00FD014E"/>
    <w:rsid w:val="00FD06D6"/>
    <w:rsid w:val="00FD0C62"/>
    <w:rsid w:val="00FD1D07"/>
    <w:rsid w:val="00FD1D0A"/>
    <w:rsid w:val="00FD3146"/>
    <w:rsid w:val="00FD3540"/>
    <w:rsid w:val="00FD3665"/>
    <w:rsid w:val="00FD3AC1"/>
    <w:rsid w:val="00FD3D33"/>
    <w:rsid w:val="00FD44C7"/>
    <w:rsid w:val="00FD4A9F"/>
    <w:rsid w:val="00FD4B18"/>
    <w:rsid w:val="00FD4DBD"/>
    <w:rsid w:val="00FD4FB9"/>
    <w:rsid w:val="00FD53B0"/>
    <w:rsid w:val="00FD5B55"/>
    <w:rsid w:val="00FD5B6B"/>
    <w:rsid w:val="00FD5E4D"/>
    <w:rsid w:val="00FD5FF5"/>
    <w:rsid w:val="00FD60FC"/>
    <w:rsid w:val="00FD6172"/>
    <w:rsid w:val="00FD6BFF"/>
    <w:rsid w:val="00FD6E7A"/>
    <w:rsid w:val="00FD6EC4"/>
    <w:rsid w:val="00FD70B0"/>
    <w:rsid w:val="00FE0259"/>
    <w:rsid w:val="00FE0478"/>
    <w:rsid w:val="00FE0937"/>
    <w:rsid w:val="00FE0F4B"/>
    <w:rsid w:val="00FE2069"/>
    <w:rsid w:val="00FE3134"/>
    <w:rsid w:val="00FE34DC"/>
    <w:rsid w:val="00FE380C"/>
    <w:rsid w:val="00FE405E"/>
    <w:rsid w:val="00FE4166"/>
    <w:rsid w:val="00FE47CD"/>
    <w:rsid w:val="00FE4850"/>
    <w:rsid w:val="00FE4AC6"/>
    <w:rsid w:val="00FE4D5B"/>
    <w:rsid w:val="00FE4F3C"/>
    <w:rsid w:val="00FE4F80"/>
    <w:rsid w:val="00FE54EA"/>
    <w:rsid w:val="00FE5600"/>
    <w:rsid w:val="00FE5DCE"/>
    <w:rsid w:val="00FE5E59"/>
    <w:rsid w:val="00FE61D1"/>
    <w:rsid w:val="00FE62BB"/>
    <w:rsid w:val="00FE68A8"/>
    <w:rsid w:val="00FE68D4"/>
    <w:rsid w:val="00FE6924"/>
    <w:rsid w:val="00FE6B33"/>
    <w:rsid w:val="00FE6C20"/>
    <w:rsid w:val="00FE6C6E"/>
    <w:rsid w:val="00FE7C2A"/>
    <w:rsid w:val="00FF015C"/>
    <w:rsid w:val="00FF05FC"/>
    <w:rsid w:val="00FF0F69"/>
    <w:rsid w:val="00FF1AB2"/>
    <w:rsid w:val="00FF1D30"/>
    <w:rsid w:val="00FF2167"/>
    <w:rsid w:val="00FF27ED"/>
    <w:rsid w:val="00FF2986"/>
    <w:rsid w:val="00FF2A4D"/>
    <w:rsid w:val="00FF3428"/>
    <w:rsid w:val="00FF369B"/>
    <w:rsid w:val="00FF36B3"/>
    <w:rsid w:val="00FF3B21"/>
    <w:rsid w:val="00FF3FD8"/>
    <w:rsid w:val="00FF4135"/>
    <w:rsid w:val="00FF43DF"/>
    <w:rsid w:val="00FF483F"/>
    <w:rsid w:val="00FF4C92"/>
    <w:rsid w:val="00FF4F18"/>
    <w:rsid w:val="00FF63E4"/>
    <w:rsid w:val="00FF663C"/>
    <w:rsid w:val="00FF6F1A"/>
    <w:rsid w:val="011C74B2"/>
    <w:rsid w:val="017C1626"/>
    <w:rsid w:val="027B639D"/>
    <w:rsid w:val="029568E7"/>
    <w:rsid w:val="035003D6"/>
    <w:rsid w:val="04422E6B"/>
    <w:rsid w:val="049251C3"/>
    <w:rsid w:val="04AB36BF"/>
    <w:rsid w:val="04EF18DF"/>
    <w:rsid w:val="0519262A"/>
    <w:rsid w:val="05E059EC"/>
    <w:rsid w:val="05E656E9"/>
    <w:rsid w:val="07702E6D"/>
    <w:rsid w:val="07B436A2"/>
    <w:rsid w:val="091B7041"/>
    <w:rsid w:val="09C21D61"/>
    <w:rsid w:val="09F456C0"/>
    <w:rsid w:val="0AC879AB"/>
    <w:rsid w:val="0AD31F50"/>
    <w:rsid w:val="0B451036"/>
    <w:rsid w:val="0DC55FC0"/>
    <w:rsid w:val="10B97677"/>
    <w:rsid w:val="11401CDB"/>
    <w:rsid w:val="12405870"/>
    <w:rsid w:val="143D5AF1"/>
    <w:rsid w:val="15064E11"/>
    <w:rsid w:val="151412DC"/>
    <w:rsid w:val="15211C4B"/>
    <w:rsid w:val="171F56EB"/>
    <w:rsid w:val="17D15BAA"/>
    <w:rsid w:val="1819270C"/>
    <w:rsid w:val="190F5991"/>
    <w:rsid w:val="19E219A9"/>
    <w:rsid w:val="1A383CBF"/>
    <w:rsid w:val="1A7E151C"/>
    <w:rsid w:val="1BD0072B"/>
    <w:rsid w:val="1CA563EF"/>
    <w:rsid w:val="1CB20CF1"/>
    <w:rsid w:val="1D3C6A38"/>
    <w:rsid w:val="1D6844D5"/>
    <w:rsid w:val="1F3D2B20"/>
    <w:rsid w:val="213A4B92"/>
    <w:rsid w:val="21886640"/>
    <w:rsid w:val="21BF72FA"/>
    <w:rsid w:val="22A02C9E"/>
    <w:rsid w:val="23AA7EAF"/>
    <w:rsid w:val="23BB46A9"/>
    <w:rsid w:val="25DE4F50"/>
    <w:rsid w:val="26056817"/>
    <w:rsid w:val="26D91ADA"/>
    <w:rsid w:val="276B56D3"/>
    <w:rsid w:val="27A16FF0"/>
    <w:rsid w:val="289A61FA"/>
    <w:rsid w:val="2AB36FA2"/>
    <w:rsid w:val="2D0F5CF4"/>
    <w:rsid w:val="2D383323"/>
    <w:rsid w:val="2E7154B5"/>
    <w:rsid w:val="2ECE2C63"/>
    <w:rsid w:val="2EDC0C65"/>
    <w:rsid w:val="2F19217E"/>
    <w:rsid w:val="2FA00EA9"/>
    <w:rsid w:val="325D0E38"/>
    <w:rsid w:val="32AC094E"/>
    <w:rsid w:val="32B73692"/>
    <w:rsid w:val="32BC7D33"/>
    <w:rsid w:val="33A02A6F"/>
    <w:rsid w:val="33FC71AA"/>
    <w:rsid w:val="34251F31"/>
    <w:rsid w:val="34FB0C3B"/>
    <w:rsid w:val="356715F8"/>
    <w:rsid w:val="36346070"/>
    <w:rsid w:val="37E566EF"/>
    <w:rsid w:val="3801553A"/>
    <w:rsid w:val="38C14966"/>
    <w:rsid w:val="391E546A"/>
    <w:rsid w:val="394C01BD"/>
    <w:rsid w:val="396E1AD1"/>
    <w:rsid w:val="398904C6"/>
    <w:rsid w:val="39D569DC"/>
    <w:rsid w:val="3B9B4A91"/>
    <w:rsid w:val="3BC44ED4"/>
    <w:rsid w:val="3D655001"/>
    <w:rsid w:val="3D914055"/>
    <w:rsid w:val="3E8F6E8B"/>
    <w:rsid w:val="3EE82BCD"/>
    <w:rsid w:val="3EF510CC"/>
    <w:rsid w:val="3FB22828"/>
    <w:rsid w:val="403A340E"/>
    <w:rsid w:val="40AD50FD"/>
    <w:rsid w:val="41B0762E"/>
    <w:rsid w:val="42223725"/>
    <w:rsid w:val="433F136A"/>
    <w:rsid w:val="44A5003C"/>
    <w:rsid w:val="45E838DE"/>
    <w:rsid w:val="46121C35"/>
    <w:rsid w:val="46267C76"/>
    <w:rsid w:val="4689797D"/>
    <w:rsid w:val="46903F5E"/>
    <w:rsid w:val="479C40DA"/>
    <w:rsid w:val="482E7E64"/>
    <w:rsid w:val="48887CEC"/>
    <w:rsid w:val="4A8C305D"/>
    <w:rsid w:val="4A8F4DC9"/>
    <w:rsid w:val="4A9245F0"/>
    <w:rsid w:val="4BCF2115"/>
    <w:rsid w:val="4C1B4FA3"/>
    <w:rsid w:val="4D8B54AE"/>
    <w:rsid w:val="4F380BAC"/>
    <w:rsid w:val="4F673E69"/>
    <w:rsid w:val="4FAD0894"/>
    <w:rsid w:val="5019541D"/>
    <w:rsid w:val="507E7873"/>
    <w:rsid w:val="520E6FAB"/>
    <w:rsid w:val="56182F10"/>
    <w:rsid w:val="569D1C00"/>
    <w:rsid w:val="57185AC9"/>
    <w:rsid w:val="57A44CA1"/>
    <w:rsid w:val="59471D73"/>
    <w:rsid w:val="59A42311"/>
    <w:rsid w:val="5BDD2EB9"/>
    <w:rsid w:val="5EDF7683"/>
    <w:rsid w:val="63712641"/>
    <w:rsid w:val="63803E1C"/>
    <w:rsid w:val="63D3661C"/>
    <w:rsid w:val="64F54970"/>
    <w:rsid w:val="65484E76"/>
    <w:rsid w:val="65BE72E4"/>
    <w:rsid w:val="65F65310"/>
    <w:rsid w:val="66060BF9"/>
    <w:rsid w:val="66061D39"/>
    <w:rsid w:val="66B137F8"/>
    <w:rsid w:val="66B42206"/>
    <w:rsid w:val="66E634DC"/>
    <w:rsid w:val="679561C0"/>
    <w:rsid w:val="67F208BA"/>
    <w:rsid w:val="681778DD"/>
    <w:rsid w:val="68B14BEC"/>
    <w:rsid w:val="68E75BA5"/>
    <w:rsid w:val="68EE2307"/>
    <w:rsid w:val="692355DF"/>
    <w:rsid w:val="69F028EE"/>
    <w:rsid w:val="69F457FF"/>
    <w:rsid w:val="6A9519CB"/>
    <w:rsid w:val="6B156CF5"/>
    <w:rsid w:val="6BAB1F11"/>
    <w:rsid w:val="6C3140AA"/>
    <w:rsid w:val="6E837CDE"/>
    <w:rsid w:val="6F6A71FD"/>
    <w:rsid w:val="70212176"/>
    <w:rsid w:val="717C1B8F"/>
    <w:rsid w:val="71FA7C7A"/>
    <w:rsid w:val="72E60CA8"/>
    <w:rsid w:val="72EE7CB6"/>
    <w:rsid w:val="7320496F"/>
    <w:rsid w:val="733E001A"/>
    <w:rsid w:val="77184E78"/>
    <w:rsid w:val="77DF669D"/>
    <w:rsid w:val="78FE3883"/>
    <w:rsid w:val="792702FB"/>
    <w:rsid w:val="7BAC2D3A"/>
    <w:rsid w:val="7BB13288"/>
    <w:rsid w:val="7CC81F31"/>
    <w:rsid w:val="7D654DE4"/>
    <w:rsid w:val="7D9F0875"/>
    <w:rsid w:val="7DAC0DCF"/>
    <w:rsid w:val="7F500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63"/>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56"/>
    <w:qFormat/>
    <w:uiPriority w:val="0"/>
    <w:pPr>
      <w:keepNext/>
      <w:keepLines/>
      <w:outlineLvl w:val="1"/>
    </w:pPr>
    <w:rPr>
      <w:rFonts w:ascii="Arial" w:hAnsi="Arial" w:eastAsia="黑体"/>
      <w:b/>
      <w:bCs/>
      <w:sz w:val="28"/>
      <w:szCs w:val="32"/>
    </w:rPr>
  </w:style>
  <w:style w:type="paragraph" w:styleId="7">
    <w:name w:val="heading 3"/>
    <w:basedOn w:val="1"/>
    <w:next w:val="1"/>
    <w:link w:val="64"/>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9"/>
    <w:pPr>
      <w:keepNext/>
      <w:keepLines/>
      <w:spacing w:line="376" w:lineRule="auto"/>
      <w:outlineLvl w:val="3"/>
    </w:pPr>
    <w:rPr>
      <w:rFonts w:ascii="Cambria" w:hAnsi="Cambria"/>
      <w:b/>
      <w:bCs/>
      <w:sz w:val="28"/>
      <w:szCs w:val="28"/>
    </w:rPr>
  </w:style>
  <w:style w:type="character" w:default="1" w:styleId="43">
    <w:name w:val="Default Paragraph Font"/>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69"/>
    <w:qFormat/>
    <w:uiPriority w:val="0"/>
    <w:pPr>
      <w:spacing w:after="120"/>
      <w:ind w:left="420" w:leftChars="200"/>
    </w:pPr>
    <w:rPr>
      <w:szCs w:val="24"/>
    </w:rPr>
  </w:style>
  <w:style w:type="paragraph" w:styleId="3">
    <w:name w:val="Body Text Indent 2"/>
    <w:basedOn w:val="1"/>
    <w:next w:val="4"/>
    <w:link w:val="71"/>
    <w:qFormat/>
    <w:uiPriority w:val="0"/>
    <w:pPr>
      <w:spacing w:after="120" w:line="480" w:lineRule="auto"/>
      <w:ind w:left="420" w:leftChars="200"/>
    </w:pPr>
    <w:rPr>
      <w:szCs w:val="24"/>
    </w:rPr>
  </w:style>
  <w:style w:type="paragraph" w:styleId="4">
    <w:name w:val="Body Text First Indent 2"/>
    <w:basedOn w:val="1"/>
    <w:next w:val="1"/>
    <w:link w:val="80"/>
    <w:unhideWhenUsed/>
    <w:qFormat/>
    <w:uiPriority w:val="0"/>
    <w:pPr>
      <w:ind w:firstLine="420" w:firstLineChars="200"/>
    </w:pPr>
  </w:style>
  <w:style w:type="paragraph" w:styleId="9">
    <w:name w:val="toc 7"/>
    <w:basedOn w:val="1"/>
    <w:next w:val="1"/>
    <w:semiHidden/>
    <w:qFormat/>
    <w:uiPriority w:val="0"/>
    <w:pPr>
      <w:ind w:left="1260"/>
      <w:jc w:val="left"/>
    </w:pPr>
    <w:rPr>
      <w:sz w:val="18"/>
      <w:szCs w:val="18"/>
    </w:rPr>
  </w:style>
  <w:style w:type="paragraph" w:styleId="10">
    <w:name w:val="Normal Indent"/>
    <w:basedOn w:val="1"/>
    <w:link w:val="65"/>
    <w:qFormat/>
    <w:uiPriority w:val="0"/>
    <w:pPr>
      <w:ind w:firstLine="420"/>
    </w:pPr>
    <w:rPr>
      <w:rFonts w:ascii="宋体"/>
      <w:kern w:val="0"/>
      <w:sz w:val="26"/>
      <w:szCs w:val="20"/>
    </w:rPr>
  </w:style>
  <w:style w:type="paragraph" w:styleId="11">
    <w:name w:val="Document Map"/>
    <w:basedOn w:val="1"/>
    <w:link w:val="66"/>
    <w:unhideWhenUsed/>
    <w:qFormat/>
    <w:uiPriority w:val="99"/>
    <w:rPr>
      <w:rFonts w:ascii="宋体"/>
      <w:sz w:val="18"/>
      <w:szCs w:val="18"/>
    </w:rPr>
  </w:style>
  <w:style w:type="paragraph" w:styleId="12">
    <w:name w:val="annotation text"/>
    <w:basedOn w:val="1"/>
    <w:link w:val="67"/>
    <w:qFormat/>
    <w:uiPriority w:val="99"/>
    <w:pPr>
      <w:jc w:val="left"/>
    </w:pPr>
  </w:style>
  <w:style w:type="paragraph" w:styleId="13">
    <w:name w:val="Salutation"/>
    <w:basedOn w:val="1"/>
    <w:next w:val="1"/>
    <w:qFormat/>
    <w:uiPriority w:val="0"/>
  </w:style>
  <w:style w:type="paragraph" w:styleId="14">
    <w:name w:val="Body Text"/>
    <w:basedOn w:val="1"/>
    <w:next w:val="15"/>
    <w:link w:val="68"/>
    <w:qFormat/>
    <w:uiPriority w:val="0"/>
    <w:pPr>
      <w:spacing w:after="120"/>
    </w:pPr>
  </w:style>
  <w:style w:type="paragraph" w:customStyle="1" w:styleId="15">
    <w:name w:val="xl27"/>
    <w:basedOn w:val="1"/>
    <w:next w:val="16"/>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kern w:val="0"/>
      <w:sz w:val="16"/>
      <w:szCs w:val="16"/>
      <w:lang w:eastAsia="zh-TW"/>
    </w:rPr>
  </w:style>
  <w:style w:type="paragraph" w:customStyle="1" w:styleId="16">
    <w:name w:val="A正文"/>
    <w:basedOn w:val="17"/>
    <w:next w:val="14"/>
    <w:qFormat/>
    <w:uiPriority w:val="0"/>
    <w:pPr>
      <w:widowControl/>
      <w:overflowPunct w:val="0"/>
      <w:autoSpaceDE w:val="0"/>
      <w:autoSpaceDN w:val="0"/>
      <w:jc w:val="left"/>
      <w:textAlignment w:val="baseline"/>
    </w:pPr>
  </w:style>
  <w:style w:type="paragraph" w:customStyle="1" w:styleId="17">
    <w:name w:val="正文格式"/>
    <w:basedOn w:val="1"/>
    <w:next w:val="18"/>
    <w:qFormat/>
    <w:uiPriority w:val="0"/>
    <w:pPr>
      <w:ind w:firstLine="480" w:firstLineChars="200"/>
    </w:pPr>
    <w:rPr>
      <w:rFonts w:ascii="仿宋_GB2312" w:eastAsia="仿宋_GB2312"/>
      <w:b/>
      <w:bCs/>
      <w:color w:val="FF6600"/>
      <w:sz w:val="24"/>
      <w:szCs w:val="24"/>
    </w:rPr>
  </w:style>
  <w:style w:type="paragraph" w:styleId="18">
    <w:name w:val="List Paragraph"/>
    <w:basedOn w:val="1"/>
    <w:qFormat/>
    <w:uiPriority w:val="0"/>
    <w:pPr>
      <w:ind w:firstLine="420" w:firstLineChars="200"/>
    </w:pPr>
  </w:style>
  <w:style w:type="paragraph" w:styleId="19">
    <w:name w:val="toc 5"/>
    <w:basedOn w:val="1"/>
    <w:next w:val="1"/>
    <w:semiHidden/>
    <w:qFormat/>
    <w:uiPriority w:val="0"/>
    <w:pPr>
      <w:ind w:left="840"/>
      <w:jc w:val="left"/>
    </w:pPr>
    <w:rPr>
      <w:sz w:val="18"/>
      <w:szCs w:val="18"/>
    </w:rPr>
  </w:style>
  <w:style w:type="paragraph" w:styleId="20">
    <w:name w:val="toc 3"/>
    <w:basedOn w:val="1"/>
    <w:next w:val="1"/>
    <w:semiHidden/>
    <w:qFormat/>
    <w:uiPriority w:val="0"/>
    <w:pPr>
      <w:ind w:left="420"/>
      <w:jc w:val="left"/>
    </w:pPr>
    <w:rPr>
      <w:i/>
      <w:iCs/>
      <w:sz w:val="20"/>
      <w:szCs w:val="20"/>
    </w:rPr>
  </w:style>
  <w:style w:type="paragraph" w:styleId="21">
    <w:name w:val="Plain Text"/>
    <w:basedOn w:val="1"/>
    <w:next w:val="13"/>
    <w:link w:val="70"/>
    <w:qFormat/>
    <w:uiPriority w:val="0"/>
    <w:rPr>
      <w:rFonts w:ascii="宋体" w:hAnsi="Courier New"/>
      <w:color w:val="000000"/>
      <w:kern w:val="0"/>
      <w:sz w:val="26"/>
      <w:szCs w:val="20"/>
    </w:rPr>
  </w:style>
  <w:style w:type="paragraph" w:styleId="22">
    <w:name w:val="toc 8"/>
    <w:basedOn w:val="1"/>
    <w:next w:val="1"/>
    <w:semiHidden/>
    <w:qFormat/>
    <w:uiPriority w:val="0"/>
    <w:pPr>
      <w:ind w:left="1470"/>
      <w:jc w:val="left"/>
    </w:pPr>
    <w:rPr>
      <w:sz w:val="18"/>
      <w:szCs w:val="18"/>
    </w:rPr>
  </w:style>
  <w:style w:type="paragraph" w:styleId="23">
    <w:name w:val="Date"/>
    <w:basedOn w:val="1"/>
    <w:next w:val="1"/>
    <w:qFormat/>
    <w:uiPriority w:val="0"/>
    <w:rPr>
      <w:sz w:val="24"/>
      <w:szCs w:val="20"/>
    </w:rPr>
  </w:style>
  <w:style w:type="paragraph" w:styleId="24">
    <w:name w:val="Balloon Text"/>
    <w:basedOn w:val="1"/>
    <w:link w:val="72"/>
    <w:unhideWhenUsed/>
    <w:qFormat/>
    <w:uiPriority w:val="99"/>
    <w:rPr>
      <w:kern w:val="0"/>
      <w:sz w:val="18"/>
      <w:szCs w:val="18"/>
    </w:rPr>
  </w:style>
  <w:style w:type="paragraph" w:styleId="25">
    <w:name w:val="footer"/>
    <w:basedOn w:val="1"/>
    <w:link w:val="73"/>
    <w:unhideWhenUsed/>
    <w:qFormat/>
    <w:uiPriority w:val="99"/>
    <w:pPr>
      <w:tabs>
        <w:tab w:val="center" w:pos="4153"/>
        <w:tab w:val="right" w:pos="8306"/>
      </w:tabs>
      <w:snapToGrid w:val="0"/>
      <w:jc w:val="left"/>
    </w:pPr>
    <w:rPr>
      <w:kern w:val="0"/>
      <w:sz w:val="18"/>
      <w:szCs w:val="18"/>
    </w:rPr>
  </w:style>
  <w:style w:type="paragraph" w:styleId="26">
    <w:name w:val="header"/>
    <w:basedOn w:val="1"/>
    <w:link w:val="7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semiHidden/>
    <w:qFormat/>
    <w:uiPriority w:val="0"/>
    <w:pPr>
      <w:spacing w:before="120" w:after="120"/>
      <w:jc w:val="left"/>
    </w:pPr>
    <w:rPr>
      <w:b/>
      <w:bCs/>
      <w:caps/>
      <w:sz w:val="20"/>
      <w:szCs w:val="20"/>
    </w:rPr>
  </w:style>
  <w:style w:type="paragraph" w:styleId="28">
    <w:name w:val="toc 4"/>
    <w:basedOn w:val="1"/>
    <w:next w:val="1"/>
    <w:semiHidden/>
    <w:qFormat/>
    <w:uiPriority w:val="0"/>
    <w:pPr>
      <w:ind w:left="630"/>
      <w:jc w:val="left"/>
    </w:pPr>
    <w:rPr>
      <w:sz w:val="18"/>
      <w:szCs w:val="18"/>
    </w:rPr>
  </w:style>
  <w:style w:type="paragraph" w:styleId="29">
    <w:name w:val="toc 6"/>
    <w:basedOn w:val="1"/>
    <w:next w:val="1"/>
    <w:semiHidden/>
    <w:qFormat/>
    <w:uiPriority w:val="0"/>
    <w:pPr>
      <w:ind w:left="1050"/>
      <w:jc w:val="left"/>
    </w:pPr>
    <w:rPr>
      <w:sz w:val="18"/>
      <w:szCs w:val="18"/>
    </w:rPr>
  </w:style>
  <w:style w:type="paragraph" w:styleId="30">
    <w:name w:val="Body Text Indent 3"/>
    <w:basedOn w:val="1"/>
    <w:link w:val="75"/>
    <w:qFormat/>
    <w:uiPriority w:val="0"/>
    <w:pPr>
      <w:spacing w:after="120"/>
      <w:ind w:left="420" w:leftChars="200"/>
    </w:pPr>
    <w:rPr>
      <w:sz w:val="16"/>
      <w:szCs w:val="16"/>
    </w:rPr>
  </w:style>
  <w:style w:type="paragraph" w:styleId="31">
    <w:name w:val="toc 2"/>
    <w:basedOn w:val="1"/>
    <w:next w:val="1"/>
    <w:semiHidden/>
    <w:qFormat/>
    <w:uiPriority w:val="0"/>
    <w:pPr>
      <w:ind w:left="210"/>
      <w:jc w:val="left"/>
    </w:pPr>
    <w:rPr>
      <w:smallCaps/>
      <w:sz w:val="20"/>
      <w:szCs w:val="20"/>
    </w:rPr>
  </w:style>
  <w:style w:type="paragraph" w:styleId="32">
    <w:name w:val="toc 9"/>
    <w:basedOn w:val="1"/>
    <w:next w:val="1"/>
    <w:semiHidden/>
    <w:qFormat/>
    <w:uiPriority w:val="0"/>
    <w:pPr>
      <w:ind w:left="1680"/>
      <w:jc w:val="left"/>
    </w:pPr>
    <w:rPr>
      <w:sz w:val="18"/>
      <w:szCs w:val="18"/>
    </w:rPr>
  </w:style>
  <w:style w:type="paragraph" w:styleId="33">
    <w:name w:val="Body Text 2"/>
    <w:basedOn w:val="1"/>
    <w:qFormat/>
    <w:uiPriority w:val="0"/>
    <w:pPr>
      <w:spacing w:after="120" w:line="480" w:lineRule="auto"/>
    </w:pPr>
  </w:style>
  <w:style w:type="paragraph" w:styleId="34">
    <w:name w:val="HTML Preformatted"/>
    <w:basedOn w:val="1"/>
    <w:link w:val="7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35">
    <w:name w:val="Normal (Web)"/>
    <w:basedOn w:val="1"/>
    <w:link w:val="77"/>
    <w:unhideWhenUsed/>
    <w:qFormat/>
    <w:uiPriority w:val="0"/>
    <w:pPr>
      <w:widowControl/>
      <w:spacing w:before="100" w:beforeAutospacing="1" w:after="100" w:afterAutospacing="1"/>
      <w:jc w:val="left"/>
    </w:pPr>
    <w:rPr>
      <w:rFonts w:ascii="宋体" w:hAnsi="宋体"/>
      <w:kern w:val="0"/>
      <w:sz w:val="24"/>
      <w:szCs w:val="24"/>
    </w:rPr>
  </w:style>
  <w:style w:type="paragraph" w:styleId="36">
    <w:name w:val="index 1"/>
    <w:basedOn w:val="1"/>
    <w:next w:val="1"/>
    <w:semiHidden/>
    <w:qFormat/>
    <w:uiPriority w:val="0"/>
    <w:pPr>
      <w:tabs>
        <w:tab w:val="left" w:pos="5580"/>
      </w:tabs>
      <w:spacing w:line="280" w:lineRule="exact"/>
    </w:pPr>
    <w:rPr>
      <w:rFonts w:ascii="宋体" w:hAnsi="宋体" w:cs="宋体"/>
      <w:spacing w:val="10"/>
      <w:szCs w:val="21"/>
    </w:rPr>
  </w:style>
  <w:style w:type="paragraph" w:styleId="37">
    <w:name w:val="Title"/>
    <w:basedOn w:val="1"/>
    <w:next w:val="1"/>
    <w:link w:val="78"/>
    <w:qFormat/>
    <w:uiPriority w:val="10"/>
    <w:pPr>
      <w:spacing w:before="240" w:after="60"/>
      <w:jc w:val="center"/>
      <w:outlineLvl w:val="0"/>
    </w:pPr>
    <w:rPr>
      <w:rFonts w:ascii="Cambria" w:hAnsi="Cambria"/>
      <w:b/>
      <w:bCs/>
      <w:sz w:val="32"/>
      <w:szCs w:val="32"/>
    </w:rPr>
  </w:style>
  <w:style w:type="paragraph" w:styleId="38">
    <w:name w:val="annotation subject"/>
    <w:basedOn w:val="12"/>
    <w:next w:val="12"/>
    <w:semiHidden/>
    <w:qFormat/>
    <w:uiPriority w:val="0"/>
    <w:rPr>
      <w:b/>
      <w:bCs/>
    </w:rPr>
  </w:style>
  <w:style w:type="paragraph" w:styleId="39">
    <w:name w:val="Body Text First Indent"/>
    <w:basedOn w:val="14"/>
    <w:link w:val="79"/>
    <w:qFormat/>
    <w:uiPriority w:val="0"/>
    <w:pPr>
      <w:ind w:firstLine="420" w:firstLineChars="100"/>
    </w:pPr>
    <w:rPr>
      <w:rFonts w:ascii="Calibri" w:hAnsi="Calibri"/>
      <w:szCs w:val="24"/>
    </w:rPr>
  </w:style>
  <w:style w:type="table" w:styleId="41">
    <w:name w:val="Table Grid"/>
    <w:basedOn w:val="4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2">
    <w:name w:val="Table Grid 1"/>
    <w:basedOn w:val="4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4">
    <w:name w:val="Strong"/>
    <w:qFormat/>
    <w:uiPriority w:val="0"/>
    <w:rPr>
      <w:b/>
      <w:bCs/>
    </w:rPr>
  </w:style>
  <w:style w:type="character" w:styleId="45">
    <w:name w:val="page number"/>
    <w:qFormat/>
    <w:uiPriority w:val="0"/>
  </w:style>
  <w:style w:type="character" w:styleId="46">
    <w:name w:val="FollowedHyperlink"/>
    <w:unhideWhenUsed/>
    <w:qFormat/>
    <w:uiPriority w:val="99"/>
    <w:rPr>
      <w:color w:val="282828"/>
      <w:u w:val="none"/>
    </w:rPr>
  </w:style>
  <w:style w:type="character" w:styleId="47">
    <w:name w:val="Emphasis"/>
    <w:qFormat/>
    <w:uiPriority w:val="20"/>
    <w:rPr>
      <w:b/>
    </w:rPr>
  </w:style>
  <w:style w:type="character" w:styleId="48">
    <w:name w:val="HTML Definition"/>
    <w:unhideWhenUsed/>
    <w:qFormat/>
    <w:uiPriority w:val="99"/>
  </w:style>
  <w:style w:type="character" w:styleId="49">
    <w:name w:val="HTML Variable"/>
    <w:unhideWhenUsed/>
    <w:qFormat/>
    <w:uiPriority w:val="99"/>
  </w:style>
  <w:style w:type="character" w:styleId="50">
    <w:name w:val="Hyperlink"/>
    <w:unhideWhenUsed/>
    <w:qFormat/>
    <w:uiPriority w:val="99"/>
    <w:rPr>
      <w:color w:val="282828"/>
      <w:u w:val="none"/>
    </w:rPr>
  </w:style>
  <w:style w:type="character" w:styleId="51">
    <w:name w:val="HTML Code"/>
    <w:unhideWhenUsed/>
    <w:qFormat/>
    <w:uiPriority w:val="99"/>
    <w:rPr>
      <w:rFonts w:ascii="Courier New" w:hAnsi="Courier New"/>
      <w:sz w:val="20"/>
    </w:rPr>
  </w:style>
  <w:style w:type="character" w:styleId="52">
    <w:name w:val="annotation reference"/>
    <w:qFormat/>
    <w:uiPriority w:val="99"/>
    <w:rPr>
      <w:sz w:val="21"/>
      <w:szCs w:val="21"/>
    </w:rPr>
  </w:style>
  <w:style w:type="character" w:styleId="53">
    <w:name w:val="HTML Cite"/>
    <w:unhideWhenUsed/>
    <w:qFormat/>
    <w:uiPriority w:val="99"/>
  </w:style>
  <w:style w:type="character" w:styleId="54">
    <w:name w:val="HTML Keyboard"/>
    <w:unhideWhenUsed/>
    <w:qFormat/>
    <w:uiPriority w:val="99"/>
    <w:rPr>
      <w:rFonts w:ascii="Courier New" w:hAnsi="Courier New"/>
      <w:sz w:val="20"/>
    </w:rPr>
  </w:style>
  <w:style w:type="character" w:styleId="55">
    <w:name w:val="HTML Sample"/>
    <w:unhideWhenUsed/>
    <w:qFormat/>
    <w:uiPriority w:val="99"/>
    <w:rPr>
      <w:rFonts w:ascii="Courier New" w:hAnsi="Courier New"/>
    </w:rPr>
  </w:style>
  <w:style w:type="character" w:customStyle="1" w:styleId="56">
    <w:name w:val="标题 2 字符"/>
    <w:link w:val="6"/>
    <w:qFormat/>
    <w:uiPriority w:val="0"/>
    <w:rPr>
      <w:rFonts w:ascii="Arial" w:hAnsi="Arial" w:eastAsia="黑体"/>
      <w:b/>
      <w:bCs/>
      <w:kern w:val="2"/>
      <w:sz w:val="28"/>
      <w:szCs w:val="32"/>
    </w:rPr>
  </w:style>
  <w:style w:type="paragraph" w:customStyle="1" w:styleId="57">
    <w:name w:val="Default"/>
    <w:basedOn w:val="58"/>
    <w:next w:val="59"/>
    <w:link w:val="12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8">
    <w:name w:val="标题2"/>
    <w:basedOn w:val="6"/>
    <w:next w:val="6"/>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59">
    <w:name w:val="1正文段落"/>
    <w:basedOn w:val="1"/>
    <w:link w:val="234"/>
    <w:qFormat/>
    <w:uiPriority w:val="0"/>
    <w:pPr>
      <w:spacing w:line="360" w:lineRule="auto"/>
      <w:ind w:firstLine="200" w:firstLineChars="200"/>
    </w:pPr>
    <w:rPr>
      <w:snapToGrid w:val="0"/>
      <w:kern w:val="0"/>
      <w:sz w:val="24"/>
      <w:szCs w:val="21"/>
    </w:rPr>
  </w:style>
  <w:style w:type="paragraph" w:customStyle="1" w:styleId="60">
    <w:name w:val="纯文本1"/>
    <w:basedOn w:val="1"/>
    <w:qFormat/>
    <w:uiPriority w:val="0"/>
    <w:pPr>
      <w:spacing w:line="480" w:lineRule="exact"/>
      <w:ind w:firstLine="480" w:firstLineChars="200"/>
    </w:pPr>
    <w:rPr>
      <w:rFonts w:ascii="宋体" w:hAnsi="Courier New"/>
      <w:kern w:val="0"/>
      <w:sz w:val="20"/>
      <w:szCs w:val="20"/>
    </w:rPr>
  </w:style>
  <w:style w:type="paragraph" w:customStyle="1" w:styleId="61">
    <w:name w:val="样式3"/>
    <w:basedOn w:val="27"/>
    <w:next w:val="62"/>
    <w:qFormat/>
    <w:uiPriority w:val="0"/>
    <w:pPr>
      <w:autoSpaceDE w:val="0"/>
      <w:autoSpaceDN w:val="0"/>
      <w:snapToGrid w:val="0"/>
      <w:spacing w:before="120" w:line="460" w:lineRule="atLeast"/>
      <w:jc w:val="center"/>
    </w:pPr>
    <w:rPr>
      <w:rFonts w:eastAsia="黑体"/>
      <w:sz w:val="28"/>
      <w:szCs w:val="24"/>
    </w:rPr>
  </w:style>
  <w:style w:type="paragraph" w:customStyle="1" w:styleId="62">
    <w:name w:val="目录 53"/>
    <w:basedOn w:val="1"/>
    <w:next w:val="1"/>
    <w:qFormat/>
    <w:uiPriority w:val="0"/>
    <w:pPr>
      <w:ind w:left="840"/>
    </w:pPr>
    <w:rPr>
      <w:rFonts w:cs="宋体"/>
      <w:color w:val="000000"/>
    </w:rPr>
  </w:style>
  <w:style w:type="character" w:customStyle="1" w:styleId="63">
    <w:name w:val="标题 1 字符"/>
    <w:link w:val="5"/>
    <w:qFormat/>
    <w:uiPriority w:val="9"/>
    <w:rPr>
      <w:b/>
      <w:bCs/>
      <w:kern w:val="44"/>
      <w:sz w:val="44"/>
      <w:szCs w:val="44"/>
    </w:rPr>
  </w:style>
  <w:style w:type="character" w:customStyle="1" w:styleId="64">
    <w:name w:val="标题 3 字符"/>
    <w:link w:val="7"/>
    <w:semiHidden/>
    <w:qFormat/>
    <w:uiPriority w:val="9"/>
    <w:rPr>
      <w:b/>
      <w:bCs/>
      <w:kern w:val="2"/>
      <w:sz w:val="32"/>
      <w:szCs w:val="32"/>
    </w:rPr>
  </w:style>
  <w:style w:type="character" w:customStyle="1" w:styleId="65">
    <w:name w:val="正文缩进 字符"/>
    <w:link w:val="10"/>
    <w:qFormat/>
    <w:uiPriority w:val="0"/>
    <w:rPr>
      <w:rFonts w:ascii="宋体" w:hAnsi="Times New Roman" w:eastAsia="宋体" w:cs="Times New Roman"/>
      <w:sz w:val="26"/>
      <w:szCs w:val="20"/>
    </w:rPr>
  </w:style>
  <w:style w:type="character" w:customStyle="1" w:styleId="66">
    <w:name w:val="文档结构图 字符"/>
    <w:link w:val="11"/>
    <w:semiHidden/>
    <w:qFormat/>
    <w:uiPriority w:val="99"/>
    <w:rPr>
      <w:rFonts w:ascii="宋体"/>
      <w:kern w:val="2"/>
      <w:sz w:val="18"/>
      <w:szCs w:val="18"/>
    </w:rPr>
  </w:style>
  <w:style w:type="character" w:customStyle="1" w:styleId="67">
    <w:name w:val="批注文字 字符"/>
    <w:link w:val="12"/>
    <w:qFormat/>
    <w:uiPriority w:val="99"/>
    <w:rPr>
      <w:kern w:val="2"/>
      <w:sz w:val="21"/>
      <w:szCs w:val="22"/>
    </w:rPr>
  </w:style>
  <w:style w:type="character" w:customStyle="1" w:styleId="68">
    <w:name w:val="正文文本 字符"/>
    <w:link w:val="14"/>
    <w:qFormat/>
    <w:uiPriority w:val="0"/>
    <w:rPr>
      <w:kern w:val="2"/>
      <w:sz w:val="21"/>
      <w:szCs w:val="22"/>
    </w:rPr>
  </w:style>
  <w:style w:type="character" w:customStyle="1" w:styleId="69">
    <w:name w:val="正文文本缩进 字符"/>
    <w:link w:val="2"/>
    <w:qFormat/>
    <w:uiPriority w:val="0"/>
    <w:rPr>
      <w:kern w:val="2"/>
      <w:sz w:val="21"/>
      <w:szCs w:val="24"/>
    </w:rPr>
  </w:style>
  <w:style w:type="character" w:customStyle="1" w:styleId="70">
    <w:name w:val="纯文本 字符"/>
    <w:link w:val="21"/>
    <w:qFormat/>
    <w:uiPriority w:val="0"/>
    <w:rPr>
      <w:rFonts w:ascii="宋体" w:hAnsi="Courier New" w:eastAsia="宋体" w:cs="Times New Roman"/>
      <w:color w:val="000000"/>
      <w:sz w:val="26"/>
      <w:szCs w:val="20"/>
    </w:rPr>
  </w:style>
  <w:style w:type="character" w:customStyle="1" w:styleId="71">
    <w:name w:val="正文文本缩进 2 字符"/>
    <w:link w:val="3"/>
    <w:qFormat/>
    <w:uiPriority w:val="0"/>
    <w:rPr>
      <w:kern w:val="2"/>
      <w:sz w:val="21"/>
      <w:szCs w:val="24"/>
    </w:rPr>
  </w:style>
  <w:style w:type="character" w:customStyle="1" w:styleId="72">
    <w:name w:val="批注框文本 字符"/>
    <w:link w:val="24"/>
    <w:semiHidden/>
    <w:qFormat/>
    <w:uiPriority w:val="99"/>
    <w:rPr>
      <w:sz w:val="18"/>
      <w:szCs w:val="18"/>
    </w:rPr>
  </w:style>
  <w:style w:type="character" w:customStyle="1" w:styleId="73">
    <w:name w:val="页脚 字符"/>
    <w:link w:val="25"/>
    <w:qFormat/>
    <w:uiPriority w:val="99"/>
    <w:rPr>
      <w:sz w:val="18"/>
      <w:szCs w:val="18"/>
    </w:rPr>
  </w:style>
  <w:style w:type="character" w:customStyle="1" w:styleId="74">
    <w:name w:val="页眉 字符"/>
    <w:link w:val="26"/>
    <w:qFormat/>
    <w:uiPriority w:val="99"/>
    <w:rPr>
      <w:sz w:val="18"/>
      <w:szCs w:val="18"/>
    </w:rPr>
  </w:style>
  <w:style w:type="character" w:customStyle="1" w:styleId="75">
    <w:name w:val="正文文本缩进 3 字符"/>
    <w:link w:val="30"/>
    <w:qFormat/>
    <w:uiPriority w:val="0"/>
    <w:rPr>
      <w:rFonts w:ascii="Times New Roman" w:hAnsi="Times New Roman"/>
      <w:kern w:val="2"/>
      <w:sz w:val="16"/>
      <w:szCs w:val="16"/>
    </w:rPr>
  </w:style>
  <w:style w:type="character" w:customStyle="1" w:styleId="76">
    <w:name w:val="HTML 预设格式 字符"/>
    <w:link w:val="34"/>
    <w:qFormat/>
    <w:uiPriority w:val="0"/>
    <w:rPr>
      <w:rFonts w:ascii="Arial" w:hAnsi="Arial" w:cs="Arial"/>
      <w:sz w:val="21"/>
      <w:szCs w:val="21"/>
    </w:rPr>
  </w:style>
  <w:style w:type="character" w:customStyle="1" w:styleId="77">
    <w:name w:val="普通(网站) 字符"/>
    <w:link w:val="35"/>
    <w:qFormat/>
    <w:locked/>
    <w:uiPriority w:val="0"/>
    <w:rPr>
      <w:rFonts w:ascii="宋体" w:hAnsi="宋体" w:cs="宋体"/>
      <w:sz w:val="24"/>
      <w:szCs w:val="24"/>
    </w:rPr>
  </w:style>
  <w:style w:type="character" w:customStyle="1" w:styleId="78">
    <w:name w:val="标题 字符"/>
    <w:link w:val="37"/>
    <w:qFormat/>
    <w:uiPriority w:val="10"/>
    <w:rPr>
      <w:rFonts w:ascii="Cambria" w:hAnsi="Cambria" w:cs="Times New Roman"/>
      <w:b/>
      <w:bCs/>
      <w:kern w:val="2"/>
      <w:sz w:val="32"/>
      <w:szCs w:val="32"/>
    </w:rPr>
  </w:style>
  <w:style w:type="character" w:customStyle="1" w:styleId="79">
    <w:name w:val="正文文本首行缩进 字符"/>
    <w:link w:val="39"/>
    <w:qFormat/>
    <w:uiPriority w:val="0"/>
  </w:style>
  <w:style w:type="character" w:customStyle="1" w:styleId="80">
    <w:name w:val="正文文本首行缩进 2 字符"/>
    <w:link w:val="4"/>
    <w:qFormat/>
    <w:uiPriority w:val="0"/>
  </w:style>
  <w:style w:type="character" w:customStyle="1" w:styleId="81">
    <w:name w:val="weather"/>
    <w:qFormat/>
    <w:uiPriority w:val="0"/>
  </w:style>
  <w:style w:type="character" w:customStyle="1" w:styleId="82">
    <w:name w:val="样式 (符号) 宋体 四号 加粗 Char"/>
    <w:link w:val="83"/>
    <w:qFormat/>
    <w:uiPriority w:val="0"/>
    <w:rPr>
      <w:rFonts w:hAnsi="宋体" w:eastAsia="宋体"/>
      <w:b/>
      <w:color w:val="000000"/>
      <w:sz w:val="24"/>
      <w:szCs w:val="28"/>
      <w:u w:color="000000"/>
      <w:lang w:val="en-US" w:eastAsia="zh-CN" w:bidi="ar-SA"/>
    </w:rPr>
  </w:style>
  <w:style w:type="paragraph" w:customStyle="1" w:styleId="83">
    <w:name w:val="样式 (符号) 宋体 四号 加粗"/>
    <w:basedOn w:val="1"/>
    <w:link w:val="82"/>
    <w:qFormat/>
    <w:uiPriority w:val="0"/>
    <w:pPr>
      <w:widowControl/>
      <w:spacing w:line="500" w:lineRule="exact"/>
      <w:ind w:firstLine="200" w:firstLineChars="200"/>
      <w:textAlignment w:val="baseline"/>
    </w:pPr>
    <w:rPr>
      <w:rFonts w:hAnsi="宋体"/>
      <w:b/>
      <w:color w:val="000000"/>
      <w:kern w:val="0"/>
      <w:sz w:val="24"/>
      <w:szCs w:val="28"/>
      <w:u w:color="000000"/>
    </w:rPr>
  </w:style>
  <w:style w:type="character" w:customStyle="1" w:styleId="84">
    <w:name w:val="正文1 Char"/>
    <w:link w:val="85"/>
    <w:qFormat/>
    <w:uiPriority w:val="0"/>
    <w:rPr>
      <w:rFonts w:eastAsia="宋体" w:cs="宋体"/>
      <w:spacing w:val="10"/>
      <w:kern w:val="2"/>
      <w:sz w:val="24"/>
      <w:szCs w:val="24"/>
      <w:lang w:val="en-US" w:eastAsia="zh-CN" w:bidi="ar-SA"/>
    </w:rPr>
  </w:style>
  <w:style w:type="paragraph" w:customStyle="1" w:styleId="85">
    <w:name w:val="正文1"/>
    <w:basedOn w:val="1"/>
    <w:link w:val="84"/>
    <w:qFormat/>
    <w:uiPriority w:val="0"/>
    <w:pPr>
      <w:adjustRightInd w:val="0"/>
      <w:spacing w:line="360" w:lineRule="auto"/>
      <w:ind w:firstLine="200" w:firstLineChars="200"/>
      <w:textAlignment w:val="baseline"/>
    </w:pPr>
    <w:rPr>
      <w:rFonts w:cs="宋体"/>
      <w:spacing w:val="10"/>
      <w:sz w:val="24"/>
      <w:szCs w:val="24"/>
    </w:rPr>
  </w:style>
  <w:style w:type="character" w:customStyle="1" w:styleId="86">
    <w:name w:val="state5"/>
    <w:qFormat/>
    <w:uiPriority w:val="0"/>
    <w:rPr>
      <w:color w:val="CF0303"/>
    </w:rPr>
  </w:style>
  <w:style w:type="character" w:customStyle="1" w:styleId="87">
    <w:name w:val="引用 Char"/>
    <w:link w:val="88"/>
    <w:qFormat/>
    <w:uiPriority w:val="0"/>
    <w:rPr>
      <w:iCs/>
      <w:color w:val="000000"/>
      <w:kern w:val="2"/>
      <w:sz w:val="21"/>
      <w:szCs w:val="21"/>
    </w:rPr>
  </w:style>
  <w:style w:type="paragraph" w:customStyle="1" w:styleId="88">
    <w:name w:val="引用1"/>
    <w:basedOn w:val="1"/>
    <w:next w:val="1"/>
    <w:link w:val="87"/>
    <w:qFormat/>
    <w:uiPriority w:val="0"/>
    <w:pPr>
      <w:spacing w:line="360" w:lineRule="exact"/>
      <w:jc w:val="center"/>
    </w:pPr>
    <w:rPr>
      <w:iCs/>
      <w:color w:val="000000"/>
      <w:szCs w:val="21"/>
    </w:rPr>
  </w:style>
  <w:style w:type="character" w:customStyle="1" w:styleId="89">
    <w:name w:val="普通文字 Char3"/>
    <w:qFormat/>
    <w:uiPriority w:val="0"/>
    <w:rPr>
      <w:rFonts w:ascii="宋体" w:hAnsi="Courier New" w:eastAsia="宋体"/>
      <w:kern w:val="2"/>
      <w:lang w:val="en-US" w:eastAsia="zh-CN" w:bidi="ar-SA"/>
    </w:rPr>
  </w:style>
  <w:style w:type="character" w:customStyle="1" w:styleId="90">
    <w:name w:val="state3"/>
    <w:qFormat/>
    <w:uiPriority w:val="0"/>
  </w:style>
  <w:style w:type="character" w:customStyle="1" w:styleId="91">
    <w:name w:val="Char Char8"/>
    <w:qFormat/>
    <w:uiPriority w:val="0"/>
    <w:rPr>
      <w:rFonts w:ascii="Arial" w:hAnsi="Arial" w:eastAsia="黑体"/>
      <w:b/>
      <w:bCs/>
      <w:kern w:val="2"/>
      <w:sz w:val="28"/>
      <w:szCs w:val="32"/>
      <w:lang w:val="en-US" w:eastAsia="zh-CN" w:bidi="ar-SA"/>
    </w:rPr>
  </w:style>
  <w:style w:type="character" w:customStyle="1" w:styleId="92">
    <w:name w:val="end2"/>
    <w:qFormat/>
    <w:uiPriority w:val="0"/>
    <w:rPr>
      <w:color w:val="03CA1B"/>
    </w:rPr>
  </w:style>
  <w:style w:type="character" w:customStyle="1" w:styleId="93">
    <w:name w:val="图表标注 Char"/>
    <w:link w:val="94"/>
    <w:qFormat/>
    <w:uiPriority w:val="0"/>
    <w:rPr>
      <w:rFonts w:ascii="Times New Roman" w:eastAsia="黑体"/>
    </w:rPr>
  </w:style>
  <w:style w:type="paragraph" w:customStyle="1" w:styleId="94">
    <w:name w:val="图表标注"/>
    <w:basedOn w:val="1"/>
    <w:link w:val="93"/>
    <w:qFormat/>
    <w:uiPriority w:val="0"/>
    <w:pPr>
      <w:spacing w:line="480" w:lineRule="exact"/>
      <w:jc w:val="center"/>
    </w:pPr>
    <w:rPr>
      <w:rFonts w:eastAsia="黑体"/>
      <w:kern w:val="0"/>
      <w:sz w:val="20"/>
      <w:szCs w:val="20"/>
    </w:rPr>
  </w:style>
  <w:style w:type="character" w:customStyle="1" w:styleId="95">
    <w:name w:val="样式1 Char"/>
    <w:link w:val="96"/>
    <w:qFormat/>
    <w:uiPriority w:val="0"/>
    <w:rPr>
      <w:rFonts w:eastAsia="宋体"/>
      <w:kern w:val="2"/>
      <w:sz w:val="24"/>
      <w:szCs w:val="28"/>
      <w:lang w:val="en-US" w:eastAsia="zh-CN" w:bidi="ar-SA"/>
    </w:rPr>
  </w:style>
  <w:style w:type="paragraph" w:customStyle="1" w:styleId="96">
    <w:name w:val="样式1"/>
    <w:basedOn w:val="10"/>
    <w:link w:val="95"/>
    <w:qFormat/>
    <w:uiPriority w:val="0"/>
    <w:pPr>
      <w:spacing w:line="500" w:lineRule="exact"/>
      <w:ind w:firstLine="200" w:firstLineChars="200"/>
    </w:pPr>
    <w:rPr>
      <w:rFonts w:ascii="Times New Roman"/>
      <w:kern w:val="2"/>
      <w:sz w:val="24"/>
      <w:szCs w:val="28"/>
    </w:rPr>
  </w:style>
  <w:style w:type="character" w:customStyle="1" w:styleId="97">
    <w:name w:val="三级标题 Char"/>
    <w:link w:val="98"/>
    <w:qFormat/>
    <w:uiPriority w:val="0"/>
    <w:rPr>
      <w:rFonts w:eastAsia="宋体"/>
      <w:b/>
      <w:kern w:val="2"/>
      <w:sz w:val="24"/>
      <w:szCs w:val="24"/>
      <w:lang w:val="en-US" w:eastAsia="zh-CN" w:bidi="ar-SA"/>
    </w:rPr>
  </w:style>
  <w:style w:type="paragraph" w:customStyle="1" w:styleId="98">
    <w:name w:val="三级标题"/>
    <w:basedOn w:val="1"/>
    <w:link w:val="97"/>
    <w:qFormat/>
    <w:uiPriority w:val="0"/>
    <w:pPr>
      <w:spacing w:before="300" w:line="460" w:lineRule="exact"/>
      <w:outlineLvl w:val="2"/>
    </w:pPr>
    <w:rPr>
      <w:b/>
      <w:sz w:val="24"/>
      <w:szCs w:val="24"/>
    </w:rPr>
  </w:style>
  <w:style w:type="character" w:customStyle="1" w:styleId="99">
    <w:name w:val="state4"/>
    <w:qFormat/>
    <w:uiPriority w:val="0"/>
  </w:style>
  <w:style w:type="character" w:customStyle="1" w:styleId="100">
    <w:name w:val="普通文字 Char2"/>
    <w:qFormat/>
    <w:uiPriority w:val="0"/>
    <w:rPr>
      <w:rFonts w:ascii="宋体" w:hAnsi="Courier New" w:eastAsia="宋体"/>
      <w:color w:val="000000"/>
      <w:kern w:val="2"/>
      <w:sz w:val="26"/>
      <w:lang w:val="en-US" w:eastAsia="zh-CN" w:bidi="ar-SA"/>
    </w:rPr>
  </w:style>
  <w:style w:type="character" w:customStyle="1" w:styleId="101">
    <w:name w:val="num"/>
    <w:qFormat/>
    <w:uiPriority w:val="0"/>
  </w:style>
  <w:style w:type="character" w:customStyle="1" w:styleId="102">
    <w:name w:val="department1"/>
    <w:qFormat/>
    <w:uiPriority w:val="0"/>
  </w:style>
  <w:style w:type="character" w:customStyle="1" w:styleId="103">
    <w:name w:val="end"/>
    <w:qFormat/>
    <w:uiPriority w:val="0"/>
    <w:rPr>
      <w:color w:val="03CA1B"/>
    </w:rPr>
  </w:style>
  <w:style w:type="character" w:customStyle="1" w:styleId="104">
    <w:name w:val="标题 2 Char"/>
    <w:qFormat/>
    <w:uiPriority w:val="0"/>
    <w:rPr>
      <w:rFonts w:ascii="Arial" w:hAnsi="Arial" w:eastAsia="黑体"/>
      <w:b/>
      <w:bCs/>
      <w:kern w:val="2"/>
      <w:sz w:val="28"/>
      <w:szCs w:val="32"/>
    </w:rPr>
  </w:style>
  <w:style w:type="character" w:customStyle="1" w:styleId="105">
    <w:name w:val="state2"/>
    <w:qFormat/>
    <w:uiPriority w:val="0"/>
    <w:rPr>
      <w:color w:val="CF0303"/>
    </w:rPr>
  </w:style>
  <w:style w:type="character" w:customStyle="1" w:styleId="106">
    <w:name w:val="txt_color"/>
    <w:qFormat/>
    <w:uiPriority w:val="0"/>
    <w:rPr>
      <w:color w:val="C0C0C0"/>
    </w:rPr>
  </w:style>
  <w:style w:type="character" w:customStyle="1" w:styleId="107">
    <w:name w:val="name"/>
    <w:qFormat/>
    <w:uiPriority w:val="0"/>
  </w:style>
  <w:style w:type="character" w:customStyle="1" w:styleId="108">
    <w:name w:val="apple-converted-space"/>
    <w:qFormat/>
    <w:uiPriority w:val="0"/>
  </w:style>
  <w:style w:type="character" w:customStyle="1" w:styleId="109">
    <w:name w:val="end1"/>
    <w:qFormat/>
    <w:uiPriority w:val="0"/>
    <w:rPr>
      <w:color w:val="03CA1B"/>
    </w:rPr>
  </w:style>
  <w:style w:type="character" w:customStyle="1" w:styleId="110">
    <w:name w:val="文档结构图 Char"/>
    <w:qFormat/>
    <w:uiPriority w:val="0"/>
    <w:rPr>
      <w:rFonts w:ascii="宋体"/>
      <w:kern w:val="2"/>
      <w:sz w:val="18"/>
      <w:szCs w:val="18"/>
    </w:rPr>
  </w:style>
  <w:style w:type="character" w:customStyle="1" w:styleId="111">
    <w:name w:val="正文(首行缩进) Char1"/>
    <w:link w:val="112"/>
    <w:qFormat/>
    <w:uiPriority w:val="0"/>
    <w:rPr>
      <w:rFonts w:ascii="宋体"/>
      <w:snapToGrid w:val="0"/>
      <w:sz w:val="24"/>
      <w:szCs w:val="24"/>
      <w:lang w:bidi="ar-SA"/>
    </w:rPr>
  </w:style>
  <w:style w:type="paragraph" w:customStyle="1" w:styleId="112">
    <w:name w:val="正文(首行缩进)"/>
    <w:basedOn w:val="1"/>
    <w:link w:val="111"/>
    <w:qFormat/>
    <w:uiPriority w:val="0"/>
    <w:pPr>
      <w:spacing w:line="360" w:lineRule="auto"/>
      <w:ind w:firstLine="480" w:firstLineChars="200"/>
    </w:pPr>
    <w:rPr>
      <w:rFonts w:ascii="宋体"/>
      <w:snapToGrid w:val="0"/>
      <w:kern w:val="0"/>
      <w:sz w:val="24"/>
      <w:szCs w:val="24"/>
    </w:rPr>
  </w:style>
  <w:style w:type="character" w:customStyle="1" w:styleId="113">
    <w:name w:val="15"/>
    <w:qFormat/>
    <w:uiPriority w:val="0"/>
    <w:rPr>
      <w:rFonts w:hint="default" w:ascii="Times New Roman" w:hAnsi="Times New Roman" w:cs="Times New Roman"/>
      <w:color w:val="0000FF"/>
      <w:sz w:val="20"/>
      <w:szCs w:val="20"/>
      <w:u w:val="single"/>
    </w:rPr>
  </w:style>
  <w:style w:type="character" w:customStyle="1" w:styleId="114">
    <w:name w:val="doc_title"/>
    <w:qFormat/>
    <w:uiPriority w:val="0"/>
  </w:style>
  <w:style w:type="character" w:customStyle="1" w:styleId="115">
    <w:name w:val="state"/>
    <w:qFormat/>
    <w:uiPriority w:val="0"/>
    <w:rPr>
      <w:color w:val="CF0303"/>
    </w:rPr>
  </w:style>
  <w:style w:type="character" w:customStyle="1" w:styleId="116">
    <w:name w:val="样式 宋体 小四 Char"/>
    <w:link w:val="117"/>
    <w:qFormat/>
    <w:uiPriority w:val="0"/>
    <w:rPr>
      <w:rFonts w:eastAsia="宋体"/>
      <w:color w:val="000000"/>
      <w:sz w:val="24"/>
      <w:u w:color="000000"/>
      <w:lang w:val="en-US" w:eastAsia="zh-CN" w:bidi="ar-SA"/>
    </w:rPr>
  </w:style>
  <w:style w:type="paragraph" w:customStyle="1" w:styleId="117">
    <w:name w:val="样式 宋体 小四"/>
    <w:basedOn w:val="1"/>
    <w:link w:val="116"/>
    <w:qFormat/>
    <w:uiPriority w:val="0"/>
    <w:pPr>
      <w:widowControl/>
      <w:spacing w:line="500" w:lineRule="exact"/>
      <w:ind w:firstLine="200" w:firstLineChars="200"/>
      <w:textAlignment w:val="baseline"/>
    </w:pPr>
    <w:rPr>
      <w:color w:val="000000"/>
      <w:kern w:val="0"/>
      <w:sz w:val="24"/>
      <w:szCs w:val="20"/>
      <w:u w:color="000000"/>
    </w:rPr>
  </w:style>
  <w:style w:type="character" w:customStyle="1" w:styleId="118">
    <w:name w:val="纯文本 Char"/>
    <w:qFormat/>
    <w:uiPriority w:val="99"/>
    <w:rPr>
      <w:rFonts w:ascii="宋体" w:hAnsi="Courier New" w:eastAsia="宋体" w:cs="Times New Roman"/>
      <w:color w:val="000000"/>
      <w:sz w:val="26"/>
      <w:szCs w:val="20"/>
    </w:rPr>
  </w:style>
  <w:style w:type="character" w:customStyle="1" w:styleId="119">
    <w:name w:val="state1"/>
    <w:qFormat/>
    <w:uiPriority w:val="0"/>
  </w:style>
  <w:style w:type="character" w:customStyle="1" w:styleId="120">
    <w:name w:val="gl"/>
    <w:qFormat/>
    <w:uiPriority w:val="0"/>
    <w:rPr>
      <w:rFonts w:ascii="Verdana" w:hAnsi="Verdana" w:eastAsia="仿宋_GB2312" w:cs="”“Times New Roman”“"/>
      <w:kern w:val="0"/>
      <w:sz w:val="28"/>
      <w:szCs w:val="28"/>
      <w:lang w:eastAsia="en-US"/>
    </w:rPr>
  </w:style>
  <w:style w:type="character" w:customStyle="1" w:styleId="121">
    <w:name w:val="num1"/>
    <w:qFormat/>
    <w:uiPriority w:val="0"/>
  </w:style>
  <w:style w:type="character" w:customStyle="1" w:styleId="122">
    <w:name w:val="department"/>
    <w:qFormat/>
    <w:uiPriority w:val="0"/>
  </w:style>
  <w:style w:type="character" w:customStyle="1" w:styleId="123">
    <w:name w:val="font31"/>
    <w:qFormat/>
    <w:uiPriority w:val="0"/>
    <w:rPr>
      <w:rFonts w:hint="default" w:ascii="Calibri" w:hAnsi="Calibri" w:eastAsia="仿宋_GB2312" w:cs="”“Times New Roman”“"/>
      <w:color w:val="000000"/>
      <w:kern w:val="0"/>
      <w:sz w:val="21"/>
      <w:szCs w:val="21"/>
      <w:u w:val="none"/>
      <w:vertAlign w:val="superscript"/>
      <w:lang w:eastAsia="en-US"/>
    </w:rPr>
  </w:style>
  <w:style w:type="paragraph" w:customStyle="1" w:styleId="124">
    <w:name w:val="表格正文"/>
    <w:basedOn w:val="1"/>
    <w:next w:val="1"/>
    <w:link w:val="125"/>
    <w:qFormat/>
    <w:uiPriority w:val="0"/>
    <w:pPr>
      <w:spacing w:line="360" w:lineRule="exact"/>
      <w:jc w:val="center"/>
    </w:pPr>
    <w:rPr>
      <w:szCs w:val="20"/>
    </w:rPr>
  </w:style>
  <w:style w:type="character" w:customStyle="1" w:styleId="125">
    <w:name w:val="表格正文 Char Char"/>
    <w:link w:val="124"/>
    <w:qFormat/>
    <w:uiPriority w:val="0"/>
    <w:rPr>
      <w:kern w:val="2"/>
      <w:sz w:val="21"/>
    </w:rPr>
  </w:style>
  <w:style w:type="paragraph" w:customStyle="1" w:styleId="126">
    <w:name w:val="p22"/>
    <w:basedOn w:val="1"/>
    <w:qFormat/>
    <w:uiPriority w:val="0"/>
    <w:pPr>
      <w:widowControl/>
      <w:spacing w:before="100" w:after="100"/>
      <w:jc w:val="center"/>
    </w:pPr>
    <w:rPr>
      <w:rFonts w:ascii="宋体" w:hAnsi="宋体" w:cs="宋体"/>
      <w:color w:val="000000"/>
      <w:kern w:val="0"/>
      <w:sz w:val="24"/>
      <w:szCs w:val="24"/>
    </w:rPr>
  </w:style>
  <w:style w:type="paragraph" w:customStyle="1" w:styleId="127">
    <w:name w:val="reader-word-layer reader-word-s6-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
    <w:name w:val="Default Char Char"/>
    <w:link w:val="57"/>
    <w:qFormat/>
    <w:locked/>
    <w:uiPriority w:val="0"/>
    <w:rPr>
      <w:color w:val="000000"/>
      <w:sz w:val="24"/>
      <w:szCs w:val="24"/>
      <w:lang w:bidi="ar-SA"/>
    </w:rPr>
  </w:style>
  <w:style w:type="paragraph" w:customStyle="1" w:styleId="129">
    <w:name w:val="_Style 70"/>
    <w:basedOn w:val="1"/>
    <w:qFormat/>
    <w:uiPriority w:val="0"/>
    <w:rPr>
      <w:rFonts w:eastAsia="仿宋_GB2312"/>
      <w:sz w:val="28"/>
      <w:szCs w:val="20"/>
    </w:rPr>
  </w:style>
  <w:style w:type="paragraph" w:customStyle="1" w:styleId="130">
    <w:name w:val="p0"/>
    <w:basedOn w:val="1"/>
    <w:qFormat/>
    <w:uiPriority w:val="0"/>
    <w:pPr>
      <w:widowControl/>
    </w:pPr>
    <w:rPr>
      <w:kern w:val="0"/>
      <w:szCs w:val="21"/>
    </w:rPr>
  </w:style>
  <w:style w:type="paragraph" w:customStyle="1" w:styleId="131">
    <w:name w:val="样式 样式 标题 3 + 段前: 0.5 行 段后: 0.5 行1 + 宋体 段前: 0.5 行 段后: 0.5 行"/>
    <w:basedOn w:val="1"/>
    <w:qFormat/>
    <w:uiPriority w:val="0"/>
    <w:pPr>
      <w:keepNext/>
      <w:keepLines/>
      <w:adjustRightInd w:val="0"/>
      <w:snapToGrid w:val="0"/>
      <w:spacing w:before="156" w:beforeLines="50" w:line="360" w:lineRule="auto"/>
      <w:ind w:firstLine="482" w:firstLineChars="200"/>
      <w:jc w:val="left"/>
      <w:outlineLvl w:val="2"/>
    </w:pPr>
    <w:rPr>
      <w:b/>
      <w:kern w:val="44"/>
      <w:sz w:val="24"/>
      <w:szCs w:val="24"/>
    </w:rPr>
  </w:style>
  <w:style w:type="paragraph" w:customStyle="1" w:styleId="132">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133">
    <w:name w:val="reader-word-layer reader-word-s1-2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4">
    <w:name w:val="表头"/>
    <w:basedOn w:val="1"/>
    <w:next w:val="1"/>
    <w:qFormat/>
    <w:uiPriority w:val="0"/>
    <w:pPr>
      <w:keepNext/>
      <w:snapToGrid w:val="0"/>
      <w:spacing w:before="60" w:after="60" w:line="400" w:lineRule="atLeast"/>
      <w:jc w:val="center"/>
    </w:pPr>
    <w:rPr>
      <w:rFonts w:hint="eastAsia" w:ascii="黑体" w:eastAsia="黑体"/>
      <w:spacing w:val="10"/>
      <w:w w:val="90"/>
      <w:kern w:val="21"/>
      <w:sz w:val="24"/>
      <w:szCs w:val="20"/>
    </w:rPr>
  </w:style>
  <w:style w:type="paragraph" w:customStyle="1" w:styleId="135">
    <w:name w:val="reader-word-layer reader-word-s1-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6">
    <w:name w:val="样式 表格正文 + 黑色 段后: 0.1 行 行距: 最小值 12 磅"/>
    <w:basedOn w:val="1"/>
    <w:qFormat/>
    <w:uiPriority w:val="0"/>
    <w:pPr>
      <w:spacing w:line="360" w:lineRule="atLeast"/>
      <w:jc w:val="center"/>
    </w:pPr>
    <w:rPr>
      <w:rFonts w:hint="eastAsia"/>
      <w:color w:val="000000"/>
      <w:szCs w:val="20"/>
    </w:rPr>
  </w:style>
  <w:style w:type="paragraph" w:customStyle="1" w:styleId="137">
    <w:name w:val="样式13"/>
    <w:basedOn w:val="1"/>
    <w:qFormat/>
    <w:uiPriority w:val="0"/>
    <w:pPr>
      <w:spacing w:line="360" w:lineRule="auto"/>
      <w:ind w:firstLine="480" w:firstLineChars="200"/>
    </w:pPr>
    <w:rPr>
      <w:color w:val="000000"/>
      <w:sz w:val="24"/>
      <w:szCs w:val="24"/>
    </w:rPr>
  </w:style>
  <w:style w:type="paragraph" w:customStyle="1" w:styleId="138">
    <w:name w:val="reader-word-layer reader-word-s4-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9">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140">
    <w:name w:val="xl26"/>
    <w:basedOn w:val="1"/>
    <w:qFormat/>
    <w:uiPriority w:val="0"/>
    <w:pPr>
      <w:widowControl/>
      <w:spacing w:before="100" w:after="100"/>
      <w:jc w:val="center"/>
    </w:pPr>
    <w:rPr>
      <w:rFonts w:ascii="宋体"/>
      <w:color w:val="000000"/>
      <w:kern w:val="0"/>
      <w:sz w:val="24"/>
      <w:szCs w:val="20"/>
    </w:rPr>
  </w:style>
  <w:style w:type="paragraph" w:customStyle="1" w:styleId="141">
    <w:name w:val="reader-word-layer reader-word-s6-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
    <w:name w:val="1标题2级"/>
    <w:basedOn w:val="1"/>
    <w:qFormat/>
    <w:uiPriority w:val="0"/>
    <w:pPr>
      <w:keepNext/>
      <w:snapToGrid w:val="0"/>
      <w:spacing w:line="420" w:lineRule="auto"/>
      <w:outlineLvl w:val="1"/>
    </w:pPr>
    <w:rPr>
      <w:rFonts w:eastAsia="黑体"/>
      <w:b/>
      <w:sz w:val="28"/>
      <w:szCs w:val="20"/>
    </w:rPr>
  </w:style>
  <w:style w:type="paragraph" w:customStyle="1" w:styleId="143">
    <w:name w:val="小四表格"/>
    <w:basedOn w:val="1"/>
    <w:qFormat/>
    <w:uiPriority w:val="0"/>
    <w:pPr>
      <w:jc w:val="center"/>
    </w:pPr>
    <w:rPr>
      <w:kern w:val="0"/>
      <w:sz w:val="24"/>
      <w:szCs w:val="20"/>
    </w:rPr>
  </w:style>
  <w:style w:type="paragraph" w:customStyle="1" w:styleId="144">
    <w:name w:val="Char"/>
    <w:basedOn w:val="1"/>
    <w:qFormat/>
    <w:uiPriority w:val="0"/>
    <w:pPr>
      <w:widowControl/>
      <w:spacing w:after="160"/>
      <w:jc w:val="left"/>
    </w:pPr>
    <w:rPr>
      <w:rFonts w:ascii="Verdana" w:hAnsi="Verdana" w:eastAsia="仿宋_GB2312" w:cs="”“Times New Roman”“"/>
      <w:kern w:val="0"/>
      <w:sz w:val="28"/>
      <w:szCs w:val="28"/>
      <w:lang w:eastAsia="en-US"/>
    </w:rPr>
  </w:style>
  <w:style w:type="paragraph" w:customStyle="1" w:styleId="145">
    <w:name w:val="首行缩进:  2 字符"/>
    <w:basedOn w:val="1"/>
    <w:qFormat/>
    <w:uiPriority w:val="0"/>
    <w:pPr>
      <w:spacing w:line="440" w:lineRule="exact"/>
      <w:ind w:firstLine="200" w:firstLineChars="200"/>
    </w:pPr>
    <w:rPr>
      <w:rFonts w:eastAsia="仿宋_GB2312" w:cs="宋体"/>
      <w:sz w:val="24"/>
      <w:szCs w:val="20"/>
    </w:rPr>
  </w:style>
  <w:style w:type="paragraph" w:customStyle="1" w:styleId="146">
    <w:name w:val="reader-word-layer reader-word-s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7">
    <w:name w:val="Char Char Char1 Char Char Char Char"/>
    <w:basedOn w:val="1"/>
    <w:qFormat/>
    <w:uiPriority w:val="0"/>
    <w:pPr>
      <w:adjustRightInd w:val="0"/>
      <w:spacing w:line="360" w:lineRule="auto"/>
      <w:ind w:firstLine="200" w:firstLineChars="200"/>
    </w:pPr>
    <w:rPr>
      <w:rFonts w:eastAsia="楷体_GB2312"/>
      <w:sz w:val="24"/>
      <w:szCs w:val="24"/>
    </w:rPr>
  </w:style>
  <w:style w:type="paragraph" w:customStyle="1" w:styleId="148">
    <w:name w:val="reader-word-layer reader-word-s4-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9">
    <w:name w:val="Char Char Char Char Char Char Char"/>
    <w:basedOn w:val="1"/>
    <w:qFormat/>
    <w:uiPriority w:val="0"/>
    <w:rPr>
      <w:sz w:val="24"/>
      <w:szCs w:val="24"/>
    </w:rPr>
  </w:style>
  <w:style w:type="paragraph" w:customStyle="1" w:styleId="150">
    <w:name w:val="p15"/>
    <w:basedOn w:val="1"/>
    <w:qFormat/>
    <w:uiPriority w:val="0"/>
    <w:pPr>
      <w:widowControl/>
      <w:pBdr>
        <w:bottom w:val="single" w:color="000000" w:sz="6" w:space="1"/>
      </w:pBdr>
      <w:snapToGrid w:val="0"/>
      <w:spacing w:after="200"/>
      <w:jc w:val="center"/>
    </w:pPr>
    <w:rPr>
      <w:rFonts w:ascii="Tahoma" w:hAnsi="Tahoma" w:cs="Tahoma"/>
      <w:kern w:val="0"/>
      <w:sz w:val="18"/>
      <w:szCs w:val="18"/>
    </w:rPr>
  </w:style>
  <w:style w:type="paragraph" w:customStyle="1" w:styleId="151">
    <w:name w:val="reader-word-layer reader-word-s20-10 reader-word-s20-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
    <w:name w:val="中文报告书样式"/>
    <w:basedOn w:val="1"/>
    <w:qFormat/>
    <w:uiPriority w:val="0"/>
    <w:pPr>
      <w:widowControl/>
      <w:adjustRightInd w:val="0"/>
      <w:spacing w:line="480" w:lineRule="atLeast"/>
      <w:ind w:firstLine="482"/>
      <w:jc w:val="left"/>
    </w:pPr>
    <w:rPr>
      <w:rFonts w:ascii="黑体" w:hAnsi="黑体" w:cs="黑体"/>
      <w:kern w:val="24"/>
      <w:sz w:val="24"/>
      <w:szCs w:val="20"/>
    </w:rPr>
  </w:style>
  <w:style w:type="paragraph" w:customStyle="1" w:styleId="153">
    <w:name w:val="reader-word-layer reader-word-s1-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
    <w:name w:val="reader-word-layer reader-word-s20-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5">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6">
    <w:name w:val="p19"/>
    <w:basedOn w:val="1"/>
    <w:qFormat/>
    <w:uiPriority w:val="0"/>
    <w:pPr>
      <w:widowControl/>
      <w:ind w:firstLine="420"/>
    </w:pPr>
    <w:rPr>
      <w:rFonts w:ascii="宋体" w:hAnsi="宋体" w:cs="宋体"/>
      <w:kern w:val="0"/>
      <w:sz w:val="26"/>
      <w:szCs w:val="26"/>
    </w:rPr>
  </w:style>
  <w:style w:type="paragraph" w:customStyle="1" w:styleId="157">
    <w:name w:val="reader-word-layer reader-word-s6-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8">
    <w:name w:val="reader-word-layer reader-word-s6-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9">
    <w:name w:val="标题 41"/>
    <w:basedOn w:val="1"/>
    <w:qFormat/>
    <w:uiPriority w:val="0"/>
    <w:pPr>
      <w:spacing w:before="29"/>
      <w:ind w:left="120"/>
      <w:outlineLvl w:val="3"/>
    </w:pPr>
    <w:rPr>
      <w:rFonts w:ascii="宋体" w:cs="宋体"/>
      <w:b/>
      <w:bCs/>
    </w:rPr>
  </w:style>
  <w:style w:type="paragraph" w:customStyle="1" w:styleId="160">
    <w:name w:val="p24"/>
    <w:basedOn w:val="1"/>
    <w:qFormat/>
    <w:uiPriority w:val="0"/>
    <w:pPr>
      <w:widowControl/>
      <w:spacing w:before="60" w:line="460" w:lineRule="atLeast"/>
      <w:ind w:firstLine="482"/>
    </w:pPr>
    <w:rPr>
      <w:kern w:val="0"/>
      <w:sz w:val="24"/>
      <w:szCs w:val="24"/>
    </w:rPr>
  </w:style>
  <w:style w:type="paragraph" w:customStyle="1" w:styleId="161">
    <w:name w:val="Char Char Char"/>
    <w:basedOn w:val="1"/>
    <w:qFormat/>
    <w:uiPriority w:val="0"/>
    <w:rPr>
      <w:szCs w:val="24"/>
    </w:rPr>
  </w:style>
  <w:style w:type="paragraph" w:customStyle="1" w:styleId="162">
    <w:name w:val="char"/>
    <w:basedOn w:val="1"/>
    <w:qFormat/>
    <w:uiPriority w:val="0"/>
    <w:pPr>
      <w:widowControl/>
      <w:spacing w:after="160" w:line="240" w:lineRule="atLeast"/>
      <w:ind w:right="533" w:rightChars="254"/>
    </w:pPr>
    <w:rPr>
      <w:szCs w:val="20"/>
    </w:rPr>
  </w:style>
  <w:style w:type="paragraph" w:customStyle="1" w:styleId="163">
    <w:name w:val="reader-word-layer reader-word-s6-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4">
    <w:name w:val="样式12"/>
    <w:basedOn w:val="1"/>
    <w:qFormat/>
    <w:uiPriority w:val="0"/>
    <w:pPr>
      <w:jc w:val="center"/>
    </w:pPr>
    <w:rPr>
      <w:szCs w:val="21"/>
    </w:rPr>
  </w:style>
  <w:style w:type="paragraph" w:customStyle="1" w:styleId="165">
    <w:name w:val="p25"/>
    <w:basedOn w:val="1"/>
    <w:qFormat/>
    <w:uiPriority w:val="0"/>
    <w:pPr>
      <w:widowControl/>
      <w:jc w:val="center"/>
    </w:pPr>
    <w:rPr>
      <w:kern w:val="0"/>
      <w:sz w:val="24"/>
      <w:szCs w:val="24"/>
    </w:rPr>
  </w:style>
  <w:style w:type="paragraph" w:customStyle="1" w:styleId="166">
    <w:name w:val="reader-word-layer reader-word-s1-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7">
    <w:name w:val="p17"/>
    <w:basedOn w:val="1"/>
    <w:qFormat/>
    <w:uiPriority w:val="0"/>
    <w:pPr>
      <w:widowControl/>
      <w:snapToGrid w:val="0"/>
      <w:spacing w:line="312" w:lineRule="auto"/>
      <w:ind w:left="113" w:right="113" w:firstLine="482"/>
      <w:jc w:val="left"/>
    </w:pPr>
    <w:rPr>
      <w:kern w:val="0"/>
      <w:sz w:val="24"/>
      <w:szCs w:val="24"/>
    </w:rPr>
  </w:style>
  <w:style w:type="paragraph" w:customStyle="1" w:styleId="168">
    <w:name w:val="reader-word-layer reader-word-s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9">
    <w:name w:val="reader-word-layer reader-word-s6-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0">
    <w:name w:val="reader-word-layer reader-word-s2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p18"/>
    <w:basedOn w:val="1"/>
    <w:qFormat/>
    <w:uiPriority w:val="0"/>
    <w:pPr>
      <w:widowControl/>
      <w:spacing w:before="78" w:after="78" w:line="360" w:lineRule="auto"/>
    </w:pPr>
    <w:rPr>
      <w:b/>
      <w:bCs/>
      <w:caps/>
      <w:kern w:val="0"/>
      <w:sz w:val="24"/>
      <w:szCs w:val="24"/>
    </w:rPr>
  </w:style>
  <w:style w:type="paragraph" w:customStyle="1" w:styleId="172">
    <w:name w:val="p20"/>
    <w:basedOn w:val="1"/>
    <w:qFormat/>
    <w:uiPriority w:val="0"/>
    <w:pPr>
      <w:pageBreakBefore/>
      <w:widowControl/>
      <w:spacing w:before="60" w:line="460" w:lineRule="atLeast"/>
    </w:pPr>
    <w:rPr>
      <w:rFonts w:ascii="Arial" w:hAnsi="Arial" w:cs="Arial"/>
      <w:b/>
      <w:bCs/>
      <w:color w:val="000000"/>
      <w:kern w:val="0"/>
      <w:sz w:val="24"/>
      <w:szCs w:val="24"/>
    </w:rPr>
  </w:style>
  <w:style w:type="paragraph" w:customStyle="1" w:styleId="173">
    <w:name w:val="标题111 Char Char Char Char Char Char Char"/>
    <w:basedOn w:val="1"/>
    <w:qFormat/>
    <w:uiPriority w:val="0"/>
    <w:pPr>
      <w:spacing w:before="60" w:line="460" w:lineRule="atLeast"/>
      <w:ind w:firstLine="200" w:firstLineChars="200"/>
    </w:pPr>
    <w:rPr>
      <w:rFonts w:ascii="宋体" w:hAnsi="宋体" w:cs="宋体"/>
      <w:sz w:val="24"/>
      <w:szCs w:val="24"/>
    </w:rPr>
  </w:style>
  <w:style w:type="paragraph" w:customStyle="1" w:styleId="174">
    <w:name w:val="reader-word-layer reader-word-s6-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5">
    <w:name w:val="表格"/>
    <w:basedOn w:val="1"/>
    <w:link w:val="176"/>
    <w:qFormat/>
    <w:uiPriority w:val="0"/>
    <w:pPr>
      <w:jc w:val="center"/>
    </w:pPr>
    <w:rPr>
      <w:sz w:val="24"/>
      <w:szCs w:val="21"/>
    </w:rPr>
  </w:style>
  <w:style w:type="character" w:customStyle="1" w:styleId="176">
    <w:name w:val="表格 Char"/>
    <w:link w:val="175"/>
    <w:qFormat/>
    <w:locked/>
    <w:uiPriority w:val="0"/>
    <w:rPr>
      <w:kern w:val="2"/>
      <w:sz w:val="24"/>
      <w:szCs w:val="21"/>
    </w:rPr>
  </w:style>
  <w:style w:type="paragraph" w:customStyle="1" w:styleId="177">
    <w:name w:val="样式35"/>
    <w:basedOn w:val="1"/>
    <w:qFormat/>
    <w:uiPriority w:val="0"/>
    <w:pPr>
      <w:adjustRightInd w:val="0"/>
      <w:spacing w:line="312" w:lineRule="auto"/>
      <w:ind w:firstLine="567"/>
    </w:pPr>
    <w:rPr>
      <w:rFonts w:ascii="宋体"/>
      <w:kern w:val="0"/>
      <w:sz w:val="28"/>
      <w:szCs w:val="24"/>
    </w:rPr>
  </w:style>
  <w:style w:type="paragraph" w:customStyle="1" w:styleId="178">
    <w:name w:val="列表段落1"/>
    <w:basedOn w:val="1"/>
    <w:qFormat/>
    <w:uiPriority w:val="0"/>
    <w:pPr>
      <w:spacing w:line="500" w:lineRule="exact"/>
      <w:ind w:firstLine="420" w:firstLineChars="200"/>
    </w:pPr>
    <w:rPr>
      <w:sz w:val="24"/>
      <w:szCs w:val="24"/>
    </w:rPr>
  </w:style>
  <w:style w:type="paragraph" w:customStyle="1" w:styleId="179">
    <w:name w:val="reader-word-layer reader-word-s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0">
    <w:name w:val="Char Char6 Char Char Char Char Char Char Char Char Char Char Char Char Char Char Char Char Char Char Char Char"/>
    <w:basedOn w:val="1"/>
    <w:qFormat/>
    <w:uiPriority w:val="0"/>
    <w:rPr>
      <w:sz w:val="24"/>
      <w:szCs w:val="24"/>
    </w:rPr>
  </w:style>
  <w:style w:type="paragraph" w:customStyle="1" w:styleId="181">
    <w:name w:val="Char Char1 Char Char Char Char Char Char"/>
    <w:basedOn w:val="1"/>
    <w:qFormat/>
    <w:uiPriority w:val="0"/>
    <w:rPr>
      <w:szCs w:val="20"/>
    </w:rPr>
  </w:style>
  <w:style w:type="paragraph" w:customStyle="1" w:styleId="182">
    <w:name w:val="reader-word-layer reader-word-s1-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3">
    <w:name w:val="reader-word-layer reader-word-s1-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4">
    <w:name w:val="表文1"/>
    <w:basedOn w:val="1"/>
    <w:qFormat/>
    <w:uiPriority w:val="0"/>
    <w:pPr>
      <w:spacing w:before="156" w:beforeLines="50" w:after="156" w:afterLines="50" w:line="360" w:lineRule="auto"/>
    </w:pPr>
    <w:rPr>
      <w:rFonts w:ascii="宋体" w:hAnsi="宋体"/>
      <w:szCs w:val="20"/>
    </w:rPr>
  </w:style>
  <w:style w:type="paragraph" w:customStyle="1" w:styleId="185">
    <w:name w:val="默认段落字体 Para Char Char Char Char"/>
    <w:basedOn w:val="181"/>
    <w:next w:val="9"/>
    <w:qFormat/>
    <w:uiPriority w:val="0"/>
    <w:rPr>
      <w:sz w:val="24"/>
      <w:szCs w:val="24"/>
    </w:rPr>
  </w:style>
  <w:style w:type="paragraph" w:customStyle="1" w:styleId="186">
    <w:name w:val="正文2"/>
    <w:basedOn w:val="1"/>
    <w:qFormat/>
    <w:uiPriority w:val="0"/>
    <w:pPr>
      <w:adjustRightInd w:val="0"/>
      <w:snapToGrid w:val="0"/>
      <w:spacing w:line="440" w:lineRule="atLeast"/>
      <w:ind w:firstLine="510"/>
    </w:pPr>
    <w:rPr>
      <w:szCs w:val="20"/>
    </w:rPr>
  </w:style>
  <w:style w:type="paragraph" w:customStyle="1" w:styleId="187">
    <w:name w:val="reader-word-layer reader-word-s2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8">
    <w:name w:val="reader-word-layer reader-word-s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
    <w:name w:val="标题3 Char Char Char Char"/>
    <w:basedOn w:val="1"/>
    <w:qFormat/>
    <w:uiPriority w:val="0"/>
    <w:pPr>
      <w:spacing w:after="156" w:afterLines="50" w:line="560" w:lineRule="exact"/>
    </w:pPr>
    <w:rPr>
      <w:rFonts w:eastAsia="黑体"/>
      <w:sz w:val="30"/>
      <w:szCs w:val="30"/>
    </w:rPr>
  </w:style>
  <w:style w:type="paragraph" w:customStyle="1" w:styleId="190">
    <w:name w:val="2"/>
    <w:basedOn w:val="1"/>
    <w:next w:val="1"/>
    <w:qFormat/>
    <w:uiPriority w:val="0"/>
    <w:pPr>
      <w:spacing w:before="240" w:line="440" w:lineRule="exact"/>
    </w:pPr>
    <w:rPr>
      <w:rFonts w:ascii="黑体" w:eastAsia="黑体"/>
      <w:sz w:val="24"/>
      <w:szCs w:val="28"/>
    </w:rPr>
  </w:style>
  <w:style w:type="paragraph" w:customStyle="1" w:styleId="191">
    <w:name w:val="reader-word-layer reader-word-s6-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2">
    <w:name w:val="1"/>
    <w:basedOn w:val="1"/>
    <w:next w:val="10"/>
    <w:qFormat/>
    <w:uiPriority w:val="0"/>
    <w:pPr>
      <w:ind w:firstLine="420"/>
    </w:pPr>
    <w:rPr>
      <w:rFonts w:ascii="宋体"/>
      <w:sz w:val="26"/>
      <w:szCs w:val="20"/>
    </w:rPr>
  </w:style>
  <w:style w:type="paragraph" w:customStyle="1" w:styleId="193">
    <w:name w:val="reader-word-layer reader-word-s1-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4">
    <w:name w:val="p16"/>
    <w:basedOn w:val="1"/>
    <w:qFormat/>
    <w:uiPriority w:val="0"/>
    <w:pPr>
      <w:widowControl/>
      <w:jc w:val="center"/>
    </w:pPr>
    <w:rPr>
      <w:kern w:val="0"/>
      <w:szCs w:val="21"/>
    </w:rPr>
  </w:style>
  <w:style w:type="paragraph" w:customStyle="1" w:styleId="195">
    <w:name w:val="reader-word-layer reader-word-s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6">
    <w:name w:val="reader-word-layer reader-word-s1-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
    <w:name w:val="报告表正文"/>
    <w:basedOn w:val="1"/>
    <w:link w:val="198"/>
    <w:qFormat/>
    <w:uiPriority w:val="0"/>
    <w:pPr>
      <w:adjustRightInd w:val="0"/>
      <w:spacing w:line="312" w:lineRule="auto"/>
      <w:ind w:left="113" w:right="113" w:firstLine="482"/>
      <w:jc w:val="left"/>
    </w:pPr>
    <w:rPr>
      <w:kern w:val="0"/>
      <w:sz w:val="24"/>
      <w:szCs w:val="20"/>
    </w:rPr>
  </w:style>
  <w:style w:type="character" w:customStyle="1" w:styleId="198">
    <w:name w:val="报告表正文 Char"/>
    <w:link w:val="197"/>
    <w:qFormat/>
    <w:locked/>
    <w:uiPriority w:val="0"/>
    <w:rPr>
      <w:sz w:val="24"/>
    </w:rPr>
  </w:style>
  <w:style w:type="paragraph" w:customStyle="1" w:styleId="199">
    <w:name w:val="reader-word-layer reader-word-s6-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
    <w:name w:val="reader-word-layer reader-word-s6-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1">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2">
    <w:name w:val="Char Char Char Char Char Char Char Char2 Char"/>
    <w:basedOn w:val="1"/>
    <w:qFormat/>
    <w:uiPriority w:val="0"/>
    <w:pPr>
      <w:widowControl/>
      <w:adjustRightInd w:val="0"/>
      <w:spacing w:after="160" w:line="240" w:lineRule="exact"/>
      <w:jc w:val="left"/>
    </w:pPr>
    <w:rPr>
      <w:sz w:val="24"/>
      <w:szCs w:val="20"/>
    </w:rPr>
  </w:style>
  <w:style w:type="paragraph" w:customStyle="1" w:styleId="203">
    <w:name w:val="p23"/>
    <w:basedOn w:val="1"/>
    <w:qFormat/>
    <w:uiPriority w:val="0"/>
    <w:pPr>
      <w:widowControl/>
      <w:snapToGrid w:val="0"/>
      <w:spacing w:line="480" w:lineRule="atLeast"/>
      <w:ind w:firstLine="482"/>
    </w:pPr>
    <w:rPr>
      <w:kern w:val="0"/>
      <w:sz w:val="24"/>
      <w:szCs w:val="24"/>
    </w:rPr>
  </w:style>
  <w:style w:type="paragraph" w:customStyle="1" w:styleId="204">
    <w:name w:val="表格文字2"/>
    <w:basedOn w:val="1"/>
    <w:qFormat/>
    <w:uiPriority w:val="0"/>
    <w:pPr>
      <w:adjustRightInd w:val="0"/>
      <w:spacing w:before="60"/>
      <w:jc w:val="center"/>
      <w:textAlignment w:val="baseline"/>
    </w:pPr>
    <w:rPr>
      <w:rFonts w:ascii="宋体"/>
      <w:kern w:val="0"/>
      <w:sz w:val="24"/>
      <w:szCs w:val="20"/>
    </w:rPr>
  </w:style>
  <w:style w:type="paragraph" w:customStyle="1" w:styleId="205">
    <w:name w:val="reader-word-layer reader-word-s1-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6">
    <w:name w:val="p21"/>
    <w:basedOn w:val="1"/>
    <w:qFormat/>
    <w:uiPriority w:val="0"/>
    <w:pPr>
      <w:widowControl/>
      <w:ind w:firstLine="420"/>
    </w:pPr>
    <w:rPr>
      <w:rFonts w:ascii="宋体" w:hAnsi="宋体" w:cs="宋体"/>
      <w:kern w:val="0"/>
      <w:sz w:val="26"/>
      <w:szCs w:val="26"/>
    </w:rPr>
  </w:style>
  <w:style w:type="paragraph" w:customStyle="1" w:styleId="207">
    <w:name w:val="Table Paragraph"/>
    <w:basedOn w:val="1"/>
    <w:qFormat/>
    <w:uiPriority w:val="1"/>
    <w:pPr>
      <w:autoSpaceDE w:val="0"/>
      <w:autoSpaceDN w:val="0"/>
      <w:jc w:val="center"/>
    </w:pPr>
    <w:rPr>
      <w:rFonts w:ascii="Noto Sans CJK JP Regular" w:hAnsi="Noto Sans CJK JP Regular" w:eastAsia="Noto Sans CJK JP Regular" w:cs="Noto Sans CJK JP Regular"/>
      <w:kern w:val="0"/>
      <w:sz w:val="22"/>
      <w:lang w:eastAsia="en-US"/>
    </w:rPr>
  </w:style>
  <w:style w:type="paragraph" w:customStyle="1" w:styleId="208">
    <w:name w:val="表内容"/>
    <w:basedOn w:val="1"/>
    <w:next w:val="1"/>
    <w:qFormat/>
    <w:uiPriority w:val="0"/>
    <w:pPr>
      <w:spacing w:line="320" w:lineRule="exact"/>
      <w:jc w:val="center"/>
    </w:pPr>
    <w:rPr>
      <w:szCs w:val="20"/>
    </w:rPr>
  </w:style>
  <w:style w:type="paragraph" w:customStyle="1" w:styleId="209">
    <w:name w:val="标2lcc"/>
    <w:basedOn w:val="1"/>
    <w:qFormat/>
    <w:uiPriority w:val="0"/>
    <w:pPr>
      <w:outlineLvl w:val="1"/>
    </w:pPr>
    <w:rPr>
      <w:b/>
      <w:kern w:val="0"/>
      <w:sz w:val="28"/>
      <w:szCs w:val="24"/>
    </w:rPr>
  </w:style>
  <w:style w:type="paragraph" w:customStyle="1" w:styleId="210">
    <w:name w:val="正文 首行缩进:  2 字符"/>
    <w:basedOn w:val="1"/>
    <w:qFormat/>
    <w:uiPriority w:val="99"/>
    <w:pPr>
      <w:ind w:firstLine="579" w:firstLineChars="200"/>
    </w:pPr>
    <w:rPr>
      <w:rFonts w:cs="宋体"/>
      <w:szCs w:val="20"/>
    </w:rPr>
  </w:style>
  <w:style w:type="character" w:customStyle="1" w:styleId="211">
    <w:name w:val="批注文字 Char1"/>
    <w:semiHidden/>
    <w:qFormat/>
    <w:locked/>
    <w:uiPriority w:val="0"/>
    <w:rPr>
      <w:szCs w:val="24"/>
    </w:rPr>
  </w:style>
  <w:style w:type="paragraph" w:customStyle="1" w:styleId="212">
    <w:name w:val="列出段落11"/>
    <w:basedOn w:val="1"/>
    <w:qFormat/>
    <w:uiPriority w:val="0"/>
    <w:pPr>
      <w:spacing w:line="520" w:lineRule="exact"/>
      <w:ind w:firstLine="420" w:firstLineChars="200"/>
    </w:pPr>
    <w:rPr>
      <w:rFonts w:ascii="Calibri" w:hAnsi="Calibri"/>
      <w:sz w:val="24"/>
    </w:rPr>
  </w:style>
  <w:style w:type="paragraph" w:customStyle="1" w:styleId="213">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szCs w:val="24"/>
    </w:rPr>
  </w:style>
  <w:style w:type="character" w:customStyle="1" w:styleId="214">
    <w:name w:val="表头格式 Char"/>
    <w:link w:val="215"/>
    <w:qFormat/>
    <w:locked/>
    <w:uiPriority w:val="0"/>
    <w:rPr>
      <w:b/>
      <w:color w:val="000000"/>
      <w:sz w:val="24"/>
      <w:szCs w:val="24"/>
    </w:rPr>
  </w:style>
  <w:style w:type="paragraph" w:customStyle="1" w:styleId="215">
    <w:name w:val="表头格式"/>
    <w:basedOn w:val="1"/>
    <w:link w:val="214"/>
    <w:qFormat/>
    <w:uiPriority w:val="0"/>
    <w:pPr>
      <w:spacing w:line="480" w:lineRule="exact"/>
      <w:jc w:val="center"/>
    </w:pPr>
    <w:rPr>
      <w:b/>
      <w:color w:val="000000"/>
      <w:kern w:val="0"/>
      <w:sz w:val="24"/>
      <w:szCs w:val="24"/>
    </w:rPr>
  </w:style>
  <w:style w:type="character" w:customStyle="1" w:styleId="216">
    <w:name w:val="表格正文 Char"/>
    <w:qFormat/>
    <w:locked/>
    <w:uiPriority w:val="0"/>
    <w:rPr>
      <w:kern w:val="2"/>
      <w:sz w:val="21"/>
      <w:szCs w:val="24"/>
    </w:rPr>
  </w:style>
  <w:style w:type="paragraph" w:customStyle="1" w:styleId="217">
    <w:name w:val="报告 Char"/>
    <w:basedOn w:val="1"/>
    <w:qFormat/>
    <w:uiPriority w:val="0"/>
    <w:pPr>
      <w:adjustRightInd w:val="0"/>
      <w:spacing w:line="360" w:lineRule="auto"/>
      <w:ind w:firstLine="505" w:firstLineChars="200"/>
    </w:pPr>
    <w:rPr>
      <w:sz w:val="24"/>
      <w:szCs w:val="24"/>
    </w:rPr>
  </w:style>
  <w:style w:type="character" w:customStyle="1" w:styleId="218">
    <w:name w:val="表格内容 Char Char"/>
    <w:link w:val="219"/>
    <w:qFormat/>
    <w:locked/>
    <w:uiPriority w:val="0"/>
    <w:rPr>
      <w:rFonts w:ascii="宋体" w:hAnsi="宋体"/>
      <w:sz w:val="18"/>
    </w:rPr>
  </w:style>
  <w:style w:type="paragraph" w:customStyle="1" w:styleId="219">
    <w:name w:val="表格内容"/>
    <w:basedOn w:val="1"/>
    <w:next w:val="1"/>
    <w:link w:val="218"/>
    <w:qFormat/>
    <w:uiPriority w:val="0"/>
    <w:pPr>
      <w:tabs>
        <w:tab w:val="left" w:pos="1535"/>
        <w:tab w:val="left" w:pos="3105"/>
        <w:tab w:val="left" w:pos="4676"/>
        <w:tab w:val="left" w:pos="6247"/>
        <w:tab w:val="left" w:pos="7740"/>
        <w:tab w:val="left" w:pos="9288"/>
      </w:tabs>
      <w:snapToGrid w:val="0"/>
      <w:ind w:left="-25" w:leftChars="-12"/>
    </w:pPr>
    <w:rPr>
      <w:rFonts w:ascii="宋体" w:hAnsi="宋体"/>
      <w:kern w:val="0"/>
      <w:sz w:val="18"/>
      <w:szCs w:val="20"/>
    </w:rPr>
  </w:style>
  <w:style w:type="paragraph" w:customStyle="1" w:styleId="220">
    <w:name w:val="表格标题"/>
    <w:basedOn w:val="21"/>
    <w:next w:val="219"/>
    <w:qFormat/>
    <w:uiPriority w:val="0"/>
    <w:pPr>
      <w:spacing w:line="360" w:lineRule="auto"/>
      <w:jc w:val="center"/>
    </w:pPr>
    <w:rPr>
      <w:b/>
      <w:szCs w:val="20"/>
    </w:rPr>
  </w:style>
  <w:style w:type="paragraph" w:customStyle="1" w:styleId="221">
    <w:name w:val="样式 正文文本缩进 3 + 左侧:  2 字符"/>
    <w:basedOn w:val="30"/>
    <w:qFormat/>
    <w:uiPriority w:val="0"/>
    <w:pPr>
      <w:widowControl/>
      <w:spacing w:line="360" w:lineRule="auto"/>
      <w:ind w:left="0" w:leftChars="0" w:firstLine="200" w:firstLineChars="200"/>
      <w:jc w:val="left"/>
    </w:pPr>
    <w:rPr>
      <w:rFonts w:cs="PMingLiU"/>
      <w:kern w:val="0"/>
      <w:sz w:val="24"/>
      <w:szCs w:val="20"/>
    </w:rPr>
  </w:style>
  <w:style w:type="character" w:customStyle="1" w:styleId="222">
    <w:name w:val="表格内容--1.15 Char"/>
    <w:link w:val="223"/>
    <w:qFormat/>
    <w:locked/>
    <w:uiPriority w:val="0"/>
    <w:rPr>
      <w:color w:val="0D0D0D"/>
      <w:sz w:val="21"/>
      <w:szCs w:val="21"/>
    </w:rPr>
  </w:style>
  <w:style w:type="paragraph" w:customStyle="1" w:styleId="223">
    <w:name w:val="表格内容--1.15"/>
    <w:basedOn w:val="1"/>
    <w:link w:val="222"/>
    <w:qFormat/>
    <w:uiPriority w:val="0"/>
    <w:pPr>
      <w:tabs>
        <w:tab w:val="left" w:pos="567"/>
        <w:tab w:val="left" w:pos="1134"/>
        <w:tab w:val="right" w:leader="middleDot" w:pos="7938"/>
      </w:tabs>
      <w:spacing w:line="276" w:lineRule="auto"/>
      <w:jc w:val="center"/>
    </w:pPr>
    <w:rPr>
      <w:color w:val="0D0D0D"/>
      <w:kern w:val="0"/>
      <w:szCs w:val="21"/>
    </w:rPr>
  </w:style>
  <w:style w:type="character" w:customStyle="1" w:styleId="224">
    <w:name w:val="正文文本 (2)_"/>
    <w:link w:val="225"/>
    <w:qFormat/>
    <w:uiPriority w:val="99"/>
    <w:rPr>
      <w:rFonts w:ascii="微软雅黑" w:eastAsia="微软雅黑" w:cs="微软雅黑"/>
      <w:sz w:val="21"/>
      <w:szCs w:val="21"/>
      <w:shd w:val="clear" w:color="auto" w:fill="FFFFFF"/>
    </w:rPr>
  </w:style>
  <w:style w:type="paragraph" w:customStyle="1" w:styleId="225">
    <w:name w:val="正文文本 (2)1"/>
    <w:basedOn w:val="1"/>
    <w:link w:val="224"/>
    <w:qFormat/>
    <w:uiPriority w:val="99"/>
    <w:pPr>
      <w:shd w:val="clear" w:color="auto" w:fill="FFFFFF"/>
      <w:spacing w:before="60" w:line="413" w:lineRule="exact"/>
      <w:ind w:firstLine="300"/>
      <w:jc w:val="left"/>
    </w:pPr>
    <w:rPr>
      <w:rFonts w:ascii="微软雅黑" w:eastAsia="微软雅黑"/>
      <w:kern w:val="0"/>
      <w:szCs w:val="21"/>
    </w:rPr>
  </w:style>
  <w:style w:type="character" w:customStyle="1" w:styleId="226">
    <w:name w:val="表格字体 Char"/>
    <w:link w:val="227"/>
    <w:qFormat/>
    <w:uiPriority w:val="0"/>
    <w:rPr>
      <w:spacing w:val="-2"/>
      <w:kern w:val="28"/>
      <w:sz w:val="21"/>
    </w:rPr>
  </w:style>
  <w:style w:type="paragraph" w:customStyle="1" w:styleId="227">
    <w:name w:val="表格字体"/>
    <w:basedOn w:val="21"/>
    <w:link w:val="226"/>
    <w:qFormat/>
    <w:uiPriority w:val="0"/>
    <w:pPr>
      <w:adjustRightInd w:val="0"/>
      <w:snapToGrid w:val="0"/>
      <w:spacing w:before="120" w:line="400" w:lineRule="exact"/>
      <w:jc w:val="center"/>
      <w:textAlignment w:val="baseline"/>
    </w:pPr>
    <w:rPr>
      <w:rFonts w:ascii="Times New Roman" w:hAnsi="Times New Roman"/>
      <w:color w:val="auto"/>
      <w:spacing w:val="-2"/>
      <w:kern w:val="28"/>
      <w:sz w:val="21"/>
    </w:rPr>
  </w:style>
  <w:style w:type="paragraph" w:customStyle="1" w:styleId="228">
    <w:name w:val="图、表内容"/>
    <w:basedOn w:val="1"/>
    <w:qFormat/>
    <w:uiPriority w:val="0"/>
    <w:pPr>
      <w:adjustRightInd w:val="0"/>
      <w:snapToGrid w:val="0"/>
      <w:spacing w:line="360" w:lineRule="auto"/>
      <w:ind w:firstLine="640" w:firstLineChars="200"/>
      <w:jc w:val="center"/>
    </w:pPr>
    <w:rPr>
      <w:rFonts w:cs="宋体"/>
      <w:spacing w:val="-2"/>
      <w:kern w:val="0"/>
      <w:sz w:val="20"/>
      <w:szCs w:val="20"/>
    </w:rPr>
  </w:style>
  <w:style w:type="paragraph" w:customStyle="1" w:styleId="229">
    <w:name w:val="+正文"/>
    <w:basedOn w:val="1"/>
    <w:qFormat/>
    <w:uiPriority w:val="0"/>
    <w:pPr>
      <w:spacing w:line="360" w:lineRule="auto"/>
      <w:jc w:val="left"/>
    </w:pPr>
    <w:rPr>
      <w:rFonts w:cs="黑体"/>
      <w:sz w:val="24"/>
    </w:rPr>
  </w:style>
  <w:style w:type="table" w:customStyle="1" w:styleId="23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231">
    <w:name w:val="S 正文 Char"/>
    <w:link w:val="232"/>
    <w:qFormat/>
    <w:locked/>
    <w:uiPriority w:val="0"/>
    <w:rPr>
      <w:sz w:val="24"/>
      <w:lang w:val="en-US" w:eastAsia="en-US" w:bidi="en-US"/>
    </w:rPr>
  </w:style>
  <w:style w:type="paragraph" w:customStyle="1" w:styleId="232">
    <w:name w:val="S 正文"/>
    <w:link w:val="231"/>
    <w:qFormat/>
    <w:uiPriority w:val="0"/>
    <w:pPr>
      <w:widowControl w:val="0"/>
      <w:adjustRightInd w:val="0"/>
      <w:snapToGrid w:val="0"/>
      <w:spacing w:line="360" w:lineRule="auto"/>
      <w:ind w:firstLine="480" w:firstLineChars="200"/>
    </w:pPr>
    <w:rPr>
      <w:rFonts w:ascii="Times New Roman" w:hAnsi="Times New Roman" w:eastAsia="宋体" w:cs="Times New Roman"/>
      <w:sz w:val="24"/>
      <w:lang w:val="en-US" w:eastAsia="en-US" w:bidi="en-US"/>
    </w:rPr>
  </w:style>
  <w:style w:type="character" w:customStyle="1" w:styleId="233">
    <w:name w:val="报告表正文 Char Char"/>
    <w:qFormat/>
    <w:locked/>
    <w:uiPriority w:val="0"/>
    <w:rPr>
      <w:sz w:val="24"/>
    </w:rPr>
  </w:style>
  <w:style w:type="character" w:customStyle="1" w:styleId="234">
    <w:name w:val="1正文段落 Char"/>
    <w:link w:val="59"/>
    <w:qFormat/>
    <w:uiPriority w:val="0"/>
    <w:rPr>
      <w:rFonts w:cs="Times New Roman"/>
      <w:snapToGrid w:val="0"/>
      <w:sz w:val="24"/>
      <w:szCs w:val="21"/>
    </w:rPr>
  </w:style>
  <w:style w:type="paragraph" w:customStyle="1" w:styleId="235">
    <w:name w:val="修订1"/>
    <w:unhideWhenUsed/>
    <w:qFormat/>
    <w:uiPriority w:val="99"/>
    <w:rPr>
      <w:rFonts w:ascii="Times New Roman" w:hAnsi="Times New Roman" w:eastAsia="宋体" w:cs="Times New Roman"/>
      <w:kern w:val="2"/>
      <w:sz w:val="21"/>
      <w:szCs w:val="22"/>
      <w:lang w:val="en-US" w:eastAsia="zh-CN" w:bidi="ar-SA"/>
    </w:rPr>
  </w:style>
  <w:style w:type="character" w:customStyle="1" w:styleId="236">
    <w:name w:val="01正文 字符"/>
    <w:link w:val="237"/>
    <w:qFormat/>
    <w:locked/>
    <w:uiPriority w:val="0"/>
    <w:rPr>
      <w:kern w:val="2"/>
      <w:sz w:val="24"/>
      <w:szCs w:val="21"/>
    </w:rPr>
  </w:style>
  <w:style w:type="paragraph" w:customStyle="1" w:styleId="237">
    <w:name w:val="01正文"/>
    <w:basedOn w:val="1"/>
    <w:link w:val="236"/>
    <w:qFormat/>
    <w:uiPriority w:val="0"/>
    <w:pPr>
      <w:adjustRightInd w:val="0"/>
      <w:snapToGrid w:val="0"/>
      <w:spacing w:line="460" w:lineRule="exact"/>
      <w:ind w:firstLine="200" w:firstLineChars="200"/>
    </w:pPr>
    <w:rPr>
      <w:sz w:val="24"/>
      <w:szCs w:val="21"/>
    </w:rPr>
  </w:style>
  <w:style w:type="character" w:styleId="238">
    <w:name w:val="Placeholder Text"/>
    <w:basedOn w:val="43"/>
    <w:unhideWhenUsed/>
    <w:qFormat/>
    <w:uiPriority w:val="99"/>
    <w:rPr>
      <w:color w:val="666666"/>
    </w:rPr>
  </w:style>
  <w:style w:type="paragraph" w:customStyle="1" w:styleId="239">
    <w:name w:val="表内正文"/>
    <w:basedOn w:val="1"/>
    <w:qFormat/>
    <w:uiPriority w:val="0"/>
    <w:pPr>
      <w:wordWrap w:val="0"/>
      <w:spacing w:line="360" w:lineRule="auto"/>
      <w:ind w:firstLine="1044" w:firstLineChars="200"/>
      <w:jc w:val="left"/>
    </w:pPr>
    <w:rPr>
      <w:rFonts w:hint="eastAsia"/>
      <w:kern w:val="0"/>
      <w:sz w:val="20"/>
      <w:szCs w:val="20"/>
    </w:rPr>
  </w:style>
  <w:style w:type="paragraph" w:customStyle="1" w:styleId="240">
    <w:name w:val="五号居中一倍行距"/>
    <w:basedOn w:val="220"/>
    <w:next w:val="1"/>
    <w:unhideWhenUsed/>
    <w:qFormat/>
    <w:uiPriority w:val="0"/>
    <w:pPr>
      <w:wordWrap w:val="0"/>
      <w:snapToGrid w:val="0"/>
      <w:ind w:left="24" w:leftChars="10" w:right="24" w:rightChars="10"/>
    </w:pPr>
    <w:rPr>
      <w:b w:val="0"/>
      <w:sz w:val="21"/>
      <w:szCs w:val="21"/>
    </w:rPr>
  </w:style>
  <w:style w:type="paragraph" w:customStyle="1" w:styleId="241">
    <w:name w:val="图标 表标"/>
    <w:basedOn w:val="1"/>
    <w:qFormat/>
    <w:uiPriority w:val="0"/>
    <w:pPr>
      <w:autoSpaceDE w:val="0"/>
      <w:autoSpaceDN w:val="0"/>
      <w:adjustRightInd w:val="0"/>
      <w:ind w:firstLine="0" w:firstLineChars="0"/>
      <w:jc w:val="center"/>
    </w:pPr>
    <w:rPr>
      <w:b/>
      <w:bCs/>
      <w:kern w:val="21"/>
    </w:rPr>
  </w:style>
  <w:style w:type="paragraph" w:customStyle="1" w:styleId="242">
    <w:name w:val="表内最终版"/>
    <w:basedOn w:val="243"/>
    <w:unhideWhenUsed/>
    <w:qFormat/>
    <w:uiPriority w:val="0"/>
    <w:pPr>
      <w:adjustRightInd w:val="0"/>
      <w:spacing w:line="240" w:lineRule="auto"/>
      <w:ind w:firstLine="0" w:firstLineChars="0"/>
      <w:jc w:val="center"/>
      <w:textAlignment w:val="baseline"/>
    </w:pPr>
    <w:rPr>
      <w:sz w:val="21"/>
    </w:rPr>
  </w:style>
  <w:style w:type="paragraph" w:customStyle="1" w:styleId="243">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44">
    <w:name w:val="五号居中"/>
    <w:basedOn w:val="1"/>
    <w:next w:val="1"/>
    <w:qFormat/>
    <w:uiPriority w:val="0"/>
    <w:pPr>
      <w:snapToGrid w:val="0"/>
      <w:spacing w:beforeLines="10" w:afterLines="10" w:line="240" w:lineRule="auto"/>
      <w:ind w:left="24" w:leftChars="10" w:right="24" w:rightChars="10" w:firstLine="0" w:firstLineChars="0"/>
      <w:jc w:val="center"/>
      <w:textAlignment w:val="bottom"/>
    </w:pPr>
    <w:rPr>
      <w:spacing w:val="-2"/>
      <w:sz w:val="21"/>
      <w:szCs w:val="18"/>
    </w:rPr>
  </w:style>
  <w:style w:type="paragraph" w:customStyle="1" w:styleId="245">
    <w:name w:val="小四正文"/>
    <w:basedOn w:val="1"/>
    <w:unhideWhenUsed/>
    <w:qFormat/>
    <w:uiPriority w:val="0"/>
    <w:pPr>
      <w:wordWrap w:val="0"/>
      <w:ind w:firstLine="480"/>
      <w:textAlignment w:val="bottom"/>
    </w:pPr>
    <w:rPr>
      <w:rFonts w:cs="宋体"/>
    </w:rPr>
  </w:style>
  <w:style w:type="paragraph" w:customStyle="1" w:styleId="246">
    <w:name w:val="0报告正文格式1"/>
    <w:basedOn w:val="1"/>
    <w:qFormat/>
    <w:uiPriority w:val="0"/>
    <w:pPr>
      <w:widowControl/>
      <w:wordWrap w:val="0"/>
      <w:adjustRightInd w:val="0"/>
      <w:snapToGrid w:val="0"/>
      <w:spacing w:after="0" w:line="460" w:lineRule="exact"/>
      <w:ind w:firstLine="200" w:firstLineChars="200"/>
    </w:pPr>
    <w:rPr>
      <w:lang w:bidi="en-US"/>
    </w:rPr>
  </w:style>
  <w:style w:type="paragraph" w:customStyle="1" w:styleId="247">
    <w:name w:val="0表头"/>
    <w:basedOn w:val="1"/>
    <w:autoRedefine/>
    <w:qFormat/>
    <w:uiPriority w:val="0"/>
    <w:pPr>
      <w:framePr w:hSpace="180" w:wrap="around" w:vAnchor="text" w:hAnchor="text" w:xAlign="center" w:y="1"/>
      <w:suppressOverlap/>
      <w:adjustRightInd w:val="0"/>
      <w:snapToGrid w:val="0"/>
      <w:spacing w:after="0" w:line="460" w:lineRule="exact"/>
      <w:jc w:val="center"/>
    </w:pPr>
    <w:rPr>
      <w:b/>
      <w:sz w:val="21"/>
      <w:szCs w:val="22"/>
    </w:rPr>
  </w:style>
  <w:style w:type="paragraph" w:customStyle="1" w:styleId="248">
    <w:name w:val="文本"/>
    <w:basedOn w:val="1"/>
    <w:qFormat/>
    <w:uiPriority w:val="0"/>
    <w:pPr>
      <w:adjustRightInd w:val="0"/>
      <w:snapToGrid w:val="0"/>
      <w:spacing w:line="360" w:lineRule="auto"/>
      <w:ind w:firstLine="1446" w:firstLine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oleObject" Target="embeddings/oleObject3.bin"/><Relationship Id="rId22" Type="http://schemas.openxmlformats.org/officeDocument/2006/relationships/image" Target="media/image8.jpeg"/><Relationship Id="rId21" Type="http://schemas.openxmlformats.org/officeDocument/2006/relationships/customXml" Target="ink/ink4.xml"/><Relationship Id="rId20" Type="http://schemas.openxmlformats.org/officeDocument/2006/relationships/customXml" Target="ink/ink3.xml"/><Relationship Id="rId2" Type="http://schemas.openxmlformats.org/officeDocument/2006/relationships/settings" Target="settings.xml"/><Relationship Id="rId19" Type="http://schemas.openxmlformats.org/officeDocument/2006/relationships/customXml" Target="ink/ink2.xml"/><Relationship Id="rId18" Type="http://schemas.openxmlformats.org/officeDocument/2006/relationships/image" Target="media/image7.png"/><Relationship Id="rId17" Type="http://schemas.openxmlformats.org/officeDocument/2006/relationships/customXml" Target="ink/ink1.xml"/><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png"/><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11-15T08:30:28"/>
    </inkml:context>
    <inkml:brush xml:id="br0">
      <inkml:brushProperty name="width" value="0.35" units="cm"/>
      <inkml:brushProperty name="height" value="0.35" units="cm"/>
      <inkml:brushProperty name="color" value="#e71224"/>
    </inkml:brush>
  </inkml:definitions>
  <inkml:trace contextRef="#ctx0" brushRef="#br0">0.000 0.000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11-15T08:30:28"/>
    </inkml:context>
    <inkml:brush xml:id="br0">
      <inkml:brushProperty name="width" value="0.35" units="cm"/>
      <inkml:brushProperty name="height" value="0.35" units="cm"/>
      <inkml:brushProperty name="color" value="#e71224"/>
    </inkml:brush>
  </inkml:definitions>
  <inkml:trace contextRef="#ctx0" brushRef="#br0">0.000 0.000</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11-15T08:30:28"/>
    </inkml:context>
    <inkml:brush xml:id="br0">
      <inkml:brushProperty name="width" value="0.35" units="cm"/>
      <inkml:brushProperty name="height" value="0.35" units="cm"/>
      <inkml:brushProperty name="color" value="#e71224"/>
    </inkml:brush>
  </inkml:definitions>
  <inkml:trace contextRef="#ctx0" brushRef="#br0">0.000 0.000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24-11-15T08:30:28"/>
    </inkml:context>
    <inkml:brush xml:id="br0">
      <inkml:brushProperty name="width" value="0.35" units="cm"/>
      <inkml:brushProperty name="height" value="0.35" units="cm"/>
      <inkml:brushProperty name="color" value="#e71224"/>
    </inkml:brush>
  </inkml:definitions>
  <inkml:trace contextRef="#ctx0" brushRef="#br0">0.000 0.000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EF9178-9569-41AB-A83F-F53FC7B2EBE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74</Pages>
  <Words>42508</Words>
  <Characters>47220</Characters>
  <Lines>386</Lines>
  <Paragraphs>108</Paragraphs>
  <TotalTime>11</TotalTime>
  <ScaleCrop>false</ScaleCrop>
  <LinksUpToDate>false</LinksUpToDate>
  <CharactersWithSpaces>47492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2024-11-18T03:21:00Z</dcterms:created>
  <dc:creator>微软用户</dc:creator>
  <cp:lastModifiedBy>善宇环保ZLY</cp:lastModifiedBy>
  <cp:lastPrinted>2021-04-20T01:03:00Z</cp:lastPrinted>
  <dcterms:modified xsi:type="dcterms:W3CDTF">2025-06-30T09:33:45Z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ADA6F6E396474C6FB45BF121B03F696A_13</vt:lpwstr>
  </property>
  <property fmtid="{D5CDD505-2E9C-101B-9397-08002B2CF9AE}" pid="4" name="KSOTemplateDocerSaveRecord">
    <vt:lpwstr>eyJoZGlkIjoiZDAwZTlkMzBmOWNiM2VlNzZmMmE1ZDgwMGVjNjY2NmUiLCJ1c2VySWQiOiIyNzYwMzA3MjAifQ==</vt:lpwstr>
  </property>
</Properties>
</file>