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5664F">
      <w:pPr>
        <w:rPr>
          <w:rFonts w:hint="default" w:ascii="Times New Roman" w:hAnsi="Times New Roman" w:cs="Times New Roman"/>
          <w:color w:val="auto"/>
          <w:sz w:val="36"/>
          <w:szCs w:val="36"/>
          <w:highlight w:val="none"/>
        </w:rPr>
      </w:pPr>
      <w:bookmarkStart w:id="22" w:name="_GoBack"/>
      <w:bookmarkEnd w:id="22"/>
    </w:p>
    <w:p w14:paraId="7DB2BEFC">
      <w:pPr>
        <w:rPr>
          <w:rFonts w:hint="default" w:ascii="Times New Roman" w:hAnsi="Times New Roman" w:cs="Times New Roman"/>
          <w:color w:val="auto"/>
          <w:sz w:val="36"/>
          <w:szCs w:val="36"/>
          <w:highlight w:val="none"/>
        </w:rPr>
      </w:pPr>
    </w:p>
    <w:p w14:paraId="4D55C507">
      <w:pPr>
        <w:rPr>
          <w:rFonts w:hint="default" w:ascii="Times New Roman" w:hAnsi="Times New Roman" w:cs="Times New Roman"/>
          <w:color w:val="auto"/>
          <w:sz w:val="36"/>
          <w:szCs w:val="36"/>
          <w:highlight w:val="none"/>
        </w:rPr>
      </w:pPr>
    </w:p>
    <w:p w14:paraId="6E748491">
      <w:pPr>
        <w:rPr>
          <w:rFonts w:hint="default" w:ascii="Times New Roman" w:hAnsi="Times New Roman" w:cs="Times New Roman"/>
          <w:color w:val="auto"/>
          <w:sz w:val="36"/>
          <w:szCs w:val="36"/>
          <w:highlight w:val="none"/>
        </w:rPr>
      </w:pPr>
    </w:p>
    <w:p w14:paraId="070EA584">
      <w:pPr>
        <w:rPr>
          <w:rFonts w:hint="default" w:ascii="Times New Roman" w:hAnsi="Times New Roman" w:cs="Times New Roman"/>
          <w:color w:val="auto"/>
          <w:sz w:val="36"/>
          <w:szCs w:val="36"/>
          <w:highlight w:val="none"/>
        </w:rPr>
      </w:pPr>
    </w:p>
    <w:p w14:paraId="57F06FB9">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3DFB03F1">
      <w:pPr>
        <w:adjustRightInd w:val="0"/>
        <w:snapToGrid w:val="0"/>
        <w:spacing w:before="192" w:beforeLines="80"/>
        <w:jc w:val="center"/>
        <w:rPr>
          <w:rFonts w:hint="default" w:ascii="Times New Roman" w:hAnsi="Times New Roman" w:eastAsia="方正小标宋_GBK" w:cs="Times New Roman"/>
          <w:bCs/>
          <w:color w:val="auto"/>
          <w:sz w:val="72"/>
          <w:szCs w:val="72"/>
          <w:highlight w:val="none"/>
        </w:rPr>
      </w:pPr>
      <w:r>
        <w:rPr>
          <w:rFonts w:hint="default" w:ascii="Times New Roman" w:hAnsi="Times New Roman" w:eastAsia="楷体_GB2312" w:cs="Times New Roman"/>
          <w:bCs/>
          <w:color w:val="auto"/>
          <w:sz w:val="48"/>
          <w:szCs w:val="48"/>
          <w:highlight w:val="none"/>
        </w:rPr>
        <w:t>（污染影响类）</w:t>
      </w:r>
    </w:p>
    <w:p w14:paraId="61D3186E">
      <w:pPr>
        <w:adjustRightInd w:val="0"/>
        <w:snapToGrid w:val="0"/>
        <w:spacing w:line="288" w:lineRule="auto"/>
        <w:jc w:val="center"/>
        <w:rPr>
          <w:rFonts w:hint="default" w:ascii="Times New Roman" w:hAnsi="Times New Roman" w:cs="Times New Roman"/>
          <w:color w:val="auto"/>
          <w:kern w:val="44"/>
          <w:sz w:val="44"/>
          <w:szCs w:val="44"/>
          <w:highlight w:val="none"/>
        </w:rPr>
      </w:pPr>
    </w:p>
    <w:p w14:paraId="7A5D12AB">
      <w:pPr>
        <w:jc w:val="center"/>
        <w:rPr>
          <w:rFonts w:hint="default" w:ascii="Times New Roman" w:hAnsi="Times New Roman" w:cs="Times New Roman"/>
          <w:color w:val="auto"/>
          <w:sz w:val="52"/>
          <w:szCs w:val="52"/>
          <w:highlight w:val="none"/>
        </w:rPr>
      </w:pPr>
    </w:p>
    <w:p w14:paraId="5FA21ABD">
      <w:pPr>
        <w:ind w:firstLine="1040"/>
        <w:rPr>
          <w:rFonts w:hint="default" w:ascii="Times New Roman" w:hAnsi="Times New Roman" w:cs="Times New Roman"/>
          <w:color w:val="auto"/>
          <w:sz w:val="44"/>
          <w:szCs w:val="44"/>
          <w:highlight w:val="none"/>
        </w:rPr>
      </w:pPr>
    </w:p>
    <w:p w14:paraId="68E89ECC">
      <w:pPr>
        <w:ind w:firstLine="1040"/>
        <w:rPr>
          <w:rFonts w:hint="default" w:ascii="Times New Roman" w:hAnsi="Times New Roman" w:cs="Times New Roman"/>
          <w:color w:val="auto"/>
          <w:sz w:val="44"/>
          <w:szCs w:val="44"/>
          <w:highlight w:val="none"/>
        </w:rPr>
      </w:pPr>
    </w:p>
    <w:p w14:paraId="3F20E5A8">
      <w:pPr>
        <w:ind w:firstLine="1040"/>
        <w:rPr>
          <w:rFonts w:hint="default" w:ascii="Times New Roman" w:hAnsi="Times New Roman" w:cs="Times New Roman"/>
          <w:color w:val="auto"/>
          <w:sz w:val="44"/>
          <w:szCs w:val="44"/>
          <w:highlight w:val="none"/>
        </w:rPr>
      </w:pPr>
    </w:p>
    <w:p w14:paraId="6C1726EF">
      <w:pPr>
        <w:spacing w:line="360" w:lineRule="auto"/>
        <w:ind w:firstLine="1038"/>
        <w:rPr>
          <w:rFonts w:hint="default" w:ascii="Times New Roman" w:hAnsi="Times New Roman" w:cs="Times New Roman"/>
          <w:color w:val="auto"/>
          <w:sz w:val="44"/>
          <w:szCs w:val="44"/>
          <w:highlight w:val="none"/>
        </w:rPr>
      </w:pPr>
    </w:p>
    <w:p w14:paraId="4F3D94E9">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jc w:val="both"/>
        <w:textAlignment w:val="auto"/>
        <w:rPr>
          <w:rFonts w:hint="default" w:ascii="Times New Roman" w:hAnsi="Times New Roman" w:eastAsia="仿宋_GB2312" w:cs="Times New Roman"/>
          <w:color w:val="auto"/>
          <w:sz w:val="36"/>
          <w:szCs w:val="36"/>
          <w:highlight w:val="none"/>
          <w:lang w:val="en-US"/>
        </w:rPr>
      </w:pPr>
      <w:r>
        <w:rPr>
          <w:rFonts w:hint="default" w:ascii="Times New Roman" w:hAnsi="Times New Roman" w:eastAsia="仿宋_GB2312" w:cs="Times New Roman"/>
          <w:color w:val="auto"/>
          <w:sz w:val="36"/>
          <w:szCs w:val="36"/>
          <w:highlight w:val="none"/>
        </w:rPr>
        <w:t>项目名称：</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lang w:eastAsia="zh-CN"/>
        </w:rPr>
        <w:t>金祥玻璃生产线项目</w:t>
      </w:r>
      <w:r>
        <w:rPr>
          <w:rFonts w:hint="eastAsia" w:eastAsia="仿宋_GB2312" w:cs="Times New Roman"/>
          <w:color w:val="auto"/>
          <w:sz w:val="36"/>
          <w:szCs w:val="36"/>
          <w:highlight w:val="none"/>
          <w:u w:val="single"/>
          <w:lang w:val="en-US" w:eastAsia="zh-CN"/>
        </w:rPr>
        <w:t xml:space="preserve">      </w:t>
      </w:r>
    </w:p>
    <w:p w14:paraId="088692AD">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建设单位（盖章）：</w:t>
      </w:r>
      <w:r>
        <w:rPr>
          <w:rFonts w:hint="default" w:ascii="Times New Roman" w:hAnsi="Times New Roman" w:eastAsia="仿宋_GB2312" w:cs="Times New Roman"/>
          <w:color w:val="auto"/>
          <w:sz w:val="36"/>
          <w:szCs w:val="36"/>
          <w:highlight w:val="none"/>
          <w:u w:val="single"/>
          <w:lang w:eastAsia="zh-CN"/>
        </w:rPr>
        <w:t>安徽钱进智能制造有限公司</w:t>
      </w:r>
    </w:p>
    <w:p w14:paraId="2DB5BD22">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jc w:val="both"/>
        <w:textAlignment w:val="auto"/>
        <w:rPr>
          <w:rFonts w:hint="default" w:ascii="Times New Roman" w:hAnsi="Times New Roman" w:eastAsia="仿宋_GB2312" w:cs="Times New Roman"/>
          <w:color w:val="auto"/>
          <w:sz w:val="36"/>
          <w:szCs w:val="36"/>
          <w:highlight w:val="none"/>
          <w:u w:val="single"/>
          <w:lang w:val="en-US" w:eastAsia="zh-CN"/>
        </w:rPr>
      </w:pPr>
      <w:bookmarkStart w:id="0" w:name="_Hlk57884087"/>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202</w:t>
      </w:r>
      <w:r>
        <w:rPr>
          <w:rFonts w:hint="default" w:ascii="Times New Roman" w:hAnsi="Times New Roman" w:eastAsia="仿宋_GB2312" w:cs="Times New Roman"/>
          <w:color w:val="auto"/>
          <w:sz w:val="36"/>
          <w:szCs w:val="36"/>
          <w:highlight w:val="none"/>
          <w:u w:val="single"/>
          <w:lang w:val="en-US" w:eastAsia="zh-CN"/>
        </w:rPr>
        <w:t>5</w:t>
      </w:r>
      <w:r>
        <w:rPr>
          <w:rFonts w:hint="default" w:ascii="Times New Roman" w:hAnsi="Times New Roman" w:eastAsia="仿宋_GB2312" w:cs="Times New Roman"/>
          <w:color w:val="auto"/>
          <w:sz w:val="36"/>
          <w:szCs w:val="36"/>
          <w:highlight w:val="none"/>
          <w:u w:val="single"/>
        </w:rPr>
        <w:t>年</w:t>
      </w:r>
      <w:r>
        <w:rPr>
          <w:rFonts w:hint="default" w:ascii="Times New Roman" w:hAnsi="Times New Roman" w:eastAsia="仿宋_GB2312" w:cs="Times New Roman"/>
          <w:color w:val="auto"/>
          <w:sz w:val="36"/>
          <w:szCs w:val="36"/>
          <w:highlight w:val="none"/>
          <w:u w:val="single"/>
          <w:lang w:val="en-US" w:eastAsia="zh-CN"/>
        </w:rPr>
        <w:t>7</w:t>
      </w:r>
      <w:r>
        <w:rPr>
          <w:rFonts w:hint="default" w:ascii="Times New Roman" w:hAnsi="Times New Roman" w:eastAsia="仿宋_GB2312" w:cs="Times New Roman"/>
          <w:color w:val="auto"/>
          <w:sz w:val="36"/>
          <w:szCs w:val="36"/>
          <w:highlight w:val="none"/>
          <w:u w:val="single"/>
        </w:rPr>
        <w:t>月</w:t>
      </w:r>
      <w:r>
        <w:rPr>
          <w:rFonts w:hint="eastAsia" w:eastAsia="仿宋_GB2312" w:cs="Times New Roman"/>
          <w:color w:val="auto"/>
          <w:sz w:val="36"/>
          <w:szCs w:val="36"/>
          <w:highlight w:val="none"/>
          <w:u w:val="single"/>
          <w:lang w:val="en-US" w:eastAsia="zh-CN"/>
        </w:rPr>
        <w:t xml:space="preserve">         </w:t>
      </w:r>
    </w:p>
    <w:p w14:paraId="3025835D">
      <w:pPr>
        <w:adjustRightInd w:val="0"/>
        <w:snapToGrid w:val="0"/>
        <w:spacing w:line="288" w:lineRule="auto"/>
        <w:rPr>
          <w:rFonts w:hint="default" w:ascii="Times New Roman" w:hAnsi="Times New Roman" w:cs="Times New Roman"/>
          <w:color w:val="auto"/>
          <w:sz w:val="36"/>
          <w:szCs w:val="36"/>
          <w:highlight w:val="none"/>
        </w:rPr>
      </w:pPr>
    </w:p>
    <w:p w14:paraId="2A2D619A">
      <w:pPr>
        <w:adjustRightInd w:val="0"/>
        <w:snapToGrid w:val="0"/>
        <w:spacing w:line="288" w:lineRule="auto"/>
        <w:rPr>
          <w:rFonts w:hint="default" w:ascii="Times New Roman" w:hAnsi="Times New Roman" w:cs="Times New Roman"/>
          <w:color w:val="auto"/>
          <w:sz w:val="36"/>
          <w:szCs w:val="36"/>
          <w:highlight w:val="none"/>
        </w:rPr>
      </w:pPr>
    </w:p>
    <w:p w14:paraId="2A060A1E">
      <w:pPr>
        <w:adjustRightInd w:val="0"/>
        <w:snapToGrid w:val="0"/>
        <w:spacing w:line="288" w:lineRule="auto"/>
        <w:rPr>
          <w:rFonts w:hint="default" w:ascii="Times New Roman" w:hAnsi="Times New Roman" w:cs="Times New Roman"/>
          <w:color w:val="auto"/>
          <w:sz w:val="36"/>
          <w:szCs w:val="36"/>
          <w:highlight w:val="none"/>
        </w:rPr>
      </w:pPr>
    </w:p>
    <w:p w14:paraId="44BEEB14">
      <w:pPr>
        <w:adjustRightInd w:val="0"/>
        <w:snapToGrid w:val="0"/>
        <w:spacing w:line="288" w:lineRule="auto"/>
        <w:rPr>
          <w:rFonts w:hint="default" w:ascii="Times New Roman" w:hAnsi="Times New Roman" w:cs="Times New Roman"/>
          <w:color w:val="auto"/>
          <w:sz w:val="36"/>
          <w:szCs w:val="36"/>
          <w:highlight w:val="none"/>
        </w:rPr>
      </w:pPr>
    </w:p>
    <w:p w14:paraId="6B4D315C">
      <w:pPr>
        <w:adjustRightInd w:val="0"/>
        <w:snapToGrid w:val="0"/>
        <w:spacing w:line="288" w:lineRule="auto"/>
        <w:rPr>
          <w:rFonts w:hint="default" w:ascii="Times New Roman" w:hAnsi="Times New Roman" w:cs="Times New Roman"/>
          <w:color w:val="auto"/>
          <w:sz w:val="36"/>
          <w:szCs w:val="36"/>
          <w:highlight w:val="none"/>
        </w:rPr>
      </w:pPr>
    </w:p>
    <w:bookmarkEnd w:id="0"/>
    <w:p w14:paraId="068FE1E9">
      <w:pPr>
        <w:adjustRightInd w:val="0"/>
        <w:snapToGrid w:val="0"/>
        <w:spacing w:line="288" w:lineRule="auto"/>
        <w:jc w:val="center"/>
        <w:rPr>
          <w:rFonts w:hint="default" w:ascii="Times New Roman" w:hAnsi="Times New Roman" w:eastAsia="楷体_GB2312" w:cs="Times New Roman"/>
          <w:color w:val="auto"/>
          <w:sz w:val="36"/>
          <w:szCs w:val="36"/>
          <w:highlight w:val="none"/>
        </w:rPr>
      </w:pPr>
    </w:p>
    <w:p w14:paraId="632E78AA">
      <w:pPr>
        <w:adjustRightInd w:val="0"/>
        <w:snapToGrid w:val="0"/>
        <w:spacing w:line="288" w:lineRule="auto"/>
        <w:jc w:val="center"/>
        <w:rPr>
          <w:rFonts w:hint="default" w:ascii="Times New Roman" w:hAnsi="Times New Roman" w:eastAsia="楷体_GB2312" w:cs="Times New Roman"/>
          <w:color w:val="auto"/>
          <w:sz w:val="36"/>
          <w:szCs w:val="36"/>
          <w:highlight w:val="none"/>
        </w:rPr>
      </w:pPr>
    </w:p>
    <w:p w14:paraId="0B6B8120">
      <w:pPr>
        <w:adjustRightInd w:val="0"/>
        <w:snapToGrid w:val="0"/>
        <w:spacing w:line="288" w:lineRule="auto"/>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14:paraId="3D17BF98">
      <w:pPr>
        <w:rPr>
          <w:rFonts w:hint="default" w:ascii="Times New Roman" w:hAnsi="Times New Roman" w:cs="Times New Roman"/>
          <w:color w:val="auto"/>
          <w:sz w:val="36"/>
          <w:szCs w:val="36"/>
          <w:highlight w:val="none"/>
        </w:rPr>
        <w:sectPr>
          <w:footerReference r:id="rId3" w:type="default"/>
          <w:footerReference r:id="rId4" w:type="even"/>
          <w:pgSz w:w="11906" w:h="16838"/>
          <w:pgMar w:top="1440" w:right="1418" w:bottom="1440" w:left="1418" w:header="851" w:footer="1077" w:gutter="0"/>
          <w:pgBorders>
            <w:top w:val="none" w:sz="0" w:space="0"/>
            <w:left w:val="none" w:sz="0" w:space="0"/>
            <w:bottom w:val="none" w:sz="0" w:space="0"/>
            <w:right w:val="none" w:sz="0" w:space="0"/>
          </w:pgBorders>
          <w:pgNumType w:fmt="numberInDash" w:start="0"/>
          <w:cols w:space="720" w:num="1"/>
          <w:docGrid w:linePitch="312" w:charSpace="0"/>
        </w:sectPr>
      </w:pPr>
    </w:p>
    <w:p w14:paraId="1BF139E2">
      <w:pPr>
        <w:pStyle w:val="23"/>
        <w:jc w:val="center"/>
        <w:outlineLvl w:val="0"/>
        <w:rPr>
          <w:rFonts w:hint="default" w:ascii="Times New Roman" w:hAnsi="Times New Roman" w:cs="Times New Roman"/>
          <w:b/>
          <w:bCs/>
          <w:snapToGrid w:val="0"/>
          <w:color w:val="auto"/>
          <w:sz w:val="30"/>
          <w:szCs w:val="30"/>
          <w:highlight w:val="none"/>
        </w:rPr>
      </w:pPr>
      <w:r>
        <w:rPr>
          <w:rFonts w:hint="default" w:ascii="Times New Roman" w:hAnsi="Times New Roman" w:cs="Times New Roman"/>
          <w:b/>
          <w:bCs/>
          <w:snapToGrid w:val="0"/>
          <w:color w:val="auto"/>
          <w:sz w:val="30"/>
          <w:szCs w:val="30"/>
          <w:highlight w:val="none"/>
        </w:rPr>
        <w:t>一、建设项目基本情况</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23"/>
        <w:gridCol w:w="465"/>
        <w:gridCol w:w="2897"/>
        <w:gridCol w:w="1701"/>
        <w:gridCol w:w="2964"/>
      </w:tblGrid>
      <w:tr w14:paraId="48AEE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8" w:type="dxa"/>
            <w:gridSpan w:val="2"/>
            <w:tcMar>
              <w:top w:w="16" w:type="dxa"/>
              <w:left w:w="16" w:type="dxa"/>
              <w:right w:w="16" w:type="dxa"/>
            </w:tcMar>
            <w:vAlign w:val="center"/>
          </w:tcPr>
          <w:p w14:paraId="10464289">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建设项目名称</w:t>
            </w:r>
          </w:p>
        </w:tc>
        <w:tc>
          <w:tcPr>
            <w:tcW w:w="7562" w:type="dxa"/>
            <w:gridSpan w:val="3"/>
            <w:vAlign w:val="center"/>
          </w:tcPr>
          <w:p w14:paraId="7273346B">
            <w:pPr>
              <w:adjustRightInd w:val="0"/>
              <w:snapToGrid w:val="0"/>
              <w:jc w:val="center"/>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金祥玻璃生产线项目</w:t>
            </w:r>
          </w:p>
        </w:tc>
      </w:tr>
      <w:tr w14:paraId="3F8C4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8" w:type="dxa"/>
            <w:gridSpan w:val="2"/>
            <w:tcMar>
              <w:top w:w="16" w:type="dxa"/>
              <w:left w:w="16" w:type="dxa"/>
              <w:right w:w="16" w:type="dxa"/>
            </w:tcMar>
            <w:vAlign w:val="center"/>
          </w:tcPr>
          <w:p w14:paraId="7893519D">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项目代码</w:t>
            </w:r>
          </w:p>
        </w:tc>
        <w:tc>
          <w:tcPr>
            <w:tcW w:w="7562" w:type="dxa"/>
            <w:gridSpan w:val="3"/>
            <w:vAlign w:val="center"/>
          </w:tcPr>
          <w:p w14:paraId="46AEEB79">
            <w:pPr>
              <w:adjustRightInd w:val="0"/>
              <w:snapToGrid w:val="0"/>
              <w:jc w:val="center"/>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2503-340403-04-01-863783</w:t>
            </w:r>
          </w:p>
        </w:tc>
      </w:tr>
      <w:tr w14:paraId="095C25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8" w:type="dxa"/>
            <w:gridSpan w:val="2"/>
            <w:tcMar>
              <w:top w:w="16" w:type="dxa"/>
              <w:left w:w="16" w:type="dxa"/>
              <w:right w:w="16" w:type="dxa"/>
            </w:tcMar>
            <w:vAlign w:val="center"/>
          </w:tcPr>
          <w:p w14:paraId="5A39035A">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w:t>
            </w:r>
          </w:p>
          <w:p w14:paraId="03DDB44E">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联系人</w:t>
            </w:r>
          </w:p>
        </w:tc>
        <w:tc>
          <w:tcPr>
            <w:tcW w:w="2897" w:type="dxa"/>
            <w:vAlign w:val="center"/>
          </w:tcPr>
          <w:p w14:paraId="6B5AD4D9">
            <w:pPr>
              <w:adjustRightInd w:val="0"/>
              <w:snapToGrid w:val="0"/>
              <w:jc w:val="center"/>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钱玉贵</w:t>
            </w:r>
          </w:p>
        </w:tc>
        <w:tc>
          <w:tcPr>
            <w:tcW w:w="1701" w:type="dxa"/>
            <w:vAlign w:val="center"/>
          </w:tcPr>
          <w:p w14:paraId="16A471BC">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联系方式</w:t>
            </w:r>
          </w:p>
        </w:tc>
        <w:tc>
          <w:tcPr>
            <w:tcW w:w="2964" w:type="dxa"/>
            <w:vAlign w:val="center"/>
          </w:tcPr>
          <w:p w14:paraId="3DABF82A">
            <w:pPr>
              <w:adjustRightInd w:val="0"/>
              <w:snapToGrid w:val="0"/>
              <w:jc w:val="center"/>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15955481471</w:t>
            </w:r>
          </w:p>
        </w:tc>
      </w:tr>
      <w:tr w14:paraId="21342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488" w:type="dxa"/>
            <w:gridSpan w:val="2"/>
            <w:tcMar>
              <w:top w:w="16" w:type="dxa"/>
              <w:left w:w="16" w:type="dxa"/>
              <w:right w:w="16" w:type="dxa"/>
            </w:tcMar>
            <w:vAlign w:val="center"/>
          </w:tcPr>
          <w:p w14:paraId="2F2881B8">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建设地点</w:t>
            </w:r>
          </w:p>
        </w:tc>
        <w:tc>
          <w:tcPr>
            <w:tcW w:w="7562" w:type="dxa"/>
            <w:gridSpan w:val="3"/>
            <w:vAlign w:val="center"/>
          </w:tcPr>
          <w:p w14:paraId="40052A4A">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安徽</w:t>
            </w:r>
            <w:r>
              <w:rPr>
                <w:rFonts w:hint="default" w:ascii="Times New Roman" w:hAnsi="Times New Roman" w:cs="Times New Roman"/>
                <w:color w:val="auto"/>
                <w:sz w:val="24"/>
                <w:highlight w:val="none"/>
              </w:rPr>
              <w:t>省</w:t>
            </w:r>
            <w:r>
              <w:rPr>
                <w:rFonts w:hint="default" w:ascii="Times New Roman" w:hAnsi="Times New Roman" w:cs="Times New Roman"/>
                <w:color w:val="auto"/>
                <w:sz w:val="24"/>
                <w:highlight w:val="none"/>
                <w:u w:val="single"/>
              </w:rPr>
              <w:t>淮南</w:t>
            </w:r>
            <w:r>
              <w:rPr>
                <w:rFonts w:hint="default" w:ascii="Times New Roman" w:hAnsi="Times New Roman" w:cs="Times New Roman"/>
                <w:color w:val="auto"/>
                <w:sz w:val="24"/>
                <w:highlight w:val="none"/>
              </w:rPr>
              <w:t>市</w:t>
            </w:r>
            <w:r>
              <w:rPr>
                <w:rFonts w:hint="default" w:ascii="Times New Roman" w:hAnsi="Times New Roman" w:cs="Times New Roman"/>
                <w:color w:val="auto"/>
                <w:sz w:val="24"/>
                <w:highlight w:val="none"/>
                <w:u w:val="single"/>
              </w:rPr>
              <w:t>田家庵</w:t>
            </w:r>
            <w:r>
              <w:rPr>
                <w:rFonts w:hint="default" w:ascii="Times New Roman" w:hAnsi="Times New Roman" w:cs="Times New Roman"/>
                <w:color w:val="auto"/>
                <w:sz w:val="24"/>
                <w:highlight w:val="none"/>
              </w:rPr>
              <w:t>区</w:t>
            </w:r>
            <w:r>
              <w:rPr>
                <w:rFonts w:hint="default" w:ascii="Times New Roman" w:hAnsi="Times New Roman" w:cs="Times New Roman"/>
                <w:color w:val="auto"/>
                <w:sz w:val="24"/>
                <w:highlight w:val="none"/>
                <w:u w:val="single"/>
              </w:rPr>
              <w:t>淮南现代产业园南区智慧产业园C区B9厂房(现代产业园)</w:t>
            </w:r>
          </w:p>
        </w:tc>
      </w:tr>
      <w:tr w14:paraId="216A5F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8" w:type="dxa"/>
            <w:gridSpan w:val="2"/>
            <w:tcMar>
              <w:top w:w="16" w:type="dxa"/>
              <w:left w:w="16" w:type="dxa"/>
              <w:right w:w="16" w:type="dxa"/>
            </w:tcMar>
            <w:vAlign w:val="center"/>
          </w:tcPr>
          <w:p w14:paraId="68B34A16">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地理坐标</w:t>
            </w:r>
          </w:p>
        </w:tc>
        <w:tc>
          <w:tcPr>
            <w:tcW w:w="7562" w:type="dxa"/>
            <w:gridSpan w:val="3"/>
            <w:vAlign w:val="center"/>
          </w:tcPr>
          <w:p w14:paraId="412E1F0F">
            <w:pPr>
              <w:jc w:val="center"/>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lang w:eastAsia="zh-CN"/>
              </w:rPr>
              <w:t>117度00分</w:t>
            </w:r>
            <w:r>
              <w:rPr>
                <w:rFonts w:hint="default" w:ascii="Times New Roman" w:hAnsi="Times New Roman" w:cs="Times New Roman"/>
                <w:color w:val="auto"/>
                <w:sz w:val="24"/>
                <w:highlight w:val="none"/>
                <w:lang w:val="en-US" w:eastAsia="zh-CN"/>
              </w:rPr>
              <w:t>49.752</w:t>
            </w:r>
            <w:r>
              <w:rPr>
                <w:rFonts w:hint="default" w:ascii="Times New Roman" w:hAnsi="Times New Roman" w:cs="Times New Roman"/>
                <w:color w:val="auto"/>
                <w:sz w:val="24"/>
                <w:highlight w:val="none"/>
                <w:lang w:eastAsia="zh-CN"/>
              </w:rPr>
              <w:t>秒，32度3</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分</w:t>
            </w:r>
            <w:r>
              <w:rPr>
                <w:rFonts w:hint="default" w:ascii="Times New Roman" w:hAnsi="Times New Roman" w:cs="Times New Roman"/>
                <w:color w:val="auto"/>
                <w:sz w:val="24"/>
                <w:highlight w:val="none"/>
                <w:lang w:val="en-US" w:eastAsia="zh-CN"/>
              </w:rPr>
              <w:t>15.351</w:t>
            </w:r>
            <w:r>
              <w:rPr>
                <w:rFonts w:hint="default" w:ascii="Times New Roman" w:hAnsi="Times New Roman" w:cs="Times New Roman"/>
                <w:color w:val="auto"/>
                <w:sz w:val="24"/>
                <w:highlight w:val="none"/>
                <w:lang w:eastAsia="zh-CN"/>
              </w:rPr>
              <w:t>秒</w:t>
            </w:r>
          </w:p>
        </w:tc>
      </w:tr>
      <w:tr w14:paraId="2F39F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1" w:hRule="atLeast"/>
          <w:jc w:val="center"/>
        </w:trPr>
        <w:tc>
          <w:tcPr>
            <w:tcW w:w="1488" w:type="dxa"/>
            <w:gridSpan w:val="2"/>
            <w:tcMar>
              <w:top w:w="16" w:type="dxa"/>
              <w:left w:w="16" w:type="dxa"/>
              <w:right w:w="16" w:type="dxa"/>
            </w:tcMar>
            <w:vAlign w:val="center"/>
          </w:tcPr>
          <w:p w14:paraId="08F02E39">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国民经济</w:t>
            </w:r>
          </w:p>
          <w:p w14:paraId="0129E99F">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行业类别</w:t>
            </w:r>
          </w:p>
        </w:tc>
        <w:tc>
          <w:tcPr>
            <w:tcW w:w="2897" w:type="dxa"/>
            <w:vAlign w:val="center"/>
          </w:tcPr>
          <w:p w14:paraId="3FF432FB">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C30</w:t>
            </w:r>
            <w:r>
              <w:rPr>
                <w:rFonts w:hint="default" w:ascii="Times New Roman" w:hAnsi="Times New Roman" w:cs="Times New Roman"/>
                <w:color w:val="auto"/>
                <w:sz w:val="24"/>
                <w:szCs w:val="24"/>
                <w:highlight w:val="none"/>
                <w:lang w:val="en-US" w:eastAsia="zh-CN"/>
              </w:rPr>
              <w:t>42</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特种</w:t>
            </w:r>
            <w:r>
              <w:rPr>
                <w:rFonts w:hint="default" w:ascii="Times New Roman" w:hAnsi="Times New Roman" w:cs="Times New Roman"/>
                <w:color w:val="auto"/>
                <w:sz w:val="24"/>
                <w:szCs w:val="24"/>
                <w:highlight w:val="none"/>
              </w:rPr>
              <w:t>玻璃制造</w:t>
            </w:r>
          </w:p>
        </w:tc>
        <w:tc>
          <w:tcPr>
            <w:tcW w:w="1701" w:type="dxa"/>
            <w:vAlign w:val="center"/>
          </w:tcPr>
          <w:p w14:paraId="1654A632">
            <w:pPr>
              <w:adjustRightInd w:val="0"/>
              <w:snapToGrid w:val="0"/>
              <w:jc w:val="center"/>
              <w:rPr>
                <w:rFonts w:hint="default" w:ascii="Times New Roman" w:hAnsi="Times New Roman" w:cs="Times New Roman"/>
                <w:color w:val="auto"/>
                <w:sz w:val="24"/>
                <w:highlight w:val="none"/>
              </w:rPr>
            </w:pPr>
            <w:bookmarkStart w:id="1" w:name="_Hlk49843745"/>
            <w:r>
              <w:rPr>
                <w:rFonts w:hint="default" w:ascii="Times New Roman" w:hAnsi="Times New Roman" w:cs="Times New Roman"/>
                <w:color w:val="auto"/>
                <w:sz w:val="24"/>
                <w:highlight w:val="none"/>
              </w:rPr>
              <w:t>建设项目</w:t>
            </w:r>
          </w:p>
          <w:p w14:paraId="48789764">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行业类别</w:t>
            </w:r>
            <w:bookmarkEnd w:id="1"/>
          </w:p>
        </w:tc>
        <w:tc>
          <w:tcPr>
            <w:tcW w:w="2964" w:type="dxa"/>
            <w:vAlign w:val="center"/>
          </w:tcPr>
          <w:p w14:paraId="5554BF41">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二十七、非金属矿物制品业30.玻璃制品制造30</w:t>
            </w:r>
            <w:r>
              <w:rPr>
                <w:rFonts w:hint="default" w:ascii="Times New Roman" w:hAnsi="Times New Roman" w:cs="Times New Roman"/>
                <w:color w:val="auto"/>
                <w:sz w:val="24"/>
                <w:szCs w:val="24"/>
                <w:highlight w:val="none"/>
                <w:lang w:val="en-US" w:eastAsia="zh-CN"/>
              </w:rPr>
              <w:t>4</w:t>
            </w:r>
          </w:p>
        </w:tc>
      </w:tr>
      <w:tr w14:paraId="229C4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51" w:hRule="atLeast"/>
          <w:jc w:val="center"/>
        </w:trPr>
        <w:tc>
          <w:tcPr>
            <w:tcW w:w="1488" w:type="dxa"/>
            <w:gridSpan w:val="2"/>
            <w:tcMar>
              <w:top w:w="16" w:type="dxa"/>
              <w:left w:w="16" w:type="dxa"/>
              <w:right w:w="16" w:type="dxa"/>
            </w:tcMar>
            <w:vAlign w:val="center"/>
          </w:tcPr>
          <w:p w14:paraId="5DEB2A14">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建设性质</w:t>
            </w:r>
          </w:p>
        </w:tc>
        <w:tc>
          <w:tcPr>
            <w:tcW w:w="2897" w:type="dxa"/>
            <w:vAlign w:val="center"/>
          </w:tcPr>
          <w:p w14:paraId="21BA2F90">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w:char="F0FE"/>
            </w:r>
            <w:r>
              <w:rPr>
                <w:rFonts w:hint="default" w:ascii="Times New Roman" w:hAnsi="Times New Roman" w:cs="Times New Roman"/>
                <w:color w:val="auto"/>
                <w:sz w:val="24"/>
                <w:highlight w:val="none"/>
              </w:rPr>
              <w:t>新建（迁建）</w:t>
            </w:r>
          </w:p>
          <w:p w14:paraId="7EBF692C">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改建</w:t>
            </w:r>
          </w:p>
          <w:p w14:paraId="1032B03A">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扩建</w:t>
            </w:r>
          </w:p>
          <w:p w14:paraId="039F62A3">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技术改造</w:t>
            </w:r>
          </w:p>
        </w:tc>
        <w:tc>
          <w:tcPr>
            <w:tcW w:w="1701" w:type="dxa"/>
            <w:vAlign w:val="center"/>
          </w:tcPr>
          <w:p w14:paraId="1497B839">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w:t>
            </w:r>
          </w:p>
          <w:p w14:paraId="1B830E3E">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申报情形</w:t>
            </w:r>
          </w:p>
        </w:tc>
        <w:tc>
          <w:tcPr>
            <w:tcW w:w="2964" w:type="dxa"/>
            <w:vAlign w:val="center"/>
          </w:tcPr>
          <w:p w14:paraId="0DC62875">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w:char="F0FE"/>
            </w:r>
            <w:r>
              <w:rPr>
                <w:rFonts w:hint="default" w:ascii="Times New Roman" w:hAnsi="Times New Roman" w:cs="Times New Roman"/>
                <w:color w:val="auto"/>
                <w:sz w:val="24"/>
                <w:highlight w:val="none"/>
              </w:rPr>
              <w:t>首次申报项目</w:t>
            </w:r>
          </w:p>
          <w:p w14:paraId="060AD25F">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不予批准后再次申报项目</w:t>
            </w:r>
          </w:p>
          <w:p w14:paraId="68352D06">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超五年重新审核项目</w:t>
            </w:r>
          </w:p>
          <w:p w14:paraId="5B0D26F4">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重大变动重新报批项目</w:t>
            </w:r>
          </w:p>
        </w:tc>
      </w:tr>
      <w:tr w14:paraId="3F9FA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26" w:hRule="atLeast"/>
          <w:jc w:val="center"/>
        </w:trPr>
        <w:tc>
          <w:tcPr>
            <w:tcW w:w="1488" w:type="dxa"/>
            <w:gridSpan w:val="2"/>
            <w:tcMar>
              <w:top w:w="16" w:type="dxa"/>
              <w:left w:w="16" w:type="dxa"/>
              <w:right w:w="16" w:type="dxa"/>
            </w:tcMar>
            <w:vAlign w:val="center"/>
          </w:tcPr>
          <w:p w14:paraId="198BE66A">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项目审批（核准/备案）部门（选填）</w:t>
            </w:r>
          </w:p>
        </w:tc>
        <w:tc>
          <w:tcPr>
            <w:tcW w:w="2897" w:type="dxa"/>
            <w:vAlign w:val="center"/>
          </w:tcPr>
          <w:p w14:paraId="2713396A">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淮南市田家庵区发展和改革委员会</w:t>
            </w:r>
          </w:p>
        </w:tc>
        <w:tc>
          <w:tcPr>
            <w:tcW w:w="1701" w:type="dxa"/>
            <w:vAlign w:val="center"/>
          </w:tcPr>
          <w:p w14:paraId="278E673C">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项目审批（核准/</w:t>
            </w:r>
          </w:p>
          <w:p w14:paraId="1D1B2677">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备案）文号（选填）</w:t>
            </w:r>
          </w:p>
        </w:tc>
        <w:tc>
          <w:tcPr>
            <w:tcW w:w="2964" w:type="dxa"/>
            <w:vAlign w:val="center"/>
          </w:tcPr>
          <w:p w14:paraId="359F6984">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r>
      <w:tr w14:paraId="427D6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8" w:type="dxa"/>
            <w:gridSpan w:val="2"/>
            <w:tcMar>
              <w:top w:w="16" w:type="dxa"/>
              <w:left w:w="16" w:type="dxa"/>
              <w:right w:w="16" w:type="dxa"/>
            </w:tcMar>
            <w:vAlign w:val="center"/>
          </w:tcPr>
          <w:p w14:paraId="6C08148B">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总投资（万元）</w:t>
            </w:r>
          </w:p>
        </w:tc>
        <w:tc>
          <w:tcPr>
            <w:tcW w:w="2897" w:type="dxa"/>
            <w:vAlign w:val="center"/>
          </w:tcPr>
          <w:p w14:paraId="0D08F808">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5000</w:t>
            </w:r>
            <w:r>
              <w:rPr>
                <w:rFonts w:hint="eastAsia" w:ascii="Times New Roman" w:hAnsi="Times New Roman" w:cs="Times New Roman"/>
                <w:color w:val="auto"/>
                <w:sz w:val="24"/>
                <w:highlight w:val="none"/>
                <w:lang w:val="en-US" w:eastAsia="zh-CN"/>
              </w:rPr>
              <w:t>.0</w:t>
            </w:r>
          </w:p>
        </w:tc>
        <w:tc>
          <w:tcPr>
            <w:tcW w:w="1701" w:type="dxa"/>
            <w:tcMar>
              <w:top w:w="16" w:type="dxa"/>
              <w:left w:w="16" w:type="dxa"/>
              <w:right w:w="16" w:type="dxa"/>
            </w:tcMar>
            <w:vAlign w:val="center"/>
          </w:tcPr>
          <w:p w14:paraId="642E6FD6">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w:t>
            </w:r>
          </w:p>
          <w:p w14:paraId="2C201529">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（万元）</w:t>
            </w:r>
          </w:p>
        </w:tc>
        <w:tc>
          <w:tcPr>
            <w:tcW w:w="2964" w:type="dxa"/>
            <w:vAlign w:val="center"/>
          </w:tcPr>
          <w:p w14:paraId="65D89FF5">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75</w:t>
            </w:r>
            <w:r>
              <w:rPr>
                <w:rFonts w:hint="eastAsia" w:ascii="Times New Roman" w:hAnsi="Times New Roman" w:cs="Times New Roman"/>
                <w:color w:val="auto"/>
                <w:sz w:val="24"/>
                <w:highlight w:val="none"/>
                <w:lang w:val="en-US" w:eastAsia="zh-CN"/>
              </w:rPr>
              <w:t>.0</w:t>
            </w:r>
          </w:p>
        </w:tc>
      </w:tr>
      <w:tr w14:paraId="5DADA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8" w:hRule="atLeast"/>
          <w:jc w:val="center"/>
        </w:trPr>
        <w:tc>
          <w:tcPr>
            <w:tcW w:w="1488" w:type="dxa"/>
            <w:gridSpan w:val="2"/>
            <w:tcMar>
              <w:top w:w="16" w:type="dxa"/>
              <w:left w:w="16" w:type="dxa"/>
              <w:right w:w="16" w:type="dxa"/>
            </w:tcMar>
            <w:vAlign w:val="center"/>
          </w:tcPr>
          <w:p w14:paraId="5EEF0127">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环保投资占比（%）</w:t>
            </w:r>
          </w:p>
        </w:tc>
        <w:tc>
          <w:tcPr>
            <w:tcW w:w="2897" w:type="dxa"/>
            <w:vAlign w:val="center"/>
          </w:tcPr>
          <w:p w14:paraId="120C2AE2">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1.5</w:t>
            </w:r>
          </w:p>
        </w:tc>
        <w:tc>
          <w:tcPr>
            <w:tcW w:w="1701" w:type="dxa"/>
            <w:tcMar>
              <w:top w:w="16" w:type="dxa"/>
              <w:left w:w="16" w:type="dxa"/>
              <w:right w:w="16" w:type="dxa"/>
            </w:tcMar>
            <w:vAlign w:val="center"/>
          </w:tcPr>
          <w:p w14:paraId="77D5E149">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施工工期</w:t>
            </w:r>
          </w:p>
        </w:tc>
        <w:tc>
          <w:tcPr>
            <w:tcW w:w="2964" w:type="dxa"/>
            <w:vAlign w:val="center"/>
          </w:tcPr>
          <w:p w14:paraId="6330AEC5">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个月</w:t>
            </w:r>
          </w:p>
        </w:tc>
      </w:tr>
      <w:tr w14:paraId="3CFAA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1488" w:type="dxa"/>
            <w:gridSpan w:val="2"/>
            <w:tcMar>
              <w:top w:w="16" w:type="dxa"/>
              <w:left w:w="16" w:type="dxa"/>
              <w:right w:w="16" w:type="dxa"/>
            </w:tcMar>
            <w:vAlign w:val="center"/>
          </w:tcPr>
          <w:p w14:paraId="69323277">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是否开工建设</w:t>
            </w:r>
          </w:p>
        </w:tc>
        <w:tc>
          <w:tcPr>
            <w:tcW w:w="2897" w:type="dxa"/>
            <w:vAlign w:val="center"/>
          </w:tcPr>
          <w:p w14:paraId="45C6F4F1">
            <w:pPr>
              <w:adjustRightInd w:val="0"/>
              <w:snapToGrid w:val="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w:char="F0FE"/>
            </w:r>
            <w:r>
              <w:rPr>
                <w:rFonts w:hint="default" w:ascii="Times New Roman" w:hAnsi="Times New Roman" w:cs="Times New Roman"/>
                <w:color w:val="auto"/>
                <w:sz w:val="24"/>
                <w:highlight w:val="none"/>
              </w:rPr>
              <w:t>否</w:t>
            </w:r>
          </w:p>
          <w:p w14:paraId="7CAFA919">
            <w:pPr>
              <w:adjustRightInd w:val="0"/>
              <w:snapToGrid w:val="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是：</w:t>
            </w:r>
          </w:p>
        </w:tc>
        <w:tc>
          <w:tcPr>
            <w:tcW w:w="1701" w:type="dxa"/>
            <w:tcMar>
              <w:top w:w="16" w:type="dxa"/>
              <w:left w:w="16" w:type="dxa"/>
              <w:right w:w="16" w:type="dxa"/>
            </w:tcMar>
            <w:vAlign w:val="center"/>
          </w:tcPr>
          <w:p w14:paraId="79F72555">
            <w:pPr>
              <w:adjustRightInd w:val="0"/>
              <w:snapToGrid w:val="0"/>
              <w:jc w:val="center"/>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用地（用海）</w:t>
            </w:r>
          </w:p>
          <w:p w14:paraId="19601475">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pacing w:val="-6"/>
                <w:sz w:val="24"/>
                <w:highlight w:val="none"/>
              </w:rPr>
              <w:t>面积（m</w:t>
            </w:r>
            <w:r>
              <w:rPr>
                <w:rFonts w:hint="default" w:ascii="Times New Roman" w:hAnsi="Times New Roman" w:cs="Times New Roman"/>
                <w:color w:val="auto"/>
                <w:spacing w:val="-6"/>
                <w:sz w:val="24"/>
                <w:highlight w:val="none"/>
                <w:vertAlign w:val="superscript"/>
              </w:rPr>
              <w:t>2</w:t>
            </w:r>
            <w:r>
              <w:rPr>
                <w:rFonts w:hint="default" w:ascii="Times New Roman" w:hAnsi="Times New Roman" w:cs="Times New Roman"/>
                <w:color w:val="auto"/>
                <w:spacing w:val="-6"/>
                <w:sz w:val="24"/>
                <w:highlight w:val="none"/>
              </w:rPr>
              <w:t>）</w:t>
            </w:r>
          </w:p>
        </w:tc>
        <w:tc>
          <w:tcPr>
            <w:tcW w:w="2964" w:type="dxa"/>
            <w:vAlign w:val="center"/>
          </w:tcPr>
          <w:p w14:paraId="15FD999C">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5000</w:t>
            </w:r>
            <w:r>
              <w:rPr>
                <w:rFonts w:hint="eastAsia" w:ascii="Times New Roman" w:hAnsi="Times New Roman" w:cs="Times New Roman"/>
                <w:color w:val="auto"/>
                <w:sz w:val="24"/>
                <w:highlight w:val="none"/>
                <w:lang w:val="en-US" w:eastAsia="zh-CN"/>
              </w:rPr>
              <w:t>.0</w:t>
            </w:r>
          </w:p>
        </w:tc>
      </w:tr>
      <w:tr w14:paraId="72877F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023" w:type="dxa"/>
            <w:vAlign w:val="center"/>
          </w:tcPr>
          <w:p w14:paraId="76B0CE8D">
            <w:pPr>
              <w:autoSpaceDE w:val="0"/>
              <w:autoSpaceDN w:val="0"/>
              <w:adjustRightInd w:val="0"/>
              <w:snapToGrid w:val="0"/>
              <w:spacing w:line="24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专项评价设置情况</w:t>
            </w:r>
          </w:p>
        </w:tc>
        <w:tc>
          <w:tcPr>
            <w:tcW w:w="8027" w:type="dxa"/>
            <w:gridSpan w:val="4"/>
            <w:vAlign w:val="center"/>
          </w:tcPr>
          <w:p w14:paraId="77F0F8D8">
            <w:pPr>
              <w:autoSpaceDE w:val="0"/>
              <w:autoSpaceDN w:val="0"/>
              <w:adjustRightInd w:val="0"/>
              <w:snapToGrid w:val="0"/>
              <w:spacing w:line="360" w:lineRule="auto"/>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无</w:t>
            </w:r>
          </w:p>
        </w:tc>
      </w:tr>
      <w:tr w14:paraId="0DBEC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3" w:type="dxa"/>
            <w:vAlign w:val="center"/>
          </w:tcPr>
          <w:p w14:paraId="5344E632">
            <w:pPr>
              <w:autoSpaceDE w:val="0"/>
              <w:autoSpaceDN w:val="0"/>
              <w:adjustRightInd w:val="0"/>
              <w:snapToGrid w:val="0"/>
              <w:spacing w:line="24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规划情况</w:t>
            </w:r>
          </w:p>
        </w:tc>
        <w:tc>
          <w:tcPr>
            <w:tcW w:w="8027" w:type="dxa"/>
            <w:gridSpan w:val="4"/>
            <w:vAlign w:val="center"/>
          </w:tcPr>
          <w:p w14:paraId="626FB950">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规划名称：《淮南现代产业园单元控制性详细规划》</w:t>
            </w:r>
            <w:r>
              <w:rPr>
                <w:rFonts w:hint="eastAsia" w:ascii="Times New Roman" w:hAnsi="Times New Roman" w:cs="Times New Roman"/>
                <w:color w:val="auto"/>
                <w:kern w:val="0"/>
                <w:sz w:val="24"/>
                <w:highlight w:val="none"/>
                <w:lang w:eastAsia="zh-CN"/>
              </w:rPr>
              <w:t>；</w:t>
            </w:r>
          </w:p>
          <w:p w14:paraId="732522FA">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审批机关：淮南市人民政府</w:t>
            </w:r>
            <w:r>
              <w:rPr>
                <w:rFonts w:hint="eastAsia" w:ascii="Times New Roman" w:hAnsi="Times New Roman" w:cs="Times New Roman"/>
                <w:color w:val="auto"/>
                <w:kern w:val="0"/>
                <w:sz w:val="24"/>
                <w:highlight w:val="none"/>
                <w:lang w:eastAsia="zh-CN"/>
              </w:rPr>
              <w:t>；</w:t>
            </w:r>
          </w:p>
          <w:p w14:paraId="723D6CD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审批文件：《淮南市人民政府关于淮南现代产业园单元规划及XD01-05、XD02-02、XD02-05、XD02-08地块图则的批复》；</w:t>
            </w:r>
          </w:p>
          <w:p w14:paraId="6F3F381D">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b w:val="0"/>
                <w:color w:val="auto"/>
                <w:sz w:val="24"/>
                <w:szCs w:val="32"/>
                <w:highlight w:val="none"/>
              </w:rPr>
              <w:t>审批文号：淮府秘</w:t>
            </w:r>
            <w:r>
              <w:rPr>
                <w:rFonts w:hint="default" w:ascii="Times New Roman" w:hAnsi="Times New Roman" w:cs="Times New Roman"/>
                <w:b w:val="0"/>
                <w:color w:val="auto"/>
                <w:sz w:val="24"/>
                <w:szCs w:val="32"/>
                <w:highlight w:val="none"/>
                <w:lang w:eastAsia="zh-CN"/>
              </w:rPr>
              <w:t>〔2019〕6号</w:t>
            </w:r>
            <w:r>
              <w:rPr>
                <w:rFonts w:hint="default" w:ascii="Times New Roman" w:hAnsi="Times New Roman" w:cs="Times New Roman"/>
                <w:b w:val="0"/>
                <w:color w:val="auto"/>
                <w:sz w:val="24"/>
                <w:szCs w:val="32"/>
                <w:highlight w:val="none"/>
              </w:rPr>
              <w:t>。</w:t>
            </w:r>
          </w:p>
        </w:tc>
      </w:tr>
      <w:tr w14:paraId="72E13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3" w:type="dxa"/>
            <w:vAlign w:val="center"/>
          </w:tcPr>
          <w:p w14:paraId="6A4D429A">
            <w:pPr>
              <w:adjustRightInd w:val="0"/>
              <w:snapToGrid w:val="0"/>
              <w:spacing w:line="24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规划环境影响评价情况</w:t>
            </w:r>
          </w:p>
        </w:tc>
        <w:tc>
          <w:tcPr>
            <w:tcW w:w="8027" w:type="dxa"/>
            <w:gridSpan w:val="4"/>
            <w:vAlign w:val="center"/>
          </w:tcPr>
          <w:p w14:paraId="0EA83167">
            <w:pPr>
              <w:autoSpaceDE w:val="0"/>
              <w:autoSpaceDN w:val="0"/>
              <w:adjustRightInd w:val="0"/>
              <w:snapToGrid w:val="0"/>
              <w:spacing w:line="360" w:lineRule="auto"/>
              <w:jc w:val="center"/>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lang w:val="en-US" w:eastAsia="zh-CN"/>
              </w:rPr>
              <w:t>无</w:t>
            </w:r>
          </w:p>
        </w:tc>
      </w:tr>
      <w:tr w14:paraId="2C8B7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23" w:type="dxa"/>
            <w:vAlign w:val="center"/>
          </w:tcPr>
          <w:p w14:paraId="462D0B18">
            <w:pPr>
              <w:autoSpaceDE w:val="0"/>
              <w:autoSpaceDN w:val="0"/>
              <w:adjustRightInd w:val="0"/>
              <w:snapToGrid w:val="0"/>
              <w:spacing w:line="24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规划及规划环境影响评价符合性分析</w:t>
            </w:r>
          </w:p>
        </w:tc>
        <w:tc>
          <w:tcPr>
            <w:tcW w:w="8027" w:type="dxa"/>
            <w:gridSpan w:val="4"/>
            <w:vAlign w:val="center"/>
          </w:tcPr>
          <w:p w14:paraId="490F78C0">
            <w:pPr>
              <w:autoSpaceDE w:val="0"/>
              <w:autoSpaceDN w:val="0"/>
              <w:adjustRightInd w:val="0"/>
              <w:snapToGrid w:val="0"/>
              <w:spacing w:line="360" w:lineRule="auto"/>
              <w:ind w:firstLine="482"/>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一、</w:t>
            </w:r>
            <w:r>
              <w:rPr>
                <w:rFonts w:hint="default" w:ascii="Times New Roman" w:hAnsi="Times New Roman" w:cs="Times New Roman"/>
                <w:b/>
                <w:bCs/>
                <w:color w:val="auto"/>
                <w:kern w:val="0"/>
                <w:sz w:val="24"/>
                <w:highlight w:val="none"/>
              </w:rPr>
              <w:t>与《淮南现代产业园单元控制性详细规划》相符性分析</w:t>
            </w:r>
          </w:p>
          <w:p w14:paraId="3C90E7B4">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范围：淮南现代产业园位于合淮阜高速以南，曹庵镇镇区以西，杨公镇以东，规划范围是：东起纬三路，西至经二路和经一路，北至合淮阜高速公路。规划面积：规划用地规模4.85平方公里。园区坚持“资源节约型、环境友好型、科技创新型”项目目标，发展新材料、新能源汽车及汽车配件、智能装备制造等环保产业方向。园区规划共划分为4个单元，单元编号为XD01-XD04。</w:t>
            </w:r>
            <w:r>
              <w:rPr>
                <w:rFonts w:hint="default" w:ascii="Times New Roman" w:hAnsi="Times New Roman" w:cs="Times New Roman"/>
                <w:color w:val="auto"/>
                <w:sz w:val="24"/>
                <w:highlight w:val="none"/>
              </w:rPr>
              <w:t>本项目所处位置属于XD02中的工业用地区域</w:t>
            </w:r>
          </w:p>
          <w:p w14:paraId="3FA917B7">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XD02：主导功能为工业、行政管理、商业，居住。用地面积约为160公顷，其中，行政管理用地约2.93公顷，工业用地约106.8公顷，教育机构用地约2.08公顷，商业金融用地约1.28公顷，居住用地约14.5公顷，道路用地约21.5公顷，防护绿地约10.9公顷。本单元工业用地开发总量约110万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，居住用地开发总量约29万m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rPr>
              <w:t>本项目位于XD0</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，涉及行业类别有：</w:t>
            </w:r>
            <w:r>
              <w:rPr>
                <w:rFonts w:hint="default" w:ascii="Times New Roman" w:hAnsi="Times New Roman" w:cs="Times New Roman"/>
                <w:color w:val="auto"/>
                <w:kern w:val="0"/>
                <w:sz w:val="24"/>
                <w:highlight w:val="none"/>
                <w:lang w:val="en-US" w:eastAsia="zh-CN"/>
              </w:rPr>
              <w:t>C3042 特种玻璃制造</w:t>
            </w:r>
            <w:r>
              <w:rPr>
                <w:rFonts w:hint="default" w:ascii="Times New Roman" w:hAnsi="Times New Roman" w:cs="Times New Roman"/>
                <w:color w:val="auto"/>
                <w:kern w:val="0"/>
                <w:sz w:val="24"/>
                <w:highlight w:val="none"/>
              </w:rPr>
              <w:t>，项目属于工业项目，</w:t>
            </w:r>
            <w:r>
              <w:rPr>
                <w:rFonts w:hint="eastAsia" w:ascii="Times New Roman" w:hAnsi="Times New Roman" w:cs="Times New Roman"/>
                <w:color w:val="auto"/>
                <w:kern w:val="0"/>
                <w:sz w:val="24"/>
                <w:highlight w:val="none"/>
                <w:lang w:val="en-US" w:eastAsia="zh-CN"/>
              </w:rPr>
              <w:t>所在用地为工业用地性质。</w:t>
            </w:r>
            <w:r>
              <w:rPr>
                <w:rFonts w:hint="default" w:ascii="Times New Roman" w:hAnsi="Times New Roman" w:cs="Times New Roman"/>
                <w:color w:val="auto"/>
                <w:sz w:val="24"/>
                <w:highlight w:val="none"/>
              </w:rPr>
              <w:t>根据《淮南田家庵现代产业园环境影响区域评估报告》，园区禁止发展以下项目：国家明令禁止建设或投资的、不符合《产业结构调整指导目录》要求的建设项目不得进入园区；规模效益差、能源资源消耗大、环境影响严重的企业，严格控制高污染、高能耗、高水耗项目的进入；淮河流域及重点区域严禁建设的项目；环境污染严重、污染物排放总量指标未落实的项目；国家、安徽省、淮南市明确规定不得审批的建设项目。本项目不属于园区</w:t>
            </w:r>
            <w:r>
              <w:rPr>
                <w:rFonts w:hint="default" w:ascii="Times New Roman" w:hAnsi="Times New Roman" w:cs="Times New Roman"/>
                <w:bCs/>
                <w:color w:val="auto"/>
                <w:sz w:val="24"/>
                <w:highlight w:val="none"/>
              </w:rPr>
              <w:t>限制类和禁止类项目，视为允许类项目。</w:t>
            </w:r>
          </w:p>
          <w:p w14:paraId="241618A9">
            <w:pPr>
              <w:autoSpaceDE w:val="0"/>
              <w:autoSpaceDN w:val="0"/>
              <w:adjustRightInd w:val="0"/>
              <w:snapToGrid w:val="0"/>
              <w:spacing w:line="360" w:lineRule="auto"/>
              <w:jc w:val="center"/>
              <w:rPr>
                <w:rFonts w:hint="default" w:ascii="Times New Roman" w:hAnsi="Times New Roman" w:cs="Times New Roman"/>
                <w:color w:val="auto"/>
                <w:kern w:val="0"/>
                <w:sz w:val="24"/>
                <w:highlight w:val="none"/>
              </w:rPr>
            </w:pPr>
          </w:p>
          <w:p w14:paraId="0A42D9C1">
            <w:pPr>
              <w:autoSpaceDE w:val="0"/>
              <w:autoSpaceDN w:val="0"/>
              <w:adjustRightInd w:val="0"/>
              <w:snapToGrid w:val="0"/>
              <w:spacing w:line="360" w:lineRule="auto"/>
              <w:jc w:val="center"/>
              <w:rPr>
                <w:rFonts w:hint="default" w:ascii="Times New Roman" w:hAnsi="Times New Roman" w:cs="Times New Roman"/>
                <w:color w:val="auto"/>
                <w:kern w:val="0"/>
                <w:sz w:val="24"/>
                <w:highlight w:val="none"/>
              </w:rPr>
            </w:pPr>
          </w:p>
          <w:p w14:paraId="38917458">
            <w:pPr>
              <w:autoSpaceDE w:val="0"/>
              <w:autoSpaceDN w:val="0"/>
              <w:adjustRightInd w:val="0"/>
              <w:snapToGrid w:val="0"/>
              <w:spacing w:line="360" w:lineRule="auto"/>
              <w:jc w:val="center"/>
              <w:rPr>
                <w:rFonts w:hint="default" w:ascii="Times New Roman" w:hAnsi="Times New Roman" w:cs="Times New Roman"/>
                <w:color w:val="auto"/>
                <w:kern w:val="0"/>
                <w:sz w:val="24"/>
                <w:highlight w:val="none"/>
              </w:rPr>
            </w:pPr>
          </w:p>
          <w:p w14:paraId="6025297A">
            <w:pPr>
              <w:autoSpaceDE w:val="0"/>
              <w:autoSpaceDN w:val="0"/>
              <w:adjustRightInd w:val="0"/>
              <w:snapToGrid w:val="0"/>
              <w:spacing w:line="360" w:lineRule="auto"/>
              <w:jc w:val="center"/>
              <w:rPr>
                <w:rFonts w:hint="default" w:ascii="Times New Roman" w:hAnsi="Times New Roman" w:cs="Times New Roman"/>
                <w:color w:val="auto"/>
                <w:kern w:val="0"/>
                <w:sz w:val="24"/>
                <w:highlight w:val="none"/>
              </w:rPr>
            </w:pPr>
          </w:p>
          <w:p w14:paraId="3F36DD8B">
            <w:pPr>
              <w:pStyle w:val="15"/>
              <w:rPr>
                <w:rFonts w:hint="default" w:ascii="Times New Roman" w:hAnsi="Times New Roman" w:cs="Times New Roman"/>
                <w:color w:val="auto"/>
                <w:kern w:val="0"/>
                <w:sz w:val="24"/>
                <w:highlight w:val="none"/>
              </w:rPr>
            </w:pPr>
          </w:p>
          <w:p w14:paraId="0711E573">
            <w:pPr>
              <w:pStyle w:val="2"/>
              <w:rPr>
                <w:rFonts w:hint="default"/>
                <w:color w:val="auto"/>
                <w:highlight w:val="none"/>
              </w:rPr>
            </w:pPr>
          </w:p>
          <w:p w14:paraId="20349EDB">
            <w:pPr>
              <w:autoSpaceDE w:val="0"/>
              <w:autoSpaceDN w:val="0"/>
              <w:adjustRightInd w:val="0"/>
              <w:snapToGrid w:val="0"/>
              <w:spacing w:line="360" w:lineRule="auto"/>
              <w:jc w:val="center"/>
              <w:rPr>
                <w:rFonts w:hint="default" w:ascii="Times New Roman" w:hAnsi="Times New Roman" w:cs="Times New Roman"/>
                <w:color w:val="auto"/>
                <w:kern w:val="0"/>
                <w:sz w:val="24"/>
                <w:highlight w:val="none"/>
              </w:rPr>
            </w:pPr>
          </w:p>
          <w:p w14:paraId="5E83B9C4">
            <w:pPr>
              <w:autoSpaceDE w:val="0"/>
              <w:autoSpaceDN w:val="0"/>
              <w:adjustRightInd w:val="0"/>
              <w:snapToGrid w:val="0"/>
              <w:spacing w:line="360" w:lineRule="auto"/>
              <w:jc w:val="center"/>
              <w:rPr>
                <w:rFonts w:hint="default" w:ascii="Times New Roman" w:hAnsi="Times New Roman" w:cs="Times New Roman"/>
                <w:color w:val="auto"/>
                <w:kern w:val="0"/>
                <w:sz w:val="24"/>
                <w:highlight w:val="none"/>
              </w:rPr>
            </w:pPr>
          </w:p>
          <w:p w14:paraId="6FCDBE83">
            <w:pPr>
              <w:autoSpaceDE w:val="0"/>
              <w:autoSpaceDN w:val="0"/>
              <w:adjustRightInd w:val="0"/>
              <w:snapToGrid w:val="0"/>
              <w:spacing w:line="360" w:lineRule="auto"/>
              <w:jc w:val="center"/>
              <w:rPr>
                <w:rFonts w:hint="default" w:ascii="Times New Roman" w:hAnsi="Times New Roman" w:cs="Times New Roman"/>
                <w:color w:val="auto"/>
                <w:kern w:val="0"/>
                <w:sz w:val="24"/>
                <w:highlight w:val="none"/>
              </w:rPr>
            </w:pPr>
          </w:p>
          <w:p w14:paraId="353B4DE5">
            <w:pPr>
              <w:autoSpaceDE w:val="0"/>
              <w:autoSpaceDN w:val="0"/>
              <w:adjustRightInd w:val="0"/>
              <w:snapToGrid w:val="0"/>
              <w:spacing w:line="360" w:lineRule="auto"/>
              <w:jc w:val="center"/>
              <w:rPr>
                <w:rFonts w:hint="default" w:ascii="Times New Roman" w:hAnsi="Times New Roman" w:cs="Times New Roman"/>
                <w:color w:val="auto"/>
                <w:kern w:val="0"/>
                <w:sz w:val="24"/>
                <w:highlight w:val="none"/>
              </w:rPr>
            </w:pPr>
          </w:p>
          <w:p w14:paraId="6C3EAB15">
            <w:pPr>
              <w:autoSpaceDE w:val="0"/>
              <w:autoSpaceDN w:val="0"/>
              <w:adjustRightInd w:val="0"/>
              <w:snapToGrid w:val="0"/>
              <w:spacing w:line="360" w:lineRule="auto"/>
              <w:jc w:val="center"/>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 w:val="24"/>
                <w:szCs w:val="32"/>
                <w:highlight w:val="none"/>
              </w:rPr>
              <mc:AlternateContent>
                <mc:Choice Requires="wps">
                  <w:drawing>
                    <wp:anchor distT="0" distB="0" distL="114300" distR="114300" simplePos="0" relativeHeight="251661312" behindDoc="0" locked="0" layoutInCell="1" allowOverlap="1">
                      <wp:simplePos x="0" y="0"/>
                      <wp:positionH relativeFrom="column">
                        <wp:posOffset>2769870</wp:posOffset>
                      </wp:positionH>
                      <wp:positionV relativeFrom="paragraph">
                        <wp:posOffset>1292860</wp:posOffset>
                      </wp:positionV>
                      <wp:extent cx="180975" cy="95250"/>
                      <wp:effectExtent l="50800" t="16510" r="53975" b="21590"/>
                      <wp:wrapNone/>
                      <wp:docPr id="3" name="十字星 3"/>
                      <wp:cNvGraphicFramePr/>
                      <a:graphic xmlns:a="http://schemas.openxmlformats.org/drawingml/2006/main">
                        <a:graphicData uri="http://schemas.microsoft.com/office/word/2010/wordprocessingShape">
                          <wps:wsp>
                            <wps:cNvSpPr/>
                            <wps:spPr>
                              <a:xfrm>
                                <a:off x="4394835" y="2213610"/>
                                <a:ext cx="180975" cy="95250"/>
                              </a:xfrm>
                              <a:prstGeom prst="star4">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218.1pt;margin-top:101.8pt;height:7.5pt;width:14.25pt;z-index:251661312;v-text-anchor:middle;mso-width-relative:page;mso-height-relative:page;" fillcolor="#FF0000" filled="t" stroked="t" coordsize="21600,21600" o:gfxdata="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r08mrbAAAACwEAAA8AAAAAAAAAAQAg&#10;AAAAIgAAAGRycy9kb3ducmV2LnhtbFBLAQIUABQAAAAIAIdO4kBTDtRBfQIAAAIFAAAOAAAAAAAA&#10;AAEAIAAAACoBAABkcnMvZTJvRG9jLnhtbFBLBQYAAAAABgAGAFkBAAAZBgAAAAA=&#10;" adj="8100">
                      <v:fill on="t" focussize="0,0"/>
                      <v:stroke weight="1pt" color="#FF0000 [2404]" miterlimit="8" joinstyle="miter"/>
                      <v:imagedata o:title=""/>
                      <o:lock v:ext="edit" aspectratio="f"/>
                    </v:shape>
                  </w:pict>
                </mc:Fallback>
              </mc:AlternateContent>
            </w:r>
            <w:r>
              <w:rPr>
                <w:rFonts w:hint="default" w:ascii="Times New Roman" w:hAnsi="Times New Roman" w:cs="Times New Roman"/>
                <w:color w:val="auto"/>
                <w:sz w:val="24"/>
                <w:szCs w:val="32"/>
                <w:highlight w:val="none"/>
              </w:rPr>
              <mc:AlternateContent>
                <mc:Choice Requires="wps">
                  <w:drawing>
                    <wp:anchor distT="0" distB="0" distL="114300" distR="114300" simplePos="0" relativeHeight="251659264" behindDoc="0" locked="0" layoutInCell="1" allowOverlap="1">
                      <wp:simplePos x="0" y="0"/>
                      <wp:positionH relativeFrom="column">
                        <wp:posOffset>2887345</wp:posOffset>
                      </wp:positionH>
                      <wp:positionV relativeFrom="paragraph">
                        <wp:posOffset>888365</wp:posOffset>
                      </wp:positionV>
                      <wp:extent cx="673100" cy="261620"/>
                      <wp:effectExtent l="0" t="0" r="0" b="0"/>
                      <wp:wrapNone/>
                      <wp:docPr id="1" name="自选图形 224"/>
                      <wp:cNvGraphicFramePr/>
                      <a:graphic xmlns:a="http://schemas.openxmlformats.org/drawingml/2006/main">
                        <a:graphicData uri="http://schemas.microsoft.com/office/word/2010/wordprocessingShape">
                          <wps:wsp>
                            <wps:cNvSpPr/>
                            <wps:spPr>
                              <a:xfrm>
                                <a:off x="0" y="0"/>
                                <a:ext cx="673100" cy="261620"/>
                              </a:xfrm>
                              <a:prstGeom prst="wedgeRectCallout">
                                <a:avLst>
                                  <a:gd name="adj1" fmla="val -50190"/>
                                  <a:gd name="adj2" fmla="val 109468"/>
                                </a:avLst>
                              </a:prstGeom>
                              <a:noFill/>
                              <a:ln w="9525" cap="flat" cmpd="sng">
                                <a:solidFill>
                                  <a:srgbClr val="FF0000"/>
                                </a:solidFill>
                                <a:prstDash val="solid"/>
                                <a:miter/>
                                <a:headEnd type="none" w="med" len="med"/>
                                <a:tailEnd type="none" w="med" len="med"/>
                              </a:ln>
                            </wps:spPr>
                            <wps:txbx>
                              <w:txbxContent>
                                <w:p w14:paraId="7889F8D7">
                                  <w:pPr>
                                    <w:rPr>
                                      <w:b/>
                                      <w:bCs/>
                                      <w:color w:val="FF0000"/>
                                    </w:rPr>
                                  </w:pPr>
                                  <w:r>
                                    <w:rPr>
                                      <w:rFonts w:hint="eastAsia"/>
                                      <w:b/>
                                      <w:bCs/>
                                      <w:color w:val="FF0000"/>
                                    </w:rPr>
                                    <w:t>项目区</w:t>
                                  </w:r>
                                </w:p>
                              </w:txbxContent>
                            </wps:txbx>
                            <wps:bodyPr wrap="square" upright="1"/>
                          </wps:wsp>
                        </a:graphicData>
                      </a:graphic>
                    </wp:anchor>
                  </w:drawing>
                </mc:Choice>
                <mc:Fallback>
                  <w:pict>
                    <v:shape id="自选图形 224" o:spid="_x0000_s1026" o:spt="61" type="#_x0000_t61" style="position:absolute;left:0pt;margin-left:227.35pt;margin-top:69.95pt;height:20.6pt;width:53pt;z-index:251659264;mso-width-relative:page;mso-height-relative:page;" filled="f" stroked="t" coordsize="21600,21600" o:gfxdata="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9Ts2NgAAAALAQAADwAAAAAAAAABACAAAAAi&#10;AAAAZHJzL2Rvd25yZXYueG1sUEsBAhQAFAAAAAgAh07iQCeGLItDAgAAdAQAAA4AAAAAAAAAAQAg&#10;AAAAJwEAAGRycy9lMm9Eb2MueG1sUEsFBgAAAAAGAAYAWQEAANwFAAAAAA==&#10;" adj="-41,34445">
                      <v:fill on="f" focussize="0,0"/>
                      <v:stroke color="#FF0000" joinstyle="miter"/>
                      <v:imagedata o:title=""/>
                      <o:lock v:ext="edit" aspectratio="f"/>
                      <v:textbox>
                        <w:txbxContent>
                          <w:p w14:paraId="7889F8D7">
                            <w:pPr>
                              <w:rPr>
                                <w:b/>
                                <w:bCs/>
                                <w:color w:val="FF0000"/>
                              </w:rPr>
                            </w:pPr>
                            <w:r>
                              <w:rPr>
                                <w:rFonts w:hint="eastAsia"/>
                                <w:b/>
                                <w:bCs/>
                                <w:color w:val="FF0000"/>
                              </w:rPr>
                              <w:t>项目区</w:t>
                            </w:r>
                          </w:p>
                        </w:txbxContent>
                      </v:textbox>
                    </v:shape>
                  </w:pict>
                </mc:Fallback>
              </mc:AlternateContent>
            </w:r>
            <w:r>
              <w:rPr>
                <w:rFonts w:hint="default" w:ascii="Times New Roman" w:hAnsi="Times New Roman" w:cs="Times New Roman"/>
                <w:color w:val="auto"/>
                <w:sz w:val="24"/>
                <w:szCs w:val="32"/>
                <w:highlight w:val="none"/>
              </w:rPr>
              <w:drawing>
                <wp:anchor distT="0" distB="0" distL="0" distR="0" simplePos="0" relativeHeight="251660288" behindDoc="0" locked="0" layoutInCell="1" allowOverlap="1">
                  <wp:simplePos x="0" y="0"/>
                  <wp:positionH relativeFrom="column">
                    <wp:posOffset>-12700</wp:posOffset>
                  </wp:positionH>
                  <wp:positionV relativeFrom="paragraph">
                    <wp:posOffset>89535</wp:posOffset>
                  </wp:positionV>
                  <wp:extent cx="4907280" cy="3239770"/>
                  <wp:effectExtent l="0" t="0" r="7620" b="17780"/>
                  <wp:wrapTopAndBottom/>
                  <wp:docPr id="2" name="图片 52" descr="淮南现代产业园单元控规图2019_页面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2" descr="淮南现代产业园单元控规图2019_页面_27"/>
                          <pic:cNvPicPr>
                            <a:picLocks noChangeAspect="1" noChangeArrowheads="1"/>
                          </pic:cNvPicPr>
                        </pic:nvPicPr>
                        <pic:blipFill>
                          <a:blip r:embed="rId9" cstate="print"/>
                          <a:srcRect/>
                          <a:stretch>
                            <a:fillRect/>
                          </a:stretch>
                        </pic:blipFill>
                        <pic:spPr>
                          <a:xfrm>
                            <a:off x="0" y="0"/>
                            <a:ext cx="4907280" cy="3239770"/>
                          </a:xfrm>
                          <a:prstGeom prst="rect">
                            <a:avLst/>
                          </a:prstGeom>
                          <a:noFill/>
                          <a:ln w="9525">
                            <a:noFill/>
                            <a:miter lim="800000"/>
                            <a:headEnd/>
                            <a:tailEnd/>
                          </a:ln>
                          <a:effectLst/>
                        </pic:spPr>
                      </pic:pic>
                    </a:graphicData>
                  </a:graphic>
                </wp:anchor>
              </w:drawing>
            </w:r>
            <w:r>
              <w:rPr>
                <w:rFonts w:hint="default" w:ascii="Times New Roman" w:hAnsi="Times New Roman" w:cs="Times New Roman"/>
                <w:b/>
                <w:bCs/>
                <w:color w:val="auto"/>
                <w:kern w:val="0"/>
                <w:sz w:val="24"/>
                <w:szCs w:val="24"/>
                <w:highlight w:val="none"/>
              </w:rPr>
              <w:t>图1-1 淮南现代产业园单元划分图</w:t>
            </w:r>
          </w:p>
          <w:p w14:paraId="7FE04BD0">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color w:val="auto"/>
                <w:sz w:val="24"/>
                <w:highlight w:val="none"/>
                <w:lang w:val="en-US" w:eastAsia="zh-CN"/>
              </w:rPr>
              <w:t>二</w:t>
            </w:r>
            <w:r>
              <w:rPr>
                <w:rFonts w:hint="default" w:ascii="Times New Roman" w:hAnsi="Times New Roman" w:cs="Times New Roman"/>
                <w:b/>
                <w:color w:val="auto"/>
                <w:sz w:val="24"/>
                <w:highlight w:val="none"/>
              </w:rPr>
              <w:t>、</w:t>
            </w:r>
            <w:r>
              <w:rPr>
                <w:rFonts w:hint="default" w:ascii="Times New Roman" w:hAnsi="Times New Roman" w:cs="Times New Roman"/>
                <w:b/>
                <w:bCs/>
                <w:color w:val="auto"/>
                <w:sz w:val="24"/>
                <w:highlight w:val="none"/>
              </w:rPr>
              <w:t>与《淮南田家庵现代产业园环境影响区域评估报告》及审查意见符合性分析</w:t>
            </w:r>
          </w:p>
          <w:p w14:paraId="1A103D39">
            <w:pPr>
              <w:autoSpaceDE w:val="0"/>
              <w:autoSpaceDN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根据《安徽省生态环境厅关于推行“环境影响区域评估+环境标准”工作的通知》（皖环发〔2021〕23号）</w:t>
            </w:r>
            <w:r>
              <w:rPr>
                <w:rFonts w:hint="default" w:ascii="Times New Roman" w:hAnsi="Times New Roman" w:cs="Times New Roman"/>
                <w:color w:val="auto"/>
                <w:sz w:val="24"/>
                <w:highlight w:val="none"/>
                <w:lang w:eastAsia="zh-CN"/>
              </w:rPr>
              <w:t>文件</w:t>
            </w:r>
            <w:r>
              <w:rPr>
                <w:rFonts w:hint="default" w:ascii="Times New Roman" w:hAnsi="Times New Roman" w:cs="Times New Roman"/>
                <w:color w:val="auto"/>
                <w:sz w:val="24"/>
                <w:highlight w:val="none"/>
              </w:rPr>
              <w:t>，淮南现代产业园区管理委员会于2022年11月开展了环境影响区域评估+环境标准的报告编制工作。本项目与《淮南田家庵现代产业园环境影响区域评估报告》及审查意见符合性分析如下。</w:t>
            </w:r>
          </w:p>
          <w:p w14:paraId="43038DE6">
            <w:pPr>
              <w:pStyle w:val="88"/>
              <w:adjustRightInd/>
              <w:spacing w:line="24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表1-</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 xml:space="preserve"> 与《区域评估报告》及审查意见符合性分析</w:t>
            </w:r>
          </w:p>
          <w:tbl>
            <w:tblPr>
              <w:tblStyle w:val="2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4724"/>
              <w:gridCol w:w="2333"/>
            </w:tblGrid>
            <w:tr w14:paraId="559AB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80" w:type="pct"/>
                  <w:tcBorders>
                    <w:tl2br w:val="nil"/>
                    <w:tr2bl w:val="nil"/>
                  </w:tcBorders>
                  <w:noWrap w:val="0"/>
                  <w:vAlign w:val="center"/>
                </w:tcPr>
                <w:p w14:paraId="4C95761C">
                  <w:pPr>
                    <w:pStyle w:val="89"/>
                    <w:spacing w:line="300" w:lineRule="atLeas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3025" w:type="pct"/>
                  <w:tcBorders>
                    <w:tl2br w:val="nil"/>
                    <w:tr2bl w:val="nil"/>
                  </w:tcBorders>
                  <w:noWrap w:val="0"/>
                  <w:vAlign w:val="center"/>
                </w:tcPr>
                <w:p w14:paraId="05F0F7BC">
                  <w:pPr>
                    <w:pStyle w:val="89"/>
                    <w:spacing w:line="300" w:lineRule="atLeas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相关要求</w:t>
                  </w:r>
                </w:p>
              </w:tc>
              <w:tc>
                <w:tcPr>
                  <w:tcW w:w="1494" w:type="pct"/>
                  <w:tcBorders>
                    <w:tl2br w:val="nil"/>
                    <w:tr2bl w:val="nil"/>
                  </w:tcBorders>
                  <w:noWrap w:val="0"/>
                  <w:vAlign w:val="center"/>
                </w:tcPr>
                <w:p w14:paraId="786DCBA3">
                  <w:pPr>
                    <w:pStyle w:val="89"/>
                    <w:spacing w:line="300" w:lineRule="atLeas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符合性分析</w:t>
                  </w:r>
                </w:p>
              </w:tc>
            </w:tr>
            <w:tr w14:paraId="7537E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0" w:type="pct"/>
                  <w:tcBorders>
                    <w:tl2br w:val="nil"/>
                    <w:tr2bl w:val="nil"/>
                  </w:tcBorders>
                  <w:noWrap w:val="0"/>
                  <w:vAlign w:val="center"/>
                </w:tcPr>
                <w:p w14:paraId="54FC27DF">
                  <w:pPr>
                    <w:pStyle w:val="89"/>
                    <w:spacing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025" w:type="pct"/>
                  <w:tcBorders>
                    <w:tl2br w:val="nil"/>
                    <w:tr2bl w:val="nil"/>
                  </w:tcBorders>
                  <w:noWrap w:val="0"/>
                  <w:vAlign w:val="center"/>
                </w:tcPr>
                <w:p w14:paraId="6C398F33">
                  <w:pPr>
                    <w:pStyle w:val="74"/>
                    <w:snapToGrid w:val="0"/>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布局：规划以工业用地、居住用地和仓储物流用地为主，以洛河大道为界划分为南北两片，北片中部为产业服务中心，东侧为一块居住用地，为园区北部村庄搬迁安置及配套居住区，合淮路和洛河大道交叉口西北为物流仓储区。洛河大道南部北区为工业用地，南区为居住生活片区，在居住生活片区沿合淮路布置沿街商业、文体设施、医疗保健等配套服务设施。</w:t>
                  </w:r>
                </w:p>
              </w:tc>
              <w:tc>
                <w:tcPr>
                  <w:tcW w:w="1494" w:type="pct"/>
                  <w:tcBorders>
                    <w:tl2br w:val="nil"/>
                    <w:tr2bl w:val="nil"/>
                  </w:tcBorders>
                  <w:noWrap w:val="0"/>
                  <w:vAlign w:val="center"/>
                </w:tcPr>
                <w:p w14:paraId="42207637">
                  <w:pPr>
                    <w:pStyle w:val="89"/>
                    <w:spacing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项目位于安徽淮南田家庵经济开发区淮南现代产业园XD02地块。本项目用地性质为工业用地，本项目属于</w:t>
                  </w:r>
                  <w:r>
                    <w:rPr>
                      <w:rFonts w:hint="default" w:ascii="Times New Roman" w:hAnsi="Times New Roman" w:cs="Times New Roman"/>
                      <w:color w:val="auto"/>
                      <w:szCs w:val="21"/>
                      <w:highlight w:val="none"/>
                      <w:lang w:eastAsia="zh-CN"/>
                    </w:rPr>
                    <w:t>C3042 特种玻璃制造</w:t>
                  </w:r>
                  <w:r>
                    <w:rPr>
                      <w:rFonts w:hint="default" w:ascii="Times New Roman" w:hAnsi="Times New Roman" w:cs="Times New Roman"/>
                      <w:color w:val="auto"/>
                      <w:szCs w:val="21"/>
                      <w:highlight w:val="none"/>
                    </w:rPr>
                    <w:t>。</w:t>
                  </w:r>
                </w:p>
              </w:tc>
            </w:tr>
            <w:tr w14:paraId="55948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480" w:type="pct"/>
                  <w:tcBorders>
                    <w:tl2br w:val="nil"/>
                    <w:tr2bl w:val="nil"/>
                  </w:tcBorders>
                  <w:noWrap w:val="0"/>
                  <w:vAlign w:val="center"/>
                </w:tcPr>
                <w:p w14:paraId="7FB089C3">
                  <w:pPr>
                    <w:pStyle w:val="89"/>
                    <w:spacing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3025" w:type="pct"/>
                  <w:tcBorders>
                    <w:tl2br w:val="nil"/>
                    <w:tr2bl w:val="nil"/>
                  </w:tcBorders>
                  <w:noWrap w:val="0"/>
                  <w:vAlign w:val="center"/>
                </w:tcPr>
                <w:p w14:paraId="05730C96">
                  <w:pPr>
                    <w:pStyle w:val="74"/>
                    <w:wordWrap w:val="0"/>
                    <w:adjustRightInd/>
                    <w:snapToGrid w:val="0"/>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规划共划分为4个单元，单元编号为XD01-XD04。其中XD02：主导功能为工业、行政管理、商业，居住等。</w:t>
                  </w:r>
                </w:p>
              </w:tc>
              <w:tc>
                <w:tcPr>
                  <w:tcW w:w="1494" w:type="pct"/>
                  <w:tcBorders>
                    <w:tl2br w:val="nil"/>
                    <w:tr2bl w:val="nil"/>
                  </w:tcBorders>
                  <w:noWrap w:val="0"/>
                  <w:vAlign w:val="center"/>
                </w:tcPr>
                <w:p w14:paraId="628896F1">
                  <w:pPr>
                    <w:pStyle w:val="89"/>
                    <w:spacing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本项目位于XD-02中工业用地</w:t>
                  </w:r>
                </w:p>
              </w:tc>
            </w:tr>
            <w:tr w14:paraId="28D1A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0" w:type="pct"/>
                  <w:tcBorders>
                    <w:tl2br w:val="nil"/>
                    <w:tr2bl w:val="nil"/>
                  </w:tcBorders>
                  <w:noWrap w:val="0"/>
                  <w:vAlign w:val="center"/>
                </w:tcPr>
                <w:p w14:paraId="73CA7A84">
                  <w:pPr>
                    <w:pStyle w:val="89"/>
                    <w:spacing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3025" w:type="pct"/>
                  <w:tcBorders>
                    <w:tl2br w:val="nil"/>
                    <w:tr2bl w:val="nil"/>
                  </w:tcBorders>
                  <w:noWrap w:val="0"/>
                  <w:vAlign w:val="center"/>
                </w:tcPr>
                <w:p w14:paraId="47338257">
                  <w:pPr>
                    <w:pStyle w:val="74"/>
                    <w:snapToGrid w:val="0"/>
                    <w:spacing w:line="3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业准入标准和管制要求：进园工业项目应符合淮南现代产业园用地布局，充分发挥比较优势，突出自身特色，形成规模优势明显，集聚效应突出的发展格局。项目的引入管理要与科学利用资源、保护生态环境相结合，优化资源配置，实现经济、社会与环境的协调发展。</w:t>
                  </w:r>
                </w:p>
              </w:tc>
              <w:tc>
                <w:tcPr>
                  <w:tcW w:w="1494" w:type="pct"/>
                  <w:tcBorders>
                    <w:tl2br w:val="nil"/>
                    <w:tr2bl w:val="nil"/>
                  </w:tcBorders>
                  <w:noWrap w:val="0"/>
                  <w:vAlign w:val="center"/>
                </w:tcPr>
                <w:p w14:paraId="08150637">
                  <w:pPr>
                    <w:pStyle w:val="90"/>
                    <w:spacing w:line="240" w:lineRule="auto"/>
                    <w:jc w:val="center"/>
                    <w:textAlignment w:val="baseline"/>
                    <w:outlineLvl w:val="2"/>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本项目属于</w:t>
                  </w:r>
                  <w:r>
                    <w:rPr>
                      <w:rFonts w:hint="default" w:ascii="Times New Roman" w:hAnsi="Times New Roman" w:eastAsia="宋体" w:cs="Times New Roman"/>
                      <w:color w:val="auto"/>
                      <w:kern w:val="2"/>
                      <w:sz w:val="21"/>
                      <w:szCs w:val="21"/>
                      <w:highlight w:val="none"/>
                      <w:lang w:eastAsia="zh-CN"/>
                    </w:rPr>
                    <w:t>C3042 特种玻璃制造</w:t>
                  </w: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不</w:t>
                  </w:r>
                  <w:r>
                    <w:rPr>
                      <w:rFonts w:hint="default" w:ascii="Times New Roman" w:hAnsi="Times New Roman" w:eastAsia="宋体" w:cs="Times New Roman"/>
                      <w:color w:val="auto"/>
                      <w:kern w:val="2"/>
                      <w:sz w:val="21"/>
                      <w:szCs w:val="21"/>
                      <w:highlight w:val="none"/>
                    </w:rPr>
                    <w:t>属于淮南现代产业园单元控制性详细规划</w:t>
                  </w:r>
                  <w:r>
                    <w:rPr>
                      <w:rFonts w:hint="eastAsia" w:ascii="Times New Roman" w:hAnsi="Times New Roman" w:eastAsia="宋体" w:cs="Times New Roman"/>
                      <w:color w:val="auto"/>
                      <w:kern w:val="2"/>
                      <w:sz w:val="21"/>
                      <w:szCs w:val="21"/>
                      <w:highlight w:val="none"/>
                      <w:lang w:val="en-US" w:eastAsia="zh-CN"/>
                    </w:rPr>
                    <w:t>负面清单</w:t>
                  </w:r>
                  <w:r>
                    <w:rPr>
                      <w:rFonts w:hint="default" w:ascii="Times New Roman" w:hAnsi="Times New Roman" w:eastAsia="宋体" w:cs="Times New Roman"/>
                      <w:color w:val="auto"/>
                      <w:kern w:val="2"/>
                      <w:sz w:val="21"/>
                      <w:szCs w:val="21"/>
                      <w:highlight w:val="none"/>
                    </w:rPr>
                    <w:t>，因此，符合产业准入标准和管制要求。</w:t>
                  </w:r>
                </w:p>
              </w:tc>
            </w:tr>
          </w:tbl>
          <w:p w14:paraId="391F3363">
            <w:pPr>
              <w:spacing w:before="120" w:beforeLines="50"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三</w:t>
            </w:r>
            <w:r>
              <w:rPr>
                <w:rFonts w:hint="default" w:ascii="Times New Roman" w:hAnsi="Times New Roman" w:cs="Times New Roman"/>
                <w:b/>
                <w:bCs/>
                <w:color w:val="auto"/>
                <w:sz w:val="24"/>
                <w:highlight w:val="none"/>
              </w:rPr>
              <w:t>、与淮南现代产业园环境准入清单符合性分析</w:t>
            </w:r>
          </w:p>
          <w:p w14:paraId="3F2861C2">
            <w:pPr>
              <w:pStyle w:val="88"/>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表1-</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 xml:space="preserve"> 与淮南现代产业园环境准入清单符合性分析</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4877"/>
              <w:gridCol w:w="2159"/>
            </w:tblGrid>
            <w:tr w14:paraId="54EF7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93" w:type="pct"/>
                  <w:tcBorders>
                    <w:tl2br w:val="nil"/>
                    <w:tr2bl w:val="nil"/>
                  </w:tcBorders>
                  <w:noWrap w:val="0"/>
                  <w:vAlign w:val="center"/>
                </w:tcPr>
                <w:p w14:paraId="33008F36">
                  <w:pPr>
                    <w:pStyle w:val="74"/>
                    <w:adjustRightInd/>
                    <w:spacing w:line="300" w:lineRule="atLeast"/>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类别</w:t>
                  </w:r>
                </w:p>
              </w:tc>
              <w:tc>
                <w:tcPr>
                  <w:tcW w:w="3124" w:type="pct"/>
                  <w:tcBorders>
                    <w:tl2br w:val="nil"/>
                    <w:tr2bl w:val="nil"/>
                  </w:tcBorders>
                  <w:noWrap w:val="0"/>
                  <w:vAlign w:val="center"/>
                </w:tcPr>
                <w:p w14:paraId="3BA2AC86">
                  <w:pPr>
                    <w:pStyle w:val="74"/>
                    <w:adjustRightInd/>
                    <w:spacing w:line="300" w:lineRule="atLeast"/>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相关要求</w:t>
                  </w:r>
                </w:p>
              </w:tc>
              <w:tc>
                <w:tcPr>
                  <w:tcW w:w="1383" w:type="pct"/>
                  <w:tcBorders>
                    <w:tl2br w:val="nil"/>
                    <w:tr2bl w:val="nil"/>
                  </w:tcBorders>
                  <w:noWrap w:val="0"/>
                  <w:vAlign w:val="center"/>
                </w:tcPr>
                <w:p w14:paraId="3FC88AE3">
                  <w:pPr>
                    <w:pStyle w:val="74"/>
                    <w:adjustRightInd/>
                    <w:spacing w:line="300" w:lineRule="atLeast"/>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符合性分析</w:t>
                  </w:r>
                </w:p>
              </w:tc>
            </w:tr>
            <w:tr w14:paraId="01F4F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tcBorders>
                    <w:tl2br w:val="nil"/>
                    <w:tr2bl w:val="nil"/>
                  </w:tcBorders>
                  <w:noWrap w:val="0"/>
                  <w:vAlign w:val="center"/>
                </w:tcPr>
                <w:p w14:paraId="6AB0399B">
                  <w:pPr>
                    <w:pStyle w:val="74"/>
                    <w:adjustRightIn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主导</w:t>
                  </w:r>
                </w:p>
                <w:p w14:paraId="57E19CDF">
                  <w:pPr>
                    <w:pStyle w:val="74"/>
                    <w:adjustRightIn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产业</w:t>
                  </w:r>
                </w:p>
              </w:tc>
              <w:tc>
                <w:tcPr>
                  <w:tcW w:w="3124" w:type="pct"/>
                  <w:tcBorders>
                    <w:tl2br w:val="nil"/>
                    <w:tr2bl w:val="nil"/>
                  </w:tcBorders>
                  <w:noWrap w:val="0"/>
                  <w:vAlign w:val="center"/>
                </w:tcPr>
                <w:p w14:paraId="713580F2">
                  <w:pPr>
                    <w:pStyle w:val="74"/>
                    <w:adjustRightInd/>
                    <w:spacing w:line="300" w:lineRule="exact"/>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新型环保建材：C302石膏、水泥制品及类似制品制造；C3039其他建筑材料制造；C305玻璃制品制造；C306玻璃纤维和玻璃纤维增强塑料制品制造。智能装备制造：C33金属制品业；C34通用装备制造业；C35专用设备制造业；C36汽车制造业；C37铁路、船舶、航空航天和其他运输设备制造业；C38电气机械和器材制造业；C39电子器件制造；C40仪器仪表制造业。新能源汽车及汽车配件：C2919其他橡胶制品制造；C2929塑料零件及其他塑料制品制造；C367铁路专用设备及器材、配件制造。</w:t>
                  </w:r>
                </w:p>
              </w:tc>
              <w:tc>
                <w:tcPr>
                  <w:tcW w:w="1383" w:type="pct"/>
                  <w:vMerge w:val="restart"/>
                  <w:tcBorders>
                    <w:tl2br w:val="nil"/>
                    <w:tr2bl w:val="nil"/>
                  </w:tcBorders>
                  <w:noWrap w:val="0"/>
                  <w:vAlign w:val="center"/>
                </w:tcPr>
                <w:p w14:paraId="72D195B1">
                  <w:pPr>
                    <w:pStyle w:val="74"/>
                    <w:adjustRightInd/>
                    <w:spacing w:line="300" w:lineRule="exact"/>
                    <w:jc w:val="both"/>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本项目属于</w:t>
                  </w:r>
                  <w:r>
                    <w:rPr>
                      <w:rFonts w:hint="default" w:ascii="Times New Roman" w:hAnsi="Times New Roman" w:cs="Times New Roman"/>
                      <w:color w:val="auto"/>
                      <w:szCs w:val="21"/>
                      <w:highlight w:val="none"/>
                      <w:lang w:eastAsia="zh-CN"/>
                    </w:rPr>
                    <w:t>C3042 特种玻璃制造，属</w:t>
                  </w:r>
                  <w:r>
                    <w:rPr>
                      <w:rFonts w:hint="default" w:ascii="Times New Roman" w:hAnsi="Times New Roman" w:cs="Times New Roman"/>
                      <w:color w:val="auto"/>
                      <w:szCs w:val="21"/>
                      <w:highlight w:val="none"/>
                    </w:rPr>
                    <w:t>于淮南现代产业园主导产业</w:t>
                  </w:r>
                  <w:r>
                    <w:rPr>
                      <w:rFonts w:hint="eastAsia" w:cs="Times New Roman"/>
                      <w:color w:val="auto"/>
                      <w:szCs w:val="21"/>
                      <w:highlight w:val="none"/>
                      <w:lang w:val="en-US" w:eastAsia="zh-CN"/>
                    </w:rPr>
                    <w:t>的</w:t>
                  </w:r>
                  <w:r>
                    <w:rPr>
                      <w:rFonts w:hint="default" w:ascii="Times New Roman" w:hAnsi="Times New Roman" w:cs="Times New Roman"/>
                      <w:color w:val="auto"/>
                      <w:szCs w:val="21"/>
                      <w:highlight w:val="none"/>
                    </w:rPr>
                    <w:t>配套产业，不属于</w:t>
                  </w:r>
                  <w:r>
                    <w:rPr>
                      <w:rFonts w:hint="default" w:ascii="Times New Roman" w:hAnsi="Times New Roman" w:cs="Times New Roman"/>
                      <w:color w:val="auto"/>
                      <w:kern w:val="0"/>
                      <w:szCs w:val="21"/>
                      <w:highlight w:val="none"/>
                    </w:rPr>
                    <w:t>《产业结构调整指导目录》（2024年本）中限制类和淘汰类项目、《市场准入负面清单（2022版）》中禁止准入类项目以及《安徽省淮河流域水污染防治条例》中禁止的产业、产品以外的项目，不属于园区负面清单</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符合园区环境准入清单要求。</w:t>
                  </w:r>
                </w:p>
              </w:tc>
            </w:tr>
            <w:tr w14:paraId="716C3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tcBorders>
                    <w:tl2br w:val="nil"/>
                    <w:tr2bl w:val="nil"/>
                  </w:tcBorders>
                  <w:noWrap w:val="0"/>
                  <w:vAlign w:val="center"/>
                </w:tcPr>
                <w:p w14:paraId="0247E805">
                  <w:pPr>
                    <w:pStyle w:val="74"/>
                    <w:adjustRightIn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正面</w:t>
                  </w:r>
                </w:p>
                <w:p w14:paraId="3F4A7F60">
                  <w:pPr>
                    <w:pStyle w:val="74"/>
                    <w:adjustRightIn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w:t>
                  </w:r>
                </w:p>
              </w:tc>
              <w:tc>
                <w:tcPr>
                  <w:tcW w:w="3124" w:type="pct"/>
                  <w:tcBorders>
                    <w:tl2br w:val="nil"/>
                    <w:tr2bl w:val="nil"/>
                  </w:tcBorders>
                  <w:noWrap w:val="0"/>
                  <w:vAlign w:val="center"/>
                </w:tcPr>
                <w:p w14:paraId="5575F261">
                  <w:pPr>
                    <w:pStyle w:val="74"/>
                    <w:adjustRightIn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优先引入玻璃纤维和玻璃纤维增强塑料制品制造等项目；优先引入农机、风机等行业成套装备，农、林、牧、渔专用机械制造，工程机械装备、交通装备、智能装备等高端智能装备制造项目；优先引入年用溶剂型涂料（含稀释剂）10吨及以下及非溶剂型低VOCs含量涂料的铁路专用设备及器材、配件制造等项目；所列行业中除《产业结构调整指导目录》（2019年本）中限制类和淘汰类项目、《市场准入负面清单（2022版）》中禁止准入类项目、《安徽省长江经济带发展负面清单实施细则（试行）》中禁止类项目以及《安徽省淮河流域水污染防治条例》中禁止的产业、产品以外的项目</w:t>
                  </w:r>
                </w:p>
              </w:tc>
              <w:tc>
                <w:tcPr>
                  <w:tcW w:w="1383" w:type="pct"/>
                  <w:vMerge w:val="continue"/>
                  <w:tcBorders>
                    <w:tl2br w:val="nil"/>
                    <w:tr2bl w:val="nil"/>
                  </w:tcBorders>
                  <w:noWrap w:val="0"/>
                  <w:vAlign w:val="center"/>
                </w:tcPr>
                <w:p w14:paraId="09FAE12B">
                  <w:pPr>
                    <w:pStyle w:val="74"/>
                    <w:adjustRightInd/>
                    <w:spacing w:line="300" w:lineRule="exact"/>
                    <w:ind w:firstLine="624"/>
                    <w:textAlignment w:val="auto"/>
                    <w:rPr>
                      <w:rFonts w:hint="default" w:ascii="Times New Roman" w:hAnsi="Times New Roman" w:cs="Times New Roman"/>
                      <w:color w:val="auto"/>
                      <w:szCs w:val="21"/>
                      <w:highlight w:val="none"/>
                    </w:rPr>
                  </w:pPr>
                </w:p>
              </w:tc>
            </w:tr>
            <w:tr w14:paraId="0F7DF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tcBorders>
                    <w:tl2br w:val="nil"/>
                    <w:tr2bl w:val="nil"/>
                  </w:tcBorders>
                  <w:noWrap w:val="0"/>
                  <w:vAlign w:val="center"/>
                </w:tcPr>
                <w:p w14:paraId="6F25DD55">
                  <w:pPr>
                    <w:pStyle w:val="74"/>
                    <w:adjustRightInd/>
                    <w:spacing w:line="300" w:lineRule="exac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负面</w:t>
                  </w:r>
                </w:p>
                <w:p w14:paraId="56D5D433">
                  <w:pPr>
                    <w:pStyle w:val="74"/>
                    <w:adjustRightIn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清单</w:t>
                  </w:r>
                </w:p>
              </w:tc>
              <w:tc>
                <w:tcPr>
                  <w:tcW w:w="3124" w:type="pct"/>
                  <w:tcBorders>
                    <w:tl2br w:val="nil"/>
                    <w:tr2bl w:val="nil"/>
                  </w:tcBorders>
                  <w:noWrap w:val="0"/>
                  <w:vAlign w:val="center"/>
                </w:tcPr>
                <w:p w14:paraId="0D97ACE4">
                  <w:pPr>
                    <w:pStyle w:val="74"/>
                    <w:adjustRightInd/>
                    <w:spacing w:line="30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禁止C3031粘土砖瓦及建筑砌块制造行业中非资源综合利用的烧结砖瓦的项目入驻；禁止C3360金属表面处理及热处理加工行业中化学镀、阳极氧化、电镀等单纯表面处理的项目入驻；所列行业中的《产业结构调整指导目录》（2019年本）中限制类和淘汰类项目、《市场准入负面清单（2022版）》中禁止准入类项目以及《安徽省淮河流域水污染防治条例》中禁止的产业、产品以外的项目</w:t>
                  </w:r>
                </w:p>
              </w:tc>
              <w:tc>
                <w:tcPr>
                  <w:tcW w:w="1383" w:type="pct"/>
                  <w:vMerge w:val="continue"/>
                  <w:tcBorders>
                    <w:tl2br w:val="nil"/>
                    <w:tr2bl w:val="nil"/>
                  </w:tcBorders>
                  <w:noWrap w:val="0"/>
                  <w:vAlign w:val="center"/>
                </w:tcPr>
                <w:p w14:paraId="721894B0">
                  <w:pPr>
                    <w:pStyle w:val="74"/>
                    <w:adjustRightInd/>
                    <w:spacing w:line="300" w:lineRule="exact"/>
                    <w:ind w:firstLine="624"/>
                    <w:textAlignment w:val="auto"/>
                    <w:rPr>
                      <w:rFonts w:hint="default" w:ascii="Times New Roman" w:hAnsi="Times New Roman" w:cs="Times New Roman"/>
                      <w:color w:val="auto"/>
                      <w:szCs w:val="21"/>
                      <w:highlight w:val="none"/>
                    </w:rPr>
                  </w:pPr>
                </w:p>
              </w:tc>
            </w:tr>
            <w:tr w14:paraId="27E0A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tcBorders>
                    <w:tl2br w:val="nil"/>
                    <w:tr2bl w:val="nil"/>
                  </w:tcBorders>
                  <w:noWrap w:val="0"/>
                  <w:vAlign w:val="center"/>
                </w:tcPr>
                <w:p w14:paraId="1651E1FF">
                  <w:pPr>
                    <w:pStyle w:val="74"/>
                    <w:adjustRightIn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一般性规定</w:t>
                  </w:r>
                </w:p>
              </w:tc>
              <w:tc>
                <w:tcPr>
                  <w:tcW w:w="3124" w:type="pct"/>
                  <w:tcBorders>
                    <w:tl2br w:val="nil"/>
                    <w:tr2bl w:val="nil"/>
                  </w:tcBorders>
                  <w:noWrap w:val="0"/>
                  <w:vAlign w:val="center"/>
                </w:tcPr>
                <w:p w14:paraId="29C59050">
                  <w:pPr>
                    <w:pStyle w:val="74"/>
                    <w:adjustRightIn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区内新增或改扩建存在环境风险的项目，在建设项目环评阶段须重点开展环境风险评价，提出并落实风险防范措施及应急联动要求，编制应急预案</w:t>
                  </w:r>
                </w:p>
              </w:tc>
              <w:tc>
                <w:tcPr>
                  <w:tcW w:w="1383" w:type="pct"/>
                  <w:tcBorders>
                    <w:tl2br w:val="nil"/>
                    <w:tr2bl w:val="nil"/>
                  </w:tcBorders>
                  <w:noWrap w:val="0"/>
                  <w:vAlign w:val="center"/>
                </w:tcPr>
                <w:p w14:paraId="2979EB8F">
                  <w:pPr>
                    <w:pStyle w:val="74"/>
                    <w:adjustRightIn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项目开展环境风险评价，落实风险防范措施。</w:t>
                  </w:r>
                </w:p>
              </w:tc>
            </w:tr>
            <w:tr w14:paraId="72102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tcBorders>
                    <w:tl2br w:val="nil"/>
                    <w:tr2bl w:val="nil"/>
                  </w:tcBorders>
                  <w:noWrap w:val="0"/>
                  <w:vAlign w:val="center"/>
                </w:tcPr>
                <w:p w14:paraId="727991B7">
                  <w:pPr>
                    <w:pStyle w:val="74"/>
                    <w:adjustRightInd/>
                    <w:spacing w:line="300" w:lineRule="exac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w:t>
                  </w:r>
                </w:p>
              </w:tc>
              <w:tc>
                <w:tcPr>
                  <w:tcW w:w="3124" w:type="pct"/>
                  <w:tcBorders>
                    <w:tl2br w:val="nil"/>
                    <w:tr2bl w:val="nil"/>
                  </w:tcBorders>
                  <w:noWrap w:val="0"/>
                  <w:vAlign w:val="center"/>
                </w:tcPr>
                <w:p w14:paraId="5DF016A6">
                  <w:pPr>
                    <w:pStyle w:val="74"/>
                    <w:adjustRightInd/>
                    <w:spacing w:line="300" w:lineRule="exac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符合产业功能布局的现有企业，应加快产业升级，进一步完善环境保护措施，提高清洁生产水平，确保</w:t>
                  </w:r>
                  <w:r>
                    <w:rPr>
                      <w:rFonts w:hint="default" w:ascii="Times New Roman" w:hAnsi="Times New Roman" w:cs="Times New Roman"/>
                      <w:color w:val="auto"/>
                      <w:kern w:val="0"/>
                      <w:szCs w:val="21"/>
                      <w:highlight w:val="none"/>
                      <w:lang w:eastAsia="zh-CN"/>
                    </w:rPr>
                    <w:t>达到</w:t>
                  </w:r>
                  <w:r>
                    <w:rPr>
                      <w:rFonts w:hint="default" w:ascii="Times New Roman" w:hAnsi="Times New Roman" w:cs="Times New Roman"/>
                      <w:color w:val="auto"/>
                      <w:kern w:val="0"/>
                      <w:szCs w:val="21"/>
                      <w:highlight w:val="none"/>
                    </w:rPr>
                    <w:t>本准入清单要求</w:t>
                  </w:r>
                </w:p>
              </w:tc>
              <w:tc>
                <w:tcPr>
                  <w:tcW w:w="1383" w:type="pct"/>
                  <w:tcBorders>
                    <w:tl2br w:val="nil"/>
                    <w:tr2bl w:val="nil"/>
                  </w:tcBorders>
                  <w:noWrap w:val="0"/>
                  <w:vAlign w:val="center"/>
                </w:tcPr>
                <w:p w14:paraId="2621D94F">
                  <w:pPr>
                    <w:pStyle w:val="74"/>
                    <w:adjustRightInd/>
                    <w:spacing w:line="30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项目引进先进工艺设备，配套环保设施设备，满足本准入清单要求。</w:t>
                  </w:r>
                </w:p>
              </w:tc>
            </w:tr>
          </w:tbl>
          <w:p w14:paraId="0B42005A">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b w:val="0"/>
                <w:bCs w:val="0"/>
                <w:color w:val="auto"/>
                <w:sz w:val="24"/>
                <w:szCs w:val="32"/>
                <w:highlight w:val="none"/>
              </w:rPr>
              <w:t>本项目属于</w:t>
            </w:r>
            <w:r>
              <w:rPr>
                <w:rFonts w:hint="default" w:ascii="Times New Roman" w:hAnsi="Times New Roman" w:cs="Times New Roman"/>
                <w:b w:val="0"/>
                <w:bCs w:val="0"/>
                <w:color w:val="auto"/>
                <w:sz w:val="24"/>
                <w:szCs w:val="32"/>
                <w:highlight w:val="none"/>
                <w:lang w:eastAsia="zh-CN"/>
              </w:rPr>
              <w:t>C3042 特种玻璃制造</w:t>
            </w:r>
            <w:r>
              <w:rPr>
                <w:rFonts w:hint="default" w:ascii="Times New Roman" w:hAnsi="Times New Roman" w:cs="Times New Roman"/>
                <w:b w:val="0"/>
                <w:bCs w:val="0"/>
                <w:color w:val="auto"/>
                <w:sz w:val="24"/>
                <w:szCs w:val="32"/>
                <w:highlight w:val="none"/>
              </w:rPr>
              <w:t>。因此，本项目的建设符合淮南现代产业园总体发展规划的环境准入要求。</w:t>
            </w:r>
          </w:p>
        </w:tc>
      </w:tr>
      <w:tr w14:paraId="4D6AD6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3" w:type="dxa"/>
            <w:vAlign w:val="center"/>
          </w:tcPr>
          <w:p w14:paraId="7E05BFDD">
            <w:pPr>
              <w:autoSpaceDE w:val="0"/>
              <w:autoSpaceDN w:val="0"/>
              <w:adjustRightInd w:val="0"/>
              <w:snapToGrid w:val="0"/>
              <w:spacing w:line="36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其他符合性分析</w:t>
            </w:r>
          </w:p>
        </w:tc>
        <w:tc>
          <w:tcPr>
            <w:tcW w:w="8027" w:type="dxa"/>
            <w:gridSpan w:val="4"/>
            <w:vAlign w:val="center"/>
          </w:tcPr>
          <w:p w14:paraId="3D9E7666">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一</w:t>
            </w:r>
            <w:r>
              <w:rPr>
                <w:rFonts w:hint="default" w:ascii="Times New Roman" w:hAnsi="Times New Roman" w:cs="Times New Roman"/>
                <w:b/>
                <w:bCs/>
                <w:color w:val="auto"/>
                <w:kern w:val="0"/>
                <w:sz w:val="24"/>
                <w:highlight w:val="none"/>
              </w:rPr>
              <w:t>、产业政策符合性分析</w:t>
            </w:r>
          </w:p>
          <w:p w14:paraId="0330FD4D">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对照《产业结构调整指导目录（2024年本）》，本项目为</w:t>
            </w:r>
            <w:r>
              <w:rPr>
                <w:rFonts w:hint="default" w:ascii="Times New Roman" w:hAnsi="Times New Roman" w:cs="Times New Roman"/>
                <w:color w:val="auto"/>
                <w:kern w:val="0"/>
                <w:sz w:val="24"/>
                <w:highlight w:val="none"/>
                <w:lang w:val="en-US" w:eastAsia="zh-CN"/>
              </w:rPr>
              <w:t>C3042特种玻璃制造</w:t>
            </w:r>
            <w:r>
              <w:rPr>
                <w:rFonts w:hint="default" w:ascii="Times New Roman" w:hAnsi="Times New Roman" w:cs="Times New Roman"/>
                <w:color w:val="auto"/>
                <w:kern w:val="0"/>
                <w:sz w:val="24"/>
                <w:highlight w:val="none"/>
              </w:rPr>
              <w:t>，不属于限制类和淘汰类的范畴，可以视为允许类。本项目所用设备不属于《部分工业行业淘汰落后生产工艺装备和产品指导目录(2010年本)》（</w:t>
            </w:r>
            <w:r>
              <w:rPr>
                <w:rFonts w:hint="default" w:ascii="Times New Roman" w:hAnsi="Times New Roman" w:cs="Times New Roman"/>
                <w:color w:val="auto"/>
                <w:kern w:val="0"/>
                <w:sz w:val="24"/>
                <w:highlight w:val="none"/>
                <w:lang w:eastAsia="zh-CN"/>
              </w:rPr>
              <w:t>工业和信息化部</w:t>
            </w:r>
            <w:r>
              <w:rPr>
                <w:rFonts w:hint="default" w:ascii="Times New Roman" w:hAnsi="Times New Roman" w:cs="Times New Roman"/>
                <w:color w:val="auto"/>
                <w:kern w:val="0"/>
                <w:sz w:val="24"/>
                <w:highlight w:val="none"/>
              </w:rPr>
              <w:t>，工产业</w:t>
            </w:r>
            <w:r>
              <w:rPr>
                <w:rFonts w:hint="default" w:ascii="Times New Roman" w:hAnsi="Times New Roman" w:cs="Times New Roman"/>
                <w:color w:val="auto"/>
                <w:kern w:val="0"/>
                <w:sz w:val="24"/>
                <w:highlight w:val="none"/>
                <w:lang w:eastAsia="zh-CN"/>
              </w:rPr>
              <w:t>〔2010〕</w:t>
            </w:r>
            <w:r>
              <w:rPr>
                <w:rFonts w:hint="default" w:ascii="Times New Roman" w:hAnsi="Times New Roman" w:cs="Times New Roman"/>
                <w:color w:val="auto"/>
                <w:kern w:val="0"/>
                <w:sz w:val="24"/>
                <w:highlight w:val="none"/>
              </w:rPr>
              <w:t>第122号），因此，本项目建设符合国家相关政策的规定。</w:t>
            </w:r>
          </w:p>
          <w:p w14:paraId="09722913">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本项目已于202</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年</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月</w:t>
            </w:r>
            <w:r>
              <w:rPr>
                <w:rFonts w:hint="default" w:ascii="Times New Roman" w:hAnsi="Times New Roman" w:cs="Times New Roman"/>
                <w:color w:val="auto"/>
                <w:kern w:val="0"/>
                <w:sz w:val="24"/>
                <w:highlight w:val="none"/>
                <w:lang w:val="en-US" w:eastAsia="zh-CN"/>
              </w:rPr>
              <w:t>7</w:t>
            </w:r>
            <w:r>
              <w:rPr>
                <w:rFonts w:hint="default" w:ascii="Times New Roman" w:hAnsi="Times New Roman" w:cs="Times New Roman"/>
                <w:color w:val="auto"/>
                <w:kern w:val="0"/>
                <w:sz w:val="24"/>
                <w:highlight w:val="none"/>
              </w:rPr>
              <w:t>日在淮南市田家庵区发展和改革委员会进行备案，项目代码：</w:t>
            </w:r>
            <w:r>
              <w:rPr>
                <w:rFonts w:hint="default" w:ascii="Times New Roman" w:hAnsi="Times New Roman" w:cs="Times New Roman"/>
                <w:color w:val="auto"/>
                <w:kern w:val="0"/>
                <w:sz w:val="24"/>
                <w:highlight w:val="none"/>
                <w:lang w:eastAsia="zh-CN"/>
              </w:rPr>
              <w:t>2503-340403-04-01-863783</w:t>
            </w:r>
            <w:r>
              <w:rPr>
                <w:rFonts w:hint="default" w:ascii="Times New Roman" w:hAnsi="Times New Roman" w:cs="Times New Roman"/>
                <w:color w:val="auto"/>
                <w:kern w:val="0"/>
                <w:sz w:val="24"/>
                <w:highlight w:val="none"/>
              </w:rPr>
              <w:t>。因此本项目符合产业政策。</w:t>
            </w:r>
          </w:p>
          <w:p w14:paraId="7B9E76EC">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综上所述，拟建项目符合国家产业政策。</w:t>
            </w:r>
          </w:p>
          <w:p w14:paraId="09453556">
            <w:pPr>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二</w:t>
            </w:r>
            <w:r>
              <w:rPr>
                <w:rFonts w:hint="default" w:ascii="Times New Roman" w:hAnsi="Times New Roman" w:cs="Times New Roman"/>
                <w:b/>
                <w:bCs/>
                <w:color w:val="auto"/>
                <w:kern w:val="0"/>
                <w:sz w:val="24"/>
                <w:highlight w:val="none"/>
              </w:rPr>
              <w:t>、规划选址符合性分析</w:t>
            </w:r>
          </w:p>
          <w:p w14:paraId="3F1BE74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与用地规划相符</w:t>
            </w:r>
          </w:p>
          <w:p w14:paraId="26E79B70">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项目用地不属于中华人民共和国国土资源部《限制用地项目目录（2012年本）》《禁止用地项目目录（2012年本）》中规定的限制用地项目类别，可视为允许类项目。因此，项目符合国家土地政策。</w:t>
            </w:r>
          </w:p>
          <w:p w14:paraId="2C85649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选址于安徽省淮南市田家庵区现代产业园区，租赁标准化厂房。对照《淮南现代产业园单元控制性详细规划》土地利用规划图，项目土地性质属工业用地。项目用地符合安徽省淮南市田家庵区现代产业园区土地利用总体规划。</w:t>
            </w:r>
          </w:p>
          <w:p w14:paraId="66B426F6">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选址合理性分析</w:t>
            </w:r>
          </w:p>
          <w:p w14:paraId="28479937">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位于淮南现代产业园区，租赁安徽省淮南市田家庵经开区南区智慧产业园C区B9标准化厂房用于生产，项目四周为工业企业。根据现场踏勘，项目东侧为蚌合高速，南侧为拆迁区域，西侧为安徽西南智能装备有限公司，北侧为淮南市睿欣创新科技产业园三期项目B8厂房。项目用地属工业用地，项目所在地评价范围无自然保护区及国家、省、市级重点文物保护单位，周边无环境制约因素。</w:t>
            </w:r>
          </w:p>
          <w:p w14:paraId="5DCD9165">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因此，项目选址合理。</w:t>
            </w:r>
          </w:p>
          <w:p w14:paraId="0DB404DF">
            <w:pPr>
              <w:spacing w:line="360" w:lineRule="auto"/>
              <w:ind w:firstLine="482" w:firstLineChars="200"/>
              <w:rPr>
                <w:rFonts w:hint="default" w:ascii="Times New Roman" w:hAnsi="Times New Roman" w:cs="Times New Roman"/>
                <w:color w:val="auto"/>
                <w:kern w:val="0"/>
                <w:sz w:val="24"/>
                <w:highlight w:val="none"/>
              </w:rPr>
            </w:pPr>
            <w:r>
              <w:rPr>
                <w:rFonts w:hint="default" w:ascii="Times New Roman" w:hAnsi="Times New Roman" w:cs="Times New Roman"/>
                <w:b/>
                <w:bCs/>
                <w:color w:val="auto"/>
                <w:kern w:val="0"/>
                <w:sz w:val="24"/>
                <w:highlight w:val="none"/>
                <w:lang w:val="en-US" w:eastAsia="zh-CN"/>
              </w:rPr>
              <w:t>三</w:t>
            </w:r>
            <w:r>
              <w:rPr>
                <w:rFonts w:hint="default" w:ascii="Times New Roman" w:hAnsi="Times New Roman" w:cs="Times New Roman"/>
                <w:b/>
                <w:bCs/>
                <w:color w:val="auto"/>
                <w:kern w:val="0"/>
                <w:sz w:val="24"/>
                <w:highlight w:val="none"/>
              </w:rPr>
              <w:t>、与三线一单的符合性分析</w:t>
            </w:r>
          </w:p>
          <w:p w14:paraId="77FBC522">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经对照安徽省“三线一单”公众服务平台，本项目涉及重点管控单元1个，重点管控单元编码“ZH34040320026”，属于水重点/大气重点管控单元。</w:t>
            </w:r>
          </w:p>
          <w:p w14:paraId="53CC979F">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管控要求全面提升锅炉烟气排放标准。全市燃气锅炉氮氧化物浓度不高于50毫克/立方米；污染物排放标准中有特别排放限值的标准的行业，二氧化硫、氮氧化物、颗粒物全面执行大气污染物特别排放限值；强化餐饮油烟和露天烧烤治理。加强餐饮油烟污染治理，对未安装油烟净化设施、不正常使用油烟净化设施或者未采取其他油烟净化措施，超过排放标准排放油烟的，依法责令改正，并处以罚款；现有各类开发区、工业集聚区应全面实现污水集中处理。</w:t>
            </w:r>
          </w:p>
          <w:p w14:paraId="7A668E6D">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本项目主要用水为员工生活用水、</w:t>
            </w:r>
            <w:r>
              <w:rPr>
                <w:rFonts w:hint="default" w:ascii="Times New Roman" w:hAnsi="Times New Roman" w:cs="Times New Roman"/>
                <w:color w:val="auto"/>
                <w:kern w:val="0"/>
                <w:sz w:val="24"/>
                <w:highlight w:val="none"/>
                <w:lang w:val="en-US" w:eastAsia="zh-CN"/>
              </w:rPr>
              <w:t>磨边清洗用水</w:t>
            </w:r>
            <w:r>
              <w:rPr>
                <w:rFonts w:hint="default" w:ascii="Times New Roman" w:hAnsi="Times New Roman" w:cs="Times New Roman"/>
                <w:color w:val="auto"/>
                <w:kern w:val="0"/>
                <w:sz w:val="24"/>
                <w:highlight w:val="none"/>
              </w:rPr>
              <w:t>和</w:t>
            </w:r>
            <w:r>
              <w:rPr>
                <w:rFonts w:hint="default" w:ascii="Times New Roman" w:hAnsi="Times New Roman" w:cs="Times New Roman"/>
                <w:color w:val="auto"/>
                <w:kern w:val="0"/>
                <w:sz w:val="24"/>
                <w:highlight w:val="none"/>
                <w:lang w:val="en-US" w:eastAsia="zh-CN"/>
              </w:rPr>
              <w:t>设备冷却水</w:t>
            </w:r>
            <w:r>
              <w:rPr>
                <w:rFonts w:hint="default" w:ascii="Times New Roman" w:hAnsi="Times New Roman" w:cs="Times New Roman"/>
                <w:color w:val="auto"/>
                <w:kern w:val="0"/>
                <w:sz w:val="24"/>
                <w:highlight w:val="none"/>
              </w:rPr>
              <w:t>用水，项目废水经过处理后达到淮南市现代产业园污水处理厂接管标准后均接入淮南市现代产业园污水处理厂进行深度处理；符合水重点/大气重点管控单元管控要求。</w:t>
            </w:r>
          </w:p>
          <w:p w14:paraId="36265AB5">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生态保护红线</w:t>
            </w:r>
          </w:p>
          <w:p w14:paraId="4A15E231">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根据《安徽省淮南市“三线一单”文本》（淮南市生态环境局），淮南市生态保护红线总面积为373.98km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，占全市国土</w:t>
            </w:r>
            <w:r>
              <w:rPr>
                <w:rFonts w:hint="default" w:ascii="Times New Roman" w:hAnsi="Times New Roman" w:cs="Times New Roman"/>
                <w:color w:val="auto"/>
                <w:kern w:val="0"/>
                <w:sz w:val="24"/>
                <w:highlight w:val="none"/>
                <w:lang w:eastAsia="zh-CN"/>
              </w:rPr>
              <w:t>总面积的</w:t>
            </w:r>
            <w:r>
              <w:rPr>
                <w:rFonts w:hint="default" w:ascii="Times New Roman" w:hAnsi="Times New Roman" w:cs="Times New Roman"/>
                <w:color w:val="auto"/>
                <w:kern w:val="0"/>
                <w:sz w:val="24"/>
                <w:highlight w:val="none"/>
              </w:rPr>
              <w:t>6.76%。见淮南市生态保护红线分布图（见附图</w:t>
            </w:r>
            <w:r>
              <w:rPr>
                <w:rFonts w:hint="default" w:ascii="Times New Roman" w:hAnsi="Times New Roman"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），拟建项目不在淮南市生态保护红线范围内。</w:t>
            </w:r>
          </w:p>
          <w:p w14:paraId="5C518E40">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环境质量底线及分区管控</w:t>
            </w:r>
          </w:p>
          <w:p w14:paraId="0BCE2F89">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所在区域环境质量底线为：环境空气质量目标为《环境空气质量标准》（GB3095-2012）二级标准及其修改单，本项目地表水环境保护目标瓦埠湖目标为《地表水环境质量标准》（GB3838-2002）中Ⅲ类标准，声环境质量目标为《声环境质量标准》（GB3096-2008）3类标准。</w:t>
            </w:r>
          </w:p>
          <w:p w14:paraId="4C3DDAC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根据淮南市生态环境局202</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年</w:t>
            </w:r>
            <w:r>
              <w:rPr>
                <w:rFonts w:hint="default"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月</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日发布的“202</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年淮南市生态环境质量状况公报”中相关数据。评价区二氧化硫（SO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）、二氧化氮（NO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）、一氧化碳（CO）、可吸入颗粒物（PM</w:t>
            </w:r>
            <w:r>
              <w:rPr>
                <w:rFonts w:hint="default" w:ascii="Times New Roman" w:hAnsi="Times New Roman" w:cs="Times New Roman"/>
                <w:color w:val="auto"/>
                <w:kern w:val="0"/>
                <w:sz w:val="24"/>
                <w:highlight w:val="none"/>
                <w:vertAlign w:val="subscript"/>
              </w:rPr>
              <w:t>10</w:t>
            </w:r>
            <w:r>
              <w:rPr>
                <w:rFonts w:hint="default" w:ascii="Times New Roman" w:hAnsi="Times New Roman" w:cs="Times New Roman"/>
                <w:color w:val="auto"/>
                <w:kern w:val="0"/>
                <w:sz w:val="24"/>
                <w:highlight w:val="none"/>
              </w:rPr>
              <w:t>）年均浓度、臭氧（O</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）日最大8小时滑动平均值均符合《环境空气质量标准》（GB3095-2012）二级标准，细颗粒物（PM</w:t>
            </w:r>
            <w:r>
              <w:rPr>
                <w:rFonts w:hint="default" w:ascii="Times New Roman" w:hAnsi="Times New Roman" w:cs="Times New Roman"/>
                <w:color w:val="auto"/>
                <w:kern w:val="0"/>
                <w:sz w:val="24"/>
                <w:highlight w:val="none"/>
                <w:vertAlign w:val="subscript"/>
              </w:rPr>
              <w:t>2.5</w:t>
            </w:r>
            <w:r>
              <w:rPr>
                <w:rFonts w:hint="default" w:ascii="Times New Roman" w:hAnsi="Times New Roman" w:cs="Times New Roman"/>
                <w:color w:val="auto"/>
                <w:kern w:val="0"/>
                <w:sz w:val="24"/>
                <w:highlight w:val="none"/>
              </w:rPr>
              <w:t>）年均浓度超过《环境空气质量标准》（GB3095-2012）二级标准要求，项目所在区域环境空气质量为不达标区。</w:t>
            </w:r>
          </w:p>
          <w:p w14:paraId="3AF8E139">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本项目生产时废气主要为</w:t>
            </w:r>
            <w:r>
              <w:rPr>
                <w:rFonts w:hint="default" w:ascii="Times New Roman" w:hAnsi="Times New Roman" w:cs="Times New Roman"/>
                <w:color w:val="auto"/>
                <w:kern w:val="0"/>
                <w:sz w:val="24"/>
                <w:highlight w:val="none"/>
                <w:lang w:val="en-US" w:eastAsia="zh-CN"/>
              </w:rPr>
              <w:t>VOCs</w:t>
            </w:r>
            <w:r>
              <w:rPr>
                <w:rFonts w:hint="default" w:ascii="Times New Roman" w:hAnsi="Times New Roman" w:cs="Times New Roman"/>
                <w:color w:val="auto"/>
                <w:kern w:val="0"/>
                <w:sz w:val="24"/>
                <w:highlight w:val="none"/>
              </w:rPr>
              <w:t>，废水主要是生活污水、</w:t>
            </w:r>
            <w:r>
              <w:rPr>
                <w:rFonts w:hint="default" w:ascii="Times New Roman" w:hAnsi="Times New Roman" w:cs="Times New Roman"/>
                <w:color w:val="auto"/>
                <w:kern w:val="0"/>
                <w:sz w:val="24"/>
                <w:highlight w:val="none"/>
                <w:lang w:val="en-US" w:eastAsia="zh-CN"/>
              </w:rPr>
              <w:t>磨边清洗用水</w:t>
            </w:r>
            <w:r>
              <w:rPr>
                <w:rFonts w:hint="default" w:ascii="Times New Roman" w:hAnsi="Times New Roman" w:cs="Times New Roman"/>
                <w:color w:val="auto"/>
                <w:kern w:val="0"/>
                <w:sz w:val="24"/>
                <w:highlight w:val="none"/>
              </w:rPr>
              <w:t>和</w:t>
            </w:r>
            <w:r>
              <w:rPr>
                <w:rFonts w:hint="default" w:ascii="Times New Roman" w:hAnsi="Times New Roman" w:cs="Times New Roman"/>
                <w:color w:val="auto"/>
                <w:kern w:val="0"/>
                <w:sz w:val="24"/>
                <w:highlight w:val="none"/>
                <w:lang w:val="en-US" w:eastAsia="zh-CN"/>
              </w:rPr>
              <w:t>冷却循环水</w:t>
            </w:r>
            <w:r>
              <w:rPr>
                <w:rFonts w:hint="default" w:ascii="Times New Roman" w:hAnsi="Times New Roman" w:cs="Times New Roman"/>
                <w:color w:val="auto"/>
                <w:kern w:val="0"/>
                <w:sz w:val="24"/>
                <w:highlight w:val="none"/>
              </w:rPr>
              <w:t>，噪声主要是各类设备产生的噪声。本项目在采取相应的污染防治措施后，污染物可达标排放，各类固废妥善处置，不会造成区域环境功能的降低，项目的建设不会区域大气环境质量功能，不会突破项目所在地的环境质量底线。项目的建设符合环境质量底线标准。</w:t>
            </w:r>
          </w:p>
          <w:p w14:paraId="7796ECD5">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拟建项目位于安徽省淮南市田家庵经开区南区智慧产业园C区</w:t>
            </w:r>
            <w:r>
              <w:rPr>
                <w:rFonts w:hint="default" w:ascii="Times New Roman" w:hAnsi="Times New Roman" w:cs="Times New Roman"/>
                <w:color w:val="auto"/>
                <w:kern w:val="0"/>
                <w:sz w:val="24"/>
                <w:highlight w:val="none"/>
                <w:lang w:val="en-US" w:eastAsia="zh-CN"/>
              </w:rPr>
              <w:t>B9</w:t>
            </w:r>
            <w:r>
              <w:rPr>
                <w:rFonts w:hint="default" w:ascii="Times New Roman" w:hAnsi="Times New Roman" w:cs="Times New Roman"/>
                <w:color w:val="auto"/>
                <w:kern w:val="0"/>
                <w:sz w:val="24"/>
                <w:highlight w:val="none"/>
              </w:rPr>
              <w:t>号标准化厂房，水环境属于“城镇生活污染重点管控区”，大气环境属于“重点管控区”，土壤环境属于“一般防控区”。对照淮南市环境管控单元图（附图1</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），本项目位于“重点管控单元”。</w:t>
            </w:r>
          </w:p>
          <w:p w14:paraId="4BD17D0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）资源利用上限及自然资源开发分区管控</w:t>
            </w:r>
          </w:p>
          <w:p w14:paraId="3452D420">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1）煤炭资源</w:t>
            </w:r>
          </w:p>
          <w:p w14:paraId="1A9BA71C">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对照《文本》中“淮南市高污染燃料禁燃区图”，拟建项目不在高污染燃料禁燃区范围内，项目生产过程中不使用煤炭。不会突破煤炭资源利用上线。</w:t>
            </w:r>
          </w:p>
          <w:p w14:paraId="442F40DE">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2）水资源</w:t>
            </w:r>
          </w:p>
          <w:p w14:paraId="7119CD5C">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对照《文本》中“淮南市水资源管控区划定成果”，拟建项目区属于“水资源一般管控区”。</w:t>
            </w:r>
          </w:p>
          <w:p w14:paraId="6FE60B58">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本项目主要用水为</w:t>
            </w:r>
            <w:ins w:id="0" w:author="やໍ柒七" w:date="2025-07-14T08:38:47Z">
              <w:r>
                <w:rPr>
                  <w:rFonts w:hint="default" w:ascii="Times New Roman" w:hAnsi="Times New Roman" w:cs="Times New Roman"/>
                  <w:color w:val="auto"/>
                  <w:kern w:val="0"/>
                  <w:sz w:val="24"/>
                  <w:highlight w:val="none"/>
                </w:rPr>
                <w:t>员工生活</w:t>
              </w:r>
            </w:ins>
            <w:ins w:id="1" w:author="やໍ柒七" w:date="2025-07-14T08:38:47Z">
              <w:r>
                <w:rPr>
                  <w:rFonts w:hint="eastAsia" w:cs="Times New Roman"/>
                  <w:color w:val="auto"/>
                  <w:kern w:val="0"/>
                  <w:sz w:val="24"/>
                  <w:highlight w:val="none"/>
                  <w:lang w:val="en-US" w:eastAsia="zh-CN"/>
                </w:rPr>
                <w:t>用</w:t>
              </w:r>
            </w:ins>
            <w:ins w:id="2" w:author="やໍ柒七" w:date="2025-07-14T08:38:47Z">
              <w:r>
                <w:rPr>
                  <w:rFonts w:hint="default" w:ascii="Times New Roman" w:hAnsi="Times New Roman" w:cs="Times New Roman"/>
                  <w:color w:val="auto"/>
                  <w:kern w:val="0"/>
                  <w:sz w:val="24"/>
                  <w:highlight w:val="none"/>
                </w:rPr>
                <w:t>水</w:t>
              </w:r>
            </w:ins>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磨边清洗用水</w:t>
            </w:r>
            <w:r>
              <w:rPr>
                <w:rFonts w:hint="default" w:ascii="Times New Roman" w:hAnsi="Times New Roman" w:cs="Times New Roman"/>
                <w:color w:val="auto"/>
                <w:kern w:val="0"/>
                <w:sz w:val="24"/>
                <w:highlight w:val="none"/>
              </w:rPr>
              <w:t>和</w:t>
            </w:r>
            <w:r>
              <w:rPr>
                <w:rFonts w:hint="default" w:ascii="Times New Roman" w:hAnsi="Times New Roman" w:cs="Times New Roman"/>
                <w:color w:val="auto"/>
                <w:kern w:val="0"/>
                <w:sz w:val="24"/>
                <w:highlight w:val="none"/>
                <w:lang w:val="en-US" w:eastAsia="zh-CN"/>
              </w:rPr>
              <w:t>冷却循环水</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用水均来自市政供水管网提供，不会突破水资源利用上线</w:t>
            </w:r>
            <w:r>
              <w:rPr>
                <w:rFonts w:hint="default" w:ascii="Times New Roman" w:hAnsi="Times New Roman" w:cs="Times New Roman"/>
                <w:color w:val="auto"/>
                <w:kern w:val="0"/>
                <w:sz w:val="24"/>
                <w:highlight w:val="none"/>
              </w:rPr>
              <w:t>。</w:t>
            </w:r>
          </w:p>
          <w:p w14:paraId="39AC9203">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3）土地资源</w:t>
            </w:r>
          </w:p>
          <w:p w14:paraId="1B222EE1">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对照《文本》中“淮南市土地资源管控区图”，拟建项目区属于“土地资源一般管控区”。</w:t>
            </w:r>
          </w:p>
          <w:p w14:paraId="37370C35">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项目用地为工业用地，本项目租赁现有厂房进行建设，</w:t>
            </w:r>
            <w:r>
              <w:rPr>
                <w:rFonts w:hint="default" w:ascii="Times New Roman" w:hAnsi="Times New Roman" w:cs="Times New Roman"/>
                <w:color w:val="auto"/>
                <w:sz w:val="24"/>
                <w:highlight w:val="none"/>
              </w:rPr>
              <w:t>不新增占地，不会突破土地资源利用上线</w:t>
            </w:r>
            <w:r>
              <w:rPr>
                <w:rFonts w:hint="default" w:ascii="Times New Roman" w:hAnsi="Times New Roman" w:cs="Times New Roman"/>
                <w:color w:val="auto"/>
                <w:kern w:val="0"/>
                <w:sz w:val="24"/>
                <w:highlight w:val="none"/>
              </w:rPr>
              <w:t>。</w:t>
            </w:r>
          </w:p>
          <w:p w14:paraId="3298B2AA">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生态环境准入清单</w:t>
            </w:r>
          </w:p>
          <w:p w14:paraId="122003B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项目位于安徽淮南田家庵经济开发区，根据《产业结构调整指导目录（2024年本）</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安徽省工业产业结构调整指导目录》（2007年本），项目符合相关产业政策。</w:t>
            </w:r>
          </w:p>
          <w:p w14:paraId="6A2FD0A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对照《市场准入负面清单（202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年版）</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长江经济带发展负面清单指南（试行，2022年版）》，项目不在其负面清单之列。</w:t>
            </w:r>
          </w:p>
          <w:p w14:paraId="1A3D84C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综上，项目建设不涉及生态保护红线，不会降低区域环境质量，满足自然资源利用上线，不属于生态环境准入负面清单之列，因此项目的建设符合“三线一单”的要求。</w:t>
            </w:r>
          </w:p>
          <w:p w14:paraId="61A4B4C9">
            <w:pPr>
              <w:spacing w:line="240" w:lineRule="auto"/>
              <w:jc w:val="center"/>
              <w:rPr>
                <w:rFonts w:hint="default" w:ascii="Times New Roman" w:hAnsi="Times New Roman" w:cs="Times New Roman"/>
                <w:b/>
                <w:bCs/>
                <w:color w:val="auto"/>
                <w:sz w:val="24"/>
                <w:szCs w:val="21"/>
                <w:highlight w:val="none"/>
              </w:rPr>
            </w:pPr>
            <w:r>
              <w:rPr>
                <w:rFonts w:hint="default" w:ascii="Times New Roman" w:hAnsi="Times New Roman" w:cs="Times New Roman"/>
                <w:b/>
                <w:bCs/>
                <w:color w:val="auto"/>
                <w:sz w:val="24"/>
                <w:szCs w:val="21"/>
                <w:highlight w:val="none"/>
              </w:rPr>
              <w:t>表1-</w:t>
            </w:r>
            <w:r>
              <w:rPr>
                <w:rFonts w:hint="default" w:ascii="Times New Roman" w:hAnsi="Times New Roman" w:cs="Times New Roman"/>
                <w:b/>
                <w:bCs/>
                <w:color w:val="auto"/>
                <w:sz w:val="24"/>
                <w:szCs w:val="21"/>
                <w:highlight w:val="none"/>
                <w:lang w:val="en-US" w:eastAsia="zh-CN"/>
              </w:rPr>
              <w:t>3</w:t>
            </w:r>
            <w:r>
              <w:rPr>
                <w:rFonts w:hint="default" w:ascii="Times New Roman" w:hAnsi="Times New Roman" w:cs="Times New Roman"/>
                <w:b/>
                <w:bCs/>
                <w:color w:val="auto"/>
                <w:sz w:val="24"/>
                <w:szCs w:val="21"/>
                <w:highlight w:val="none"/>
              </w:rPr>
              <w:t xml:space="preserve">  项目与《淮南市“三线一单”》的符合性</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33"/>
              <w:gridCol w:w="425"/>
              <w:gridCol w:w="4388"/>
              <w:gridCol w:w="2117"/>
              <w:gridCol w:w="548"/>
            </w:tblGrid>
            <w:tr w14:paraId="1DCA49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 w:hRule="atLeast"/>
                <w:jc w:val="center"/>
              </w:trPr>
              <w:tc>
                <w:tcPr>
                  <w:tcW w:w="3293" w:type="pct"/>
                  <w:gridSpan w:val="3"/>
                  <w:tcBorders>
                    <w:tl2br w:val="nil"/>
                    <w:tr2bl w:val="nil"/>
                  </w:tcBorders>
                  <w:noWrap w:val="0"/>
                  <w:tcMar>
                    <w:left w:w="28" w:type="dxa"/>
                    <w:right w:w="28" w:type="dxa"/>
                  </w:tcMar>
                  <w:vAlign w:val="center"/>
                </w:tcPr>
                <w:p w14:paraId="6FA93D5D">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《淮南市“三线一单”文本》要求</w:t>
                  </w:r>
                </w:p>
              </w:tc>
              <w:tc>
                <w:tcPr>
                  <w:tcW w:w="1355" w:type="pct"/>
                  <w:tcBorders>
                    <w:tl2br w:val="nil"/>
                    <w:tr2bl w:val="nil"/>
                  </w:tcBorders>
                  <w:noWrap w:val="0"/>
                  <w:tcMar>
                    <w:left w:w="28" w:type="dxa"/>
                    <w:right w:w="28" w:type="dxa"/>
                  </w:tcMar>
                  <w:vAlign w:val="center"/>
                </w:tcPr>
                <w:p w14:paraId="015BCDD0">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符合性分析</w:t>
                  </w:r>
                </w:p>
              </w:tc>
              <w:tc>
                <w:tcPr>
                  <w:tcW w:w="351" w:type="pct"/>
                  <w:tcBorders>
                    <w:tl2br w:val="nil"/>
                    <w:tr2bl w:val="nil"/>
                  </w:tcBorders>
                  <w:noWrap w:val="0"/>
                  <w:tcMar>
                    <w:left w:w="28" w:type="dxa"/>
                    <w:right w:w="28" w:type="dxa"/>
                  </w:tcMar>
                  <w:vAlign w:val="center"/>
                </w:tcPr>
                <w:p w14:paraId="52685B2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结果</w:t>
                  </w:r>
                </w:p>
              </w:tc>
            </w:tr>
            <w:tr w14:paraId="6017EF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485" w:type="pct"/>
                  <w:gridSpan w:val="2"/>
                  <w:tcBorders>
                    <w:tl2br w:val="nil"/>
                    <w:tr2bl w:val="nil"/>
                  </w:tcBorders>
                  <w:noWrap w:val="0"/>
                  <w:tcMar>
                    <w:left w:w="28" w:type="dxa"/>
                    <w:right w:w="28" w:type="dxa"/>
                  </w:tcMar>
                  <w:vAlign w:val="center"/>
                </w:tcPr>
                <w:p w14:paraId="58814297">
                  <w:pPr>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生态保护红线</w:t>
                  </w:r>
                </w:p>
              </w:tc>
              <w:tc>
                <w:tcPr>
                  <w:tcW w:w="2808" w:type="pct"/>
                  <w:tcBorders>
                    <w:tl2br w:val="nil"/>
                    <w:tr2bl w:val="nil"/>
                  </w:tcBorders>
                  <w:noWrap w:val="0"/>
                  <w:tcMar>
                    <w:left w:w="28" w:type="dxa"/>
                    <w:right w:w="28" w:type="dxa"/>
                  </w:tcMar>
                  <w:vAlign w:val="center"/>
                </w:tcPr>
                <w:p w14:paraId="44748541">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依据中办、国办《关于划定并严守生态保护红线的若干意见》和《关于在国土空间规划中统筹划定落实三条控制线的指导意见》，生态保护红线原则上按禁止开发区域的要求进行管理。生态保护红线内，自然保护地核心保护区原则上禁止人为活动，其他区域严格禁止开发性、生产性建设活动。</w:t>
                  </w:r>
                </w:p>
              </w:tc>
              <w:tc>
                <w:tcPr>
                  <w:tcW w:w="1355" w:type="pct"/>
                  <w:tcBorders>
                    <w:tl2br w:val="nil"/>
                    <w:tr2bl w:val="nil"/>
                  </w:tcBorders>
                  <w:noWrap w:val="0"/>
                  <w:tcMar>
                    <w:left w:w="28" w:type="dxa"/>
                    <w:right w:w="28" w:type="dxa"/>
                  </w:tcMar>
                  <w:vAlign w:val="center"/>
                </w:tcPr>
                <w:p w14:paraId="49576A6D">
                  <w:pPr>
                    <w:autoSpaceDE w:val="0"/>
                    <w:autoSpaceDN w:val="0"/>
                    <w:adjustRightInd w:val="0"/>
                    <w:snapToGrid w:val="0"/>
                    <w:rPr>
                      <w:rFonts w:hint="default" w:ascii="Times New Roman" w:hAnsi="Times New Roman" w:cs="Times New Roman"/>
                      <w:color w:val="auto"/>
                      <w:highlight w:val="none"/>
                    </w:rPr>
                  </w:pPr>
                  <w:bookmarkStart w:id="2" w:name="_Toc92970714"/>
                  <w:bookmarkStart w:id="3" w:name="_Toc92970806"/>
                  <w:r>
                    <w:rPr>
                      <w:rFonts w:hint="default" w:ascii="Times New Roman" w:hAnsi="Times New Roman" w:cs="Times New Roman"/>
                      <w:color w:val="auto"/>
                      <w:highlight w:val="none"/>
                    </w:rPr>
                    <w:t>项目位于淮南市田家庵区。不在生态红线范围内，也不在当地饮用水源、风景区、自然保护区等生态保护区内，符合生态保护红线要求。</w:t>
                  </w:r>
                  <w:bookmarkEnd w:id="2"/>
                  <w:bookmarkEnd w:id="3"/>
                </w:p>
              </w:tc>
              <w:tc>
                <w:tcPr>
                  <w:tcW w:w="351" w:type="pct"/>
                  <w:tcBorders>
                    <w:tl2br w:val="nil"/>
                    <w:tr2bl w:val="nil"/>
                  </w:tcBorders>
                  <w:noWrap w:val="0"/>
                  <w:tcMar>
                    <w:left w:w="28" w:type="dxa"/>
                    <w:right w:w="28" w:type="dxa"/>
                  </w:tcMar>
                  <w:vAlign w:val="center"/>
                </w:tcPr>
                <w:p w14:paraId="1A0A987F">
                  <w:pPr>
                    <w:autoSpaceDE w:val="0"/>
                    <w:autoSpaceDN w:val="0"/>
                    <w:adjustRightInd w:val="0"/>
                    <w:snapToGrid w:val="0"/>
                    <w:jc w:val="center"/>
                    <w:rPr>
                      <w:rFonts w:hint="default" w:ascii="Times New Roman" w:hAnsi="Times New Roman" w:cs="Times New Roman"/>
                      <w:color w:val="auto"/>
                      <w:highlight w:val="none"/>
                    </w:rPr>
                  </w:pPr>
                  <w:bookmarkStart w:id="4" w:name="_Toc92970715"/>
                  <w:bookmarkStart w:id="5" w:name="_Toc92970807"/>
                  <w:r>
                    <w:rPr>
                      <w:rFonts w:hint="default" w:ascii="Times New Roman" w:hAnsi="Times New Roman" w:cs="Times New Roman"/>
                      <w:color w:val="auto"/>
                      <w:highlight w:val="none"/>
                    </w:rPr>
                    <w:t>符合</w:t>
                  </w:r>
                  <w:bookmarkEnd w:id="4"/>
                  <w:bookmarkEnd w:id="5"/>
                </w:p>
              </w:tc>
            </w:tr>
            <w:tr w14:paraId="4A341F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213" w:type="pct"/>
                  <w:vMerge w:val="restart"/>
                  <w:tcBorders>
                    <w:tl2br w:val="nil"/>
                    <w:tr2bl w:val="nil"/>
                  </w:tcBorders>
                  <w:noWrap w:val="0"/>
                  <w:tcMar>
                    <w:left w:w="28" w:type="dxa"/>
                    <w:right w:w="28" w:type="dxa"/>
                  </w:tcMar>
                  <w:vAlign w:val="center"/>
                </w:tcPr>
                <w:p w14:paraId="32F95EF2">
                  <w:pPr>
                    <w:autoSpaceDE w:val="0"/>
                    <w:autoSpaceDN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环境质量底线</w:t>
                  </w:r>
                </w:p>
              </w:tc>
              <w:tc>
                <w:tcPr>
                  <w:tcW w:w="272" w:type="pct"/>
                  <w:tcBorders>
                    <w:tl2br w:val="nil"/>
                    <w:tr2bl w:val="nil"/>
                  </w:tcBorders>
                  <w:noWrap w:val="0"/>
                  <w:tcMar>
                    <w:left w:w="0" w:type="dxa"/>
                    <w:right w:w="0" w:type="dxa"/>
                  </w:tcMar>
                  <w:vAlign w:val="center"/>
                </w:tcPr>
                <w:p w14:paraId="0775C220">
                  <w:pPr>
                    <w:autoSpaceDE w:val="0"/>
                    <w:autoSpaceDN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w:t>
                  </w:r>
                </w:p>
              </w:tc>
              <w:tc>
                <w:tcPr>
                  <w:tcW w:w="2808" w:type="pct"/>
                  <w:tcBorders>
                    <w:tl2br w:val="nil"/>
                    <w:tr2bl w:val="nil"/>
                  </w:tcBorders>
                  <w:noWrap w:val="0"/>
                  <w:tcMar>
                    <w:left w:w="28" w:type="dxa"/>
                    <w:right w:w="28" w:type="dxa"/>
                  </w:tcMar>
                  <w:vAlign w:val="center"/>
                </w:tcPr>
                <w:p w14:paraId="27C34FDA">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依据《中华人民共和国水污染防治法》《水污染防治行动计划》《安徽省水污染防治工作方案》及《淮南市水污染防治工作方案》对重点管控区实施管控；依据开发区规划、规划环评及审查意见相关要求对开发区实施管控；落实《“十三五”生态环境保护规划》《安徽省“十三五”环境保护规划》《安徽省“十三五”节能减排实施方案》《淮南市生态建设与环境保护“十三五”规划》等要求，新建、改建和扩建项目水污染物实施“等量替代”。</w:t>
                  </w:r>
                </w:p>
              </w:tc>
              <w:tc>
                <w:tcPr>
                  <w:tcW w:w="1355" w:type="pct"/>
                  <w:tcBorders>
                    <w:tl2br w:val="nil"/>
                    <w:tr2bl w:val="nil"/>
                  </w:tcBorders>
                  <w:noWrap w:val="0"/>
                  <w:tcMar>
                    <w:left w:w="28" w:type="dxa"/>
                    <w:right w:w="28" w:type="dxa"/>
                  </w:tcMar>
                  <w:vAlign w:val="center"/>
                </w:tcPr>
                <w:p w14:paraId="7DD09661">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项目位于水环境的一般管控区，周边地表水林桥涧沟水质达到《地表水环境质量标准》（GB3838-2002）中Ⅴ类标准。</w:t>
                  </w:r>
                </w:p>
              </w:tc>
              <w:tc>
                <w:tcPr>
                  <w:tcW w:w="351" w:type="pct"/>
                  <w:tcBorders>
                    <w:tl2br w:val="nil"/>
                    <w:tr2bl w:val="nil"/>
                  </w:tcBorders>
                  <w:noWrap w:val="0"/>
                  <w:tcMar>
                    <w:left w:w="28" w:type="dxa"/>
                    <w:right w:w="28" w:type="dxa"/>
                  </w:tcMar>
                  <w:vAlign w:val="center"/>
                </w:tcPr>
                <w:p w14:paraId="4D84736F">
                  <w:pPr>
                    <w:autoSpaceDE w:val="0"/>
                    <w:autoSpaceDN w:val="0"/>
                    <w:adjustRightInd w:val="0"/>
                    <w:snapToGrid w:val="0"/>
                    <w:jc w:val="center"/>
                    <w:rPr>
                      <w:rFonts w:hint="default" w:ascii="Times New Roman" w:hAnsi="Times New Roman" w:cs="Times New Roman"/>
                      <w:color w:val="auto"/>
                      <w:highlight w:val="none"/>
                    </w:rPr>
                  </w:pPr>
                  <w:bookmarkStart w:id="6" w:name="_Toc92970808"/>
                  <w:bookmarkStart w:id="7" w:name="_Toc92970716"/>
                  <w:r>
                    <w:rPr>
                      <w:rFonts w:hint="default" w:ascii="Times New Roman" w:hAnsi="Times New Roman" w:cs="Times New Roman"/>
                      <w:color w:val="auto"/>
                      <w:highlight w:val="none"/>
                    </w:rPr>
                    <w:t>符合</w:t>
                  </w:r>
                  <w:bookmarkEnd w:id="6"/>
                  <w:bookmarkEnd w:id="7"/>
                </w:p>
              </w:tc>
            </w:tr>
            <w:tr w14:paraId="2BF1B1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213" w:type="pct"/>
                  <w:vMerge w:val="continue"/>
                  <w:tcBorders>
                    <w:tl2br w:val="nil"/>
                    <w:tr2bl w:val="nil"/>
                  </w:tcBorders>
                  <w:noWrap w:val="0"/>
                  <w:tcMar>
                    <w:left w:w="28" w:type="dxa"/>
                    <w:right w:w="28" w:type="dxa"/>
                  </w:tcMar>
                  <w:vAlign w:val="center"/>
                </w:tcPr>
                <w:p w14:paraId="00A2E175">
                  <w:pPr>
                    <w:autoSpaceDE w:val="0"/>
                    <w:autoSpaceDN w:val="0"/>
                    <w:adjustRightInd w:val="0"/>
                    <w:snapToGrid w:val="0"/>
                    <w:jc w:val="center"/>
                    <w:rPr>
                      <w:rFonts w:hint="default" w:ascii="Times New Roman" w:hAnsi="Times New Roman" w:cs="Times New Roman"/>
                      <w:color w:val="auto"/>
                      <w:highlight w:val="none"/>
                    </w:rPr>
                  </w:pPr>
                </w:p>
              </w:tc>
              <w:tc>
                <w:tcPr>
                  <w:tcW w:w="272" w:type="pct"/>
                  <w:tcBorders>
                    <w:tl2br w:val="nil"/>
                    <w:tr2bl w:val="nil"/>
                  </w:tcBorders>
                  <w:noWrap w:val="0"/>
                  <w:tcMar>
                    <w:left w:w="0" w:type="dxa"/>
                    <w:right w:w="0" w:type="dxa"/>
                  </w:tcMar>
                  <w:vAlign w:val="center"/>
                </w:tcPr>
                <w:p w14:paraId="0C48659F">
                  <w:pPr>
                    <w:autoSpaceDE w:val="0"/>
                    <w:autoSpaceDN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tc>
              <w:tc>
                <w:tcPr>
                  <w:tcW w:w="2808" w:type="pct"/>
                  <w:tcBorders>
                    <w:tl2br w:val="nil"/>
                    <w:tr2bl w:val="nil"/>
                  </w:tcBorders>
                  <w:noWrap w:val="0"/>
                  <w:tcMar>
                    <w:left w:w="28" w:type="dxa"/>
                    <w:right w:w="28" w:type="dxa"/>
                  </w:tcMar>
                  <w:vAlign w:val="center"/>
                </w:tcPr>
                <w:p w14:paraId="2DD525D8">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落实《安徽省大气污染防治条例》《“十三五”生态环境保护规划》《安徽省“十三五”环境保护规划》《打赢蓝天保卫战三年行动计划》《安徽省打赢蓝天保卫战三年行动计划实施方案》《重点行业挥发性有机物综合治理方案》《淮南市打赢蓝天保卫战三年行动计划实施方案》等要求，严格目标实施计划，加强环境监管，促进生态环境质量好转。上年度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不达标城市新建、改建和扩建项目大气污染物实施“倍量替代”，执行特别排放标准的行业实施提标升级改造。</w:t>
                  </w:r>
                </w:p>
              </w:tc>
              <w:tc>
                <w:tcPr>
                  <w:tcW w:w="1355" w:type="pct"/>
                  <w:tcBorders>
                    <w:tl2br w:val="nil"/>
                    <w:tr2bl w:val="nil"/>
                  </w:tcBorders>
                  <w:noWrap w:val="0"/>
                  <w:tcMar>
                    <w:left w:w="28" w:type="dxa"/>
                    <w:right w:w="28" w:type="dxa"/>
                  </w:tcMar>
                  <w:vAlign w:val="center"/>
                </w:tcPr>
                <w:p w14:paraId="64FDEBE1">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根据《淮南市大气环境分区管控图》，项目位于大气环境一般管控区。根据《202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年淮南市环境状况公报》，淮南市属于大气环境质量不达标区域，大气污染物实施“倍量替代”。</w:t>
                  </w:r>
                </w:p>
              </w:tc>
              <w:tc>
                <w:tcPr>
                  <w:tcW w:w="351" w:type="pct"/>
                  <w:tcBorders>
                    <w:tl2br w:val="nil"/>
                    <w:tr2bl w:val="nil"/>
                  </w:tcBorders>
                  <w:noWrap w:val="0"/>
                  <w:tcMar>
                    <w:left w:w="28" w:type="dxa"/>
                    <w:right w:w="28" w:type="dxa"/>
                  </w:tcMar>
                  <w:vAlign w:val="center"/>
                </w:tcPr>
                <w:p w14:paraId="28275F03">
                  <w:pPr>
                    <w:autoSpaceDE w:val="0"/>
                    <w:autoSpaceDN w:val="0"/>
                    <w:adjustRightInd w:val="0"/>
                    <w:snapToGrid w:val="0"/>
                    <w:jc w:val="center"/>
                    <w:rPr>
                      <w:rFonts w:hint="default" w:ascii="Times New Roman" w:hAnsi="Times New Roman" w:cs="Times New Roman"/>
                      <w:color w:val="auto"/>
                      <w:highlight w:val="none"/>
                    </w:rPr>
                  </w:pPr>
                  <w:bookmarkStart w:id="8" w:name="_Toc92970717"/>
                  <w:bookmarkStart w:id="9" w:name="_Toc92970809"/>
                  <w:r>
                    <w:rPr>
                      <w:rFonts w:hint="default" w:ascii="Times New Roman" w:hAnsi="Times New Roman" w:cs="Times New Roman"/>
                      <w:color w:val="auto"/>
                      <w:highlight w:val="none"/>
                    </w:rPr>
                    <w:t>符合</w:t>
                  </w:r>
                  <w:bookmarkEnd w:id="8"/>
                  <w:bookmarkEnd w:id="9"/>
                </w:p>
              </w:tc>
            </w:tr>
            <w:tr w14:paraId="25D0E6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213" w:type="pct"/>
                  <w:vMerge w:val="continue"/>
                  <w:tcBorders>
                    <w:tl2br w:val="nil"/>
                    <w:tr2bl w:val="nil"/>
                  </w:tcBorders>
                  <w:noWrap w:val="0"/>
                  <w:tcMar>
                    <w:left w:w="28" w:type="dxa"/>
                    <w:right w:w="28" w:type="dxa"/>
                  </w:tcMar>
                  <w:vAlign w:val="center"/>
                </w:tcPr>
                <w:p w14:paraId="1E8C41DC">
                  <w:pPr>
                    <w:autoSpaceDE w:val="0"/>
                    <w:autoSpaceDN w:val="0"/>
                    <w:adjustRightInd w:val="0"/>
                    <w:snapToGrid w:val="0"/>
                    <w:jc w:val="center"/>
                    <w:rPr>
                      <w:rFonts w:hint="default" w:ascii="Times New Roman" w:hAnsi="Times New Roman" w:cs="Times New Roman"/>
                      <w:color w:val="auto"/>
                      <w:highlight w:val="none"/>
                    </w:rPr>
                  </w:pPr>
                </w:p>
              </w:tc>
              <w:tc>
                <w:tcPr>
                  <w:tcW w:w="272" w:type="pct"/>
                  <w:tcBorders>
                    <w:tl2br w:val="nil"/>
                    <w:tr2bl w:val="nil"/>
                  </w:tcBorders>
                  <w:noWrap w:val="0"/>
                  <w:tcMar>
                    <w:left w:w="0" w:type="dxa"/>
                    <w:right w:w="0" w:type="dxa"/>
                  </w:tcMar>
                  <w:vAlign w:val="center"/>
                </w:tcPr>
                <w:p w14:paraId="6658CF0E">
                  <w:pPr>
                    <w:autoSpaceDE w:val="0"/>
                    <w:autoSpaceDN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w:t>
                  </w:r>
                </w:p>
              </w:tc>
              <w:tc>
                <w:tcPr>
                  <w:tcW w:w="2808" w:type="pct"/>
                  <w:tcBorders>
                    <w:tl2br w:val="nil"/>
                    <w:tr2bl w:val="nil"/>
                  </w:tcBorders>
                  <w:noWrap w:val="0"/>
                  <w:tcMar>
                    <w:left w:w="28" w:type="dxa"/>
                    <w:right w:w="28" w:type="dxa"/>
                  </w:tcMar>
                  <w:vAlign w:val="center"/>
                </w:tcPr>
                <w:p w14:paraId="4D151AC0">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防控区：依据《中华人民共和国土壤污染防治法》《土壤污染防治行动计划》《安徽省土壤污染防治工作方案》《安徽省“十三五”环境保护规划》《淮南市土壤污染防治工作方案》等要求及各市土壤污染防治工作方案对一般管控区实施管控。</w:t>
                  </w:r>
                </w:p>
              </w:tc>
              <w:tc>
                <w:tcPr>
                  <w:tcW w:w="1355" w:type="pct"/>
                  <w:tcBorders>
                    <w:tl2br w:val="nil"/>
                    <w:tr2bl w:val="nil"/>
                  </w:tcBorders>
                  <w:noWrap w:val="0"/>
                  <w:tcMar>
                    <w:left w:w="28" w:type="dxa"/>
                    <w:right w:w="28" w:type="dxa"/>
                  </w:tcMar>
                  <w:vAlign w:val="center"/>
                </w:tcPr>
                <w:p w14:paraId="119AF78C">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根据《淮南市土壤环境风险分区防控图》，项目位于一般防控区。生产车间地面硬化，并采取重点防渗措施，对周边土壤环境影响较小。</w:t>
                  </w:r>
                </w:p>
              </w:tc>
              <w:tc>
                <w:tcPr>
                  <w:tcW w:w="351" w:type="pct"/>
                  <w:tcBorders>
                    <w:tl2br w:val="nil"/>
                    <w:tr2bl w:val="nil"/>
                  </w:tcBorders>
                  <w:noWrap w:val="0"/>
                  <w:tcMar>
                    <w:left w:w="28" w:type="dxa"/>
                    <w:right w:w="28" w:type="dxa"/>
                  </w:tcMar>
                  <w:vAlign w:val="center"/>
                </w:tcPr>
                <w:p w14:paraId="0810504B">
                  <w:pPr>
                    <w:autoSpaceDE w:val="0"/>
                    <w:autoSpaceDN w:val="0"/>
                    <w:adjustRightInd w:val="0"/>
                    <w:snapToGrid w:val="0"/>
                    <w:jc w:val="center"/>
                    <w:rPr>
                      <w:rFonts w:hint="default" w:ascii="Times New Roman" w:hAnsi="Times New Roman" w:cs="Times New Roman"/>
                      <w:color w:val="auto"/>
                      <w:highlight w:val="none"/>
                    </w:rPr>
                  </w:pPr>
                  <w:bookmarkStart w:id="10" w:name="_Toc92970810"/>
                  <w:bookmarkStart w:id="11" w:name="_Toc92970718"/>
                  <w:r>
                    <w:rPr>
                      <w:rFonts w:hint="default" w:ascii="Times New Roman" w:hAnsi="Times New Roman" w:cs="Times New Roman"/>
                      <w:color w:val="auto"/>
                      <w:highlight w:val="none"/>
                    </w:rPr>
                    <w:t>符合</w:t>
                  </w:r>
                  <w:bookmarkEnd w:id="10"/>
                  <w:bookmarkEnd w:id="11"/>
                </w:p>
              </w:tc>
            </w:tr>
            <w:tr w14:paraId="2BEECA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213" w:type="pct"/>
                  <w:vMerge w:val="restart"/>
                  <w:tcBorders>
                    <w:tl2br w:val="nil"/>
                    <w:tr2bl w:val="nil"/>
                  </w:tcBorders>
                  <w:noWrap w:val="0"/>
                  <w:tcMar>
                    <w:left w:w="28" w:type="dxa"/>
                    <w:right w:w="28" w:type="dxa"/>
                  </w:tcMar>
                  <w:vAlign w:val="center"/>
                </w:tcPr>
                <w:p w14:paraId="7B023EAD">
                  <w:pPr>
                    <w:autoSpaceDE w:val="0"/>
                    <w:autoSpaceDN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资源利用上线</w:t>
                  </w:r>
                </w:p>
              </w:tc>
              <w:tc>
                <w:tcPr>
                  <w:tcW w:w="272" w:type="pct"/>
                  <w:tcBorders>
                    <w:tl2br w:val="nil"/>
                    <w:tr2bl w:val="nil"/>
                  </w:tcBorders>
                  <w:noWrap w:val="0"/>
                  <w:tcMar>
                    <w:left w:w="0" w:type="dxa"/>
                    <w:right w:w="0" w:type="dxa"/>
                  </w:tcMar>
                  <w:vAlign w:val="center"/>
                </w:tcPr>
                <w:p w14:paraId="22C4E091">
                  <w:pPr>
                    <w:autoSpaceDE w:val="0"/>
                    <w:autoSpaceDN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煤炭资源利用上线</w:t>
                  </w:r>
                </w:p>
              </w:tc>
              <w:tc>
                <w:tcPr>
                  <w:tcW w:w="2808" w:type="pct"/>
                  <w:tcBorders>
                    <w:tl2br w:val="nil"/>
                    <w:tr2bl w:val="nil"/>
                  </w:tcBorders>
                  <w:noWrap w:val="0"/>
                  <w:tcMar>
                    <w:left w:w="28" w:type="dxa"/>
                    <w:right w:w="28" w:type="dxa"/>
                  </w:tcMar>
                  <w:vAlign w:val="center"/>
                </w:tcPr>
                <w:p w14:paraId="275A8F34">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重点管控区：高污染燃料禁燃区内，禁止销售、燃用高污染燃料；禁止新建、扩建燃用高污染燃料的设施（新建、改建集中供热和现有火电厂锅炉改造的除外，但煤炭消费量和污染物排放总量需满足相关规定要求），已建成的，应当改用天然气、液化石油气、电或者其他清洁能源。落实淮南市人民政府《关于扩大高污染燃料禁燃区的通告》《关于在市规划建成区内实施高污染燃料禁燃工作的通告》等要求。</w:t>
                  </w:r>
                </w:p>
                <w:p w14:paraId="6DF31170">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一般管控区：落实国务院《“十三五”节能减排综合工作方案》《安徽省煤炭消费减量替代工作方案（2018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2020年）》要求。</w:t>
                  </w:r>
                </w:p>
              </w:tc>
              <w:tc>
                <w:tcPr>
                  <w:tcW w:w="1355" w:type="pct"/>
                  <w:tcBorders>
                    <w:tl2br w:val="nil"/>
                    <w:tr2bl w:val="nil"/>
                  </w:tcBorders>
                  <w:noWrap w:val="0"/>
                  <w:tcMar>
                    <w:left w:w="28" w:type="dxa"/>
                    <w:right w:w="28" w:type="dxa"/>
                  </w:tcMar>
                  <w:vAlign w:val="center"/>
                </w:tcPr>
                <w:p w14:paraId="03A1EC56">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根据《淮南市高污染燃料禁燃区分布图》，项目不属于高污染燃料禁燃区内。项目以电能为能源，不使用高污染燃料。</w:t>
                  </w:r>
                </w:p>
              </w:tc>
              <w:tc>
                <w:tcPr>
                  <w:tcW w:w="351" w:type="pct"/>
                  <w:tcBorders>
                    <w:tl2br w:val="nil"/>
                    <w:tr2bl w:val="nil"/>
                  </w:tcBorders>
                  <w:noWrap w:val="0"/>
                  <w:tcMar>
                    <w:left w:w="28" w:type="dxa"/>
                    <w:right w:w="28" w:type="dxa"/>
                  </w:tcMar>
                  <w:vAlign w:val="center"/>
                </w:tcPr>
                <w:p w14:paraId="5692CA3C">
                  <w:pPr>
                    <w:autoSpaceDE w:val="0"/>
                    <w:autoSpaceDN w:val="0"/>
                    <w:adjustRightInd w:val="0"/>
                    <w:snapToGrid w:val="0"/>
                    <w:jc w:val="center"/>
                    <w:rPr>
                      <w:rFonts w:hint="default" w:ascii="Times New Roman" w:hAnsi="Times New Roman" w:cs="Times New Roman"/>
                      <w:color w:val="auto"/>
                      <w:highlight w:val="none"/>
                    </w:rPr>
                  </w:pPr>
                  <w:bookmarkStart w:id="12" w:name="_Toc92970719"/>
                  <w:bookmarkStart w:id="13" w:name="_Toc92970811"/>
                  <w:r>
                    <w:rPr>
                      <w:rFonts w:hint="default" w:ascii="Times New Roman" w:hAnsi="Times New Roman" w:cs="Times New Roman"/>
                      <w:color w:val="auto"/>
                      <w:highlight w:val="none"/>
                    </w:rPr>
                    <w:t>符合</w:t>
                  </w:r>
                  <w:bookmarkEnd w:id="12"/>
                  <w:bookmarkEnd w:id="13"/>
                </w:p>
              </w:tc>
            </w:tr>
            <w:tr w14:paraId="5443F8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213" w:type="pct"/>
                  <w:vMerge w:val="continue"/>
                  <w:tcBorders>
                    <w:tl2br w:val="nil"/>
                    <w:tr2bl w:val="nil"/>
                  </w:tcBorders>
                  <w:noWrap w:val="0"/>
                  <w:tcMar>
                    <w:left w:w="28" w:type="dxa"/>
                    <w:right w:w="28" w:type="dxa"/>
                  </w:tcMar>
                  <w:vAlign w:val="center"/>
                </w:tcPr>
                <w:p w14:paraId="4087138C">
                  <w:pPr>
                    <w:autoSpaceDE w:val="0"/>
                    <w:autoSpaceDN w:val="0"/>
                    <w:adjustRightInd w:val="0"/>
                    <w:snapToGrid w:val="0"/>
                    <w:jc w:val="center"/>
                    <w:rPr>
                      <w:rFonts w:hint="default" w:ascii="Times New Roman" w:hAnsi="Times New Roman" w:cs="Times New Roman"/>
                      <w:color w:val="auto"/>
                      <w:highlight w:val="none"/>
                    </w:rPr>
                  </w:pPr>
                </w:p>
              </w:tc>
              <w:tc>
                <w:tcPr>
                  <w:tcW w:w="272" w:type="pct"/>
                  <w:tcBorders>
                    <w:tl2br w:val="nil"/>
                    <w:tr2bl w:val="nil"/>
                  </w:tcBorders>
                  <w:noWrap w:val="0"/>
                  <w:tcMar>
                    <w:left w:w="0" w:type="dxa"/>
                    <w:right w:w="0" w:type="dxa"/>
                  </w:tcMar>
                  <w:vAlign w:val="center"/>
                </w:tcPr>
                <w:p w14:paraId="792E76EE">
                  <w:pPr>
                    <w:autoSpaceDE w:val="0"/>
                    <w:autoSpaceDN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水资源利用上线</w:t>
                  </w:r>
                </w:p>
              </w:tc>
              <w:tc>
                <w:tcPr>
                  <w:tcW w:w="2808" w:type="pct"/>
                  <w:tcBorders>
                    <w:tl2br w:val="nil"/>
                    <w:tr2bl w:val="nil"/>
                  </w:tcBorders>
                  <w:noWrap w:val="0"/>
                  <w:tcMar>
                    <w:left w:w="28" w:type="dxa"/>
                    <w:right w:w="28" w:type="dxa"/>
                  </w:tcMar>
                  <w:vAlign w:val="center"/>
                </w:tcPr>
                <w:p w14:paraId="1796B3C1">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落实《国务院办公厅关于印发实行最严格水资源管理制度考核办法的通知》《“十三五”水资源消耗总量和强度双控行动方案》《安徽省“十三五”水资源消耗总量和强度双控工作方案》《淮南市“十三五”水资源消耗总量和强度双控工作实施方案》等要求。</w:t>
                  </w:r>
                </w:p>
              </w:tc>
              <w:tc>
                <w:tcPr>
                  <w:tcW w:w="1355" w:type="pct"/>
                  <w:tcBorders>
                    <w:tl2br w:val="nil"/>
                    <w:tr2bl w:val="nil"/>
                  </w:tcBorders>
                  <w:noWrap w:val="0"/>
                  <w:tcMar>
                    <w:left w:w="28" w:type="dxa"/>
                    <w:right w:w="28" w:type="dxa"/>
                  </w:tcMar>
                  <w:vAlign w:val="center"/>
                </w:tcPr>
                <w:p w14:paraId="4A4C7B51">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当地自来水能够满足项目新鲜水使用需求，新鲜水用量较少，不会突破水资源利用上线。</w:t>
                  </w:r>
                </w:p>
              </w:tc>
              <w:tc>
                <w:tcPr>
                  <w:tcW w:w="351" w:type="pct"/>
                  <w:tcBorders>
                    <w:tl2br w:val="nil"/>
                    <w:tr2bl w:val="nil"/>
                  </w:tcBorders>
                  <w:noWrap w:val="0"/>
                  <w:tcMar>
                    <w:left w:w="28" w:type="dxa"/>
                    <w:right w:w="28" w:type="dxa"/>
                  </w:tcMar>
                  <w:vAlign w:val="center"/>
                </w:tcPr>
                <w:p w14:paraId="4DE38E9D">
                  <w:pPr>
                    <w:autoSpaceDE w:val="0"/>
                    <w:autoSpaceDN w:val="0"/>
                    <w:adjustRightInd w:val="0"/>
                    <w:snapToGrid w:val="0"/>
                    <w:jc w:val="center"/>
                    <w:rPr>
                      <w:rFonts w:hint="default" w:ascii="Times New Roman" w:hAnsi="Times New Roman" w:cs="Times New Roman"/>
                      <w:color w:val="auto"/>
                      <w:highlight w:val="none"/>
                    </w:rPr>
                  </w:pPr>
                  <w:bookmarkStart w:id="14" w:name="_Toc92970720"/>
                  <w:bookmarkStart w:id="15" w:name="_Toc92970812"/>
                  <w:r>
                    <w:rPr>
                      <w:rFonts w:hint="default" w:ascii="Times New Roman" w:hAnsi="Times New Roman" w:cs="Times New Roman"/>
                      <w:color w:val="auto"/>
                      <w:highlight w:val="none"/>
                    </w:rPr>
                    <w:t>符合</w:t>
                  </w:r>
                  <w:bookmarkEnd w:id="14"/>
                  <w:bookmarkEnd w:id="15"/>
                </w:p>
              </w:tc>
            </w:tr>
            <w:tr w14:paraId="1868C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213" w:type="pct"/>
                  <w:vMerge w:val="continue"/>
                  <w:tcBorders>
                    <w:tl2br w:val="nil"/>
                    <w:tr2bl w:val="nil"/>
                  </w:tcBorders>
                  <w:noWrap w:val="0"/>
                  <w:tcMar>
                    <w:left w:w="28" w:type="dxa"/>
                    <w:right w:w="28" w:type="dxa"/>
                  </w:tcMar>
                  <w:vAlign w:val="center"/>
                </w:tcPr>
                <w:p w14:paraId="5E92E981">
                  <w:pPr>
                    <w:autoSpaceDE w:val="0"/>
                    <w:autoSpaceDN w:val="0"/>
                    <w:adjustRightInd w:val="0"/>
                    <w:snapToGrid w:val="0"/>
                    <w:jc w:val="center"/>
                    <w:rPr>
                      <w:rFonts w:hint="default" w:ascii="Times New Roman" w:hAnsi="Times New Roman" w:cs="Times New Roman"/>
                      <w:color w:val="auto"/>
                      <w:highlight w:val="none"/>
                    </w:rPr>
                  </w:pPr>
                </w:p>
              </w:tc>
              <w:tc>
                <w:tcPr>
                  <w:tcW w:w="272" w:type="pct"/>
                  <w:tcBorders>
                    <w:tl2br w:val="nil"/>
                    <w:tr2bl w:val="nil"/>
                  </w:tcBorders>
                  <w:noWrap w:val="0"/>
                  <w:tcMar>
                    <w:left w:w="0" w:type="dxa"/>
                    <w:right w:w="0" w:type="dxa"/>
                  </w:tcMar>
                  <w:vAlign w:val="center"/>
                </w:tcPr>
                <w:p w14:paraId="137FE51F">
                  <w:pPr>
                    <w:autoSpaceDE w:val="0"/>
                    <w:autoSpaceDN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土地资源利用上线</w:t>
                  </w:r>
                </w:p>
              </w:tc>
              <w:tc>
                <w:tcPr>
                  <w:tcW w:w="2808" w:type="pct"/>
                  <w:tcBorders>
                    <w:tl2br w:val="nil"/>
                    <w:tr2bl w:val="nil"/>
                  </w:tcBorders>
                  <w:noWrap w:val="0"/>
                  <w:tcMar>
                    <w:left w:w="28" w:type="dxa"/>
                    <w:right w:w="28" w:type="dxa"/>
                  </w:tcMar>
                  <w:vAlign w:val="center"/>
                </w:tcPr>
                <w:p w14:paraId="0D849B91">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重点管控区是指具有一定经济基础、资源环境承载力较强、发展潜力较大、集聚人口和经济的条件较好，应该重点进行大规模工业化城镇化开发的城市化地区，但可能带来生态安全的区域，该区域为《安徽省主体功能区规划》中的国家重点开发区域；除重点管控区以外的其他区域划为一般管控区。</w:t>
                  </w:r>
                </w:p>
              </w:tc>
              <w:tc>
                <w:tcPr>
                  <w:tcW w:w="1355" w:type="pct"/>
                  <w:tcBorders>
                    <w:tl2br w:val="nil"/>
                    <w:tr2bl w:val="nil"/>
                  </w:tcBorders>
                  <w:noWrap w:val="0"/>
                  <w:tcMar>
                    <w:left w:w="28" w:type="dxa"/>
                    <w:right w:w="28" w:type="dxa"/>
                  </w:tcMar>
                  <w:vAlign w:val="center"/>
                </w:tcPr>
                <w:p w14:paraId="386FCDB1">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项目位于《淮南市土地资源重点管控区图》中一般管控区，项目用地性质属于二类工业</w:t>
                  </w:r>
                  <w:r>
                    <w:rPr>
                      <w:rFonts w:hint="default" w:ascii="Times New Roman" w:hAnsi="Times New Roman" w:cs="Times New Roman"/>
                      <w:color w:val="auto"/>
                      <w:szCs w:val="18"/>
                      <w:highlight w:val="none"/>
                    </w:rPr>
                    <w:t>用地</w:t>
                  </w:r>
                  <w:r>
                    <w:rPr>
                      <w:rFonts w:hint="default" w:ascii="Times New Roman" w:hAnsi="Times New Roman" w:cs="Times New Roman"/>
                      <w:color w:val="auto"/>
                      <w:highlight w:val="none"/>
                    </w:rPr>
                    <w:t>，不会突破土地资源利用上线。</w:t>
                  </w:r>
                </w:p>
              </w:tc>
              <w:tc>
                <w:tcPr>
                  <w:tcW w:w="351" w:type="pct"/>
                  <w:tcBorders>
                    <w:tl2br w:val="nil"/>
                    <w:tr2bl w:val="nil"/>
                  </w:tcBorders>
                  <w:noWrap w:val="0"/>
                  <w:tcMar>
                    <w:left w:w="28" w:type="dxa"/>
                    <w:right w:w="28" w:type="dxa"/>
                  </w:tcMar>
                  <w:vAlign w:val="center"/>
                </w:tcPr>
                <w:p w14:paraId="57DF68CE">
                  <w:pPr>
                    <w:autoSpaceDE w:val="0"/>
                    <w:autoSpaceDN w:val="0"/>
                    <w:adjustRightInd w:val="0"/>
                    <w:snapToGrid w:val="0"/>
                    <w:jc w:val="center"/>
                    <w:rPr>
                      <w:rFonts w:hint="default" w:ascii="Times New Roman" w:hAnsi="Times New Roman" w:cs="Times New Roman"/>
                      <w:color w:val="auto"/>
                      <w:highlight w:val="none"/>
                    </w:rPr>
                  </w:pPr>
                  <w:bookmarkStart w:id="16" w:name="_Toc92970721"/>
                  <w:bookmarkStart w:id="17" w:name="_Toc92970813"/>
                  <w:r>
                    <w:rPr>
                      <w:rFonts w:hint="default" w:ascii="Times New Roman" w:hAnsi="Times New Roman" w:cs="Times New Roman"/>
                      <w:color w:val="auto"/>
                      <w:highlight w:val="none"/>
                    </w:rPr>
                    <w:t>符合</w:t>
                  </w:r>
                  <w:bookmarkEnd w:id="16"/>
                  <w:bookmarkEnd w:id="17"/>
                </w:p>
              </w:tc>
            </w:tr>
            <w:tr w14:paraId="7C6EF9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485" w:type="pct"/>
                  <w:gridSpan w:val="2"/>
                  <w:tcBorders>
                    <w:tl2br w:val="nil"/>
                    <w:tr2bl w:val="nil"/>
                  </w:tcBorders>
                  <w:noWrap w:val="0"/>
                  <w:tcMar>
                    <w:left w:w="28" w:type="dxa"/>
                    <w:right w:w="28" w:type="dxa"/>
                  </w:tcMar>
                  <w:vAlign w:val="center"/>
                </w:tcPr>
                <w:p w14:paraId="38A4C2CF">
                  <w:pPr>
                    <w:autoSpaceDE w:val="0"/>
                    <w:autoSpaceDN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生态环境准入清单</w:t>
                  </w:r>
                </w:p>
              </w:tc>
              <w:tc>
                <w:tcPr>
                  <w:tcW w:w="2808" w:type="pct"/>
                  <w:tcBorders>
                    <w:tl2br w:val="nil"/>
                    <w:tr2bl w:val="nil"/>
                  </w:tcBorders>
                  <w:noWrap w:val="0"/>
                  <w:tcMar>
                    <w:left w:w="28" w:type="dxa"/>
                    <w:right w:w="28" w:type="dxa"/>
                  </w:tcMar>
                  <w:vAlign w:val="center"/>
                </w:tcPr>
                <w:p w14:paraId="52575757">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准入清单以“三线”管控要求为基础，从要素和领域入手，按照空间布局约束、污染物排放管控、环境风险防控、资源开发效率四个方面，分别梳理国家和地方相关法律法规及各类规划、计划、政策文件以及战略/规划环评成果，衔接集成既有管理要求，针对性提出生态环境准入要求。</w:t>
                  </w:r>
                </w:p>
              </w:tc>
              <w:tc>
                <w:tcPr>
                  <w:tcW w:w="1355" w:type="pct"/>
                  <w:tcBorders>
                    <w:tl2br w:val="nil"/>
                    <w:tr2bl w:val="nil"/>
                  </w:tcBorders>
                  <w:noWrap w:val="0"/>
                  <w:tcMar>
                    <w:left w:w="28" w:type="dxa"/>
                    <w:right w:w="28" w:type="dxa"/>
                  </w:tcMar>
                  <w:vAlign w:val="center"/>
                </w:tcPr>
                <w:p w14:paraId="0458A918">
                  <w:pPr>
                    <w:autoSpaceDE w:val="0"/>
                    <w:autoSpaceDN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对照《市场准入负面清单（2022年版）》及环境影响区域评估报告等相关文件，项目不属于负面清单之列。</w:t>
                  </w:r>
                </w:p>
              </w:tc>
              <w:tc>
                <w:tcPr>
                  <w:tcW w:w="351" w:type="pct"/>
                  <w:tcBorders>
                    <w:tl2br w:val="nil"/>
                    <w:tr2bl w:val="nil"/>
                  </w:tcBorders>
                  <w:noWrap w:val="0"/>
                  <w:tcMar>
                    <w:left w:w="28" w:type="dxa"/>
                    <w:right w:w="28" w:type="dxa"/>
                  </w:tcMar>
                  <w:vAlign w:val="center"/>
                </w:tcPr>
                <w:p w14:paraId="03AB3841">
                  <w:pPr>
                    <w:autoSpaceDE w:val="0"/>
                    <w:autoSpaceDN w:val="0"/>
                    <w:adjustRightInd w:val="0"/>
                    <w:snapToGrid w:val="0"/>
                    <w:jc w:val="center"/>
                    <w:rPr>
                      <w:rFonts w:hint="default" w:ascii="Times New Roman" w:hAnsi="Times New Roman" w:cs="Times New Roman"/>
                      <w:color w:val="auto"/>
                      <w:highlight w:val="none"/>
                    </w:rPr>
                  </w:pPr>
                  <w:bookmarkStart w:id="18" w:name="_Toc92970814"/>
                  <w:bookmarkStart w:id="19" w:name="_Toc92970722"/>
                  <w:r>
                    <w:rPr>
                      <w:rFonts w:hint="default" w:ascii="Times New Roman" w:hAnsi="Times New Roman" w:cs="Times New Roman"/>
                      <w:color w:val="auto"/>
                      <w:highlight w:val="none"/>
                    </w:rPr>
                    <w:t>符合</w:t>
                  </w:r>
                  <w:bookmarkEnd w:id="18"/>
                  <w:bookmarkEnd w:id="19"/>
                </w:p>
              </w:tc>
            </w:tr>
          </w:tbl>
          <w:p w14:paraId="49897642">
            <w:pPr>
              <w:spacing w:line="360" w:lineRule="auto"/>
              <w:ind w:firstLine="420" w:firstLineChars="20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drawing>
                <wp:anchor distT="0" distB="0" distL="114300" distR="114300" simplePos="0" relativeHeight="251662336" behindDoc="0" locked="0" layoutInCell="1" allowOverlap="1">
                  <wp:simplePos x="0" y="0"/>
                  <wp:positionH relativeFrom="column">
                    <wp:posOffset>165100</wp:posOffset>
                  </wp:positionH>
                  <wp:positionV relativeFrom="paragraph">
                    <wp:posOffset>564515</wp:posOffset>
                  </wp:positionV>
                  <wp:extent cx="4693920" cy="2622550"/>
                  <wp:effectExtent l="0" t="0" r="11430" b="6350"/>
                  <wp:wrapNone/>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0"/>
                          <a:stretch>
                            <a:fillRect/>
                          </a:stretch>
                        </pic:blipFill>
                        <pic:spPr>
                          <a:xfrm>
                            <a:off x="0" y="0"/>
                            <a:ext cx="4693920" cy="2622550"/>
                          </a:xfrm>
                          <a:prstGeom prst="rect">
                            <a:avLst/>
                          </a:prstGeom>
                          <a:noFill/>
                          <a:ln>
                            <a:noFill/>
                          </a:ln>
                        </pic:spPr>
                      </pic:pic>
                    </a:graphicData>
                  </a:graphic>
                </wp:anchor>
              </w:drawing>
            </w:r>
            <w:r>
              <w:rPr>
                <w:rFonts w:hint="default" w:ascii="Times New Roman" w:hAnsi="Times New Roman" w:cs="Times New Roman"/>
                <w:color w:val="auto"/>
                <w:sz w:val="24"/>
                <w:highlight w:val="none"/>
              </w:rPr>
              <w:t>对照安徽省“三线一单”生态环境分区管控公众服务平台中，项目所处位置如下图所示，项目与管控要求相符性分析详见下表。</w:t>
            </w:r>
          </w:p>
          <w:p w14:paraId="140BFBFA">
            <w:pPr>
              <w:pStyle w:val="15"/>
              <w:rPr>
                <w:rFonts w:hint="default" w:ascii="Times New Roman" w:hAnsi="Times New Roman" w:cs="Times New Roman"/>
                <w:color w:val="auto"/>
                <w:sz w:val="24"/>
                <w:highlight w:val="none"/>
              </w:rPr>
            </w:pPr>
          </w:p>
          <w:p w14:paraId="1785F5F8">
            <w:pPr>
              <w:pStyle w:val="2"/>
              <w:rPr>
                <w:rFonts w:hint="default" w:ascii="Times New Roman" w:hAnsi="Times New Roman" w:cs="Times New Roman"/>
                <w:color w:val="auto"/>
                <w:sz w:val="24"/>
                <w:highlight w:val="none"/>
              </w:rPr>
            </w:pPr>
            <w:r>
              <w:rPr>
                <w:rFonts w:hint="default" w:ascii="Times New Roman" w:hAnsi="Times New Roman"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2160270</wp:posOffset>
                      </wp:positionH>
                      <wp:positionV relativeFrom="paragraph">
                        <wp:posOffset>203835</wp:posOffset>
                      </wp:positionV>
                      <wp:extent cx="989965" cy="333375"/>
                      <wp:effectExtent l="0" t="0" r="0" b="0"/>
                      <wp:wrapNone/>
                      <wp:docPr id="7" name="文本框 7"/>
                      <wp:cNvGraphicFramePr/>
                      <a:graphic xmlns:a="http://schemas.openxmlformats.org/drawingml/2006/main">
                        <a:graphicData uri="http://schemas.microsoft.com/office/word/2010/wordprocessingShape">
                          <wps:wsp>
                            <wps:cNvSpPr txBox="1"/>
                            <wps:spPr>
                              <a:xfrm>
                                <a:off x="3185160" y="2381250"/>
                                <a:ext cx="98996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EACC5">
                                  <w:pPr>
                                    <w:jc w:val="center"/>
                                    <w:rPr>
                                      <w:rFonts w:hint="eastAsia" w:ascii="微软雅黑" w:hAnsi="微软雅黑" w:eastAsia="微软雅黑" w:cs="微软雅黑"/>
                                      <w:sz w:val="24"/>
                                      <w:szCs w:val="32"/>
                                      <w:lang w:val="en-US" w:eastAsia="zh-CN"/>
                                    </w:rPr>
                                  </w:pPr>
                                  <w:r>
                                    <w:rPr>
                                      <w:rFonts w:hint="eastAsia" w:ascii="微软雅黑" w:hAnsi="微软雅黑" w:eastAsia="微软雅黑" w:cs="微软雅黑"/>
                                      <w:sz w:val="24"/>
                                      <w:szCs w:val="32"/>
                                      <w:lang w:val="en-US"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1pt;margin-top:16.05pt;height:26.25pt;width:77.95pt;z-index:251663360;mso-width-relative:page;mso-height-relative:page;" filled="f" stroked="f" coordsize="21600,21600" o:gfxdata="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NdAkNoAAAAJAQAADwAAAAAAAAABACAA&#10;AAAiAAAAZHJzL2Rvd25yZXYueG1sUEsBAhQAFAAAAAgAh07iQN6wdM9EAgAAcQQAAA4AAAAAAAAA&#10;AQAgAAAAKQEAAGRycy9lMm9Eb2MueG1sUEsFBgAAAAAGAAYAWQEAAN8FAAAAAA==&#10;">
                      <v:fill on="f" focussize="0,0"/>
                      <v:stroke on="f" weight="0.5pt"/>
                      <v:imagedata o:title=""/>
                      <o:lock v:ext="edit" aspectratio="f"/>
                      <v:textbox>
                        <w:txbxContent>
                          <w:p w14:paraId="0F9EACC5">
                            <w:pPr>
                              <w:jc w:val="center"/>
                              <w:rPr>
                                <w:rFonts w:hint="eastAsia" w:ascii="微软雅黑" w:hAnsi="微软雅黑" w:eastAsia="微软雅黑" w:cs="微软雅黑"/>
                                <w:sz w:val="24"/>
                                <w:szCs w:val="32"/>
                                <w:lang w:val="en-US" w:eastAsia="zh-CN"/>
                              </w:rPr>
                            </w:pPr>
                            <w:r>
                              <w:rPr>
                                <w:rFonts w:hint="eastAsia" w:ascii="微软雅黑" w:hAnsi="微软雅黑" w:eastAsia="微软雅黑" w:cs="微软雅黑"/>
                                <w:sz w:val="24"/>
                                <w:szCs w:val="32"/>
                                <w:lang w:val="en-US" w:eastAsia="zh-CN"/>
                              </w:rPr>
                              <w:t>项目所在地</w:t>
                            </w:r>
                          </w:p>
                        </w:txbxContent>
                      </v:textbox>
                    </v:shape>
                  </w:pict>
                </mc:Fallback>
              </mc:AlternateContent>
            </w:r>
          </w:p>
          <w:p w14:paraId="21CA7CD5">
            <w:pPr>
              <w:rPr>
                <w:rFonts w:hint="default" w:ascii="Times New Roman" w:hAnsi="Times New Roman" w:cs="Times New Roman"/>
                <w:color w:val="auto"/>
                <w:sz w:val="24"/>
                <w:highlight w:val="none"/>
              </w:rPr>
            </w:pPr>
          </w:p>
          <w:p w14:paraId="2335D1A1">
            <w:pPr>
              <w:pStyle w:val="15"/>
              <w:rPr>
                <w:rFonts w:hint="default" w:ascii="Times New Roman" w:hAnsi="Times New Roman" w:cs="Times New Roman"/>
                <w:color w:val="auto"/>
                <w:sz w:val="24"/>
                <w:highlight w:val="none"/>
              </w:rPr>
            </w:pPr>
            <w:r>
              <w:rPr>
                <w:rFonts w:hint="default" w:ascii="Times New Roman" w:hAnsi="Times New Roman"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1693545</wp:posOffset>
                      </wp:positionH>
                      <wp:positionV relativeFrom="paragraph">
                        <wp:posOffset>120015</wp:posOffset>
                      </wp:positionV>
                      <wp:extent cx="885825" cy="304800"/>
                      <wp:effectExtent l="0" t="5715" r="9525" b="32385"/>
                      <wp:wrapNone/>
                      <wp:docPr id="6" name="直接箭头连接符 6"/>
                      <wp:cNvGraphicFramePr/>
                      <a:graphic xmlns:a="http://schemas.openxmlformats.org/drawingml/2006/main">
                        <a:graphicData uri="http://schemas.microsoft.com/office/word/2010/wordprocessingShape">
                          <wps:wsp>
                            <wps:cNvCnPr/>
                            <wps:spPr>
                              <a:xfrm rot="10800000" flipV="1">
                                <a:off x="3318510" y="2571750"/>
                                <a:ext cx="885825" cy="3048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3.35pt;margin-top:9.45pt;height:24pt;width:69.75pt;rotation:11796480f;z-index:251664384;mso-width-relative:page;mso-height-relative:page;" filled="f" stroked="t" coordsize="21600,21600" o:gfxdata="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rt&#10;CVPYAAAACQEAAA8AAAAAAAAAAQAgAAAAIgAAAGRycy9kb3ducmV2LnhtbFBLAQIUABQAAAAIAIdO&#10;4kDRRltKIwIAAAgEAAAOAAAAAAAAAAEAIAAAACcBAABkcnMvZTJvRG9jLnhtbFBLBQYAAAAABgAG&#10;AFkBAAC8BQAAAAA=&#10;">
                      <v:fill on="f" focussize="0,0"/>
                      <v:stroke weight="1pt" color="#000000 [3213]" miterlimit="8" joinstyle="miter" endarrow="open"/>
                      <v:imagedata o:title=""/>
                      <o:lock v:ext="edit" aspectratio="f"/>
                    </v:shape>
                  </w:pict>
                </mc:Fallback>
              </mc:AlternateContent>
            </w:r>
          </w:p>
          <w:p w14:paraId="71FEE6D3">
            <w:pPr>
              <w:pStyle w:val="2"/>
              <w:rPr>
                <w:rFonts w:hint="default" w:ascii="Times New Roman" w:hAnsi="Times New Roman" w:cs="Times New Roman"/>
                <w:color w:val="auto"/>
                <w:sz w:val="24"/>
                <w:highlight w:val="none"/>
              </w:rPr>
            </w:pPr>
          </w:p>
          <w:p w14:paraId="0D731D2A">
            <w:pPr>
              <w:rPr>
                <w:rFonts w:hint="default" w:ascii="Times New Roman" w:hAnsi="Times New Roman" w:cs="Times New Roman"/>
                <w:color w:val="auto"/>
                <w:sz w:val="24"/>
                <w:highlight w:val="none"/>
              </w:rPr>
            </w:pPr>
          </w:p>
          <w:p w14:paraId="2EF976BF">
            <w:pPr>
              <w:pStyle w:val="15"/>
              <w:rPr>
                <w:ins w:id="3" w:author="やໍ柒七" w:date="2025-07-14T08:42:21Z"/>
                <w:rFonts w:hint="default" w:ascii="Times New Roman" w:hAnsi="Times New Roman" w:cs="Times New Roman"/>
                <w:color w:val="auto"/>
                <w:sz w:val="24"/>
                <w:highlight w:val="none"/>
              </w:rPr>
            </w:pPr>
          </w:p>
          <w:p w14:paraId="46BB154A">
            <w:pPr>
              <w:pStyle w:val="2"/>
              <w:rPr>
                <w:rFonts w:hint="default"/>
              </w:rPr>
            </w:pPr>
          </w:p>
          <w:p w14:paraId="3C193F28">
            <w:pPr>
              <w:spacing w:line="360" w:lineRule="auto"/>
              <w:ind w:firstLine="482" w:firstLineChars="200"/>
              <w:rPr>
                <w:rFonts w:hint="default" w:ascii="Times New Roman" w:hAnsi="Times New Roman" w:cs="Times New Roman"/>
                <w:b/>
                <w:bCs/>
                <w:color w:val="auto"/>
                <w:kern w:val="0"/>
                <w:sz w:val="24"/>
                <w:szCs w:val="22"/>
                <w:highlight w:val="none"/>
              </w:rPr>
            </w:pPr>
          </w:p>
          <w:p w14:paraId="7FE5275B">
            <w:pPr>
              <w:spacing w:line="360" w:lineRule="auto"/>
              <w:ind w:firstLine="482" w:firstLineChars="200"/>
              <w:rPr>
                <w:rFonts w:hint="default" w:ascii="Times New Roman" w:hAnsi="Times New Roman" w:cs="Times New Roman"/>
                <w:b/>
                <w:bCs/>
                <w:color w:val="auto"/>
                <w:kern w:val="0"/>
                <w:sz w:val="24"/>
                <w:szCs w:val="22"/>
                <w:highlight w:val="none"/>
              </w:rPr>
            </w:pPr>
          </w:p>
          <w:p w14:paraId="54943F19">
            <w:pPr>
              <w:spacing w:line="360" w:lineRule="auto"/>
              <w:ind w:firstLine="482" w:firstLineChars="200"/>
              <w:rPr>
                <w:rFonts w:hint="default" w:ascii="Times New Roman" w:hAnsi="Times New Roman" w:cs="Times New Roman"/>
                <w:b/>
                <w:bCs/>
                <w:color w:val="auto"/>
                <w:kern w:val="0"/>
                <w:sz w:val="24"/>
                <w:szCs w:val="22"/>
                <w:highlight w:val="none"/>
              </w:rPr>
            </w:pPr>
            <w:r>
              <w:rPr>
                <w:rFonts w:hint="default" w:ascii="Times New Roman" w:hAnsi="Times New Roman" w:cs="Times New Roman"/>
                <w:b/>
                <w:bCs/>
                <w:color w:val="auto"/>
                <w:kern w:val="0"/>
                <w:sz w:val="24"/>
                <w:szCs w:val="22"/>
                <w:highlight w:val="none"/>
              </w:rPr>
              <w:t>图1-</w:t>
            </w:r>
            <w:r>
              <w:rPr>
                <w:rFonts w:hint="default" w:ascii="Times New Roman" w:hAnsi="Times New Roman" w:cs="Times New Roman"/>
                <w:b/>
                <w:bCs/>
                <w:color w:val="auto"/>
                <w:kern w:val="0"/>
                <w:sz w:val="24"/>
                <w:szCs w:val="22"/>
                <w:highlight w:val="none"/>
                <w:lang w:val="en-US" w:eastAsia="zh-CN"/>
              </w:rPr>
              <w:t>1</w:t>
            </w:r>
            <w:r>
              <w:rPr>
                <w:rFonts w:hint="default" w:ascii="Times New Roman" w:hAnsi="Times New Roman" w:cs="Times New Roman"/>
                <w:b/>
                <w:bCs/>
                <w:color w:val="auto"/>
                <w:kern w:val="0"/>
                <w:sz w:val="24"/>
                <w:szCs w:val="22"/>
                <w:highlight w:val="none"/>
              </w:rPr>
              <w:t>安徽省“三线一单”生态环境分区管控公众服务平台对照图</w:t>
            </w:r>
          </w:p>
          <w:p w14:paraId="09121379">
            <w:pPr>
              <w:widowControl/>
              <w:spacing w:line="240" w:lineRule="auto"/>
              <w:jc w:val="center"/>
              <w:rPr>
                <w:rFonts w:hint="default" w:ascii="Times New Roman" w:hAnsi="Times New Roman" w:cs="Times New Roman"/>
                <w:b/>
                <w:bCs/>
                <w:color w:val="auto"/>
                <w:kern w:val="0"/>
                <w:sz w:val="24"/>
                <w:szCs w:val="22"/>
                <w:highlight w:val="none"/>
              </w:rPr>
            </w:pPr>
            <w:r>
              <w:rPr>
                <w:rFonts w:hint="default" w:ascii="Times New Roman" w:hAnsi="Times New Roman" w:cs="Times New Roman"/>
                <w:b/>
                <w:bCs/>
                <w:color w:val="auto"/>
                <w:kern w:val="0"/>
                <w:sz w:val="24"/>
                <w:szCs w:val="22"/>
                <w:highlight w:val="none"/>
              </w:rPr>
              <w:t>表1-</w:t>
            </w:r>
            <w:r>
              <w:rPr>
                <w:rFonts w:hint="default" w:ascii="Times New Roman" w:hAnsi="Times New Roman" w:cs="Times New Roman"/>
                <w:b/>
                <w:bCs/>
                <w:color w:val="auto"/>
                <w:kern w:val="0"/>
                <w:sz w:val="24"/>
                <w:szCs w:val="22"/>
                <w:highlight w:val="none"/>
                <w:lang w:val="en-US" w:eastAsia="zh-CN"/>
              </w:rPr>
              <w:t>4</w:t>
            </w:r>
            <w:r>
              <w:rPr>
                <w:rFonts w:hint="default" w:ascii="Times New Roman" w:hAnsi="Times New Roman" w:cs="Times New Roman"/>
                <w:b/>
                <w:bCs/>
                <w:color w:val="auto"/>
                <w:kern w:val="0"/>
                <w:sz w:val="24"/>
                <w:szCs w:val="22"/>
                <w:highlight w:val="none"/>
              </w:rPr>
              <w:t xml:space="preserve"> 项目与安徽省“三线一单”生态环境分区管控相符性分析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63"/>
              <w:gridCol w:w="4566"/>
              <w:gridCol w:w="2120"/>
              <w:gridCol w:w="662"/>
            </w:tblGrid>
            <w:tr w14:paraId="75847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471" w:type="dxa"/>
                  <w:tcBorders>
                    <w:tl2br w:val="nil"/>
                    <w:tr2bl w:val="nil"/>
                  </w:tcBorders>
                  <w:noWrap w:val="0"/>
                  <w:vAlign w:val="center"/>
                </w:tcPr>
                <w:p w14:paraId="46269AC6">
                  <w:pPr>
                    <w:wordWrap w:val="0"/>
                    <w:snapToGrid w:val="0"/>
                    <w:jc w:val="center"/>
                    <w:rPr>
                      <w:rFonts w:hint="default" w:ascii="Times New Roman" w:hAnsi="Times New Roman" w:cs="Times New Roman"/>
                      <w:b/>
                      <w:bCs/>
                      <w:color w:val="auto"/>
                      <w:kern w:val="0"/>
                      <w:szCs w:val="20"/>
                      <w:highlight w:val="none"/>
                    </w:rPr>
                  </w:pPr>
                  <w:r>
                    <w:rPr>
                      <w:rFonts w:hint="default" w:ascii="Times New Roman" w:hAnsi="Times New Roman" w:cs="Times New Roman"/>
                      <w:b/>
                      <w:bCs/>
                      <w:color w:val="auto"/>
                      <w:kern w:val="0"/>
                      <w:szCs w:val="20"/>
                      <w:highlight w:val="none"/>
                    </w:rPr>
                    <w:t>内容</w:t>
                  </w:r>
                </w:p>
              </w:tc>
              <w:tc>
                <w:tcPr>
                  <w:tcW w:w="4663" w:type="dxa"/>
                  <w:tcBorders>
                    <w:tl2br w:val="nil"/>
                    <w:tr2bl w:val="nil"/>
                  </w:tcBorders>
                  <w:noWrap w:val="0"/>
                  <w:vAlign w:val="center"/>
                </w:tcPr>
                <w:p w14:paraId="25A98B03">
                  <w:pPr>
                    <w:wordWrap w:val="0"/>
                    <w:snapToGrid w:val="0"/>
                    <w:jc w:val="center"/>
                    <w:rPr>
                      <w:rFonts w:hint="default" w:ascii="Times New Roman" w:hAnsi="Times New Roman" w:cs="Times New Roman"/>
                      <w:b/>
                      <w:bCs/>
                      <w:color w:val="auto"/>
                      <w:kern w:val="0"/>
                      <w:szCs w:val="20"/>
                      <w:highlight w:val="none"/>
                    </w:rPr>
                  </w:pPr>
                  <w:r>
                    <w:rPr>
                      <w:rFonts w:hint="default" w:ascii="Times New Roman" w:hAnsi="Times New Roman" w:cs="Times New Roman"/>
                      <w:b/>
                      <w:bCs/>
                      <w:color w:val="auto"/>
                      <w:kern w:val="0"/>
                      <w:szCs w:val="20"/>
                      <w:highlight w:val="none"/>
                    </w:rPr>
                    <w:t>要求</w:t>
                  </w:r>
                </w:p>
              </w:tc>
              <w:tc>
                <w:tcPr>
                  <w:tcW w:w="2164" w:type="dxa"/>
                  <w:tcBorders>
                    <w:tl2br w:val="nil"/>
                    <w:tr2bl w:val="nil"/>
                  </w:tcBorders>
                  <w:noWrap w:val="0"/>
                  <w:vAlign w:val="center"/>
                </w:tcPr>
                <w:p w14:paraId="26846308">
                  <w:pPr>
                    <w:wordWrap w:val="0"/>
                    <w:snapToGrid w:val="0"/>
                    <w:jc w:val="center"/>
                    <w:rPr>
                      <w:rFonts w:hint="default" w:ascii="Times New Roman" w:hAnsi="Times New Roman" w:cs="Times New Roman"/>
                      <w:b/>
                      <w:bCs/>
                      <w:color w:val="auto"/>
                      <w:kern w:val="0"/>
                      <w:szCs w:val="20"/>
                      <w:highlight w:val="none"/>
                    </w:rPr>
                  </w:pPr>
                  <w:r>
                    <w:rPr>
                      <w:rFonts w:hint="default" w:ascii="Times New Roman" w:hAnsi="Times New Roman" w:cs="Times New Roman"/>
                      <w:b/>
                      <w:bCs/>
                      <w:color w:val="auto"/>
                      <w:kern w:val="0"/>
                      <w:szCs w:val="20"/>
                      <w:highlight w:val="none"/>
                    </w:rPr>
                    <w:t>项目情况</w:t>
                  </w:r>
                </w:p>
              </w:tc>
              <w:tc>
                <w:tcPr>
                  <w:tcW w:w="675" w:type="dxa"/>
                  <w:tcBorders>
                    <w:tl2br w:val="nil"/>
                    <w:tr2bl w:val="nil"/>
                  </w:tcBorders>
                  <w:noWrap w:val="0"/>
                  <w:vAlign w:val="center"/>
                </w:tcPr>
                <w:p w14:paraId="40FD01E9">
                  <w:pPr>
                    <w:wordWrap w:val="0"/>
                    <w:snapToGrid w:val="0"/>
                    <w:jc w:val="center"/>
                    <w:rPr>
                      <w:rFonts w:hint="default" w:ascii="Times New Roman" w:hAnsi="Times New Roman" w:cs="Times New Roman"/>
                      <w:b/>
                      <w:bCs/>
                      <w:color w:val="auto"/>
                      <w:kern w:val="0"/>
                      <w:szCs w:val="20"/>
                      <w:highlight w:val="none"/>
                    </w:rPr>
                  </w:pPr>
                  <w:r>
                    <w:rPr>
                      <w:rFonts w:hint="default" w:ascii="Times New Roman" w:hAnsi="Times New Roman" w:cs="Times New Roman"/>
                      <w:b/>
                      <w:bCs/>
                      <w:color w:val="auto"/>
                      <w:kern w:val="0"/>
                      <w:szCs w:val="20"/>
                      <w:highlight w:val="none"/>
                    </w:rPr>
                    <w:t>相符性</w:t>
                  </w:r>
                </w:p>
              </w:tc>
            </w:tr>
            <w:tr w14:paraId="694F3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471" w:type="dxa"/>
                  <w:tcBorders>
                    <w:tl2br w:val="nil"/>
                    <w:tr2bl w:val="nil"/>
                  </w:tcBorders>
                  <w:noWrap w:val="0"/>
                  <w:vAlign w:val="center"/>
                </w:tcPr>
                <w:p w14:paraId="6B021F54">
                  <w:pPr>
                    <w:snapToGrid w:val="0"/>
                    <w:jc w:val="center"/>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空间布局约束</w:t>
                  </w:r>
                </w:p>
              </w:tc>
              <w:tc>
                <w:tcPr>
                  <w:tcW w:w="4663" w:type="dxa"/>
                  <w:tcBorders>
                    <w:tl2br w:val="nil"/>
                    <w:tr2bl w:val="nil"/>
                  </w:tcBorders>
                  <w:noWrap w:val="0"/>
                  <w:vAlign w:val="center"/>
                </w:tcPr>
                <w:p w14:paraId="72AB4E56">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1在城市城区及其近郊禁止新建、扩建钢铁、有色、石化、水泥、化工等重污染企业。</w:t>
                  </w:r>
                </w:p>
                <w:p w14:paraId="49D22DEA">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2禁止新建燃料类煤气发生炉（园区现有企业统一建设的清洁煤制气中心除外）。</w:t>
                  </w:r>
                </w:p>
                <w:p w14:paraId="34C3668A">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3严禁新增钢铁、焦化、电解铝、铸造、水泥和平板玻璃等产能；严格执行钢铁、水泥、平板玻璃等行业产能置换实施办法。</w:t>
                  </w:r>
                </w:p>
                <w:p w14:paraId="676DC87A">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4严格执行国家关于“两高”产业准入目录和产能总量控制政策措施。严禁新增钢铁、焦化、电解铝、铸造、水泥和平板玻璃等产能；新、改、扩建涉及大宗物料运输的建设项目，原则上不得采用公路运输。</w:t>
                  </w:r>
                </w:p>
                <w:p w14:paraId="15F647A5">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7非电行业新建项目，禁止配套建设自备纯凝、抽凝燃煤电站。</w:t>
                  </w:r>
                </w:p>
                <w:p w14:paraId="351C6880">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8在城市建成区及居民区、医院、学校等环境敏感区域，严禁现场露天灰土拌合。</w:t>
                  </w:r>
                </w:p>
                <w:p w14:paraId="72E3190A">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9严格控制新增“两高”项目审批，认真分析评估拟建项</w:t>
                  </w:r>
                  <w:r>
                    <w:rPr>
                      <w:rFonts w:hint="default" w:ascii="Times New Roman" w:hAnsi="Times New Roman" w:cs="Times New Roman"/>
                      <w:color w:val="auto"/>
                      <w:kern w:val="0"/>
                      <w:szCs w:val="21"/>
                      <w:highlight w:val="none"/>
                      <w:lang w:val="en-US" w:eastAsia="zh-CN"/>
                    </w:rPr>
                    <w:t>目</w:t>
                  </w:r>
                  <w:r>
                    <w:rPr>
                      <w:rFonts w:hint="default" w:ascii="Times New Roman" w:hAnsi="Times New Roman" w:cs="Times New Roman"/>
                      <w:color w:val="auto"/>
                      <w:kern w:val="0"/>
                      <w:szCs w:val="21"/>
                      <w:highlight w:val="none"/>
                    </w:rPr>
                    <w:t>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w:t>
                  </w:r>
                </w:p>
                <w:p w14:paraId="044E2DDD">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10禁止建设生产和使用高挥发性有机物含量涂料、油墨、胶粘剂、清洗剂等项目。</w:t>
                  </w:r>
                </w:p>
                <w:p w14:paraId="22F0CF08">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11禁止新建不符合国家规定的燃煤发电机组、燃油发电机组和燃煤热电机组。</w:t>
                  </w:r>
                </w:p>
                <w:p w14:paraId="394DA550">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12禁止新建、扩建分散燃煤供热锅炉。</w:t>
                  </w:r>
                </w:p>
                <w:p w14:paraId="765FB895">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13在城市规划区内禁止新建、扩建大气污染严重的建设项目。</w:t>
                  </w:r>
                </w:p>
                <w:p w14:paraId="105EC04F">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14禁止高灰分、高硫分煤炭进入市场。新建煤矿应当同步建设煤炭洗选设施，已建成的煤矿所采煤炭属于高灰分、高硫分的，应当在国家和省规定的期限内建成配套的煤炭洗选设施，使煤炭中的灰分、硫分达到规定的标准。</w:t>
                  </w:r>
                </w:p>
                <w:p w14:paraId="3F030885">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15禁止在人口集中地区、机场周围、交通干线附近以及当地人民政府划定的区域露天焚烧秸秆、落叶、垃圾等产生烟尘污染的物质。</w:t>
                  </w:r>
                </w:p>
                <w:p w14:paraId="30ECAAB0">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16在燃气管网和集中供热管网覆盖的区域，不得新建、扩建、改建燃烧煤炭、重油、渣油的供热设施；原有分散的中小型燃煤供热锅炉应当限期拆除。</w:t>
                  </w:r>
                </w:p>
                <w:p w14:paraId="750FD8C7">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17禁止在居民住宅楼、未配套设立专用烟道的商住综合楼、商住综合楼内与居住层相邻的商业楼层内新建、改建、扩建产生油烟、异味、废气的饮食服务项目。</w:t>
                  </w:r>
                </w:p>
                <w:p w14:paraId="0D83BE83">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18任何单位和个人不得在政府划定的禁止露天烧烤区域内露天烧烤食品或者为露天烧烤食品提供场地。</w:t>
                  </w:r>
                </w:p>
                <w:p w14:paraId="04B21F26">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19在机关、学校、医院、居民住宅区等人口集中地区和其他依法需要特殊保护的区域内，禁止从事下列生产活动：</w:t>
                  </w:r>
                </w:p>
                <w:p w14:paraId="4824874F">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橡胶制品生产、经营性喷漆、制骨胶、制骨粉、屠宰、畜禽养殖、生物发酵等产生恶臭、有毒有害气体的生产经营活动；（2）露天焚烧油毡、沥青、橡胶、塑料、皮革、垃圾或者其他可能产生恶臭、有毒有害气体的活动。</w:t>
                  </w:r>
                </w:p>
                <w:p w14:paraId="1D5AF706">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20严禁钢铁、水泥、电解铝、平板玻璃等行业新增产能，对确有必要新建的必须实施等量或减量置换。</w:t>
                  </w:r>
                </w:p>
                <w:p w14:paraId="179F0DC0">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21禁止淘汰落后类的产业进入开发区。</w:t>
                  </w:r>
                </w:p>
                <w:p w14:paraId="7469618B">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22从事餐饮服务业的经营活动</w:t>
                  </w:r>
                </w:p>
              </w:tc>
              <w:tc>
                <w:tcPr>
                  <w:tcW w:w="2164" w:type="dxa"/>
                  <w:tcBorders>
                    <w:tl2br w:val="nil"/>
                    <w:tr2bl w:val="nil"/>
                  </w:tcBorders>
                  <w:noWrap w:val="0"/>
                  <w:vAlign w:val="center"/>
                </w:tcPr>
                <w:p w14:paraId="6EDFF11D">
                  <w:pPr>
                    <w:wordWrap w:val="0"/>
                    <w:snapToGrid w:val="0"/>
                    <w:rPr>
                      <w:rFonts w:hint="default" w:ascii="Times New Roman" w:hAnsi="Times New Roman" w:cs="Times New Roman"/>
                      <w:color w:val="auto"/>
                      <w:kern w:val="0"/>
                      <w:szCs w:val="20"/>
                      <w:highlight w:val="none"/>
                    </w:rPr>
                  </w:pPr>
                  <w:r>
                    <w:rPr>
                      <w:rFonts w:hint="default" w:ascii="Times New Roman" w:hAnsi="Times New Roman" w:cs="Times New Roman"/>
                      <w:color w:val="auto"/>
                      <w:szCs w:val="21"/>
                      <w:highlight w:val="none"/>
                    </w:rPr>
                    <w:t>本项目为</w:t>
                  </w:r>
                  <w:r>
                    <w:rPr>
                      <w:rFonts w:hint="default" w:ascii="Times New Roman" w:hAnsi="Times New Roman" w:cs="Times New Roman"/>
                      <w:color w:val="auto"/>
                      <w:szCs w:val="21"/>
                      <w:highlight w:val="none"/>
                      <w:lang w:val="en-US" w:eastAsia="zh-CN"/>
                    </w:rPr>
                    <w:t>特种玻璃制造</w:t>
                  </w:r>
                  <w:r>
                    <w:rPr>
                      <w:rFonts w:hint="default" w:ascii="Times New Roman" w:hAnsi="Times New Roman" w:cs="Times New Roman"/>
                      <w:color w:val="auto"/>
                      <w:szCs w:val="21"/>
                      <w:highlight w:val="none"/>
                    </w:rPr>
                    <w:t>，不属于高耗能、高污染项目</w:t>
                  </w:r>
                  <w:r>
                    <w:rPr>
                      <w:rFonts w:hint="default" w:ascii="Times New Roman" w:hAnsi="Times New Roman" w:cs="Times New Roman"/>
                      <w:color w:val="auto"/>
                      <w:kern w:val="0"/>
                      <w:szCs w:val="20"/>
                      <w:highlight w:val="none"/>
                    </w:rPr>
                    <w:t>。</w:t>
                  </w:r>
                </w:p>
                <w:p w14:paraId="6790E428">
                  <w:pPr>
                    <w:wordWrap w:val="0"/>
                    <w:snapToGrid w:val="0"/>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项目距离淮河15.83公里，且不属于化学制浆造纸企业和印染、制革、化工、电镀、酿造等污染严重企业。</w:t>
                  </w:r>
                </w:p>
              </w:tc>
              <w:tc>
                <w:tcPr>
                  <w:tcW w:w="675" w:type="dxa"/>
                  <w:tcBorders>
                    <w:tl2br w:val="nil"/>
                    <w:tr2bl w:val="nil"/>
                  </w:tcBorders>
                  <w:noWrap w:val="0"/>
                  <w:vAlign w:val="center"/>
                </w:tcPr>
                <w:p w14:paraId="169BE221">
                  <w:pPr>
                    <w:wordWrap w:val="0"/>
                    <w:snapToGrid w:val="0"/>
                    <w:jc w:val="center"/>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符合</w:t>
                  </w:r>
                </w:p>
              </w:tc>
            </w:tr>
            <w:tr w14:paraId="26391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471" w:type="dxa"/>
                  <w:tcBorders>
                    <w:tl2br w:val="nil"/>
                    <w:tr2bl w:val="nil"/>
                  </w:tcBorders>
                  <w:noWrap w:val="0"/>
                  <w:vAlign w:val="center"/>
                </w:tcPr>
                <w:p w14:paraId="32CED104">
                  <w:pPr>
                    <w:wordWrap w:val="0"/>
                    <w:snapToGrid w:val="0"/>
                    <w:jc w:val="center"/>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污染物排放管控</w:t>
                  </w:r>
                </w:p>
              </w:tc>
              <w:tc>
                <w:tcPr>
                  <w:tcW w:w="4663" w:type="dxa"/>
                  <w:tcBorders>
                    <w:tl2br w:val="nil"/>
                    <w:tr2bl w:val="nil"/>
                  </w:tcBorders>
                  <w:noWrap w:val="0"/>
                  <w:vAlign w:val="center"/>
                </w:tcPr>
                <w:p w14:paraId="2ED73CD7">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w:t>
                  </w:r>
                </w:p>
                <w:p w14:paraId="09DBF04E">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p w14:paraId="75F7635F">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p w14:paraId="1F2F5404">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4持续推进乡镇污水主管网、到户支管网建设和破损、混接管网整治，进一步提高污水收集率和污水进水浓度，强化专业化运维，提高乡镇污水处理设施运行稳定性。</w:t>
                  </w:r>
                </w:p>
                <w:p w14:paraId="4A549409">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加快推进城市老旧小区和管网空白区污水管网建设，实施城市、县城市政污水管网更新修复。加快推进城市污水再生利用设施建设，提高污水处理再生水利用率。57污染物排放标准中有特别排放限值的标准的行业，二氧化硫、氮氧化物、颗粒物、挥发性有机物（VOCs）全面执行大气污染物特别排放限值。已核发排污许可证的，应严格执行许可要求。</w:t>
                  </w:r>
                </w:p>
                <w:p w14:paraId="60E90632">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6对国家级新区、工业园区、高新区等进行集中整治，限期进行达标改造。</w:t>
                  </w:r>
                </w:p>
                <w:p w14:paraId="435BEDC6">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7按《挥发性有机物无组织排放控制标准》（GB 37822-2019）要求，做好VOCs物料储存、物料转移和输送、工艺过程、设备与管线组件、敞开液面VOCs排放，以及VOCs无组织排放废气收集处理系统要求。</w:t>
                  </w:r>
                </w:p>
                <w:p w14:paraId="53C7A273">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8新改扩建（含搬迁）钢铁项目要严格执行产能置换实施办法，按照钢铁企业超低排放指标要求，同步配套建设高效脱硫、脱硝、除尘设施，落实物料储存、输送及生产工艺过程无组织排放管控措施。</w:t>
                  </w:r>
                </w:p>
                <w:p w14:paraId="4F696DC3">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烧结机机头、球团焙烧烟气颗粒物、二氧化硫、氮氧化物排放浓度小时均值分别不高于10、35、50毫克/立方米；其他主要污染源颗粒物、二氧化硫、氮氧化物排放浓度小时均值原则上分别不高于10、50、200毫克/立方米，达到超低排放的钢铁企业每月至少95%以上时段小时均值排放浓度满足上述要求</w:t>
                  </w:r>
                </w:p>
                <w:p w14:paraId="6343491D">
                  <w:pPr>
                    <w:wordWrap w:val="0"/>
                    <w:snapToGrid w:val="0"/>
                    <w:rPr>
                      <w:rFonts w:hint="default" w:ascii="Times New Roman" w:hAnsi="Times New Roman" w:cs="Times New Roman"/>
                      <w:color w:val="auto"/>
                      <w:kern w:val="0"/>
                      <w:szCs w:val="20"/>
                      <w:highlight w:val="none"/>
                    </w:rPr>
                  </w:pPr>
                </w:p>
              </w:tc>
              <w:tc>
                <w:tcPr>
                  <w:tcW w:w="2164" w:type="dxa"/>
                  <w:tcBorders>
                    <w:tl2br w:val="nil"/>
                    <w:tr2bl w:val="nil"/>
                  </w:tcBorders>
                  <w:noWrap w:val="0"/>
                  <w:vAlign w:val="center"/>
                </w:tcPr>
                <w:p w14:paraId="4D294F52">
                  <w:pPr>
                    <w:snapToGrid w:val="0"/>
                    <w:rPr>
                      <w:rFonts w:hint="default" w:ascii="Times New Roman" w:hAnsi="Times New Roman" w:cs="Times New Roman"/>
                      <w:color w:val="auto"/>
                      <w:kern w:val="0"/>
                      <w:szCs w:val="20"/>
                      <w:highlight w:val="none"/>
                    </w:rPr>
                  </w:pPr>
                  <w:r>
                    <w:rPr>
                      <w:rFonts w:hint="default" w:ascii="Times New Roman" w:hAnsi="Times New Roman" w:cs="Times New Roman"/>
                      <w:bCs/>
                      <w:color w:val="auto"/>
                      <w:szCs w:val="21"/>
                      <w:highlight w:val="none"/>
                      <w:lang w:val="en"/>
                    </w:rPr>
                    <w:t>本项目所用丁基胶、双组份密封胶为低VOCs含量胶粘剂</w:t>
                  </w:r>
                  <w:r>
                    <w:rPr>
                      <w:rFonts w:hint="default" w:ascii="Times New Roman" w:hAnsi="Times New Roman" w:cs="Times New Roman"/>
                      <w:bCs/>
                      <w:color w:val="auto"/>
                      <w:szCs w:val="21"/>
                      <w:highlight w:val="none"/>
                      <w:lang w:val="en" w:eastAsia="zh-CN"/>
                    </w:rPr>
                    <w:t>；</w:t>
                  </w:r>
                  <w:r>
                    <w:rPr>
                      <w:rFonts w:hint="default" w:ascii="Times New Roman" w:hAnsi="Times New Roman" w:cs="Times New Roman"/>
                      <w:bCs/>
                      <w:color w:val="auto"/>
                      <w:szCs w:val="21"/>
                      <w:highlight w:val="none"/>
                      <w:lang w:val="en"/>
                    </w:rPr>
                    <w:t>本项目产生的VOCs经二级活性炭吸附装置净化处理，废气处理装置为组合式，净化效率不低于90%，可有效减少VOCs的排放</w:t>
                  </w:r>
                  <w:r>
                    <w:rPr>
                      <w:rFonts w:hint="default" w:ascii="Times New Roman" w:hAnsi="Times New Roman" w:cs="Times New Roman"/>
                      <w:bCs/>
                      <w:color w:val="auto"/>
                      <w:szCs w:val="21"/>
                      <w:highlight w:val="none"/>
                      <w:lang w:val="en" w:eastAsia="zh-CN"/>
                    </w:rPr>
                    <w:t>，</w:t>
                  </w:r>
                  <w:r>
                    <w:rPr>
                      <w:rFonts w:hint="default" w:ascii="Times New Roman" w:hAnsi="Times New Roman" w:cs="Times New Roman"/>
                      <w:color w:val="auto"/>
                      <w:kern w:val="0"/>
                      <w:szCs w:val="20"/>
                      <w:highlight w:val="none"/>
                    </w:rPr>
                    <w:t>项目</w:t>
                  </w:r>
                  <w:r>
                    <w:rPr>
                      <w:rFonts w:hint="default" w:ascii="Times New Roman" w:hAnsi="Times New Roman" w:cs="Times New Roman"/>
                      <w:color w:val="auto"/>
                      <w:szCs w:val="21"/>
                      <w:highlight w:val="none"/>
                    </w:rPr>
                    <w:t>生活污水经化粪池处理后接管</w:t>
                  </w:r>
                  <w:r>
                    <w:rPr>
                      <w:rFonts w:hint="default" w:ascii="Times New Roman" w:hAnsi="Times New Roman" w:cs="Times New Roman"/>
                      <w:color w:val="auto"/>
                      <w:kern w:val="0"/>
                      <w:szCs w:val="20"/>
                      <w:highlight w:val="none"/>
                    </w:rPr>
                    <w:t>排入</w:t>
                  </w:r>
                  <w:r>
                    <w:rPr>
                      <w:rFonts w:hint="eastAsia" w:cs="Times New Roman"/>
                      <w:color w:val="auto"/>
                      <w:kern w:val="0"/>
                      <w:szCs w:val="20"/>
                      <w:highlight w:val="none"/>
                      <w:lang w:eastAsia="zh-CN"/>
                    </w:rPr>
                    <w:t>淮南现代产业园污水处理站</w:t>
                  </w:r>
                  <w:r>
                    <w:rPr>
                      <w:rFonts w:hint="default" w:ascii="Times New Roman" w:hAnsi="Times New Roman" w:cs="Times New Roman"/>
                      <w:color w:val="auto"/>
                      <w:kern w:val="0"/>
                      <w:szCs w:val="20"/>
                      <w:highlight w:val="none"/>
                      <w:lang w:eastAsia="zh-CN"/>
                    </w:rPr>
                    <w:t>，</w:t>
                  </w:r>
                  <w:r>
                    <w:rPr>
                      <w:rFonts w:hint="default" w:ascii="Times New Roman" w:hAnsi="Times New Roman" w:cs="Times New Roman"/>
                      <w:color w:val="auto"/>
                      <w:kern w:val="0"/>
                      <w:szCs w:val="20"/>
                      <w:highlight w:val="none"/>
                      <w:lang w:val="en-US" w:eastAsia="zh-CN"/>
                    </w:rPr>
                    <w:t>磨边清洗用水沉淀后回用，设备冷却水循环使用不外排</w:t>
                  </w:r>
                  <w:r>
                    <w:rPr>
                      <w:rFonts w:hint="default" w:ascii="Times New Roman" w:hAnsi="Times New Roman" w:cs="Times New Roman"/>
                      <w:color w:val="auto"/>
                      <w:kern w:val="0"/>
                      <w:szCs w:val="20"/>
                      <w:highlight w:val="none"/>
                    </w:rPr>
                    <w:t>。项目不排放重金属。</w:t>
                  </w:r>
                </w:p>
              </w:tc>
              <w:tc>
                <w:tcPr>
                  <w:tcW w:w="675" w:type="dxa"/>
                  <w:tcBorders>
                    <w:tl2br w:val="nil"/>
                    <w:tr2bl w:val="nil"/>
                  </w:tcBorders>
                  <w:noWrap w:val="0"/>
                  <w:vAlign w:val="center"/>
                </w:tcPr>
                <w:p w14:paraId="076EC9E8">
                  <w:pPr>
                    <w:wordWrap w:val="0"/>
                    <w:snapToGrid w:val="0"/>
                    <w:jc w:val="center"/>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符合</w:t>
                  </w:r>
                </w:p>
              </w:tc>
            </w:tr>
            <w:tr w14:paraId="68F02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471" w:type="dxa"/>
                  <w:tcBorders>
                    <w:tl2br w:val="nil"/>
                    <w:tr2bl w:val="nil"/>
                  </w:tcBorders>
                  <w:noWrap w:val="0"/>
                  <w:vAlign w:val="center"/>
                </w:tcPr>
                <w:p w14:paraId="620A909E">
                  <w:pPr>
                    <w:wordWrap w:val="0"/>
                    <w:snapToGrid w:val="0"/>
                    <w:jc w:val="center"/>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资源开发利用效率要求</w:t>
                  </w:r>
                </w:p>
              </w:tc>
              <w:tc>
                <w:tcPr>
                  <w:tcW w:w="4663" w:type="dxa"/>
                  <w:tcBorders>
                    <w:tl2br w:val="nil"/>
                    <w:tr2bl w:val="nil"/>
                  </w:tcBorders>
                  <w:noWrap w:val="0"/>
                  <w:vAlign w:val="center"/>
                </w:tcPr>
                <w:p w14:paraId="10BFF3F1">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坚持集中式与分布式建设并举，因地制宜建设集中式光伏发电项目，推动整县（市、区）屋顶分布式光伏发电试点工作。坚持集中式和分散式相结合，有序推进皖北平原连片风电项目建设，稳妥推进皖西南地区集中式风电项目建设，鼓励分散式风电商业模式创新。大力推进风光储一体化建设。加快建设一批抽水蓄能电站，打造千万千瓦级绿色储能基地。多元高效利用生物质能，推进农林生物质热电联产项目新建和供热改造，合理规划城镇生活垃圾焚烧发电项目，统筹布局生物燃料乙醇项目，适度发展先进生物质液体燃料。到2025年，非化石能源占能源消费总量比重达到15.5%以上。</w:t>
                  </w:r>
                </w:p>
                <w:p w14:paraId="1666DD75">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2推动煤电行业实施节能降耗改造、供热改造和灵活性改造“三改联动”。加快供热管网建设，淘汰管网覆盖范围内的燃煤锅炉和散煤。到2025年，火电平均供电煤耗降至295克标煤/千瓦时，散煤基本清零。</w:t>
                  </w:r>
                </w:p>
                <w:p w14:paraId="03DDD61A">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w:t>
                  </w:r>
                </w:p>
                <w:p w14:paraId="3681601F">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推动光伏发电规模化发展，充分利用荒山荒坡、采煤沉陷区等未利用空间，建设集中式光伏电站。加快工业园区、公共建筑、居民住宅等屋顶光伏建设，有序推动国家整县（市、区）屋顶分布式光伏开发试点，因地制宜推进“光伏+”项目。</w:t>
                  </w:r>
                </w:p>
                <w:p w14:paraId="58175345">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5积极开发风电资源，在皖北平原、皖西南地区建设集中连片风电，持续推进就近接入</w:t>
                  </w:r>
                  <w:r>
                    <w:rPr>
                      <w:rFonts w:hint="default" w:ascii="Times New Roman" w:hAnsi="Times New Roman" w:cs="Times New Roman"/>
                      <w:color w:val="auto"/>
                      <w:kern w:val="0"/>
                      <w:szCs w:val="21"/>
                      <w:highlight w:val="none"/>
                      <w:lang w:eastAsia="zh-CN"/>
                    </w:rPr>
                    <w:t>，就</w:t>
                  </w:r>
                  <w:r>
                    <w:rPr>
                      <w:rFonts w:hint="default" w:ascii="Times New Roman" w:hAnsi="Times New Roman" w:cs="Times New Roman"/>
                      <w:color w:val="auto"/>
                      <w:kern w:val="0"/>
                      <w:szCs w:val="21"/>
                      <w:highlight w:val="none"/>
                    </w:rPr>
                    <w:t>地消纳的分散式风电建设。</w:t>
                  </w:r>
                </w:p>
                <w:p w14:paraId="1EBC1B79">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6大力推广新能源汽车，推动城市公共服务车辆、政府公务用车新能源或清洁能源替代；</w:t>
                  </w:r>
                </w:p>
                <w:p w14:paraId="7DDEC42E">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7按照省政府下达给区域各市的水资源利用总量及效率要求执行。</w:t>
                  </w:r>
                </w:p>
                <w:p w14:paraId="4DEE137B">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8按照省政府下达给区域各市能源利用总量及效率要求执行。</w:t>
                  </w:r>
                </w:p>
                <w:p w14:paraId="41110FFA">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 按照省级清单中禁燃区要求执行。</w:t>
                  </w:r>
                </w:p>
                <w:p w14:paraId="49BDABF0">
                  <w:pPr>
                    <w:wordWrap w:val="0"/>
                    <w:snapToGrid w:val="0"/>
                    <w:rPr>
                      <w:rFonts w:hint="default" w:ascii="Times New Roman" w:hAnsi="Times New Roman" w:cs="Times New Roman"/>
                      <w:color w:val="auto"/>
                      <w:kern w:val="0"/>
                      <w:szCs w:val="20"/>
                      <w:highlight w:val="none"/>
                    </w:rPr>
                  </w:pPr>
                </w:p>
              </w:tc>
              <w:tc>
                <w:tcPr>
                  <w:tcW w:w="2164" w:type="dxa"/>
                  <w:tcBorders>
                    <w:tl2br w:val="nil"/>
                    <w:tr2bl w:val="nil"/>
                  </w:tcBorders>
                  <w:noWrap w:val="0"/>
                  <w:vAlign w:val="center"/>
                </w:tcPr>
                <w:p w14:paraId="5557277E">
                  <w:pPr>
                    <w:snapToGrid w:val="0"/>
                    <w:rPr>
                      <w:rFonts w:hint="default" w:ascii="Times New Roman" w:hAnsi="Times New Roman" w:eastAsia="宋体" w:cs="Times New Roman"/>
                      <w:color w:val="auto"/>
                      <w:kern w:val="0"/>
                      <w:szCs w:val="20"/>
                      <w:highlight w:val="none"/>
                      <w:lang w:val="en-US" w:eastAsia="zh-CN"/>
                    </w:rPr>
                  </w:pPr>
                  <w:r>
                    <w:rPr>
                      <w:rFonts w:hint="default" w:ascii="Times New Roman" w:hAnsi="Times New Roman" w:cs="Times New Roman"/>
                      <w:color w:val="auto"/>
                      <w:kern w:val="0"/>
                      <w:szCs w:val="20"/>
                      <w:highlight w:val="none"/>
                    </w:rPr>
                    <w:t>项目主要能源使用电能，</w:t>
                  </w:r>
                  <w:r>
                    <w:rPr>
                      <w:rFonts w:hint="default" w:ascii="Times New Roman" w:hAnsi="Times New Roman" w:cs="Times New Roman"/>
                      <w:color w:val="auto"/>
                      <w:kern w:val="0"/>
                      <w:szCs w:val="20"/>
                      <w:highlight w:val="none"/>
                      <w:lang w:val="en-US" w:eastAsia="zh-CN"/>
                    </w:rPr>
                    <w:t>不涉及煤炭的使用。</w:t>
                  </w:r>
                </w:p>
              </w:tc>
              <w:tc>
                <w:tcPr>
                  <w:tcW w:w="675" w:type="dxa"/>
                  <w:tcBorders>
                    <w:tl2br w:val="nil"/>
                    <w:tr2bl w:val="nil"/>
                  </w:tcBorders>
                  <w:noWrap w:val="0"/>
                  <w:vAlign w:val="center"/>
                </w:tcPr>
                <w:p w14:paraId="609EAFDA">
                  <w:pPr>
                    <w:wordWrap w:val="0"/>
                    <w:snapToGrid w:val="0"/>
                    <w:jc w:val="center"/>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符合</w:t>
                  </w:r>
                </w:p>
              </w:tc>
            </w:tr>
          </w:tbl>
          <w:p w14:paraId="324FB54C">
            <w:pPr>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四</w:t>
            </w:r>
            <w:r>
              <w:rPr>
                <w:rFonts w:hint="default" w:ascii="Times New Roman" w:hAnsi="Times New Roman" w:cs="Times New Roman"/>
                <w:b/>
                <w:bCs/>
                <w:color w:val="auto"/>
                <w:kern w:val="0"/>
                <w:sz w:val="24"/>
                <w:highlight w:val="none"/>
              </w:rPr>
              <w:t>、与淮南市“十四五”生态环境保护规划（淮环通〔2022〕46号）符合性分析</w:t>
            </w:r>
          </w:p>
          <w:p w14:paraId="36EAE3C6">
            <w:pPr>
              <w:spacing w:before="120" w:beforeLines="5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表1-</w:t>
            </w:r>
            <w:r>
              <w:rPr>
                <w:rFonts w:hint="default" w:ascii="Times New Roman" w:hAnsi="Times New Roman" w:cs="Times New Roman"/>
                <w:b/>
                <w:bCs/>
                <w:color w:val="auto"/>
                <w:kern w:val="0"/>
                <w:sz w:val="24"/>
                <w:szCs w:val="24"/>
                <w:highlight w:val="none"/>
                <w:lang w:val="en-US" w:eastAsia="zh-CN"/>
              </w:rPr>
              <w:t>5</w:t>
            </w:r>
            <w:r>
              <w:rPr>
                <w:rFonts w:hint="default" w:ascii="Times New Roman" w:hAnsi="Times New Roman" w:cs="Times New Roman"/>
                <w:b/>
                <w:bCs/>
                <w:color w:val="auto"/>
                <w:kern w:val="0"/>
                <w:sz w:val="24"/>
                <w:szCs w:val="24"/>
                <w:highlight w:val="none"/>
              </w:rPr>
              <w:t xml:space="preserve"> 与淮南市“十四五”生态环境规划的相符性分析</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3612"/>
              <w:gridCol w:w="3035"/>
              <w:gridCol w:w="727"/>
            </w:tblGrid>
            <w:tr w14:paraId="2D015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6C31017D">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序号</w:t>
                  </w:r>
                </w:p>
              </w:tc>
              <w:tc>
                <w:tcPr>
                  <w:tcW w:w="0" w:type="auto"/>
                  <w:tcBorders>
                    <w:tl2br w:val="nil"/>
                    <w:tr2bl w:val="nil"/>
                  </w:tcBorders>
                  <w:vAlign w:val="center"/>
                </w:tcPr>
                <w:p w14:paraId="2F12FB18">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规划要求（节选）</w:t>
                  </w:r>
                </w:p>
              </w:tc>
              <w:tc>
                <w:tcPr>
                  <w:tcW w:w="3035" w:type="dxa"/>
                  <w:tcBorders>
                    <w:tl2br w:val="nil"/>
                    <w:tr2bl w:val="nil"/>
                  </w:tcBorders>
                  <w:vAlign w:val="center"/>
                </w:tcPr>
                <w:p w14:paraId="063783BD">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本项目情况</w:t>
                  </w:r>
                </w:p>
              </w:tc>
              <w:tc>
                <w:tcPr>
                  <w:tcW w:w="727" w:type="dxa"/>
                  <w:tcBorders>
                    <w:tl2br w:val="nil"/>
                    <w:tr2bl w:val="nil"/>
                  </w:tcBorders>
                  <w:vAlign w:val="center"/>
                </w:tcPr>
                <w:p w14:paraId="1AC5B018">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是否相符</w:t>
                  </w:r>
                </w:p>
              </w:tc>
            </w:tr>
            <w:tr w14:paraId="037CB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27B36AB2">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0" w:type="auto"/>
                  <w:tcBorders>
                    <w:tl2br w:val="nil"/>
                    <w:tr2bl w:val="nil"/>
                  </w:tcBorders>
                  <w:vAlign w:val="center"/>
                </w:tcPr>
                <w:p w14:paraId="2910E896">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综合治理工业大气污染。推进煤炭、电力、化工、水泥等重点行业污染治理升级改造，二氧化硫、氮氧化物、颗粒物、挥发性有机物全面执行</w:t>
                  </w:r>
                  <w:r>
                    <w:rPr>
                      <w:rFonts w:hint="default" w:ascii="Times New Roman" w:hAnsi="Times New Roman" w:cs="Times New Roman"/>
                      <w:color w:val="auto"/>
                      <w:kern w:val="0"/>
                      <w:szCs w:val="21"/>
                      <w:highlight w:val="none"/>
                      <w:lang w:eastAsia="zh-CN"/>
                    </w:rPr>
                    <w:t>《玻璃工业大气污染物排放标准》（GB26453-2022）</w:t>
                  </w:r>
                  <w:r>
                    <w:rPr>
                      <w:rFonts w:hint="default" w:ascii="Times New Roman" w:hAnsi="Times New Roman" w:cs="Times New Roman"/>
                      <w:color w:val="auto"/>
                      <w:kern w:val="0"/>
                      <w:szCs w:val="21"/>
                      <w:highlight w:val="none"/>
                    </w:rPr>
                    <w:t>。全市能源环境战略立足煤炭，围绕工业大气污染治理，鼓励燃煤机组超净排放改造。新建工业园区以热电联产企业为供热热源，优先发展天然气热电联产；现有经济开发区等工业集中区应实施热电联产或集中供热改造，将工业企业纳入集中供热范围，逐步淘汰分散燃煤锅炉，核准审批新建热电联产项目要求关停的燃煤锅炉必须按期淘汰。</w:t>
                  </w:r>
                </w:p>
              </w:tc>
              <w:tc>
                <w:tcPr>
                  <w:tcW w:w="3035" w:type="dxa"/>
                  <w:tcBorders>
                    <w:tl2br w:val="nil"/>
                    <w:tr2bl w:val="nil"/>
                  </w:tcBorders>
                  <w:vAlign w:val="center"/>
                </w:tcPr>
                <w:p w14:paraId="08B785A2">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本项目属于</w:t>
                  </w:r>
                  <w:r>
                    <w:rPr>
                      <w:rFonts w:hint="default" w:ascii="Times New Roman" w:hAnsi="Times New Roman" w:cs="Times New Roman"/>
                      <w:color w:val="auto"/>
                      <w:kern w:val="0"/>
                      <w:szCs w:val="21"/>
                      <w:highlight w:val="none"/>
                      <w:lang w:eastAsia="zh-CN"/>
                    </w:rPr>
                    <w:t>C3042 特种玻璃制造</w:t>
                  </w:r>
                  <w:r>
                    <w:rPr>
                      <w:rFonts w:hint="default" w:ascii="Times New Roman" w:hAnsi="Times New Roman" w:cs="Times New Roman"/>
                      <w:color w:val="auto"/>
                      <w:kern w:val="0"/>
                      <w:szCs w:val="21"/>
                      <w:highlight w:val="none"/>
                    </w:rPr>
                    <w:t>，项目废气（</w:t>
                  </w:r>
                  <w:r>
                    <w:rPr>
                      <w:rFonts w:hint="default" w:ascii="Times New Roman" w:hAnsi="Times New Roman" w:cs="Times New Roman"/>
                      <w:color w:val="auto"/>
                      <w:kern w:val="0"/>
                      <w:szCs w:val="21"/>
                      <w:highlight w:val="none"/>
                      <w:lang w:val="en-US" w:eastAsia="zh-CN"/>
                    </w:rPr>
                    <w:t>非甲烷总烃</w:t>
                  </w:r>
                  <w:r>
                    <w:rPr>
                      <w:rFonts w:hint="default" w:ascii="Times New Roman" w:hAnsi="Times New Roman" w:cs="Times New Roman"/>
                      <w:color w:val="auto"/>
                      <w:kern w:val="0"/>
                      <w:szCs w:val="21"/>
                      <w:highlight w:val="none"/>
                    </w:rPr>
                    <w:t>）污染物执行</w:t>
                  </w:r>
                  <w:r>
                    <w:rPr>
                      <w:rFonts w:hint="default" w:ascii="Times New Roman" w:hAnsi="Times New Roman" w:cs="Times New Roman"/>
                      <w:color w:val="auto"/>
                      <w:kern w:val="0"/>
                      <w:szCs w:val="21"/>
                      <w:highlight w:val="none"/>
                      <w:lang w:eastAsia="zh-CN"/>
                    </w:rPr>
                    <w:t>《玻璃工业大气污染物排放标准》（GB26453-2022）</w:t>
                  </w:r>
                  <w:r>
                    <w:rPr>
                      <w:rFonts w:hint="default" w:ascii="Times New Roman" w:hAnsi="Times New Roman" w:cs="Times New Roman"/>
                      <w:color w:val="auto"/>
                      <w:kern w:val="0"/>
                      <w:szCs w:val="21"/>
                      <w:highlight w:val="none"/>
                    </w:rPr>
                    <w:t>，本项目不涉及燃煤锅炉。</w:t>
                  </w:r>
                </w:p>
              </w:tc>
              <w:tc>
                <w:tcPr>
                  <w:tcW w:w="727" w:type="dxa"/>
                  <w:tcBorders>
                    <w:tl2br w:val="nil"/>
                    <w:tr2bl w:val="nil"/>
                  </w:tcBorders>
                  <w:vAlign w:val="center"/>
                </w:tcPr>
                <w:p w14:paraId="038E41BE">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相符</w:t>
                  </w:r>
                </w:p>
              </w:tc>
            </w:tr>
            <w:tr w14:paraId="61A8E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124E1AFB">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0" w:type="auto"/>
                  <w:tcBorders>
                    <w:tl2br w:val="nil"/>
                    <w:tr2bl w:val="nil"/>
                  </w:tcBorders>
                  <w:vAlign w:val="center"/>
                </w:tcPr>
                <w:p w14:paraId="596DB818">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加强工业污染源治理。加大清洁生产推行力度，鼓励企业依法淘汰落后生产工艺技术，减少源头水污染物产生。实行排污许可管理制度，深入推进重点污染源自动监控设备“安装、联网、运维监管”三个全覆盖工作，强化对涉水排放工业企业排污行为的监督检查。集中治理工业集聚区水污染，推进工业园区污水全收集和处理设施提标改造，对淮南潘集经济开发区（安徽淮南现代煤化工产业园）等工业园区和工业集聚区的环保基础设施进行排查，做到“三明确”，即明确各企业废水预处理、集聚区污水与垃圾集中处理、在线监测系统等设施是否达到要求。工业企业废水排放需满足“两必须”要求，即企业废水排放及园区污水集中处理排放必须按照排污许可证规定，不得超标、超许可量排放；工业废水必须经过预处理达到集中处理要求后方可进入集中污水处理设施。严格农村地区工业企业环境准入条件，完善乡镇集中工业区基础设施建设。</w:t>
                  </w:r>
                </w:p>
              </w:tc>
              <w:tc>
                <w:tcPr>
                  <w:tcW w:w="3035" w:type="dxa"/>
                  <w:tcBorders>
                    <w:tl2br w:val="nil"/>
                    <w:tr2bl w:val="nil"/>
                  </w:tcBorders>
                  <w:vAlign w:val="center"/>
                </w:tcPr>
                <w:p w14:paraId="613C514D">
                  <w:pP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项目生活污水经化粪池处理后经厂区污水处理站处理后的生产废水达到</w:t>
                  </w:r>
                  <w:r>
                    <w:rPr>
                      <w:rFonts w:hint="eastAsia" w:cs="Times New Roman"/>
                      <w:color w:val="auto"/>
                      <w:kern w:val="0"/>
                      <w:szCs w:val="21"/>
                      <w:highlight w:val="none"/>
                      <w:lang w:eastAsia="zh-CN"/>
                    </w:rPr>
                    <w:t>淮南现代产业园污水处理站</w:t>
                  </w:r>
                  <w:r>
                    <w:rPr>
                      <w:rFonts w:hint="default" w:ascii="Times New Roman" w:hAnsi="Times New Roman" w:cs="Times New Roman"/>
                      <w:color w:val="auto"/>
                      <w:kern w:val="0"/>
                      <w:szCs w:val="21"/>
                      <w:highlight w:val="none"/>
                    </w:rPr>
                    <w:t>接管标准进入</w:t>
                  </w:r>
                  <w:r>
                    <w:rPr>
                      <w:rFonts w:hint="eastAsia" w:cs="Times New Roman"/>
                      <w:color w:val="auto"/>
                      <w:kern w:val="0"/>
                      <w:szCs w:val="21"/>
                      <w:highlight w:val="none"/>
                      <w:lang w:eastAsia="zh-CN"/>
                    </w:rPr>
                    <w:t>淮南现代产业园污水处理站</w:t>
                  </w:r>
                  <w:r>
                    <w:rPr>
                      <w:rFonts w:hint="default" w:ascii="Times New Roman" w:hAnsi="Times New Roman" w:cs="Times New Roman"/>
                      <w:color w:val="auto"/>
                      <w:kern w:val="0"/>
                      <w:szCs w:val="21"/>
                      <w:highlight w:val="none"/>
                    </w:rPr>
                    <w:t>处理，处理后尾水全部排入林桥涧沟，最终汇入瓦埠湖</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磨边清洗用水经沉淀池沉淀后回用，不外排；设备冷却水循环使用，不外排</w:t>
                  </w:r>
                  <w:r>
                    <w:rPr>
                      <w:rFonts w:hint="default" w:ascii="Times New Roman" w:hAnsi="Times New Roman" w:cs="Times New Roman"/>
                      <w:color w:val="auto"/>
                      <w:kern w:val="0"/>
                      <w:szCs w:val="21"/>
                      <w:highlight w:val="none"/>
                    </w:rPr>
                    <w:t>。</w:t>
                  </w:r>
                </w:p>
              </w:tc>
              <w:tc>
                <w:tcPr>
                  <w:tcW w:w="727" w:type="dxa"/>
                  <w:tcBorders>
                    <w:tl2br w:val="nil"/>
                    <w:tr2bl w:val="nil"/>
                  </w:tcBorders>
                  <w:vAlign w:val="center"/>
                </w:tcPr>
                <w:p w14:paraId="6207D5FB">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相符</w:t>
                  </w:r>
                </w:p>
              </w:tc>
            </w:tr>
          </w:tbl>
          <w:p w14:paraId="274B9AA5">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综上所述，建设项目符合淮南市“十四五”生态环境保护规划（淮环通〔2022〕46号）中的相关要求。</w:t>
            </w:r>
          </w:p>
          <w:p w14:paraId="1A786DA8">
            <w:pPr>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五</w:t>
            </w:r>
            <w:r>
              <w:rPr>
                <w:rFonts w:hint="default" w:ascii="Times New Roman" w:hAnsi="Times New Roman" w:cs="Times New Roman"/>
                <w:b/>
                <w:bCs/>
                <w:color w:val="auto"/>
                <w:kern w:val="0"/>
                <w:sz w:val="24"/>
                <w:highlight w:val="none"/>
              </w:rPr>
              <w:t>、与《淮南市“十四五”大气污染防治规划（2021</w:t>
            </w:r>
            <w:r>
              <w:rPr>
                <w:rFonts w:hint="default" w:ascii="Times New Roman" w:hAnsi="Times New Roman"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rPr>
              <w:t>2025年）》符合性分析</w:t>
            </w:r>
          </w:p>
          <w:p w14:paraId="191384F9">
            <w:pPr>
              <w:spacing w:before="120" w:beforeLines="5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表1-</w:t>
            </w:r>
            <w:r>
              <w:rPr>
                <w:rFonts w:hint="default" w:ascii="Times New Roman" w:hAnsi="Times New Roman" w:cs="Times New Roman"/>
                <w:b/>
                <w:bCs/>
                <w:color w:val="auto"/>
                <w:kern w:val="0"/>
                <w:sz w:val="21"/>
                <w:szCs w:val="21"/>
                <w:highlight w:val="none"/>
                <w:lang w:val="en-US" w:eastAsia="zh-CN"/>
              </w:rPr>
              <w:t>6</w:t>
            </w:r>
            <w:r>
              <w:rPr>
                <w:rFonts w:hint="default" w:ascii="Times New Roman" w:hAnsi="Times New Roman" w:cs="Times New Roman"/>
                <w:b/>
                <w:bCs/>
                <w:color w:val="auto"/>
                <w:kern w:val="0"/>
                <w:sz w:val="21"/>
                <w:szCs w:val="21"/>
                <w:highlight w:val="none"/>
              </w:rPr>
              <w:t xml:space="preserve"> 与《淮南市“十四五”大气污染防治规划（2021</w:t>
            </w: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rPr>
              <w:t>2025年）》分析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3882"/>
              <w:gridCol w:w="2540"/>
              <w:gridCol w:w="770"/>
            </w:tblGrid>
            <w:tr w14:paraId="3F18F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4" w:type="pct"/>
                  <w:tcBorders>
                    <w:tl2br w:val="nil"/>
                    <w:tr2bl w:val="nil"/>
                  </w:tcBorders>
                  <w:vAlign w:val="center"/>
                </w:tcPr>
                <w:p w14:paraId="1CE10E1D">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序号</w:t>
                  </w:r>
                </w:p>
              </w:tc>
              <w:tc>
                <w:tcPr>
                  <w:tcW w:w="2485" w:type="pct"/>
                  <w:tcBorders>
                    <w:tl2br w:val="nil"/>
                    <w:tr2bl w:val="nil"/>
                  </w:tcBorders>
                  <w:vAlign w:val="center"/>
                </w:tcPr>
                <w:p w14:paraId="00E73738">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涉及的内容（节选）</w:t>
                  </w:r>
                </w:p>
              </w:tc>
              <w:tc>
                <w:tcPr>
                  <w:tcW w:w="1626" w:type="pct"/>
                  <w:tcBorders>
                    <w:tl2br w:val="nil"/>
                    <w:tr2bl w:val="nil"/>
                  </w:tcBorders>
                  <w:vAlign w:val="center"/>
                </w:tcPr>
                <w:p w14:paraId="413E1A2A">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项目内容</w:t>
                  </w:r>
                </w:p>
              </w:tc>
              <w:tc>
                <w:tcPr>
                  <w:tcW w:w="493" w:type="pct"/>
                  <w:tcBorders>
                    <w:tl2br w:val="nil"/>
                    <w:tr2bl w:val="nil"/>
                  </w:tcBorders>
                  <w:vAlign w:val="center"/>
                </w:tcPr>
                <w:p w14:paraId="067E874B">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是否相符</w:t>
                  </w:r>
                </w:p>
              </w:tc>
            </w:tr>
            <w:tr w14:paraId="66D3C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4" w:type="pct"/>
                  <w:tcBorders>
                    <w:tl2br w:val="nil"/>
                    <w:tr2bl w:val="nil"/>
                  </w:tcBorders>
                  <w:vAlign w:val="center"/>
                </w:tcPr>
                <w:p w14:paraId="3B1C29C9">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485" w:type="pct"/>
                  <w:tcBorders>
                    <w:tl2br w:val="nil"/>
                    <w:tr2bl w:val="nil"/>
                  </w:tcBorders>
                  <w:vAlign w:val="center"/>
                </w:tcPr>
                <w:p w14:paraId="427BE594">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优化调整产业布局</w:t>
                  </w:r>
                </w:p>
                <w:p w14:paraId="26232546">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严格执行国家和省高耗能、高污染和资源型行业准入条件。严控“两高”行业产能，原则上禁止新建、扩建单纯新增产能的钢铁、水泥、平板玻璃、铸造等产能过剩的传统产业项目，严格执行钢铁、水泥、平板玻璃等行业产能置换实施办法。原则上不得新建热电联产、天然气化工和未纳入国家规划的煤化工等项目。严格控制涉工业炉窑建设项目，原则上禁止新建燃料类煤气发生炉（园区现有企业统一建设的清洁煤制气项目除外）。</w:t>
                  </w:r>
                </w:p>
                <w:p w14:paraId="67F4B5C8">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严格控制燃煤项目，强化新建燃煤项目审批管理，限制高污染高耗能项目落地，新改扩建耗煤项目严格执行安徽省煤炭消费减量替代制度，并且排污强度、能效和碳排放水平达到国内先进水平。</w:t>
                  </w:r>
                </w:p>
              </w:tc>
              <w:tc>
                <w:tcPr>
                  <w:tcW w:w="1626" w:type="pct"/>
                  <w:tcBorders>
                    <w:tl2br w:val="nil"/>
                    <w:tr2bl w:val="nil"/>
                  </w:tcBorders>
                  <w:vAlign w:val="center"/>
                </w:tcPr>
                <w:p w14:paraId="31EE9A51">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本项目不使用煤炭能源，使用能源为水、电，均为清洁能源；本项目不使用以煤为燃料的工业炉窑；本项目不属于高耗能及高污染产业。</w:t>
                  </w:r>
                </w:p>
              </w:tc>
              <w:tc>
                <w:tcPr>
                  <w:tcW w:w="493" w:type="pct"/>
                  <w:tcBorders>
                    <w:tl2br w:val="nil"/>
                    <w:tr2bl w:val="nil"/>
                  </w:tcBorders>
                  <w:vAlign w:val="center"/>
                </w:tcPr>
                <w:p w14:paraId="29A2D50B">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相符</w:t>
                  </w:r>
                </w:p>
              </w:tc>
            </w:tr>
          </w:tbl>
          <w:p w14:paraId="4E5E3249">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综上所述，建设项目符合《淮南市“十四五”大气污染防治规划（2021</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2025年）》中的相关要求。</w:t>
            </w:r>
          </w:p>
          <w:p w14:paraId="0EBBF4BD">
            <w:pPr>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六</w:t>
            </w:r>
            <w:r>
              <w:rPr>
                <w:rFonts w:hint="default" w:ascii="Times New Roman" w:hAnsi="Times New Roman" w:cs="Times New Roman"/>
                <w:b/>
                <w:bCs/>
                <w:color w:val="auto"/>
                <w:kern w:val="0"/>
                <w:sz w:val="24"/>
                <w:highlight w:val="none"/>
              </w:rPr>
              <w:t>、与《安徽省淮河流域水污染防治条例》符合性分析</w:t>
            </w:r>
          </w:p>
          <w:p w14:paraId="5BA89E72">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安徽省第十三届人民代表大会常务委员会第六次会议通过了《安徽省淮河流域水污染防治条例》，2019年1月1日实施。项目与《安徽省淮河流域水污染防治条例》符合性分析见下表。</w:t>
            </w:r>
          </w:p>
          <w:p w14:paraId="6ED3668F">
            <w:pPr>
              <w:spacing w:before="120" w:beforeLines="5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表1-</w:t>
            </w:r>
            <w:r>
              <w:rPr>
                <w:rFonts w:hint="default" w:ascii="Times New Roman" w:hAnsi="Times New Roman" w:cs="Times New Roman"/>
                <w:b/>
                <w:bCs/>
                <w:color w:val="auto"/>
                <w:kern w:val="0"/>
                <w:sz w:val="24"/>
                <w:szCs w:val="24"/>
                <w:highlight w:val="none"/>
                <w:lang w:val="en-US" w:eastAsia="zh-CN"/>
              </w:rPr>
              <w:t>7</w:t>
            </w:r>
            <w:r>
              <w:rPr>
                <w:rFonts w:hint="default" w:ascii="Times New Roman" w:hAnsi="Times New Roman" w:cs="Times New Roman"/>
                <w:b/>
                <w:bCs/>
                <w:color w:val="auto"/>
                <w:kern w:val="0"/>
                <w:sz w:val="24"/>
                <w:szCs w:val="24"/>
                <w:highlight w:val="none"/>
              </w:rPr>
              <w:t xml:space="preserve"> 本项目与《安徽省淮河流域水污染防治条例》符合性分析</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472"/>
              <w:gridCol w:w="2531"/>
              <w:gridCol w:w="1069"/>
            </w:tblGrid>
            <w:tr w14:paraId="745E4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73" w:type="pct"/>
                  <w:tcBorders>
                    <w:tl2br w:val="nil"/>
                    <w:tr2bl w:val="nil"/>
                  </w:tcBorders>
                  <w:vAlign w:val="center"/>
                </w:tcPr>
                <w:p w14:paraId="3F127269">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条款</w:t>
                  </w:r>
                </w:p>
              </w:tc>
              <w:tc>
                <w:tcPr>
                  <w:tcW w:w="2222" w:type="pct"/>
                  <w:tcBorders>
                    <w:tl2br w:val="nil"/>
                    <w:tr2bl w:val="nil"/>
                  </w:tcBorders>
                  <w:vAlign w:val="center"/>
                </w:tcPr>
                <w:p w14:paraId="41BC06BA">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条例内容</w:t>
                  </w:r>
                </w:p>
              </w:tc>
              <w:tc>
                <w:tcPr>
                  <w:tcW w:w="1620" w:type="pct"/>
                  <w:tcBorders>
                    <w:tl2br w:val="nil"/>
                    <w:tr2bl w:val="nil"/>
                  </w:tcBorders>
                  <w:vAlign w:val="center"/>
                </w:tcPr>
                <w:p w14:paraId="655AEC94">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项目建设情况</w:t>
                  </w:r>
                </w:p>
              </w:tc>
              <w:tc>
                <w:tcPr>
                  <w:tcW w:w="684" w:type="pct"/>
                  <w:tcBorders>
                    <w:tl2br w:val="nil"/>
                    <w:tr2bl w:val="nil"/>
                  </w:tcBorders>
                  <w:vAlign w:val="center"/>
                </w:tcPr>
                <w:p w14:paraId="6C32CFE4">
                  <w:pPr>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是否相符</w:t>
                  </w:r>
                </w:p>
              </w:tc>
            </w:tr>
            <w:tr w14:paraId="09162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3" w:type="pct"/>
                  <w:tcBorders>
                    <w:tl2br w:val="nil"/>
                    <w:tr2bl w:val="nil"/>
                  </w:tcBorders>
                  <w:vAlign w:val="center"/>
                </w:tcPr>
                <w:p w14:paraId="60DA66CA">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第十三条</w:t>
                  </w:r>
                </w:p>
              </w:tc>
              <w:tc>
                <w:tcPr>
                  <w:tcW w:w="2222" w:type="pct"/>
                  <w:tcBorders>
                    <w:tl2br w:val="nil"/>
                    <w:tr2bl w:val="nil"/>
                  </w:tcBorders>
                  <w:vAlign w:val="center"/>
                </w:tcPr>
                <w:p w14:paraId="35A646B3">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严格限制在淮河流域新建印染、制革、化工、电镀、酿造等大中型项目或者其他污染严重的项目；建设该类项目的，应当事前征得省人民政府生态环境行政主管部门的同意，并按照规定办理有关手续</w:t>
                  </w:r>
                </w:p>
              </w:tc>
              <w:tc>
                <w:tcPr>
                  <w:tcW w:w="1620" w:type="pct"/>
                  <w:tcBorders>
                    <w:tl2br w:val="nil"/>
                    <w:tr2bl w:val="nil"/>
                  </w:tcBorders>
                  <w:vAlign w:val="center"/>
                </w:tcPr>
                <w:p w14:paraId="46F30968">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本项目属于</w:t>
                  </w:r>
                  <w:r>
                    <w:rPr>
                      <w:rFonts w:hint="default" w:ascii="Times New Roman" w:hAnsi="Times New Roman" w:cs="Times New Roman"/>
                      <w:color w:val="auto"/>
                      <w:kern w:val="0"/>
                      <w:szCs w:val="21"/>
                      <w:highlight w:val="none"/>
                      <w:lang w:eastAsia="zh-CN"/>
                    </w:rPr>
                    <w:t>C3042 特种玻璃制造</w:t>
                  </w:r>
                  <w:r>
                    <w:rPr>
                      <w:rFonts w:hint="default" w:ascii="Times New Roman" w:hAnsi="Times New Roman" w:cs="Times New Roman"/>
                      <w:color w:val="auto"/>
                      <w:kern w:val="0"/>
                      <w:szCs w:val="21"/>
                      <w:highlight w:val="none"/>
                    </w:rPr>
                    <w:t>，不属于印染、制革、化工、电镀、酿造等大中型项目或者其他污染严重的项目</w:t>
                  </w:r>
                </w:p>
              </w:tc>
              <w:tc>
                <w:tcPr>
                  <w:tcW w:w="684" w:type="pct"/>
                  <w:tcBorders>
                    <w:tl2br w:val="nil"/>
                    <w:tr2bl w:val="nil"/>
                  </w:tcBorders>
                  <w:vAlign w:val="center"/>
                </w:tcPr>
                <w:p w14:paraId="74BCC673">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相符</w:t>
                  </w:r>
                </w:p>
              </w:tc>
            </w:tr>
            <w:tr w14:paraId="5CEA6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3" w:type="pct"/>
                  <w:vMerge w:val="restart"/>
                  <w:tcBorders>
                    <w:tl2br w:val="nil"/>
                    <w:tr2bl w:val="nil"/>
                  </w:tcBorders>
                  <w:vAlign w:val="center"/>
                </w:tcPr>
                <w:p w14:paraId="326F32B1">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第十四条</w:t>
                  </w:r>
                </w:p>
              </w:tc>
              <w:tc>
                <w:tcPr>
                  <w:tcW w:w="2222" w:type="pct"/>
                  <w:tcBorders>
                    <w:tl2br w:val="nil"/>
                    <w:tr2bl w:val="nil"/>
                  </w:tcBorders>
                  <w:vAlign w:val="center"/>
                </w:tcPr>
                <w:p w14:paraId="6EF88AF6">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620" w:type="pct"/>
                  <w:tcBorders>
                    <w:tl2br w:val="nil"/>
                    <w:tr2bl w:val="nil"/>
                  </w:tcBorders>
                  <w:vAlign w:val="center"/>
                </w:tcPr>
                <w:p w14:paraId="4FF7F754">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项目生活污水经化粪池处理后经厂区污水处理站处理后的生产废水达到</w:t>
                  </w:r>
                  <w:r>
                    <w:rPr>
                      <w:rFonts w:hint="eastAsia" w:cs="Times New Roman"/>
                      <w:color w:val="auto"/>
                      <w:kern w:val="0"/>
                      <w:szCs w:val="21"/>
                      <w:highlight w:val="none"/>
                      <w:lang w:eastAsia="zh-CN"/>
                    </w:rPr>
                    <w:t>淮南现代产业园污水处理站</w:t>
                  </w:r>
                  <w:r>
                    <w:rPr>
                      <w:rFonts w:hint="default" w:ascii="Times New Roman" w:hAnsi="Times New Roman" w:cs="Times New Roman"/>
                      <w:color w:val="auto"/>
                      <w:kern w:val="0"/>
                      <w:szCs w:val="21"/>
                      <w:highlight w:val="none"/>
                    </w:rPr>
                    <w:t>接管标准进入</w:t>
                  </w:r>
                  <w:r>
                    <w:rPr>
                      <w:rFonts w:hint="eastAsia" w:cs="Times New Roman"/>
                      <w:color w:val="auto"/>
                      <w:kern w:val="0"/>
                      <w:szCs w:val="21"/>
                      <w:highlight w:val="none"/>
                      <w:lang w:eastAsia="zh-CN"/>
                    </w:rPr>
                    <w:t>淮南现代产业园污水处理站</w:t>
                  </w:r>
                  <w:r>
                    <w:rPr>
                      <w:rFonts w:hint="default" w:ascii="Times New Roman" w:hAnsi="Times New Roman" w:cs="Times New Roman"/>
                      <w:color w:val="auto"/>
                      <w:kern w:val="0"/>
                      <w:szCs w:val="21"/>
                      <w:highlight w:val="none"/>
                    </w:rPr>
                    <w:t>处理，处理后尾水全部排入林桥涧沟，最终汇入瓦埠湖；</w:t>
                  </w:r>
                  <w:r>
                    <w:rPr>
                      <w:rFonts w:hint="default" w:ascii="Times New Roman" w:hAnsi="Times New Roman" w:cs="Times New Roman"/>
                      <w:color w:val="auto"/>
                      <w:kern w:val="0"/>
                      <w:szCs w:val="21"/>
                      <w:highlight w:val="none"/>
                      <w:lang w:val="en-US" w:eastAsia="zh-CN"/>
                    </w:rPr>
                    <w:t>磨边清洗用水经沉淀池沉淀后回用，不外排；设备冷却水循环使用，不外排</w:t>
                  </w:r>
                  <w:r>
                    <w:rPr>
                      <w:rFonts w:hint="default" w:ascii="Times New Roman" w:hAnsi="Times New Roman" w:cs="Times New Roman"/>
                      <w:color w:val="auto"/>
                      <w:kern w:val="0"/>
                      <w:szCs w:val="21"/>
                      <w:highlight w:val="none"/>
                    </w:rPr>
                    <w:t>。本项目的水污染防治设施与主体工程同时设计、同时施工、同时投入使用</w:t>
                  </w:r>
                </w:p>
              </w:tc>
              <w:tc>
                <w:tcPr>
                  <w:tcW w:w="684" w:type="pct"/>
                  <w:tcBorders>
                    <w:tl2br w:val="nil"/>
                    <w:tr2bl w:val="nil"/>
                  </w:tcBorders>
                  <w:vAlign w:val="center"/>
                </w:tcPr>
                <w:p w14:paraId="76D82402">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相符</w:t>
                  </w:r>
                </w:p>
              </w:tc>
            </w:tr>
            <w:tr w14:paraId="567EA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3" w:type="pct"/>
                  <w:vMerge w:val="continue"/>
                  <w:tcBorders>
                    <w:tl2br w:val="nil"/>
                    <w:tr2bl w:val="nil"/>
                  </w:tcBorders>
                  <w:vAlign w:val="center"/>
                </w:tcPr>
                <w:p w14:paraId="26813D0A">
                  <w:pPr>
                    <w:jc w:val="center"/>
                    <w:rPr>
                      <w:rFonts w:hint="default" w:ascii="Times New Roman" w:hAnsi="Times New Roman" w:cs="Times New Roman"/>
                      <w:color w:val="auto"/>
                      <w:kern w:val="0"/>
                      <w:szCs w:val="21"/>
                      <w:highlight w:val="none"/>
                    </w:rPr>
                  </w:pPr>
                </w:p>
              </w:tc>
              <w:tc>
                <w:tcPr>
                  <w:tcW w:w="2222" w:type="pct"/>
                  <w:tcBorders>
                    <w:tl2br w:val="nil"/>
                    <w:tr2bl w:val="nil"/>
                  </w:tcBorders>
                  <w:vAlign w:val="center"/>
                </w:tcPr>
                <w:p w14:paraId="470F7882">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新建、扩建、改建项目，除执行前款规定外，还应当遵守下列规定：（一）新建项目的选址应符合城市总体规划，避开饮用水水源地和对环境有特殊要求的功能区；（二）采用资源利用率高、污染物排放量少的先进设备和先进工艺；（三）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w:t>
                  </w:r>
                </w:p>
              </w:tc>
              <w:tc>
                <w:tcPr>
                  <w:tcW w:w="1620" w:type="pct"/>
                  <w:tcBorders>
                    <w:tl2br w:val="nil"/>
                    <w:tr2bl w:val="nil"/>
                  </w:tcBorders>
                  <w:vAlign w:val="center"/>
                </w:tcPr>
                <w:p w14:paraId="378EDED4">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选址位于安徽省淮南市淮南现代产业园，符合用地和产业规划，项目选址内不涉及饮用水水源地和对环境有特殊要求的功能区。要求企业采用资源利用率高，污染物排放量少的先进设备和先进工艺。建设单位应当按照国务院生态环境行政主管部门规定的标准和程序进行验收。验收合格后，方可投入使用；未经验收或者验收不合格的，不得投入生产或者使用</w:t>
                  </w:r>
                </w:p>
              </w:tc>
              <w:tc>
                <w:tcPr>
                  <w:tcW w:w="684" w:type="pct"/>
                  <w:tcBorders>
                    <w:tl2br w:val="nil"/>
                    <w:tr2bl w:val="nil"/>
                  </w:tcBorders>
                  <w:vAlign w:val="center"/>
                </w:tcPr>
                <w:p w14:paraId="7F074F6A">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相符</w:t>
                  </w:r>
                </w:p>
              </w:tc>
            </w:tr>
            <w:tr w14:paraId="16505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3" w:type="pct"/>
                  <w:tcBorders>
                    <w:tl2br w:val="nil"/>
                    <w:tr2bl w:val="nil"/>
                  </w:tcBorders>
                  <w:vAlign w:val="center"/>
                </w:tcPr>
                <w:p w14:paraId="538C9E7B">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第十五条</w:t>
                  </w:r>
                </w:p>
              </w:tc>
              <w:tc>
                <w:tcPr>
                  <w:tcW w:w="2222" w:type="pct"/>
                  <w:tcBorders>
                    <w:tl2br w:val="nil"/>
                    <w:tr2bl w:val="nil"/>
                  </w:tcBorders>
                  <w:vAlign w:val="center"/>
                </w:tcPr>
                <w:p w14:paraId="54A8B856">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所有排污单位的污水治理设施，应当确保正常运转，达标排放</w:t>
                  </w:r>
                </w:p>
              </w:tc>
              <w:tc>
                <w:tcPr>
                  <w:tcW w:w="1620" w:type="pct"/>
                  <w:tcBorders>
                    <w:tl2br w:val="nil"/>
                    <w:tr2bl w:val="nil"/>
                  </w:tcBorders>
                  <w:vAlign w:val="center"/>
                </w:tcPr>
                <w:p w14:paraId="67B4AB68">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项目生活污水经化粪池处理后经厂区污水处理站处理后的生产废水达到</w:t>
                  </w:r>
                  <w:r>
                    <w:rPr>
                      <w:rFonts w:hint="eastAsia" w:cs="Times New Roman"/>
                      <w:color w:val="auto"/>
                      <w:kern w:val="0"/>
                      <w:szCs w:val="21"/>
                      <w:highlight w:val="none"/>
                      <w:lang w:eastAsia="zh-CN"/>
                    </w:rPr>
                    <w:t>淮南现代产业园污水处理站</w:t>
                  </w:r>
                  <w:r>
                    <w:rPr>
                      <w:rFonts w:hint="default" w:ascii="Times New Roman" w:hAnsi="Times New Roman" w:cs="Times New Roman"/>
                      <w:color w:val="auto"/>
                      <w:kern w:val="0"/>
                      <w:szCs w:val="21"/>
                      <w:highlight w:val="none"/>
                    </w:rPr>
                    <w:t>接管标准进入</w:t>
                  </w:r>
                  <w:r>
                    <w:rPr>
                      <w:rFonts w:hint="eastAsia" w:cs="Times New Roman"/>
                      <w:color w:val="auto"/>
                      <w:kern w:val="0"/>
                      <w:szCs w:val="21"/>
                      <w:highlight w:val="none"/>
                      <w:lang w:eastAsia="zh-CN"/>
                    </w:rPr>
                    <w:t>淮南现代产业园污水处理站</w:t>
                  </w:r>
                  <w:r>
                    <w:rPr>
                      <w:rFonts w:hint="default" w:ascii="Times New Roman" w:hAnsi="Times New Roman" w:cs="Times New Roman"/>
                      <w:color w:val="auto"/>
                      <w:kern w:val="0"/>
                      <w:szCs w:val="21"/>
                      <w:highlight w:val="none"/>
                    </w:rPr>
                    <w:t>处理，处理后尾水全部排入林桥涧沟，最终汇入瓦埠湖</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磨边清洗用水经沉淀池沉淀后回用，不外排；设备冷却水循环使用，不外排</w:t>
                  </w:r>
                  <w:r>
                    <w:rPr>
                      <w:rFonts w:hint="default" w:ascii="Times New Roman" w:hAnsi="Times New Roman" w:cs="Times New Roman"/>
                      <w:color w:val="auto"/>
                      <w:kern w:val="0"/>
                      <w:szCs w:val="21"/>
                      <w:highlight w:val="none"/>
                    </w:rPr>
                    <w:t>。</w:t>
                  </w:r>
                </w:p>
              </w:tc>
              <w:tc>
                <w:tcPr>
                  <w:tcW w:w="684" w:type="pct"/>
                  <w:tcBorders>
                    <w:tl2br w:val="nil"/>
                    <w:tr2bl w:val="nil"/>
                  </w:tcBorders>
                  <w:vAlign w:val="center"/>
                </w:tcPr>
                <w:p w14:paraId="1920B1C4">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相符</w:t>
                  </w:r>
                </w:p>
              </w:tc>
            </w:tr>
            <w:tr w14:paraId="5D812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3" w:type="pct"/>
                  <w:tcBorders>
                    <w:tl2br w:val="nil"/>
                    <w:tr2bl w:val="nil"/>
                  </w:tcBorders>
                  <w:vAlign w:val="center"/>
                </w:tcPr>
                <w:p w14:paraId="2450E970">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第十七条</w:t>
                  </w:r>
                </w:p>
              </w:tc>
              <w:tc>
                <w:tcPr>
                  <w:tcW w:w="2222" w:type="pct"/>
                  <w:tcBorders>
                    <w:tl2br w:val="nil"/>
                    <w:tr2bl w:val="nil"/>
                  </w:tcBorders>
                  <w:vAlign w:val="center"/>
                </w:tcPr>
                <w:p w14:paraId="4F182BCD">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在饮用水水源保护区内，禁止设置排污口。在风景名胜区水体、重要渔业水体和其他具有特殊经济文化价值的水体的保护区内，不得新建排污口。在保护区附近新建排污口，应当保证保护区水体不受污染</w:t>
                  </w:r>
                </w:p>
              </w:tc>
              <w:tc>
                <w:tcPr>
                  <w:tcW w:w="1620" w:type="pct"/>
                  <w:tcBorders>
                    <w:tl2br w:val="nil"/>
                    <w:tr2bl w:val="nil"/>
                  </w:tcBorders>
                  <w:vAlign w:val="center"/>
                </w:tcPr>
                <w:p w14:paraId="6D554790">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本项目污水接管进入</w:t>
                  </w:r>
                  <w:r>
                    <w:rPr>
                      <w:rFonts w:hint="eastAsia" w:cs="Times New Roman"/>
                      <w:color w:val="auto"/>
                      <w:kern w:val="0"/>
                      <w:szCs w:val="21"/>
                      <w:highlight w:val="none"/>
                      <w:lang w:eastAsia="zh-CN"/>
                    </w:rPr>
                    <w:t>淮南现代产业园污水处理站</w:t>
                  </w:r>
                  <w:r>
                    <w:rPr>
                      <w:rFonts w:hint="default" w:ascii="Times New Roman" w:hAnsi="Times New Roman" w:cs="Times New Roman"/>
                      <w:color w:val="auto"/>
                      <w:kern w:val="0"/>
                      <w:szCs w:val="21"/>
                      <w:highlight w:val="none"/>
                    </w:rPr>
                    <w:t>，不涉及新建排污口</w:t>
                  </w:r>
                </w:p>
              </w:tc>
              <w:tc>
                <w:tcPr>
                  <w:tcW w:w="684" w:type="pct"/>
                  <w:tcBorders>
                    <w:tl2br w:val="nil"/>
                    <w:tr2bl w:val="nil"/>
                  </w:tcBorders>
                  <w:vAlign w:val="center"/>
                </w:tcPr>
                <w:p w14:paraId="7BA75552">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相符</w:t>
                  </w:r>
                </w:p>
              </w:tc>
            </w:tr>
            <w:tr w14:paraId="785BA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3" w:type="pct"/>
                  <w:tcBorders>
                    <w:tl2br w:val="nil"/>
                    <w:tr2bl w:val="nil"/>
                  </w:tcBorders>
                  <w:vAlign w:val="center"/>
                </w:tcPr>
                <w:p w14:paraId="3FD99E55">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第十九条</w:t>
                  </w:r>
                </w:p>
              </w:tc>
              <w:tc>
                <w:tcPr>
                  <w:tcW w:w="2222" w:type="pct"/>
                  <w:tcBorders>
                    <w:tl2br w:val="nil"/>
                    <w:tr2bl w:val="nil"/>
                  </w:tcBorders>
                  <w:vAlign w:val="center"/>
                </w:tcPr>
                <w:p w14:paraId="1A9BE75E">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禁止下列行为：（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九）引进不符合国家环境保护规定要求的技术和设备；（十）</w:t>
                  </w:r>
                  <w:r>
                    <w:rPr>
                      <w:rFonts w:hint="default" w:ascii="Times New Roman" w:hAnsi="Times New Roman" w:cs="Times New Roman"/>
                      <w:color w:val="auto"/>
                      <w:kern w:val="0"/>
                      <w:szCs w:val="21"/>
                      <w:highlight w:val="none"/>
                      <w:lang w:eastAsia="zh-CN"/>
                    </w:rPr>
                    <w:t>法律法规</w:t>
                  </w:r>
                  <w:r>
                    <w:rPr>
                      <w:rFonts w:hint="default" w:ascii="Times New Roman" w:hAnsi="Times New Roman" w:cs="Times New Roman"/>
                      <w:color w:val="auto"/>
                      <w:kern w:val="0"/>
                      <w:szCs w:val="21"/>
                      <w:highlight w:val="none"/>
                    </w:rPr>
                    <w:t>禁止的其他行为</w:t>
                  </w:r>
                </w:p>
              </w:tc>
              <w:tc>
                <w:tcPr>
                  <w:tcW w:w="1620" w:type="pct"/>
                  <w:tcBorders>
                    <w:tl2br w:val="nil"/>
                    <w:tr2bl w:val="nil"/>
                  </w:tcBorders>
                  <w:vAlign w:val="center"/>
                </w:tcPr>
                <w:p w14:paraId="6A07B55F">
                  <w:pPr>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评价要求企业严格遵守《安徽省淮河流域水污染防治条例》，不得有明令禁止的违法行为</w:t>
                  </w:r>
                </w:p>
              </w:tc>
              <w:tc>
                <w:tcPr>
                  <w:tcW w:w="684" w:type="pct"/>
                  <w:tcBorders>
                    <w:tl2br w:val="nil"/>
                    <w:tr2bl w:val="nil"/>
                  </w:tcBorders>
                  <w:vAlign w:val="center"/>
                </w:tcPr>
                <w:p w14:paraId="44C5EE81">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相符</w:t>
                  </w:r>
                </w:p>
              </w:tc>
            </w:tr>
          </w:tbl>
          <w:p w14:paraId="6E4BE4C0">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综上所述，建设项目符合《安徽省淮河流域水污染防治条例》中的相关要求。</w:t>
            </w:r>
          </w:p>
          <w:p w14:paraId="44A09AB7">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七</w:t>
            </w:r>
            <w:r>
              <w:rPr>
                <w:rFonts w:hint="default" w:ascii="Times New Roman" w:hAnsi="Times New Roman" w:cs="Times New Roman"/>
                <w:b/>
                <w:color w:val="auto"/>
                <w:sz w:val="24"/>
                <w:highlight w:val="none"/>
              </w:rPr>
              <w:t>、与《安徽省大气办关于深入开展挥发性有机物污染治理工作的通知》（皖大气办〔2021〕4号）相符性</w:t>
            </w:r>
          </w:p>
          <w:p w14:paraId="12CBF906">
            <w:pPr>
              <w:spacing w:line="240" w:lineRule="auto"/>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表1-8 项目与“</w:t>
            </w:r>
            <w:r>
              <w:rPr>
                <w:rFonts w:hint="default" w:ascii="Times New Roman" w:hAnsi="Times New Roman" w:cs="Times New Roman"/>
                <w:b/>
                <w:color w:val="auto"/>
                <w:sz w:val="24"/>
                <w:szCs w:val="24"/>
                <w:highlight w:val="none"/>
              </w:rPr>
              <w:t>皖大气办〔2021〕4号</w:t>
            </w:r>
            <w:r>
              <w:rPr>
                <w:rFonts w:hint="default" w:ascii="Times New Roman" w:hAnsi="Times New Roman" w:cs="Times New Roman"/>
                <w:b/>
                <w:bCs/>
                <w:color w:val="auto"/>
                <w:sz w:val="24"/>
                <w:szCs w:val="24"/>
                <w:highlight w:val="none"/>
              </w:rPr>
              <w:t>”符合性分析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29"/>
              <w:gridCol w:w="2241"/>
              <w:gridCol w:w="741"/>
            </w:tblGrid>
            <w:tr w14:paraId="6DC40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3091" w:type="pct"/>
                  <w:tcBorders>
                    <w:tl2br w:val="nil"/>
                    <w:tr2bl w:val="nil"/>
                  </w:tcBorders>
                  <w:noWrap w:val="0"/>
                  <w:vAlign w:val="center"/>
                </w:tcPr>
                <w:p w14:paraId="1129C9A7">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皖大气办〔2021〕4号要求</w:t>
                  </w:r>
                </w:p>
              </w:tc>
              <w:tc>
                <w:tcPr>
                  <w:tcW w:w="1434" w:type="pct"/>
                  <w:tcBorders>
                    <w:tl2br w:val="nil"/>
                    <w:tr2bl w:val="nil"/>
                  </w:tcBorders>
                  <w:noWrap w:val="0"/>
                  <w:vAlign w:val="center"/>
                </w:tcPr>
                <w:p w14:paraId="5043968D">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本项目建设情况</w:t>
                  </w:r>
                </w:p>
              </w:tc>
              <w:tc>
                <w:tcPr>
                  <w:tcW w:w="474" w:type="pct"/>
                  <w:tcBorders>
                    <w:tl2br w:val="nil"/>
                    <w:tr2bl w:val="nil"/>
                  </w:tcBorders>
                  <w:noWrap w:val="0"/>
                  <w:vAlign w:val="center"/>
                </w:tcPr>
                <w:p w14:paraId="0BA31BB2">
                  <w:pPr>
                    <w:snapToGrid w:val="0"/>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相符性</w:t>
                  </w:r>
                </w:p>
              </w:tc>
            </w:tr>
            <w:tr w14:paraId="57161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1" w:type="pct"/>
                  <w:tcBorders>
                    <w:tl2br w:val="nil"/>
                    <w:tr2bl w:val="nil"/>
                  </w:tcBorders>
                  <w:noWrap w:val="0"/>
                  <w:vAlign w:val="center"/>
                </w:tcPr>
                <w:p w14:paraId="78336A1F">
                  <w:pPr>
                    <w:snapToGrid w:val="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推进源头削减。鼓励支持使用涂料、油墨、胶粘剂、涂层剂（树脂）、清洗剂等原辅材料的企业，进行低VOCs含量原辅材料的源头替代，7月1日前各地指导企业建立管理台账，记录VOCs原辅材料的产品名称、VOCs含量和使用量等。各地应结合本地产业特点和源头替代参考目录，重点在工业涂装、包装印刷、鞋革箱包制造、竹木制品胶合、电子等重点领域，推广VOCs含量低于10%原辅材料的源头替代，并纳入年度源头削减项目管理，实现“可替尽替、应代尽代”，源头削减年度完成项目占30%以上。</w:t>
                  </w:r>
                </w:p>
              </w:tc>
              <w:tc>
                <w:tcPr>
                  <w:tcW w:w="1434" w:type="pct"/>
                  <w:tcBorders>
                    <w:tl2br w:val="nil"/>
                    <w:tr2bl w:val="nil"/>
                  </w:tcBorders>
                  <w:noWrap w:val="0"/>
                  <w:vAlign w:val="center"/>
                </w:tcPr>
                <w:p w14:paraId="15F85437">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本项目使用的丁基胶、硅酮胶中不含苯、甲苯、乙苯、二甲苯和多环芳烃等高挥发性有机物。</w:t>
                  </w:r>
                </w:p>
              </w:tc>
              <w:tc>
                <w:tcPr>
                  <w:tcW w:w="474" w:type="pct"/>
                  <w:tcBorders>
                    <w:tl2br w:val="nil"/>
                    <w:tr2bl w:val="nil"/>
                  </w:tcBorders>
                  <w:noWrap w:val="0"/>
                  <w:vAlign w:val="center"/>
                </w:tcPr>
                <w:p w14:paraId="40CE5ED5">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6383B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1" w:type="pct"/>
                  <w:tcBorders>
                    <w:tl2br w:val="nil"/>
                    <w:tr2bl w:val="nil"/>
                  </w:tcBorders>
                  <w:noWrap w:val="0"/>
                  <w:vAlign w:val="center"/>
                </w:tcPr>
                <w:p w14:paraId="6C7B1EBB">
                  <w:pPr>
                    <w:snapToGrid w:val="0"/>
                    <w:jc w:val="left"/>
                    <w:rPr>
                      <w:rFonts w:hint="default" w:ascii="Times New Roman" w:hAnsi="Times New Roman" w:eastAsia="仿宋_GB2312" w:cs="Times New Roman"/>
                      <w:color w:val="auto"/>
                      <w:szCs w:val="21"/>
                      <w:highlight w:val="none"/>
                    </w:rPr>
                  </w:pPr>
                  <w:r>
                    <w:rPr>
                      <w:rFonts w:hint="default" w:ascii="Times New Roman" w:hAnsi="Times New Roman" w:cs="Times New Roman"/>
                      <w:color w:val="auto"/>
                      <w:szCs w:val="21"/>
                      <w:highlight w:val="none"/>
                    </w:rPr>
                    <w:t>实施排污许可。建立健全以排污许可核发为中心的VOCs管控依据，在石油、化工、工业涂装、包装印刷、油品储运销五大领域全面推行排污许可制度，不断规范涉VOCs工业企业的排污许可登记管理，落实企业VOCs源头削减、过程控制和末端污染治理工作，推进企业自行监测、台账落实和定期报告的具体规定落地，严厉处罚无证和不按证排污行为。</w:t>
                  </w:r>
                </w:p>
              </w:tc>
              <w:tc>
                <w:tcPr>
                  <w:tcW w:w="1434" w:type="pct"/>
                  <w:tcBorders>
                    <w:tl2br w:val="nil"/>
                    <w:tr2bl w:val="nil"/>
                  </w:tcBorders>
                  <w:noWrap w:val="0"/>
                  <w:vAlign w:val="center"/>
                </w:tcPr>
                <w:p w14:paraId="701EAE99">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本项目在产生实际排污之前将申领排污许可证，落实企业VOCs源头削减、过程控制和末端污染治理工作。</w:t>
                  </w:r>
                </w:p>
              </w:tc>
              <w:tc>
                <w:tcPr>
                  <w:tcW w:w="474" w:type="pct"/>
                  <w:tcBorders>
                    <w:tl2br w:val="nil"/>
                    <w:tr2bl w:val="nil"/>
                  </w:tcBorders>
                  <w:noWrap w:val="0"/>
                  <w:vAlign w:val="center"/>
                </w:tcPr>
                <w:p w14:paraId="4E323B36">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符合</w:t>
                  </w:r>
                </w:p>
              </w:tc>
            </w:tr>
          </w:tbl>
          <w:p w14:paraId="4D539C28">
            <w:pPr>
              <w:spacing w:line="336"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综上所述，项目建设符合《安徽省大气办关于深入开展挥发性有机物污染治理工作的通知》（皖大气办〔2021〕4号）的要求。</w:t>
            </w:r>
          </w:p>
          <w:p w14:paraId="1C27BBF4">
            <w:pPr>
              <w:spacing w:line="336"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bCs/>
                <w:color w:val="auto"/>
                <w:sz w:val="24"/>
                <w:szCs w:val="20"/>
                <w:highlight w:val="none"/>
                <w:lang w:val="en-US" w:eastAsia="zh-CN"/>
              </w:rPr>
              <w:t>八</w:t>
            </w:r>
            <w:r>
              <w:rPr>
                <w:rFonts w:hint="default" w:ascii="Times New Roman" w:hAnsi="Times New Roman" w:cs="Times New Roman"/>
                <w:color w:val="auto"/>
                <w:sz w:val="24"/>
                <w:szCs w:val="20"/>
                <w:highlight w:val="none"/>
              </w:rPr>
              <w:t>、</w:t>
            </w:r>
            <w:r>
              <w:rPr>
                <w:rFonts w:hint="default" w:ascii="Times New Roman" w:hAnsi="Times New Roman" w:cs="Times New Roman"/>
                <w:b/>
                <w:color w:val="auto"/>
                <w:sz w:val="24"/>
                <w:highlight w:val="none"/>
              </w:rPr>
              <w:t>与《关于加快解决当前挥发性有机物治理突出问题的通知》相符性分析</w:t>
            </w:r>
          </w:p>
          <w:p w14:paraId="1E745051">
            <w:pPr>
              <w:adjustRightInd w:val="0"/>
              <w:snapToGrid w:val="0"/>
              <w:spacing w:line="240" w:lineRule="auto"/>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表1-</w:t>
            </w:r>
            <w:r>
              <w:rPr>
                <w:rFonts w:hint="default" w:ascii="Times New Roman" w:hAnsi="Times New Roman" w:cs="Times New Roman"/>
                <w:b/>
                <w:bCs/>
                <w:color w:val="auto"/>
                <w:kern w:val="0"/>
                <w:sz w:val="24"/>
                <w:szCs w:val="24"/>
                <w:highlight w:val="none"/>
                <w:lang w:val="en-US" w:eastAsia="zh-CN"/>
              </w:rPr>
              <w:t>9</w:t>
            </w:r>
            <w:r>
              <w:rPr>
                <w:rFonts w:hint="default" w:ascii="Times New Roman" w:hAnsi="Times New Roman" w:cs="Times New Roman"/>
                <w:b/>
                <w:bCs/>
                <w:color w:val="auto"/>
                <w:kern w:val="0"/>
                <w:sz w:val="24"/>
                <w:szCs w:val="24"/>
                <w:highlight w:val="none"/>
              </w:rPr>
              <w:t xml:space="preserve"> 《关于加快解决当前挥发性有机物治理突出问题的通知》符合性分析</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13"/>
              <w:gridCol w:w="2153"/>
              <w:gridCol w:w="642"/>
            </w:tblGrid>
            <w:tr w14:paraId="6CB90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09" w:type="pct"/>
                  <w:tcBorders>
                    <w:tl2br w:val="nil"/>
                    <w:tr2bl w:val="nil"/>
                  </w:tcBorders>
                  <w:noWrap w:val="0"/>
                  <w:vAlign w:val="center"/>
                </w:tcPr>
                <w:p w14:paraId="6C9EE7AF">
                  <w:pPr>
                    <w:pStyle w:val="91"/>
                    <w:adjustRightInd w:val="0"/>
                    <w:snapToGrid w:val="0"/>
                    <w:spacing w:line="24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文件要求</w:t>
                  </w:r>
                </w:p>
              </w:tc>
              <w:tc>
                <w:tcPr>
                  <w:tcW w:w="1378" w:type="pct"/>
                  <w:tcBorders>
                    <w:tl2br w:val="nil"/>
                    <w:tr2bl w:val="nil"/>
                  </w:tcBorders>
                  <w:noWrap w:val="0"/>
                  <w:vAlign w:val="center"/>
                </w:tcPr>
                <w:p w14:paraId="2A6DF86F">
                  <w:pPr>
                    <w:pStyle w:val="91"/>
                    <w:adjustRightInd w:val="0"/>
                    <w:snapToGrid w:val="0"/>
                    <w:spacing w:line="240" w:lineRule="atLeast"/>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本项目情况</w:t>
                  </w:r>
                </w:p>
              </w:tc>
              <w:tc>
                <w:tcPr>
                  <w:tcW w:w="411" w:type="pct"/>
                  <w:tcBorders>
                    <w:tl2br w:val="nil"/>
                    <w:tr2bl w:val="nil"/>
                  </w:tcBorders>
                  <w:noWrap w:val="0"/>
                  <w:vAlign w:val="center"/>
                </w:tcPr>
                <w:p w14:paraId="338F507E">
                  <w:pPr>
                    <w:pStyle w:val="91"/>
                    <w:adjustRightInd w:val="0"/>
                    <w:snapToGrid w:val="0"/>
                    <w:spacing w:line="240" w:lineRule="atLeast"/>
                    <w:jc w:val="left"/>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结论</w:t>
                  </w:r>
                </w:p>
              </w:tc>
            </w:tr>
            <w:tr w14:paraId="41094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09" w:type="pct"/>
                  <w:tcBorders>
                    <w:tl2br w:val="nil"/>
                    <w:tr2bl w:val="nil"/>
                  </w:tcBorders>
                  <w:noWrap w:val="0"/>
                  <w:vAlign w:val="center"/>
                </w:tcPr>
                <w:p w14:paraId="6AF06F8B">
                  <w:pPr>
                    <w:pStyle w:val="91"/>
                    <w:adjustRightInd w:val="0"/>
                    <w:snapToGrid w:val="0"/>
                    <w:spacing w:line="24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收集设施：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推广以生产线或设备为单位设置隔间，收集风量应确保隔间保持微负压。当废气产生点较多、彼此距离较远时，在满足设计规范、风压平衡的基础上，适当分设多套收集系统或中继风机。废气收集系统的输送管道应密闭、无破损。焦化行业加强焦炉密封性检查，对于变形炉门、炉顶炉盖及时修复更换：加强焦炉工况监督，对焦炉墙串漏及时修缮。制药、农药、涂料、油墨、胶粘剂等间歇性生产工序较多的行业应对进出料、物料输送、搅拌、固液分离、干燥、灌装、取样等过程采取密闭化措施，提升工艺装备水平</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含VOCs物料输送原则上采用重力流或泵送方式</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有机液体进料鼓励采用底部、浸入管给料方式</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固体物料投加逐步推进采用密闭式投料装置。工业涂装行业建设密闭喷漆房，对于大型构件（船舶、钢结构）实施分段涂装，废气进行收集治理：对于确需露天涂装的，应采用符合国家或地方标准要求的低（无） VOCs含量涂料，或使用移动式废气收集治理设施。包装印刷行业的印刷、复合、涂布工序实施密闭化改造，全面采用VOCs质量占比小于10%的原辅材料的除外。鼓励石油炼制企业开展冷焦水、切焦水等废气收集治理。使用VOCs质量占比大于等于10%的涂料、油墨、胶粘剂、稀释剂、清洗剂等物料存储、调配、转移、输送等环节应密闭。</w:t>
                  </w:r>
                </w:p>
              </w:tc>
              <w:tc>
                <w:tcPr>
                  <w:tcW w:w="1378" w:type="pct"/>
                  <w:tcBorders>
                    <w:tl2br w:val="nil"/>
                    <w:tr2bl w:val="nil"/>
                  </w:tcBorders>
                  <w:noWrap w:val="0"/>
                  <w:vAlign w:val="center"/>
                </w:tcPr>
                <w:p w14:paraId="0A6170F1">
                  <w:pPr>
                    <w:pStyle w:val="91"/>
                    <w:adjustRightInd w:val="0"/>
                    <w:snapToGrid w:val="0"/>
                    <w:spacing w:line="240" w:lineRule="atLeast"/>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lang w:val="en"/>
                    </w:rPr>
                    <w:t>本项目涂胶和封口废气经在涂胶和封口工序操作台上方设置上吸式集气罩（四周设置软帘)进行收集</w:t>
                  </w:r>
                  <w:r>
                    <w:rPr>
                      <w:rFonts w:hint="eastAsia" w:cs="Times New Roman"/>
                      <w:bCs/>
                      <w:color w:val="auto"/>
                      <w:szCs w:val="21"/>
                      <w:highlight w:val="none"/>
                      <w:lang w:val="en" w:eastAsia="zh-CN"/>
                    </w:rPr>
                    <w:t>：</w:t>
                  </w:r>
                  <w:r>
                    <w:rPr>
                      <w:rFonts w:hint="default" w:ascii="Times New Roman" w:hAnsi="Times New Roman" w:cs="Times New Roman"/>
                      <w:bCs/>
                      <w:color w:val="auto"/>
                      <w:szCs w:val="21"/>
                      <w:highlight w:val="none"/>
                      <w:lang w:val="en"/>
                    </w:rPr>
                    <w:t>中空玻璃生产线涂胶废气经丁基胶涂布机胶料出口侧方设置侧吸式集气罩进行收集、封胶废气经在双组分涂胶机上方设置可移动式上吸式集气罩进行收集，后共同经风机引至1套二级活性炭吸附装置进行处理，后共同经1根15m高</w:t>
                  </w:r>
                  <w:r>
                    <w:rPr>
                      <w:rFonts w:hint="default" w:ascii="Times New Roman" w:hAnsi="Times New Roman" w:cs="Times New Roman"/>
                      <w:bCs/>
                      <w:color w:val="auto"/>
                      <w:szCs w:val="21"/>
                      <w:highlight w:val="none"/>
                      <w:lang w:val="en" w:eastAsia="zh-CN"/>
                    </w:rPr>
                    <w:t>排气筒</w:t>
                  </w:r>
                  <w:r>
                    <w:rPr>
                      <w:rFonts w:hint="default" w:ascii="Times New Roman" w:hAnsi="Times New Roman" w:cs="Times New Roman"/>
                      <w:bCs/>
                      <w:color w:val="auto"/>
                      <w:szCs w:val="21"/>
                      <w:highlight w:val="none"/>
                      <w:lang w:val="en"/>
                    </w:rPr>
                    <w:t>排放。</w:t>
                  </w:r>
                </w:p>
              </w:tc>
              <w:tc>
                <w:tcPr>
                  <w:tcW w:w="411" w:type="pct"/>
                  <w:tcBorders>
                    <w:tl2br w:val="nil"/>
                    <w:tr2bl w:val="nil"/>
                  </w:tcBorders>
                  <w:noWrap w:val="0"/>
                  <w:vAlign w:val="center"/>
                </w:tcPr>
                <w:p w14:paraId="4F223E41">
                  <w:pPr>
                    <w:pStyle w:val="91"/>
                    <w:adjustRightInd w:val="0"/>
                    <w:snapToGrid w:val="0"/>
                    <w:spacing w:line="24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26034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0" w:hRule="atLeast"/>
                <w:jc w:val="center"/>
              </w:trPr>
              <w:tc>
                <w:tcPr>
                  <w:tcW w:w="3209" w:type="pct"/>
                  <w:tcBorders>
                    <w:tl2br w:val="nil"/>
                    <w:tr2bl w:val="nil"/>
                  </w:tcBorders>
                  <w:noWrap w:val="0"/>
                  <w:vAlign w:val="center"/>
                </w:tcPr>
                <w:p w14:paraId="1ADCF5F3">
                  <w:pPr>
                    <w:pStyle w:val="91"/>
                    <w:adjustRightInd w:val="0"/>
                    <w:snapToGrid w:val="0"/>
                    <w:spacing w:line="24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有机废气治理设施：新建治理设施或对现有治理设施实施改造，应依据排放废气特征 VOCs组分及浓度、生产工况等，合理选择治理技术；对治理难度大、单一治理工艺难以稳定达标的，宜采用多种技术的组合工艺；除恶臭异味治理外，一般不使用低温等离子、光催化、光氧化等技术。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g</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采用蜂窝活性炭作为吸附剂时，其碘值不宜低于 650mg/g</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采用活性炭纤维作为吸附剂时，其比表面积不低于1100m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g(BET法)。一次性活性炭吸附工艺宜采用颗粒活性炭作为吸附剂。活性炭、活性炭纤维产品销售时应提供产品质量证明材料。</w:t>
                  </w:r>
                </w:p>
              </w:tc>
              <w:tc>
                <w:tcPr>
                  <w:tcW w:w="1378" w:type="pct"/>
                  <w:tcBorders>
                    <w:tl2br w:val="nil"/>
                    <w:tr2bl w:val="nil"/>
                  </w:tcBorders>
                  <w:noWrap w:val="0"/>
                  <w:vAlign w:val="center"/>
                </w:tcPr>
                <w:p w14:paraId="1B8FD7D4">
                  <w:pPr>
                    <w:pStyle w:val="91"/>
                    <w:adjustRightInd w:val="0"/>
                    <w:snapToGrid w:val="0"/>
                    <w:spacing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本项目产生的有机废气经收集后进入二级活性炭吸附装置处理，本项目采用</w:t>
                  </w:r>
                  <w:r>
                    <w:rPr>
                      <w:rFonts w:hint="eastAsia" w:cs="Times New Roman"/>
                      <w:color w:val="auto"/>
                      <w:szCs w:val="21"/>
                      <w:highlight w:val="none"/>
                      <w:lang w:val="en-US" w:eastAsia="zh-CN"/>
                    </w:rPr>
                    <w:t>蜂窝</w:t>
                  </w:r>
                  <w:r>
                    <w:rPr>
                      <w:rFonts w:hint="default" w:ascii="Times New Roman" w:hAnsi="Times New Roman" w:cs="Times New Roman"/>
                      <w:color w:val="auto"/>
                      <w:szCs w:val="21"/>
                      <w:highlight w:val="none"/>
                    </w:rPr>
                    <w:t>活性炭作为吸附剂，其碘值不低于 800mg</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g</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且定期更换.</w:t>
                  </w:r>
                </w:p>
              </w:tc>
              <w:tc>
                <w:tcPr>
                  <w:tcW w:w="411" w:type="pct"/>
                  <w:tcBorders>
                    <w:tl2br w:val="nil"/>
                    <w:tr2bl w:val="nil"/>
                  </w:tcBorders>
                  <w:noWrap w:val="0"/>
                  <w:vAlign w:val="center"/>
                </w:tcPr>
                <w:p w14:paraId="68E08CCC">
                  <w:pPr>
                    <w:pStyle w:val="91"/>
                    <w:adjustRightInd w:val="0"/>
                    <w:snapToGrid w:val="0"/>
                    <w:spacing w:line="24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14:paraId="4AB7E37A">
            <w:pPr>
              <w:spacing w:line="360" w:lineRule="auto"/>
              <w:ind w:firstLine="482" w:firstLineChars="200"/>
              <w:rPr>
                <w:rFonts w:hint="default" w:ascii="Times New Roman" w:hAnsi="Times New Roman" w:cs="Times New Roman"/>
                <w:color w:val="auto"/>
                <w:kern w:val="0"/>
                <w:sz w:val="24"/>
                <w:highlight w:val="none"/>
              </w:rPr>
            </w:pPr>
            <w:r>
              <w:rPr>
                <w:rFonts w:hint="eastAsia" w:cs="Times New Roman"/>
                <w:b/>
                <w:bCs/>
                <w:color w:val="auto"/>
                <w:sz w:val="24"/>
                <w:szCs w:val="20"/>
                <w:highlight w:val="none"/>
                <w:lang w:val="en-US" w:eastAsia="zh-CN"/>
              </w:rPr>
              <w:t>九</w:t>
            </w:r>
            <w:r>
              <w:rPr>
                <w:rFonts w:hint="default" w:ascii="Times New Roman" w:hAnsi="Times New Roman" w:cs="Times New Roman"/>
                <w:color w:val="auto"/>
                <w:sz w:val="24"/>
                <w:szCs w:val="20"/>
                <w:highlight w:val="none"/>
              </w:rPr>
              <w:t>、</w:t>
            </w:r>
            <w:r>
              <w:rPr>
                <w:rFonts w:hint="default" w:ascii="Times New Roman" w:hAnsi="Times New Roman" w:cs="Times New Roman"/>
                <w:b/>
                <w:color w:val="auto"/>
                <w:sz w:val="24"/>
                <w:highlight w:val="none"/>
              </w:rPr>
              <w:t>与《安徽省低挥发性有机物含量原辅材料替代工作方案》的相符性分析</w:t>
            </w:r>
          </w:p>
          <w:p w14:paraId="55BECD42">
            <w:pPr>
              <w:adjustRightInd w:val="0"/>
              <w:snapToGrid w:val="0"/>
              <w:spacing w:line="240" w:lineRule="auto"/>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4"/>
                <w:szCs w:val="24"/>
                <w:highlight w:val="none"/>
              </w:rPr>
              <w:t>表1-</w:t>
            </w:r>
            <w:r>
              <w:rPr>
                <w:rFonts w:hint="eastAsia" w:cs="Times New Roman"/>
                <w:b/>
                <w:bCs/>
                <w:color w:val="auto"/>
                <w:kern w:val="0"/>
                <w:sz w:val="24"/>
                <w:szCs w:val="24"/>
                <w:highlight w:val="none"/>
                <w:lang w:val="en-US" w:eastAsia="zh-CN"/>
              </w:rPr>
              <w:t>10</w:t>
            </w:r>
            <w:r>
              <w:rPr>
                <w:rFonts w:hint="default" w:ascii="Times New Roman" w:hAnsi="Times New Roman" w:cs="Times New Roman"/>
                <w:b/>
                <w:bCs/>
                <w:color w:val="auto"/>
                <w:kern w:val="0"/>
                <w:sz w:val="24"/>
                <w:szCs w:val="24"/>
                <w:highlight w:val="none"/>
              </w:rPr>
              <w:t xml:space="preserve"> 《</w:t>
            </w:r>
            <w:r>
              <w:rPr>
                <w:rFonts w:hint="default" w:ascii="Times New Roman" w:hAnsi="Times New Roman" w:cs="Times New Roman"/>
                <w:b/>
                <w:color w:val="auto"/>
                <w:sz w:val="24"/>
                <w:szCs w:val="24"/>
                <w:highlight w:val="none"/>
              </w:rPr>
              <w:t>安徽省低挥发性有机物含量原辅材料替代工作方案</w:t>
            </w:r>
            <w:r>
              <w:rPr>
                <w:rFonts w:hint="default" w:ascii="Times New Roman" w:hAnsi="Times New Roman" w:cs="Times New Roman"/>
                <w:b/>
                <w:bCs/>
                <w:color w:val="auto"/>
                <w:kern w:val="0"/>
                <w:sz w:val="24"/>
                <w:szCs w:val="24"/>
                <w:highlight w:val="none"/>
              </w:rPr>
              <w:t>》符合性分析</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1926"/>
              <w:gridCol w:w="642"/>
            </w:tblGrid>
            <w:tr w14:paraId="5AB16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5" w:type="pct"/>
                  <w:tcBorders>
                    <w:tl2br w:val="nil"/>
                    <w:tr2bl w:val="nil"/>
                  </w:tcBorders>
                  <w:noWrap w:val="0"/>
                  <w:vAlign w:val="center"/>
                </w:tcPr>
                <w:p w14:paraId="2C1CF043">
                  <w:pPr>
                    <w:pStyle w:val="91"/>
                    <w:adjustRightInd w:val="0"/>
                    <w:snapToGrid w:val="0"/>
                    <w:spacing w:line="24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文件要求</w:t>
                  </w:r>
                </w:p>
              </w:tc>
              <w:tc>
                <w:tcPr>
                  <w:tcW w:w="1233" w:type="pct"/>
                  <w:tcBorders>
                    <w:tl2br w:val="nil"/>
                    <w:tr2bl w:val="nil"/>
                  </w:tcBorders>
                  <w:noWrap w:val="0"/>
                  <w:vAlign w:val="center"/>
                </w:tcPr>
                <w:p w14:paraId="5E92A8C7">
                  <w:pPr>
                    <w:pStyle w:val="91"/>
                    <w:adjustRightInd w:val="0"/>
                    <w:snapToGrid w:val="0"/>
                    <w:spacing w:line="240" w:lineRule="atLeast"/>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本项目情况</w:t>
                  </w:r>
                </w:p>
              </w:tc>
              <w:tc>
                <w:tcPr>
                  <w:tcW w:w="411" w:type="pct"/>
                  <w:tcBorders>
                    <w:tl2br w:val="nil"/>
                    <w:tr2bl w:val="nil"/>
                  </w:tcBorders>
                  <w:noWrap w:val="0"/>
                  <w:vAlign w:val="center"/>
                </w:tcPr>
                <w:p w14:paraId="7C48BD55">
                  <w:pPr>
                    <w:pStyle w:val="91"/>
                    <w:adjustRightInd w:val="0"/>
                    <w:snapToGrid w:val="0"/>
                    <w:spacing w:line="240" w:lineRule="atLeast"/>
                    <w:jc w:val="left"/>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结论</w:t>
                  </w:r>
                </w:p>
              </w:tc>
            </w:tr>
            <w:tr w14:paraId="21EF0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5" w:type="pct"/>
                  <w:tcBorders>
                    <w:tl2br w:val="nil"/>
                    <w:tr2bl w:val="nil"/>
                  </w:tcBorders>
                  <w:noWrap w:val="0"/>
                  <w:vAlign w:val="center"/>
                </w:tcPr>
                <w:p w14:paraId="4B948E49">
                  <w:pPr>
                    <w:pStyle w:val="91"/>
                    <w:adjustRightInd w:val="0"/>
                    <w:snapToGrid w:val="0"/>
                    <w:spacing w:line="240" w:lineRule="atLeast"/>
                    <w:jc w:val="left"/>
                    <w:rPr>
                      <w:rFonts w:hint="default" w:ascii="Times New Roman" w:hAnsi="Times New Roman" w:cs="Times New Roman"/>
                      <w:color w:val="auto"/>
                      <w:szCs w:val="21"/>
                      <w:highlight w:val="none"/>
                    </w:rPr>
                  </w:pP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一</w:t>
                  </w:r>
                  <w:r>
                    <w:rPr>
                      <w:rFonts w:hint="eastAsia" w:cs="Times New Roman"/>
                      <w:b/>
                      <w:bCs/>
                      <w:color w:val="auto"/>
                      <w:szCs w:val="21"/>
                      <w:highlight w:val="none"/>
                      <w:lang w:eastAsia="zh-CN"/>
                    </w:rPr>
                    <w:t>）</w:t>
                  </w:r>
                  <w:r>
                    <w:rPr>
                      <w:rFonts w:hint="default" w:ascii="Times New Roman" w:hAnsi="Times New Roman" w:cs="Times New Roman"/>
                      <w:b/>
                      <w:bCs/>
                      <w:color w:val="auto"/>
                      <w:szCs w:val="21"/>
                      <w:highlight w:val="none"/>
                    </w:rPr>
                    <w:t>加强替代管理。</w:t>
                  </w:r>
                  <w:r>
                    <w:rPr>
                      <w:rFonts w:hint="default" w:ascii="Times New Roman" w:hAnsi="Times New Roman" w:cs="Times New Roman"/>
                      <w:color w:val="auto"/>
                      <w:szCs w:val="21"/>
                      <w:highlight w:val="none"/>
                    </w:rPr>
                    <w:t>工业涂装、包装印刷、竹木加工、家具制造、汽车修理与维护、鞋和皮</w:t>
                  </w:r>
                  <w:r>
                    <w:rPr>
                      <w:rFonts w:hint="eastAsia" w:cs="Times New Roman"/>
                      <w:color w:val="auto"/>
                      <w:szCs w:val="21"/>
                      <w:highlight w:val="none"/>
                      <w:lang w:val="en-US" w:eastAsia="zh-CN"/>
                    </w:rPr>
                    <w:t>革</w:t>
                  </w:r>
                  <w:r>
                    <w:rPr>
                      <w:rFonts w:hint="default" w:ascii="Times New Roman" w:hAnsi="Times New Roman" w:cs="Times New Roman"/>
                      <w:color w:val="auto"/>
                      <w:szCs w:val="21"/>
                      <w:highlight w:val="none"/>
                    </w:rPr>
                    <w:t>制品制造等重点行业企业，要按照《低挥发性有机物含量原辅材料源头替代技术指引（试行)》（附件3）要求，开展低VOCs原辅材料和生产方式替代，优化管控台账及档案管理，持续提升环境管理水平。各地要根据《关于深入开展挥发性有机物污染治理工作的通知》（皖大气办〔2021)4号)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附件2），对具备替代条件的，加强调度指导；对无法替代的，要开展论证核实，严格把关并逐一说明。</w:t>
                  </w:r>
                </w:p>
              </w:tc>
              <w:tc>
                <w:tcPr>
                  <w:tcW w:w="1233" w:type="pct"/>
                  <w:vMerge w:val="restart"/>
                  <w:tcBorders>
                    <w:tl2br w:val="nil"/>
                    <w:tr2bl w:val="nil"/>
                  </w:tcBorders>
                  <w:noWrap w:val="0"/>
                  <w:vAlign w:val="center"/>
                </w:tcPr>
                <w:p w14:paraId="3A4D40CE">
                  <w:pPr>
                    <w:pStyle w:val="91"/>
                    <w:adjustRightInd w:val="0"/>
                    <w:snapToGrid w:val="0"/>
                    <w:spacing w:line="240" w:lineRule="atLeast"/>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本项目使用的</w:t>
                  </w:r>
                  <w:r>
                    <w:rPr>
                      <w:rFonts w:hint="eastAsia" w:cs="Times New Roman"/>
                      <w:color w:val="auto"/>
                      <w:szCs w:val="21"/>
                      <w:highlight w:val="none"/>
                      <w:lang w:val="en-US" w:eastAsia="zh-CN"/>
                    </w:rPr>
                    <w:t>双组份硅酮胶挥</w:t>
                  </w:r>
                  <w:r>
                    <w:rPr>
                      <w:rFonts w:hint="default" w:ascii="Times New Roman" w:hAnsi="Times New Roman" w:cs="Times New Roman"/>
                      <w:color w:val="auto"/>
                      <w:szCs w:val="21"/>
                      <w:highlight w:val="none"/>
                    </w:rPr>
                    <w:t>发性有机化合物含量为</w:t>
                  </w:r>
                  <w:r>
                    <w:rPr>
                      <w:rFonts w:hint="eastAsia" w:cs="Times New Roman"/>
                      <w:color w:val="auto"/>
                      <w:szCs w:val="21"/>
                      <w:highlight w:val="none"/>
                      <w:lang w:val="en-US" w:eastAsia="zh-CN"/>
                    </w:rPr>
                    <w:t>10</w:t>
                  </w:r>
                  <w:r>
                    <w:rPr>
                      <w:rFonts w:hint="default" w:ascii="Times New Roman" w:hAnsi="Times New Roman" w:cs="Times New Roman"/>
                      <w:color w:val="auto"/>
                      <w:szCs w:val="21"/>
                      <w:highlight w:val="none"/>
                    </w:rPr>
                    <w:t>g/kg</w:t>
                  </w:r>
                  <w:r>
                    <w:rPr>
                      <w:rFonts w:hint="eastAsia" w:cs="Times New Roman"/>
                      <w:color w:val="auto"/>
                      <w:szCs w:val="21"/>
                      <w:highlight w:val="none"/>
                      <w:lang w:eastAsia="zh-CN"/>
                    </w:rPr>
                    <w:t>、丁基胶中挥发性有机物含量为</w:t>
                  </w:r>
                  <w:r>
                    <w:rPr>
                      <w:rFonts w:hint="eastAsia" w:cs="Times New Roman"/>
                      <w:color w:val="auto"/>
                      <w:szCs w:val="21"/>
                      <w:highlight w:val="none"/>
                      <w:lang w:val="en-US" w:eastAsia="zh-CN"/>
                    </w:rPr>
                    <w:t>16</w:t>
                  </w:r>
                  <w:r>
                    <w:rPr>
                      <w:rFonts w:hint="eastAsia" w:cs="Times New Roman"/>
                      <w:color w:val="auto"/>
                      <w:szCs w:val="21"/>
                      <w:highlight w:val="none"/>
                      <w:lang w:eastAsia="zh-CN"/>
                    </w:rPr>
                    <w:t>g/</w:t>
                  </w:r>
                  <w:r>
                    <w:rPr>
                      <w:rFonts w:hint="eastAsia" w:cs="Times New Roman"/>
                      <w:color w:val="auto"/>
                      <w:szCs w:val="21"/>
                      <w:highlight w:val="none"/>
                      <w:lang w:val="en-US" w:eastAsia="zh-CN"/>
                    </w:rPr>
                    <w:t>kg，</w:t>
                  </w:r>
                  <w:r>
                    <w:rPr>
                      <w:rFonts w:hint="default" w:ascii="Times New Roman" w:hAnsi="Times New Roman" w:cs="Times New Roman"/>
                      <w:color w:val="auto"/>
                      <w:szCs w:val="21"/>
                      <w:highlight w:val="none"/>
                    </w:rPr>
                    <w:t>低于《胶粘剂挥发性有机化合物限量》(GB33372-2020)中“本体型胶粘剂有机硅类-其他”的限值为100g/k</w:t>
                  </w:r>
                  <w:r>
                    <w:rPr>
                      <w:rFonts w:hint="eastAsia" w:cs="Times New Roman"/>
                      <w:color w:val="auto"/>
                      <w:szCs w:val="21"/>
                      <w:highlight w:val="none"/>
                      <w:lang w:val="en-US" w:eastAsia="zh-CN"/>
                    </w:rPr>
                    <w:t>g</w:t>
                  </w:r>
                  <w:r>
                    <w:rPr>
                      <w:rFonts w:hint="default" w:ascii="Times New Roman" w:hAnsi="Times New Roman" w:cs="Times New Roman"/>
                      <w:color w:val="auto"/>
                      <w:szCs w:val="21"/>
                      <w:highlight w:val="none"/>
                    </w:rPr>
                    <w:t>，属于低VOCs原料</w:t>
                  </w:r>
                  <w:r>
                    <w:rPr>
                      <w:rFonts w:hint="eastAsia" w:cs="Times New Roman"/>
                      <w:color w:val="auto"/>
                      <w:szCs w:val="21"/>
                      <w:highlight w:val="none"/>
                      <w:lang w:eastAsia="zh-CN"/>
                    </w:rPr>
                    <w:t>；</w:t>
                  </w:r>
                  <w:r>
                    <w:rPr>
                      <w:rFonts w:hint="eastAsia" w:cs="Times New Roman"/>
                      <w:color w:val="auto"/>
                      <w:szCs w:val="21"/>
                      <w:highlight w:val="none"/>
                      <w:lang w:val="en-US" w:eastAsia="zh-CN"/>
                    </w:rPr>
                    <w:t>PVB胶片的挥发性有机物含量为0.53%，均</w:t>
                  </w:r>
                  <w:r>
                    <w:rPr>
                      <w:rFonts w:hint="eastAsia" w:cs="Times New Roman"/>
                      <w:color w:val="auto"/>
                      <w:szCs w:val="21"/>
                      <w:highlight w:val="none"/>
                      <w:lang w:eastAsia="zh-CN"/>
                    </w:rPr>
                    <w:t>符合V0Cs含量的限值要求，属于低VOCs原材料</w:t>
                  </w:r>
                </w:p>
              </w:tc>
              <w:tc>
                <w:tcPr>
                  <w:tcW w:w="411" w:type="pct"/>
                  <w:tcBorders>
                    <w:tl2br w:val="nil"/>
                    <w:tr2bl w:val="nil"/>
                  </w:tcBorders>
                  <w:noWrap w:val="0"/>
                  <w:vAlign w:val="center"/>
                </w:tcPr>
                <w:p w14:paraId="4F138EE3">
                  <w:pPr>
                    <w:pStyle w:val="91"/>
                    <w:adjustRightInd w:val="0"/>
                    <w:snapToGrid w:val="0"/>
                    <w:spacing w:line="24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8E93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0" w:hRule="atLeast"/>
                <w:jc w:val="center"/>
              </w:trPr>
              <w:tc>
                <w:tcPr>
                  <w:tcW w:w="3355" w:type="pct"/>
                  <w:tcBorders>
                    <w:tl2br w:val="nil"/>
                    <w:tr2bl w:val="nil"/>
                  </w:tcBorders>
                  <w:noWrap w:val="0"/>
                  <w:vAlign w:val="center"/>
                </w:tcPr>
                <w:p w14:paraId="4EEBC0A4">
                  <w:pPr>
                    <w:pStyle w:val="91"/>
                    <w:adjustRightInd w:val="0"/>
                    <w:snapToGrid w:val="0"/>
                    <w:spacing w:line="240" w:lineRule="atLeast"/>
                    <w:jc w:val="left"/>
                    <w:rPr>
                      <w:rFonts w:hint="default" w:ascii="Times New Roman" w:hAnsi="Times New Roman" w:cs="Times New Roman"/>
                      <w:color w:val="auto"/>
                      <w:szCs w:val="21"/>
                      <w:highlight w:val="none"/>
                    </w:rPr>
                  </w:pPr>
                  <w:r>
                    <w:rPr>
                      <w:rFonts w:hint="eastAsia" w:cs="Times New Roman"/>
                      <w:b/>
                      <w:bCs/>
                      <w:color w:val="auto"/>
                      <w:szCs w:val="21"/>
                      <w:highlight w:val="none"/>
                      <w:lang w:eastAsia="zh-CN"/>
                    </w:rPr>
                    <w:t>（</w:t>
                  </w:r>
                  <w:r>
                    <w:rPr>
                      <w:rFonts w:hint="eastAsia" w:cs="Times New Roman"/>
                      <w:b/>
                      <w:bCs/>
                      <w:color w:val="auto"/>
                      <w:szCs w:val="21"/>
                      <w:highlight w:val="none"/>
                      <w:lang w:val="en-US" w:eastAsia="zh-CN"/>
                    </w:rPr>
                    <w:t>二</w:t>
                  </w:r>
                  <w:r>
                    <w:rPr>
                      <w:rFonts w:hint="eastAsia" w:cs="Times New Roman"/>
                      <w:b/>
                      <w:bCs/>
                      <w:color w:val="auto"/>
                      <w:szCs w:val="21"/>
                      <w:highlight w:val="none"/>
                      <w:lang w:eastAsia="zh-CN"/>
                    </w:rPr>
                    <w:t>）</w:t>
                  </w:r>
                  <w:r>
                    <w:rPr>
                      <w:rFonts w:hint="default" w:ascii="Times New Roman" w:hAnsi="Times New Roman" w:cs="Times New Roman"/>
                      <w:b/>
                      <w:bCs/>
                      <w:color w:val="auto"/>
                      <w:szCs w:val="21"/>
                      <w:highlight w:val="none"/>
                    </w:rPr>
                    <w:t>严格项目准入。</w:t>
                  </w:r>
                  <w:r>
                    <w:rPr>
                      <w:rFonts w:hint="default" w:ascii="Times New Roman" w:hAnsi="Times New Roman" w:cs="Times New Roman"/>
                      <w:color w:val="auto"/>
                      <w:szCs w:val="21"/>
                      <w:highlight w:val="none"/>
                    </w:rPr>
                    <w:t>根据《低挥发性有机化合物含量涂料产品技术要求》(GB/T38597-2020)要求，进一步完善VOCs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1233" w:type="pct"/>
                  <w:vMerge w:val="continue"/>
                  <w:tcBorders>
                    <w:tl2br w:val="nil"/>
                    <w:tr2bl w:val="nil"/>
                  </w:tcBorders>
                  <w:noWrap w:val="0"/>
                  <w:vAlign w:val="center"/>
                </w:tcPr>
                <w:p w14:paraId="16C78BD3">
                  <w:pPr>
                    <w:pStyle w:val="91"/>
                    <w:adjustRightInd w:val="0"/>
                    <w:snapToGrid w:val="0"/>
                    <w:spacing w:line="240" w:lineRule="atLeast"/>
                    <w:rPr>
                      <w:rFonts w:hint="default" w:ascii="Times New Roman" w:hAnsi="Times New Roman" w:cs="Times New Roman"/>
                      <w:color w:val="auto"/>
                      <w:szCs w:val="21"/>
                      <w:highlight w:val="none"/>
                    </w:rPr>
                  </w:pPr>
                </w:p>
              </w:tc>
              <w:tc>
                <w:tcPr>
                  <w:tcW w:w="411" w:type="pct"/>
                  <w:tcBorders>
                    <w:tl2br w:val="nil"/>
                    <w:tr2bl w:val="nil"/>
                  </w:tcBorders>
                  <w:noWrap w:val="0"/>
                  <w:vAlign w:val="center"/>
                </w:tcPr>
                <w:p w14:paraId="1E53A6B9">
                  <w:pPr>
                    <w:pStyle w:val="91"/>
                    <w:adjustRightInd w:val="0"/>
                    <w:snapToGrid w:val="0"/>
                    <w:spacing w:line="24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14:paraId="5508CB44">
            <w:pPr>
              <w:spacing w:line="360" w:lineRule="auto"/>
              <w:ind w:firstLine="480" w:firstLineChars="200"/>
              <w:rPr>
                <w:rFonts w:hint="default" w:ascii="Times New Roman" w:hAnsi="Times New Roman" w:cs="Times New Roman"/>
                <w:color w:val="auto"/>
                <w:kern w:val="0"/>
                <w:sz w:val="24"/>
                <w:highlight w:val="none"/>
              </w:rPr>
            </w:pPr>
          </w:p>
        </w:tc>
      </w:tr>
    </w:tbl>
    <w:p w14:paraId="193345A9">
      <w:pPr>
        <w:spacing w:line="360" w:lineRule="auto"/>
        <w:outlineLvl w:val="0"/>
        <w:rPr>
          <w:rFonts w:hint="default" w:ascii="Times New Roman" w:hAnsi="Times New Roman" w:cs="Times New Roman"/>
          <w:color w:val="auto"/>
          <w:sz w:val="30"/>
          <w:highlight w:val="none"/>
        </w:rPr>
        <w:sectPr>
          <w:footerReference r:id="rId5" w:type="default"/>
          <w:pgSz w:w="11906" w:h="16838"/>
          <w:pgMar w:top="1440" w:right="1418" w:bottom="1440" w:left="1418" w:header="851" w:footer="850" w:gutter="0"/>
          <w:pgBorders>
            <w:top w:val="none" w:sz="0" w:space="0"/>
            <w:left w:val="none" w:sz="0" w:space="0"/>
            <w:bottom w:val="none" w:sz="0" w:space="0"/>
            <w:right w:val="none" w:sz="0" w:space="0"/>
          </w:pgBorders>
          <w:pgNumType w:fmt="numberInDash" w:start="1"/>
          <w:cols w:space="720" w:num="1"/>
          <w:docGrid w:linePitch="312" w:charSpace="0"/>
        </w:sectPr>
      </w:pPr>
    </w:p>
    <w:p w14:paraId="7F0962FB">
      <w:pPr>
        <w:pStyle w:val="23"/>
        <w:jc w:val="center"/>
        <w:outlineLvl w:val="0"/>
        <w:rPr>
          <w:rFonts w:hint="default" w:ascii="Times New Roman" w:hAnsi="Times New Roman" w:cs="Times New Roman"/>
          <w:b/>
          <w:bCs/>
          <w:snapToGrid w:val="0"/>
          <w:color w:val="auto"/>
          <w:sz w:val="30"/>
          <w:szCs w:val="30"/>
          <w:highlight w:val="none"/>
        </w:rPr>
      </w:pPr>
      <w:r>
        <w:rPr>
          <w:rFonts w:hint="default" w:ascii="Times New Roman" w:hAnsi="Times New Roman" w:cs="Times New Roman"/>
          <w:b/>
          <w:bCs/>
          <w:snapToGrid w:val="0"/>
          <w:color w:val="auto"/>
          <w:sz w:val="30"/>
          <w:szCs w:val="30"/>
          <w:highlight w:val="none"/>
        </w:rPr>
        <w:t>二、建设项目工程分析</w:t>
      </w:r>
    </w:p>
    <w:tbl>
      <w:tblPr>
        <w:tblStyle w:val="25"/>
        <w:tblW w:w="92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445"/>
      </w:tblGrid>
      <w:tr w14:paraId="0486D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841" w:type="dxa"/>
            <w:vAlign w:val="center"/>
          </w:tcPr>
          <w:p w14:paraId="26274699">
            <w:pPr>
              <w:pStyle w:val="23"/>
              <w:adjustRightInd w:val="0"/>
              <w:snapToGrid w:val="0"/>
              <w:spacing w:before="0" w:beforeAutospacing="0" w:after="0" w:afterAutospacing="0" w:line="360" w:lineRule="auto"/>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建设内容</w:t>
            </w:r>
          </w:p>
        </w:tc>
        <w:tc>
          <w:tcPr>
            <w:tcW w:w="8445" w:type="dxa"/>
          </w:tcPr>
          <w:p w14:paraId="4BCC2888">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一</w:t>
            </w:r>
            <w:r>
              <w:rPr>
                <w:rFonts w:hint="default" w:ascii="Times New Roman" w:hAnsi="Times New Roman" w:cs="Times New Roman"/>
                <w:b/>
                <w:color w:val="auto"/>
                <w:sz w:val="24"/>
                <w:highlight w:val="none"/>
              </w:rPr>
              <w:t>、项目建设背景</w:t>
            </w:r>
          </w:p>
          <w:p w14:paraId="6C8ED10D">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eastAsia="zh-CN"/>
              </w:rPr>
              <w:t>安徽钱进智能制造有限公司</w:t>
            </w:r>
            <w:r>
              <w:rPr>
                <w:rFonts w:hint="default" w:ascii="Times New Roman" w:hAnsi="Times New Roman" w:cs="Times New Roman"/>
                <w:bCs/>
                <w:color w:val="auto"/>
                <w:sz w:val="24"/>
                <w:highlight w:val="none"/>
              </w:rPr>
              <w:t>于202</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年</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月</w:t>
            </w:r>
            <w:r>
              <w:rPr>
                <w:rFonts w:hint="default" w:ascii="Times New Roman" w:hAnsi="Times New Roman" w:cs="Times New Roman"/>
                <w:bCs/>
                <w:color w:val="auto"/>
                <w:sz w:val="24"/>
                <w:highlight w:val="none"/>
                <w:lang w:val="en-US" w:eastAsia="zh-CN"/>
              </w:rPr>
              <w:t>17</w:t>
            </w:r>
            <w:r>
              <w:rPr>
                <w:rFonts w:hint="default" w:ascii="Times New Roman" w:hAnsi="Times New Roman" w:cs="Times New Roman"/>
                <w:bCs/>
                <w:color w:val="auto"/>
                <w:sz w:val="24"/>
                <w:highlight w:val="none"/>
              </w:rPr>
              <w:t>日成立，坐落于</w:t>
            </w:r>
            <w:r>
              <w:rPr>
                <w:rFonts w:hint="eastAsia" w:cs="Times New Roman"/>
                <w:bCs/>
                <w:color w:val="auto"/>
                <w:sz w:val="24"/>
                <w:highlight w:val="none"/>
                <w:lang w:eastAsia="zh-CN"/>
              </w:rPr>
              <w:t>安徽省淮南市田家庵区淮南现代产业园南区智慧产业园C区B9厂房</w:t>
            </w:r>
            <w:r>
              <w:rPr>
                <w:rFonts w:hint="default" w:ascii="Times New Roman" w:hAnsi="Times New Roman" w:cs="Times New Roman"/>
                <w:bCs/>
                <w:color w:val="auto"/>
                <w:sz w:val="24"/>
                <w:highlight w:val="none"/>
              </w:rPr>
              <w:t>，项目建成后可年产玻璃18万平方米。</w:t>
            </w:r>
          </w:p>
          <w:p w14:paraId="723BD826">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本项目工程总投资</w:t>
            </w:r>
            <w:r>
              <w:rPr>
                <w:rFonts w:hint="default" w:ascii="Times New Roman" w:hAnsi="Times New Roman" w:cs="Times New Roman"/>
                <w:bCs/>
                <w:color w:val="auto"/>
                <w:sz w:val="24"/>
                <w:highlight w:val="none"/>
                <w:lang w:val="en-US" w:eastAsia="zh-CN"/>
              </w:rPr>
              <w:t>5000</w:t>
            </w:r>
            <w:r>
              <w:rPr>
                <w:rFonts w:hint="default" w:ascii="Times New Roman" w:hAnsi="Times New Roman" w:cs="Times New Roman"/>
                <w:bCs/>
                <w:color w:val="auto"/>
                <w:sz w:val="24"/>
                <w:highlight w:val="none"/>
              </w:rPr>
              <w:t>万元，建筑面积为5000m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，租赁淮南市田家庵区南区智慧产业园C区B9标准化厂房，该厂房属于淮南现代产业园空置厂房，属于淮南现代产业园管委会。租赁厂房作为生产车间、仓库；购置</w:t>
            </w:r>
            <w:r>
              <w:rPr>
                <w:rFonts w:hint="default" w:ascii="Times New Roman" w:hAnsi="Times New Roman" w:cs="Times New Roman"/>
                <w:bCs/>
                <w:color w:val="auto"/>
                <w:sz w:val="24"/>
                <w:highlight w:val="none"/>
                <w:lang w:val="en-US" w:eastAsia="zh-CN"/>
              </w:rPr>
              <w:t>钢化炉、夹胶炉、</w:t>
            </w:r>
            <w:r>
              <w:rPr>
                <w:rFonts w:hint="default" w:ascii="Times New Roman" w:hAnsi="Times New Roman" w:cs="Times New Roman"/>
                <w:bCs/>
                <w:color w:val="auto"/>
                <w:sz w:val="24"/>
                <w:highlight w:val="none"/>
              </w:rPr>
              <w:t>玻璃切割机、玻璃</w:t>
            </w:r>
            <w:r>
              <w:rPr>
                <w:rFonts w:hint="default" w:ascii="Times New Roman" w:hAnsi="Times New Roman" w:cs="Times New Roman"/>
                <w:bCs/>
                <w:color w:val="auto"/>
                <w:sz w:val="24"/>
                <w:highlight w:val="none"/>
                <w:lang w:val="en-US" w:eastAsia="zh-CN"/>
              </w:rPr>
              <w:t>直边</w:t>
            </w:r>
            <w:r>
              <w:rPr>
                <w:rFonts w:hint="default" w:ascii="Times New Roman" w:hAnsi="Times New Roman" w:cs="Times New Roman"/>
                <w:bCs/>
                <w:color w:val="auto"/>
                <w:sz w:val="24"/>
                <w:highlight w:val="none"/>
              </w:rPr>
              <w:t>磨边</w:t>
            </w:r>
            <w:r>
              <w:rPr>
                <w:rFonts w:hint="default" w:ascii="Times New Roman" w:hAnsi="Times New Roman" w:cs="Times New Roman"/>
                <w:bCs/>
                <w:color w:val="auto"/>
                <w:sz w:val="24"/>
                <w:highlight w:val="none"/>
                <w:lang w:val="en-US" w:eastAsia="zh-CN"/>
              </w:rPr>
              <w:t>机、玻璃清洗机等设备</w:t>
            </w:r>
            <w:r>
              <w:rPr>
                <w:rFonts w:hint="default" w:ascii="Times New Roman" w:hAnsi="Times New Roman" w:cs="Times New Roman"/>
                <w:bCs/>
                <w:color w:val="auto"/>
                <w:sz w:val="24"/>
                <w:highlight w:val="none"/>
              </w:rPr>
              <w:t>。</w:t>
            </w:r>
          </w:p>
          <w:p w14:paraId="7CE01579">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rPr>
              <w:t>对照《建设项目环境影响评价分类管理名录》（2021版）和《固定污染源排污许可证许可分类管理名录》(2019年版），本项目对应环评和排污许可类别见下表。</w:t>
            </w:r>
          </w:p>
          <w:p w14:paraId="083FB821">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1</w:t>
            </w:r>
            <w:r>
              <w:rPr>
                <w:rFonts w:hint="default" w:ascii="Times New Roman" w:hAnsi="Times New Roman" w:cs="Times New Roman"/>
                <w:b/>
                <w:color w:val="auto"/>
                <w:sz w:val="21"/>
                <w:szCs w:val="21"/>
                <w:highlight w:val="none"/>
              </w:rPr>
              <w:t xml:space="preserve">  建设项目环境影响评价分类管理名录（摘录）</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895"/>
              <w:gridCol w:w="1772"/>
              <w:gridCol w:w="2803"/>
              <w:gridCol w:w="1063"/>
            </w:tblGrid>
            <w:tr w14:paraId="2495F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573" w:type="pct"/>
                  <w:gridSpan w:val="2"/>
                  <w:tcBorders>
                    <w:tl2br w:val="nil"/>
                    <w:tr2bl w:val="nil"/>
                  </w:tcBorders>
                  <w:noWrap w:val="0"/>
                  <w:vAlign w:val="top"/>
                </w:tcPr>
                <w:p w14:paraId="6C87194C">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环评类别</w:t>
                  </w:r>
                </w:p>
                <w:p w14:paraId="1BC64329">
                  <w:pPr>
                    <w:spacing w:line="240" w:lineRule="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项目类别</w:t>
                  </w:r>
                </w:p>
              </w:tc>
              <w:tc>
                <w:tcPr>
                  <w:tcW w:w="1077" w:type="pct"/>
                  <w:tcBorders>
                    <w:tl2br w:val="nil"/>
                    <w:tr2bl w:val="nil"/>
                  </w:tcBorders>
                  <w:noWrap w:val="0"/>
                  <w:vAlign w:val="center"/>
                </w:tcPr>
                <w:p w14:paraId="2A1914F1">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报告书</w:t>
                  </w:r>
                </w:p>
              </w:tc>
              <w:tc>
                <w:tcPr>
                  <w:tcW w:w="1704" w:type="pct"/>
                  <w:tcBorders>
                    <w:tl2br w:val="nil"/>
                    <w:tr2bl w:val="nil"/>
                  </w:tcBorders>
                  <w:noWrap w:val="0"/>
                  <w:vAlign w:val="center"/>
                </w:tcPr>
                <w:p w14:paraId="5D3AEBC0">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报告表</w:t>
                  </w:r>
                </w:p>
              </w:tc>
              <w:tc>
                <w:tcPr>
                  <w:tcW w:w="644" w:type="pct"/>
                  <w:tcBorders>
                    <w:tl2br w:val="nil"/>
                    <w:tr2bl w:val="nil"/>
                  </w:tcBorders>
                  <w:noWrap w:val="0"/>
                  <w:vAlign w:val="center"/>
                </w:tcPr>
                <w:p w14:paraId="265B69CE">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登记表</w:t>
                  </w:r>
                </w:p>
              </w:tc>
            </w:tr>
            <w:tr w14:paraId="5AEA3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000" w:type="pct"/>
                  <w:gridSpan w:val="5"/>
                  <w:tcBorders>
                    <w:tl2br w:val="nil"/>
                    <w:tr2bl w:val="nil"/>
                  </w:tcBorders>
                  <w:noWrap w:val="0"/>
                  <w:vAlign w:val="center"/>
                </w:tcPr>
                <w:p w14:paraId="2CA86586">
                  <w:pPr>
                    <w:spacing w:line="240" w:lineRule="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bidi="ar"/>
                    </w:rPr>
                    <w:t>二十七、非金属矿物制品业30</w:t>
                  </w:r>
                </w:p>
              </w:tc>
            </w:tr>
            <w:tr w14:paraId="4E203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421" w:type="pct"/>
                  <w:tcBorders>
                    <w:tl2br w:val="nil"/>
                    <w:tr2bl w:val="nil"/>
                  </w:tcBorders>
                  <w:noWrap w:val="0"/>
                  <w:vAlign w:val="center"/>
                </w:tcPr>
                <w:p w14:paraId="4C4298C9">
                  <w:pPr>
                    <w:spacing w:line="24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57</w:t>
                  </w:r>
                </w:p>
              </w:tc>
              <w:tc>
                <w:tcPr>
                  <w:tcW w:w="1152" w:type="pct"/>
                  <w:tcBorders>
                    <w:tl2br w:val="nil"/>
                    <w:tr2bl w:val="nil"/>
                  </w:tcBorders>
                  <w:noWrap w:val="0"/>
                  <w:vAlign w:val="center"/>
                </w:tcPr>
                <w:p w14:paraId="5C5CC892">
                  <w:pPr>
                    <w:spacing w:line="24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玻璃制造 304；玻璃制品制造 305</w:t>
                  </w:r>
                </w:p>
              </w:tc>
              <w:tc>
                <w:tcPr>
                  <w:tcW w:w="1077" w:type="pct"/>
                  <w:tcBorders>
                    <w:tl2br w:val="nil"/>
                    <w:tr2bl w:val="nil"/>
                  </w:tcBorders>
                  <w:noWrap w:val="0"/>
                  <w:vAlign w:val="center"/>
                </w:tcPr>
                <w:p w14:paraId="461484B5">
                  <w:pPr>
                    <w:spacing w:line="24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平板玻璃制造</w:t>
                  </w:r>
                </w:p>
              </w:tc>
              <w:tc>
                <w:tcPr>
                  <w:tcW w:w="1704" w:type="pct"/>
                  <w:tcBorders>
                    <w:tl2br w:val="nil"/>
                    <w:tr2bl w:val="nil"/>
                  </w:tcBorders>
                  <w:noWrap w:val="0"/>
                  <w:vAlign w:val="center"/>
                </w:tcPr>
                <w:p w14:paraId="1A7D1106">
                  <w:pPr>
                    <w:spacing w:line="240" w:lineRule="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b/>
                      <w:bCs/>
                      <w:color w:val="auto"/>
                      <w:sz w:val="21"/>
                      <w:szCs w:val="21"/>
                      <w:highlight w:val="none"/>
                      <w:lang w:val="en-US" w:eastAsia="zh-CN" w:bidi="ar"/>
                    </w:rPr>
                    <w:t>特种玻璃制造</w:t>
                  </w:r>
                  <w:r>
                    <w:rPr>
                      <w:rFonts w:hint="default" w:ascii="Times New Roman" w:hAnsi="Times New Roman" w:eastAsia="宋体" w:cs="Times New Roman"/>
                      <w:color w:val="auto"/>
                      <w:sz w:val="21"/>
                      <w:szCs w:val="21"/>
                      <w:highlight w:val="none"/>
                      <w:lang w:val="en-US" w:eastAsia="zh-CN" w:bidi="ar"/>
                    </w:rPr>
                    <w:t>；其他玻璃制造；</w:t>
                  </w:r>
                  <w:r>
                    <w:rPr>
                      <w:rFonts w:hint="default" w:ascii="Times New Roman" w:hAnsi="Times New Roman" w:eastAsia="宋体" w:cs="Times New Roman"/>
                      <w:b w:val="0"/>
                      <w:bCs w:val="0"/>
                      <w:color w:val="auto"/>
                      <w:sz w:val="21"/>
                      <w:szCs w:val="21"/>
                      <w:highlight w:val="none"/>
                      <w:lang w:val="en-US" w:eastAsia="zh-CN" w:bidi="ar"/>
                    </w:rPr>
                    <w:t>玻璃制品制造</w:t>
                  </w:r>
                  <w:r>
                    <w:rPr>
                      <w:rFonts w:hint="default" w:ascii="Times New Roman" w:hAnsi="Times New Roman" w:eastAsia="宋体" w:cs="Times New Roman"/>
                      <w:color w:val="auto"/>
                      <w:sz w:val="21"/>
                      <w:szCs w:val="21"/>
                      <w:highlight w:val="none"/>
                      <w:lang w:val="en-US" w:eastAsia="zh-CN" w:bidi="ar"/>
                    </w:rPr>
                    <w:t>（电加热的除外；仅切割、打磨、成型的除外）</w:t>
                  </w:r>
                </w:p>
              </w:tc>
              <w:tc>
                <w:tcPr>
                  <w:tcW w:w="644" w:type="pct"/>
                  <w:tcBorders>
                    <w:tl2br w:val="nil"/>
                    <w:tr2bl w:val="nil"/>
                  </w:tcBorders>
                  <w:noWrap w:val="0"/>
                  <w:vAlign w:val="center"/>
                </w:tcPr>
                <w:p w14:paraId="21261A6C">
                  <w:pPr>
                    <w:spacing w:line="24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w:t>
                  </w:r>
                </w:p>
              </w:tc>
            </w:tr>
          </w:tbl>
          <w:p w14:paraId="05F90E1F">
            <w:pPr>
              <w:spacing w:line="360" w:lineRule="auto"/>
              <w:ind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highlight w:val="none"/>
                <w:lang w:val="en-US" w:eastAsia="zh-CN"/>
              </w:rPr>
              <w:t>项目属于国民经济行业类别C3042 特种玻璃制造，按</w:t>
            </w:r>
            <w:r>
              <w:rPr>
                <w:rFonts w:hint="default" w:ascii="Times New Roman" w:hAnsi="Times New Roman" w:cs="Times New Roman"/>
                <w:color w:val="auto"/>
                <w:sz w:val="24"/>
                <w:highlight w:val="none"/>
                <w:lang w:val="en-US" w:eastAsia="zh-CN"/>
              </w:rPr>
              <w:fldChar w:fldCharType="begin"/>
            </w:r>
            <w:r>
              <w:rPr>
                <w:rFonts w:hint="default" w:ascii="Times New Roman" w:hAnsi="Times New Roman" w:cs="Times New Roman"/>
                <w:color w:val="auto"/>
                <w:sz w:val="24"/>
                <w:highlight w:val="none"/>
                <w:lang w:val="en-US" w:eastAsia="zh-CN"/>
              </w:rPr>
              <w:instrText xml:space="preserve"> HYPERLINK "http://www.mee.gov.cn/xxgk2018/xxgk/xxgk02/202001/W020200103660632857898.pdf" </w:instrText>
            </w:r>
            <w:r>
              <w:rPr>
                <w:rFonts w:hint="default" w:ascii="Times New Roman" w:hAnsi="Times New Roman" w:cs="Times New Roman"/>
                <w:color w:val="auto"/>
                <w:sz w:val="24"/>
                <w:highlight w:val="none"/>
                <w:lang w:val="en-US" w:eastAsia="zh-CN"/>
              </w:rPr>
              <w:fldChar w:fldCharType="separate"/>
            </w:r>
            <w:r>
              <w:rPr>
                <w:rFonts w:hint="default" w:ascii="Times New Roman" w:hAnsi="Times New Roman" w:cs="Times New Roman"/>
                <w:color w:val="auto"/>
                <w:sz w:val="24"/>
                <w:highlight w:val="none"/>
                <w:lang w:val="en-US" w:eastAsia="zh-CN"/>
              </w:rPr>
              <w:t>《固定污染源排污许可分类管理名录（2019年版）》</w:t>
            </w:r>
            <w:r>
              <w:rPr>
                <w:rFonts w:hint="default" w:ascii="Times New Roman" w:hAnsi="Times New Roman" w:cs="Times New Roman"/>
                <w:color w:val="auto"/>
                <w:sz w:val="24"/>
                <w:highlight w:val="none"/>
                <w:lang w:val="en-US" w:eastAsia="zh-CN"/>
              </w:rPr>
              <w:fldChar w:fldCharType="end"/>
            </w:r>
            <w:r>
              <w:rPr>
                <w:rFonts w:hint="default" w:ascii="Times New Roman" w:hAnsi="Times New Roman" w:cs="Times New Roman"/>
                <w:color w:val="auto"/>
                <w:sz w:val="24"/>
                <w:highlight w:val="none"/>
                <w:lang w:val="en-US" w:eastAsia="zh-CN"/>
              </w:rPr>
              <w:t>进行判定，可知：本项目属于“二十五、非金属矿物制品业30，66.玻璃制造 304”中“特种玻璃制造3042”。因此本项目排污许可证属于简化管理，按照简化管理进行填报。</w:t>
            </w:r>
          </w:p>
          <w:p w14:paraId="22796AFB">
            <w:pPr>
              <w:adjustRightIn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 xml:space="preserve"> 固定污染源排污许可证分类管理名录（2019版）对照表</w:t>
            </w:r>
          </w:p>
          <w:tbl>
            <w:tblPr>
              <w:tblStyle w:val="2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621"/>
              <w:gridCol w:w="1987"/>
              <w:gridCol w:w="1918"/>
              <w:gridCol w:w="1859"/>
            </w:tblGrid>
            <w:tr w14:paraId="7420D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14:paraId="5385E09B">
                  <w:pPr>
                    <w:widowControl w:val="0"/>
                    <w:autoSpaceDE w:val="0"/>
                    <w:autoSpaceDN w:val="0"/>
                    <w:adjustRightIn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 号</w:t>
                  </w:r>
                </w:p>
              </w:tc>
              <w:tc>
                <w:tcPr>
                  <w:tcW w:w="985" w:type="pct"/>
                  <w:tcBorders>
                    <w:tl2br w:val="nil"/>
                    <w:tr2bl w:val="nil"/>
                  </w:tcBorders>
                  <w:noWrap w:val="0"/>
                  <w:vAlign w:val="center"/>
                </w:tcPr>
                <w:p w14:paraId="0D455A4A">
                  <w:pPr>
                    <w:widowControl w:val="0"/>
                    <w:autoSpaceDE w:val="0"/>
                    <w:autoSpaceDN w:val="0"/>
                    <w:adjustRightIn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行业类别</w:t>
                  </w:r>
                </w:p>
              </w:tc>
              <w:tc>
                <w:tcPr>
                  <w:tcW w:w="1208" w:type="pct"/>
                  <w:tcBorders>
                    <w:tl2br w:val="nil"/>
                    <w:tr2bl w:val="nil"/>
                  </w:tcBorders>
                  <w:noWrap w:val="0"/>
                  <w:vAlign w:val="center"/>
                </w:tcPr>
                <w:p w14:paraId="5AB3F07E">
                  <w:pPr>
                    <w:widowControl w:val="0"/>
                    <w:autoSpaceDE w:val="0"/>
                    <w:autoSpaceDN w:val="0"/>
                    <w:adjustRightIn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重点管理</w:t>
                  </w:r>
                </w:p>
              </w:tc>
              <w:tc>
                <w:tcPr>
                  <w:tcW w:w="1166" w:type="pct"/>
                  <w:tcBorders>
                    <w:tl2br w:val="nil"/>
                    <w:tr2bl w:val="nil"/>
                  </w:tcBorders>
                  <w:noWrap w:val="0"/>
                  <w:vAlign w:val="center"/>
                </w:tcPr>
                <w:p w14:paraId="4E96FBD0">
                  <w:pPr>
                    <w:widowControl w:val="0"/>
                    <w:autoSpaceDE w:val="0"/>
                    <w:autoSpaceDN w:val="0"/>
                    <w:adjustRightIn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简化管理</w:t>
                  </w:r>
                </w:p>
              </w:tc>
              <w:tc>
                <w:tcPr>
                  <w:tcW w:w="1128" w:type="pct"/>
                  <w:tcBorders>
                    <w:tl2br w:val="nil"/>
                    <w:tr2bl w:val="nil"/>
                  </w:tcBorders>
                  <w:noWrap w:val="0"/>
                  <w:vAlign w:val="center"/>
                </w:tcPr>
                <w:p w14:paraId="7F43DB48">
                  <w:pPr>
                    <w:widowControl w:val="0"/>
                    <w:autoSpaceDE w:val="0"/>
                    <w:autoSpaceDN w:val="0"/>
                    <w:adjustRightIn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登记管理</w:t>
                  </w:r>
                </w:p>
              </w:tc>
            </w:tr>
            <w:tr w14:paraId="72BA2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tcBorders>
                    <w:tl2br w:val="nil"/>
                    <w:tr2bl w:val="nil"/>
                  </w:tcBorders>
                  <w:noWrap w:val="0"/>
                  <w:vAlign w:val="center"/>
                </w:tcPr>
                <w:p w14:paraId="41A0915C">
                  <w:pPr>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bidi="ar"/>
                    </w:rPr>
                    <w:t>二十五</w:t>
                  </w:r>
                  <w:r>
                    <w:rPr>
                      <w:rFonts w:hint="default" w:ascii="Times New Roman" w:hAnsi="Times New Roman" w:cs="Times New Roman"/>
                      <w:b/>
                      <w:bCs/>
                      <w:color w:val="auto"/>
                      <w:sz w:val="21"/>
                      <w:szCs w:val="21"/>
                      <w:highlight w:val="none"/>
                      <w:lang w:bidi="ar"/>
                    </w:rPr>
                    <w:t>、</w:t>
                  </w:r>
                  <w:r>
                    <w:rPr>
                      <w:rFonts w:hint="default" w:ascii="Times New Roman" w:hAnsi="Times New Roman" w:eastAsia="宋体" w:cs="Times New Roman"/>
                      <w:b/>
                      <w:bCs/>
                      <w:color w:val="auto"/>
                      <w:sz w:val="21"/>
                      <w:szCs w:val="21"/>
                      <w:highlight w:val="none"/>
                      <w:lang w:val="en-US" w:eastAsia="zh-CN" w:bidi="ar"/>
                    </w:rPr>
                    <w:t>非金属矿物制品业30</w:t>
                  </w:r>
                </w:p>
              </w:tc>
            </w:tr>
            <w:tr w14:paraId="7B311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noWrap w:val="0"/>
                  <w:vAlign w:val="center"/>
                </w:tcPr>
                <w:p w14:paraId="5DE67123">
                  <w:pPr>
                    <w:widowControl w:val="0"/>
                    <w:autoSpaceDE w:val="0"/>
                    <w:autoSpaceDN w:val="0"/>
                    <w:adjustRightInd w:val="0"/>
                    <w:spacing w:line="240" w:lineRule="auto"/>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65</w:t>
                  </w:r>
                </w:p>
              </w:tc>
              <w:tc>
                <w:tcPr>
                  <w:tcW w:w="985" w:type="pct"/>
                  <w:tcBorders>
                    <w:tl2br w:val="nil"/>
                    <w:tr2bl w:val="nil"/>
                  </w:tcBorders>
                  <w:noWrap w:val="0"/>
                  <w:vAlign w:val="center"/>
                </w:tcPr>
                <w:p w14:paraId="449E4C0F">
                  <w:pPr>
                    <w:spacing w:line="24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玻璃制造 30</w:t>
                  </w:r>
                  <w:r>
                    <w:rPr>
                      <w:rFonts w:hint="default" w:ascii="Times New Roman" w:hAnsi="Times New Roman" w:cs="Times New Roman"/>
                      <w:color w:val="auto"/>
                      <w:sz w:val="21"/>
                      <w:szCs w:val="21"/>
                      <w:highlight w:val="none"/>
                      <w:lang w:val="en-US" w:eastAsia="zh-CN" w:bidi="ar"/>
                    </w:rPr>
                    <w:t>4</w:t>
                  </w:r>
                </w:p>
              </w:tc>
              <w:tc>
                <w:tcPr>
                  <w:tcW w:w="1208" w:type="pct"/>
                  <w:tcBorders>
                    <w:tl2br w:val="nil"/>
                    <w:tr2bl w:val="nil"/>
                  </w:tcBorders>
                  <w:noWrap w:val="0"/>
                  <w:vAlign w:val="center"/>
                </w:tcPr>
                <w:p w14:paraId="4E851729">
                  <w:pPr>
                    <w:spacing w:line="24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平板玻璃制造3041</w:t>
                  </w:r>
                </w:p>
              </w:tc>
              <w:tc>
                <w:tcPr>
                  <w:tcW w:w="1166" w:type="pct"/>
                  <w:tcBorders>
                    <w:tl2br w:val="nil"/>
                    <w:tr2bl w:val="nil"/>
                  </w:tcBorders>
                  <w:noWrap w:val="0"/>
                  <w:vAlign w:val="center"/>
                </w:tcPr>
                <w:p w14:paraId="675BEC26">
                  <w:pPr>
                    <w:spacing w:line="24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特种玻璃制造3042</w:t>
                  </w:r>
                </w:p>
              </w:tc>
              <w:tc>
                <w:tcPr>
                  <w:tcW w:w="1128" w:type="pct"/>
                  <w:tcBorders>
                    <w:tl2br w:val="nil"/>
                    <w:tr2bl w:val="nil"/>
                  </w:tcBorders>
                  <w:noWrap w:val="0"/>
                  <w:vAlign w:val="center"/>
                </w:tcPr>
                <w:p w14:paraId="1740064E">
                  <w:pPr>
                    <w:spacing w:line="24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其他玻璃制造3049</w:t>
                  </w:r>
                </w:p>
              </w:tc>
            </w:tr>
          </w:tbl>
          <w:p w14:paraId="2FCFE6AA">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二</w:t>
            </w:r>
            <w:r>
              <w:rPr>
                <w:rFonts w:hint="default" w:ascii="Times New Roman" w:hAnsi="Times New Roman" w:cs="Times New Roman"/>
                <w:b/>
                <w:color w:val="auto"/>
                <w:sz w:val="24"/>
                <w:highlight w:val="none"/>
              </w:rPr>
              <w:t>、项目建设概况</w:t>
            </w:r>
          </w:p>
          <w:p w14:paraId="55D0C486">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项目名称：</w:t>
            </w:r>
            <w:r>
              <w:rPr>
                <w:rFonts w:hint="default" w:ascii="Times New Roman" w:hAnsi="Times New Roman" w:cs="Times New Roman"/>
                <w:bCs/>
                <w:color w:val="auto"/>
                <w:sz w:val="24"/>
                <w:highlight w:val="none"/>
                <w:lang w:eastAsia="zh-CN"/>
              </w:rPr>
              <w:t>金祥玻璃生产线项目</w:t>
            </w:r>
            <w:r>
              <w:rPr>
                <w:rFonts w:hint="default" w:ascii="Times New Roman" w:hAnsi="Times New Roman" w:cs="Times New Roman"/>
                <w:bCs/>
                <w:color w:val="auto"/>
                <w:sz w:val="24"/>
                <w:highlight w:val="none"/>
              </w:rPr>
              <w:t>；</w:t>
            </w:r>
          </w:p>
          <w:p w14:paraId="45102E6F">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建设单位：</w:t>
            </w:r>
            <w:r>
              <w:rPr>
                <w:rFonts w:hint="default" w:ascii="Times New Roman" w:hAnsi="Times New Roman" w:cs="Times New Roman"/>
                <w:bCs/>
                <w:color w:val="auto"/>
                <w:sz w:val="24"/>
                <w:highlight w:val="none"/>
                <w:lang w:eastAsia="zh-CN"/>
              </w:rPr>
              <w:t>安徽钱进智能制造有限公司</w:t>
            </w:r>
            <w:r>
              <w:rPr>
                <w:rFonts w:hint="default" w:ascii="Times New Roman" w:hAnsi="Times New Roman" w:cs="Times New Roman"/>
                <w:bCs/>
                <w:color w:val="auto"/>
                <w:sz w:val="24"/>
                <w:highlight w:val="none"/>
              </w:rPr>
              <w:t>；</w:t>
            </w:r>
          </w:p>
          <w:p w14:paraId="18D2256E">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建设规模：可年产玻璃18万平方米；</w:t>
            </w:r>
          </w:p>
          <w:p w14:paraId="50F29CEA">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项目性质：新建；</w:t>
            </w:r>
          </w:p>
          <w:p w14:paraId="067AA07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投资总额：本项目总投资5000万元。</w:t>
            </w:r>
          </w:p>
          <w:p w14:paraId="2969C3F4">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建设地点：</w:t>
            </w:r>
            <w:r>
              <w:rPr>
                <w:rFonts w:hint="eastAsia" w:cs="Times New Roman"/>
                <w:bCs/>
                <w:color w:val="auto"/>
                <w:sz w:val="24"/>
                <w:highlight w:val="none"/>
                <w:lang w:eastAsia="zh-CN"/>
              </w:rPr>
              <w:t>安徽省淮南市田家庵区淮南现代产业园南区智慧产业园C区B9厂房</w:t>
            </w:r>
            <w:r>
              <w:rPr>
                <w:rFonts w:hint="default" w:ascii="Times New Roman" w:hAnsi="Times New Roman" w:cs="Times New Roman"/>
                <w:bCs/>
                <w:color w:val="auto"/>
                <w:sz w:val="24"/>
                <w:highlight w:val="none"/>
              </w:rPr>
              <w:t>；项目东侧为</w:t>
            </w:r>
            <w:r>
              <w:rPr>
                <w:rFonts w:hint="default" w:ascii="Times New Roman" w:hAnsi="Times New Roman" w:cs="Times New Roman"/>
                <w:bCs/>
                <w:color w:val="auto"/>
                <w:sz w:val="24"/>
                <w:highlight w:val="none"/>
                <w:lang w:val="en-US" w:eastAsia="zh-CN"/>
              </w:rPr>
              <w:t>蚌合高速</w:t>
            </w:r>
            <w:r>
              <w:rPr>
                <w:rFonts w:hint="default" w:ascii="Times New Roman" w:hAnsi="Times New Roman" w:cs="Times New Roman"/>
                <w:bCs/>
                <w:color w:val="auto"/>
                <w:sz w:val="24"/>
                <w:highlight w:val="none"/>
              </w:rPr>
              <w:t>，南侧为</w:t>
            </w:r>
            <w:r>
              <w:rPr>
                <w:rFonts w:hint="default" w:ascii="Times New Roman" w:hAnsi="Times New Roman" w:cs="Times New Roman"/>
                <w:bCs/>
                <w:color w:val="auto"/>
                <w:sz w:val="24"/>
                <w:highlight w:val="none"/>
                <w:lang w:val="en-US" w:eastAsia="zh-CN"/>
              </w:rPr>
              <w:t>拆迁区域</w:t>
            </w:r>
            <w:r>
              <w:rPr>
                <w:rFonts w:hint="default" w:ascii="Times New Roman" w:hAnsi="Times New Roman" w:cs="Times New Roman"/>
                <w:bCs/>
                <w:color w:val="auto"/>
                <w:sz w:val="24"/>
                <w:highlight w:val="none"/>
              </w:rPr>
              <w:t>，西侧为</w:t>
            </w:r>
            <w:r>
              <w:rPr>
                <w:rFonts w:hint="default" w:ascii="Times New Roman" w:hAnsi="Times New Roman" w:cs="Times New Roman"/>
                <w:bCs/>
                <w:color w:val="auto"/>
                <w:sz w:val="24"/>
                <w:highlight w:val="none"/>
                <w:lang w:val="en-US" w:eastAsia="zh-CN"/>
              </w:rPr>
              <w:t>安徽西南智能装备有限公司</w:t>
            </w:r>
            <w:r>
              <w:rPr>
                <w:rFonts w:hint="default" w:ascii="Times New Roman" w:hAnsi="Times New Roman" w:cs="Times New Roman"/>
                <w:bCs/>
                <w:color w:val="auto"/>
                <w:sz w:val="24"/>
                <w:highlight w:val="none"/>
              </w:rPr>
              <w:t>，北侧为</w:t>
            </w:r>
            <w:r>
              <w:rPr>
                <w:rFonts w:hint="default" w:ascii="Times New Roman" w:hAnsi="Times New Roman" w:cs="Times New Roman"/>
                <w:bCs/>
                <w:color w:val="auto"/>
                <w:sz w:val="24"/>
                <w:highlight w:val="none"/>
                <w:lang w:val="en-US" w:eastAsia="zh-CN"/>
              </w:rPr>
              <w:t>淮南市睿欣创新科技产业园三期项目B8厂房</w:t>
            </w:r>
            <w:r>
              <w:rPr>
                <w:rFonts w:hint="default" w:ascii="Times New Roman" w:hAnsi="Times New Roman" w:cs="Times New Roman"/>
                <w:bCs/>
                <w:color w:val="auto"/>
                <w:sz w:val="24"/>
                <w:highlight w:val="none"/>
              </w:rPr>
              <w:t>。项目周边环境示意图见附图</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w:t>
            </w:r>
          </w:p>
          <w:p w14:paraId="598F2442">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用地面积：厂房面积为5000m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w:t>
            </w:r>
          </w:p>
          <w:p w14:paraId="636ECFCA">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劳动定员：劳动定员</w:t>
            </w:r>
            <w:r>
              <w:rPr>
                <w:rFonts w:hint="default" w:ascii="Times New Roman" w:hAnsi="Times New Roman" w:cs="Times New Roman"/>
                <w:bCs/>
                <w:color w:val="auto"/>
                <w:sz w:val="24"/>
                <w:highlight w:val="none"/>
                <w:lang w:val="en-US" w:eastAsia="zh-CN"/>
              </w:rPr>
              <w:t>20</w:t>
            </w:r>
            <w:r>
              <w:rPr>
                <w:rFonts w:hint="default" w:ascii="Times New Roman" w:hAnsi="Times New Roman" w:cs="Times New Roman"/>
                <w:bCs/>
                <w:color w:val="auto"/>
                <w:sz w:val="24"/>
                <w:highlight w:val="none"/>
              </w:rPr>
              <w:t>人，不提供食宿；</w:t>
            </w:r>
          </w:p>
          <w:p w14:paraId="2D267417">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工作制度：一班制，每班工作8小时，年工作</w:t>
            </w:r>
            <w:r>
              <w:rPr>
                <w:rFonts w:hint="default" w:ascii="Times New Roman" w:hAnsi="Times New Roman" w:cs="Times New Roman"/>
                <w:bCs/>
                <w:color w:val="auto"/>
                <w:sz w:val="24"/>
                <w:highlight w:val="none"/>
                <w:lang w:val="en-US" w:eastAsia="zh-CN"/>
              </w:rPr>
              <w:t>300</w:t>
            </w:r>
            <w:r>
              <w:rPr>
                <w:rFonts w:hint="default" w:ascii="Times New Roman" w:hAnsi="Times New Roman" w:cs="Times New Roman"/>
                <w:bCs/>
                <w:color w:val="auto"/>
                <w:sz w:val="24"/>
                <w:highlight w:val="none"/>
              </w:rPr>
              <w:t>天，即</w:t>
            </w:r>
            <w:r>
              <w:rPr>
                <w:rFonts w:hint="default" w:ascii="Times New Roman" w:hAnsi="Times New Roman" w:cs="Times New Roman"/>
                <w:bCs/>
                <w:color w:val="auto"/>
                <w:sz w:val="24"/>
                <w:highlight w:val="none"/>
                <w:lang w:val="en-US" w:eastAsia="zh-CN"/>
              </w:rPr>
              <w:t>2400</w:t>
            </w:r>
            <w:r>
              <w:rPr>
                <w:rFonts w:hint="default" w:ascii="Times New Roman" w:hAnsi="Times New Roman" w:cs="Times New Roman"/>
                <w:bCs/>
                <w:color w:val="auto"/>
                <w:sz w:val="24"/>
                <w:highlight w:val="none"/>
              </w:rPr>
              <w:t>h/年。</w:t>
            </w:r>
          </w:p>
          <w:p w14:paraId="37406BED">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三</w:t>
            </w:r>
            <w:r>
              <w:rPr>
                <w:rFonts w:hint="default" w:ascii="Times New Roman" w:hAnsi="Times New Roman" w:cs="Times New Roman"/>
                <w:b/>
                <w:color w:val="auto"/>
                <w:sz w:val="24"/>
                <w:highlight w:val="none"/>
              </w:rPr>
              <w:t>、项目建设内容</w:t>
            </w:r>
          </w:p>
          <w:p w14:paraId="3D792735">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eastAsia="zh-CN"/>
              </w:rPr>
              <w:t>安徽钱进智能制造有限公司</w:t>
            </w:r>
            <w:r>
              <w:rPr>
                <w:rFonts w:hint="default" w:ascii="Times New Roman" w:hAnsi="Times New Roman" w:cs="Times New Roman"/>
                <w:bCs/>
                <w:color w:val="auto"/>
                <w:sz w:val="24"/>
                <w:highlight w:val="none"/>
              </w:rPr>
              <w:t>位于</w:t>
            </w:r>
            <w:r>
              <w:rPr>
                <w:rFonts w:hint="eastAsia" w:cs="Times New Roman"/>
                <w:bCs/>
                <w:color w:val="auto"/>
                <w:sz w:val="24"/>
                <w:highlight w:val="none"/>
                <w:lang w:eastAsia="zh-CN"/>
              </w:rPr>
              <w:t>安徽省淮南市田家庵区淮南现代产业园南区智慧产业园C区B9厂房</w:t>
            </w:r>
            <w:r>
              <w:rPr>
                <w:rFonts w:hint="default" w:ascii="Times New Roman" w:hAnsi="Times New Roman" w:cs="Times New Roman"/>
                <w:bCs/>
                <w:color w:val="auto"/>
                <w:sz w:val="24"/>
                <w:highlight w:val="none"/>
              </w:rPr>
              <w:t>。</w:t>
            </w:r>
          </w:p>
          <w:p w14:paraId="3E54BF17">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项目建设的主要工程内容及规模详见表2-2。</w:t>
            </w:r>
          </w:p>
          <w:p w14:paraId="574EA105">
            <w:pPr>
              <w:adjustRightInd w:val="0"/>
              <w:snapToGrid w:val="0"/>
              <w:spacing w:line="240" w:lineRule="auto"/>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表2-2建设项目工程内容一览表</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7"/>
              <w:gridCol w:w="603"/>
              <w:gridCol w:w="95"/>
              <w:gridCol w:w="1587"/>
              <w:gridCol w:w="4074"/>
              <w:gridCol w:w="1213"/>
            </w:tblGrid>
            <w:tr w14:paraId="121C0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pct"/>
                  <w:tcBorders>
                    <w:tl2br w:val="nil"/>
                    <w:tr2bl w:val="nil"/>
                  </w:tcBorders>
                  <w:vAlign w:val="center"/>
                </w:tcPr>
                <w:p w14:paraId="7E84118F">
                  <w:pPr>
                    <w:adjustRightInd w:val="0"/>
                    <w:snapToGri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类别</w:t>
                  </w:r>
                </w:p>
              </w:tc>
              <w:tc>
                <w:tcPr>
                  <w:tcW w:w="1388" w:type="pct"/>
                  <w:gridSpan w:val="3"/>
                  <w:tcBorders>
                    <w:tl2br w:val="nil"/>
                    <w:tr2bl w:val="nil"/>
                  </w:tcBorders>
                  <w:vAlign w:val="center"/>
                </w:tcPr>
                <w:p w14:paraId="2BEC4DA4">
                  <w:pPr>
                    <w:adjustRightInd w:val="0"/>
                    <w:snapToGri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单体工程</w:t>
                  </w:r>
                </w:p>
              </w:tc>
              <w:tc>
                <w:tcPr>
                  <w:tcW w:w="2475" w:type="pct"/>
                  <w:tcBorders>
                    <w:tl2br w:val="nil"/>
                    <w:tr2bl w:val="nil"/>
                  </w:tcBorders>
                  <w:vAlign w:val="center"/>
                </w:tcPr>
                <w:p w14:paraId="14E83E5E">
                  <w:pPr>
                    <w:adjustRightInd w:val="0"/>
                    <w:snapToGri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工程内容及规模</w:t>
                  </w:r>
                </w:p>
              </w:tc>
              <w:tc>
                <w:tcPr>
                  <w:tcW w:w="737" w:type="pct"/>
                  <w:tcBorders>
                    <w:tl2br w:val="nil"/>
                    <w:tr2bl w:val="nil"/>
                  </w:tcBorders>
                  <w:vAlign w:val="center"/>
                </w:tcPr>
                <w:p w14:paraId="2CAD5ED6">
                  <w:pPr>
                    <w:adjustRightInd w:val="0"/>
                    <w:snapToGri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51062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399" w:type="pct"/>
                  <w:vMerge w:val="restart"/>
                  <w:tcBorders>
                    <w:tl2br w:val="nil"/>
                    <w:tr2bl w:val="nil"/>
                  </w:tcBorders>
                  <w:vAlign w:val="center"/>
                </w:tcPr>
                <w:p w14:paraId="57E7294D">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主体工程</w:t>
                  </w:r>
                </w:p>
              </w:tc>
              <w:tc>
                <w:tcPr>
                  <w:tcW w:w="366" w:type="pct"/>
                  <w:vMerge w:val="restart"/>
                  <w:tcBorders>
                    <w:tl2br w:val="nil"/>
                    <w:tr2bl w:val="nil"/>
                  </w:tcBorders>
                  <w:vAlign w:val="center"/>
                </w:tcPr>
                <w:p w14:paraId="22895D72">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生产车间</w:t>
                  </w:r>
                </w:p>
              </w:tc>
              <w:tc>
                <w:tcPr>
                  <w:tcW w:w="1021" w:type="pct"/>
                  <w:gridSpan w:val="2"/>
                  <w:tcBorders>
                    <w:tl2br w:val="nil"/>
                    <w:tr2bl w:val="nil"/>
                  </w:tcBorders>
                  <w:shd w:val="clear" w:color="auto" w:fill="auto"/>
                  <w:vAlign w:val="center"/>
                </w:tcPr>
                <w:p w14:paraId="716529F2">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高压区</w:t>
                  </w:r>
                </w:p>
              </w:tc>
              <w:tc>
                <w:tcPr>
                  <w:tcW w:w="2475" w:type="pct"/>
                  <w:tcBorders>
                    <w:tl2br w:val="nil"/>
                    <w:tr2bl w:val="nil"/>
                  </w:tcBorders>
                  <w:shd w:val="clear" w:color="auto" w:fill="auto"/>
                  <w:vAlign w:val="center"/>
                </w:tcPr>
                <w:p w14:paraId="6BEF1DD7">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1F，</w:t>
                  </w:r>
                  <w:r>
                    <w:rPr>
                      <w:rFonts w:hint="default" w:ascii="Times New Roman" w:hAnsi="Times New Roman" w:eastAsia="宋体" w:cs="Times New Roman"/>
                      <w:color w:val="auto"/>
                      <w:sz w:val="21"/>
                      <w:szCs w:val="21"/>
                      <w:highlight w:val="none"/>
                    </w:rPr>
                    <w:t>层高</w:t>
                  </w:r>
                  <w:r>
                    <w:rPr>
                      <w:rFonts w:hint="default" w:ascii="Times New Roman" w:hAnsi="Times New Roman" w:cs="Times New Roman"/>
                      <w:color w:val="auto"/>
                      <w:sz w:val="21"/>
                      <w:szCs w:val="21"/>
                      <w:highlight w:val="none"/>
                      <w:lang w:val="en-US" w:eastAsia="zh-CN"/>
                    </w:rPr>
                    <w:t>10.2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区域</w:t>
                  </w:r>
                  <w:r>
                    <w:rPr>
                      <w:rFonts w:hint="default" w:ascii="Times New Roman" w:hAnsi="Times New Roman" w:eastAsia="宋体" w:cs="Times New Roman"/>
                      <w:color w:val="auto"/>
                      <w:sz w:val="21"/>
                      <w:szCs w:val="21"/>
                      <w:highlight w:val="none"/>
                    </w:rPr>
                    <w:t>面积</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位于厂</w:t>
                  </w:r>
                  <w:r>
                    <w:rPr>
                      <w:rFonts w:hint="default" w:ascii="Times New Roman" w:hAnsi="Times New Roman" w:cs="Times New Roman"/>
                      <w:color w:val="auto"/>
                      <w:sz w:val="21"/>
                      <w:szCs w:val="21"/>
                      <w:highlight w:val="none"/>
                      <w:lang w:val="en-US" w:eastAsia="zh-CN"/>
                    </w:rPr>
                    <w:t>房</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cs="Times New Roman"/>
                      <w:color w:val="auto"/>
                      <w:sz w:val="21"/>
                      <w:szCs w:val="21"/>
                      <w:highlight w:val="none"/>
                      <w:lang w:val="en-US" w:eastAsia="zh-CN"/>
                    </w:rPr>
                    <w:t>东侧</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用于</w:t>
                  </w:r>
                  <w:r>
                    <w:rPr>
                      <w:rFonts w:hint="default" w:ascii="Times New Roman" w:hAnsi="Times New Roman" w:cs="Times New Roman"/>
                      <w:color w:val="auto"/>
                      <w:sz w:val="21"/>
                      <w:szCs w:val="21"/>
                      <w:highlight w:val="none"/>
                      <w:lang w:val="en-US" w:eastAsia="zh-CN"/>
                    </w:rPr>
                    <w:t>生产夹层玻璃需要高压加热的玻璃</w:t>
                  </w:r>
                </w:p>
              </w:tc>
              <w:tc>
                <w:tcPr>
                  <w:tcW w:w="737" w:type="pct"/>
                  <w:vMerge w:val="restart"/>
                  <w:tcBorders>
                    <w:tl2br w:val="nil"/>
                    <w:tr2bl w:val="nil"/>
                  </w:tcBorders>
                  <w:vAlign w:val="center"/>
                </w:tcPr>
                <w:p w14:paraId="281F3A24">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依托租赁厂房建设</w:t>
                  </w:r>
                </w:p>
              </w:tc>
            </w:tr>
            <w:tr w14:paraId="0C28F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99" w:type="pct"/>
                  <w:vMerge w:val="continue"/>
                  <w:tcBorders>
                    <w:tl2br w:val="nil"/>
                    <w:tr2bl w:val="nil"/>
                  </w:tcBorders>
                  <w:vAlign w:val="center"/>
                </w:tcPr>
                <w:p w14:paraId="00DDC071">
                  <w:pPr>
                    <w:adjustRightInd w:val="0"/>
                    <w:snapToGrid w:val="0"/>
                    <w:spacing w:line="240" w:lineRule="auto"/>
                    <w:jc w:val="center"/>
                    <w:rPr>
                      <w:rFonts w:hint="default" w:ascii="Times New Roman" w:hAnsi="Times New Roman" w:cs="Times New Roman"/>
                      <w:bCs/>
                      <w:color w:val="auto"/>
                      <w:szCs w:val="21"/>
                      <w:highlight w:val="none"/>
                    </w:rPr>
                  </w:pPr>
                </w:p>
              </w:tc>
              <w:tc>
                <w:tcPr>
                  <w:tcW w:w="366" w:type="pct"/>
                  <w:vMerge w:val="continue"/>
                  <w:tcBorders>
                    <w:tl2br w:val="nil"/>
                    <w:tr2bl w:val="nil"/>
                  </w:tcBorders>
                  <w:vAlign w:val="center"/>
                </w:tcPr>
                <w:p w14:paraId="54AF2A0C">
                  <w:pPr>
                    <w:adjustRightInd w:val="0"/>
                    <w:snapToGrid w:val="0"/>
                    <w:spacing w:line="240" w:lineRule="auto"/>
                    <w:jc w:val="center"/>
                    <w:rPr>
                      <w:rFonts w:hint="default" w:ascii="Times New Roman" w:hAnsi="Times New Roman" w:cs="Times New Roman"/>
                      <w:bCs/>
                      <w:color w:val="auto"/>
                      <w:szCs w:val="21"/>
                      <w:highlight w:val="none"/>
                    </w:rPr>
                  </w:pPr>
                </w:p>
              </w:tc>
              <w:tc>
                <w:tcPr>
                  <w:tcW w:w="1021" w:type="pct"/>
                  <w:gridSpan w:val="2"/>
                  <w:tcBorders>
                    <w:tl2br w:val="nil"/>
                    <w:tr2bl w:val="nil"/>
                  </w:tcBorders>
                  <w:shd w:val="clear" w:color="auto" w:fill="auto"/>
                  <w:vAlign w:val="center"/>
                </w:tcPr>
                <w:p w14:paraId="04200DB6">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钢化区</w:t>
                  </w:r>
                </w:p>
              </w:tc>
              <w:tc>
                <w:tcPr>
                  <w:tcW w:w="2475" w:type="pct"/>
                  <w:tcBorders>
                    <w:tl2br w:val="nil"/>
                    <w:tr2bl w:val="nil"/>
                  </w:tcBorders>
                  <w:shd w:val="clear" w:color="auto" w:fill="auto"/>
                  <w:vAlign w:val="center"/>
                </w:tcPr>
                <w:p w14:paraId="307EF00C">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1F，</w:t>
                  </w:r>
                  <w:r>
                    <w:rPr>
                      <w:rFonts w:hint="default" w:ascii="Times New Roman" w:hAnsi="Times New Roman" w:eastAsia="宋体" w:cs="Times New Roman"/>
                      <w:color w:val="auto"/>
                      <w:sz w:val="21"/>
                      <w:szCs w:val="21"/>
                      <w:highlight w:val="none"/>
                    </w:rPr>
                    <w:t>层高</w:t>
                  </w:r>
                  <w:r>
                    <w:rPr>
                      <w:rFonts w:hint="default" w:ascii="Times New Roman" w:hAnsi="Times New Roman" w:cs="Times New Roman"/>
                      <w:color w:val="auto"/>
                      <w:sz w:val="21"/>
                      <w:szCs w:val="21"/>
                      <w:highlight w:val="none"/>
                      <w:lang w:val="en-US" w:eastAsia="zh-CN"/>
                    </w:rPr>
                    <w:t>10.2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区域</w:t>
                  </w:r>
                  <w:r>
                    <w:rPr>
                      <w:rFonts w:hint="default" w:ascii="Times New Roman" w:hAnsi="Times New Roman" w:eastAsia="宋体" w:cs="Times New Roman"/>
                      <w:color w:val="auto"/>
                      <w:sz w:val="21"/>
                      <w:szCs w:val="21"/>
                      <w:highlight w:val="none"/>
                    </w:rPr>
                    <w:t>面积</w:t>
                  </w:r>
                  <w:r>
                    <w:rPr>
                      <w:rFonts w:hint="default" w:ascii="Times New Roman" w:hAnsi="Times New Roman"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位于厂区的东</w:t>
                  </w:r>
                  <w:r>
                    <w:rPr>
                      <w:rFonts w:hint="default" w:ascii="Times New Roman" w:hAnsi="Times New Roman" w:cs="Times New Roman"/>
                      <w:color w:val="auto"/>
                      <w:sz w:val="21"/>
                      <w:szCs w:val="21"/>
                      <w:highlight w:val="none"/>
                      <w:lang w:val="en-US" w:eastAsia="zh-CN"/>
                    </w:rPr>
                    <w:t>侧中部，设置1座钢化炉，</w:t>
                  </w:r>
                  <w:r>
                    <w:rPr>
                      <w:rFonts w:hint="default" w:ascii="Times New Roman" w:hAnsi="Times New Roman" w:eastAsia="宋体" w:cs="Times New Roman"/>
                      <w:color w:val="auto"/>
                      <w:sz w:val="21"/>
                      <w:szCs w:val="21"/>
                      <w:highlight w:val="none"/>
                    </w:rPr>
                    <w:t>用于</w:t>
                  </w:r>
                  <w:r>
                    <w:rPr>
                      <w:rFonts w:hint="default" w:ascii="Times New Roman" w:hAnsi="Times New Roman" w:eastAsia="宋体" w:cs="Times New Roman"/>
                      <w:color w:val="auto"/>
                      <w:sz w:val="21"/>
                      <w:szCs w:val="21"/>
                      <w:highlight w:val="none"/>
                      <w:lang w:val="en-US" w:eastAsia="zh-CN"/>
                    </w:rPr>
                    <w:t>对玻璃的钢化处理</w:t>
                  </w:r>
                </w:p>
              </w:tc>
              <w:tc>
                <w:tcPr>
                  <w:tcW w:w="737" w:type="pct"/>
                  <w:vMerge w:val="continue"/>
                  <w:tcBorders>
                    <w:tl2br w:val="nil"/>
                    <w:tr2bl w:val="nil"/>
                  </w:tcBorders>
                  <w:vAlign w:val="center"/>
                </w:tcPr>
                <w:p w14:paraId="3FBE8CB6">
                  <w:pPr>
                    <w:adjustRightInd w:val="0"/>
                    <w:snapToGrid w:val="0"/>
                    <w:spacing w:line="240" w:lineRule="auto"/>
                    <w:jc w:val="center"/>
                    <w:rPr>
                      <w:rFonts w:hint="default" w:ascii="Times New Roman" w:hAnsi="Times New Roman" w:cs="Times New Roman"/>
                      <w:bCs/>
                      <w:color w:val="auto"/>
                      <w:szCs w:val="21"/>
                      <w:highlight w:val="none"/>
                    </w:rPr>
                  </w:pPr>
                </w:p>
              </w:tc>
            </w:tr>
            <w:tr w14:paraId="7AC97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99" w:type="pct"/>
                  <w:vMerge w:val="continue"/>
                  <w:tcBorders>
                    <w:tl2br w:val="nil"/>
                    <w:tr2bl w:val="nil"/>
                  </w:tcBorders>
                  <w:vAlign w:val="center"/>
                </w:tcPr>
                <w:p w14:paraId="0D486863">
                  <w:pPr>
                    <w:adjustRightInd w:val="0"/>
                    <w:snapToGrid w:val="0"/>
                    <w:spacing w:line="240" w:lineRule="auto"/>
                    <w:jc w:val="center"/>
                    <w:rPr>
                      <w:rFonts w:hint="default" w:ascii="Times New Roman" w:hAnsi="Times New Roman" w:cs="Times New Roman"/>
                      <w:bCs/>
                      <w:color w:val="auto"/>
                      <w:szCs w:val="21"/>
                      <w:highlight w:val="none"/>
                    </w:rPr>
                  </w:pPr>
                </w:p>
              </w:tc>
              <w:tc>
                <w:tcPr>
                  <w:tcW w:w="366" w:type="pct"/>
                  <w:vMerge w:val="continue"/>
                  <w:tcBorders>
                    <w:tl2br w:val="nil"/>
                    <w:tr2bl w:val="nil"/>
                  </w:tcBorders>
                  <w:vAlign w:val="center"/>
                </w:tcPr>
                <w:p w14:paraId="5BF70534">
                  <w:pPr>
                    <w:adjustRightInd w:val="0"/>
                    <w:snapToGrid w:val="0"/>
                    <w:spacing w:line="240" w:lineRule="auto"/>
                    <w:jc w:val="center"/>
                    <w:rPr>
                      <w:rFonts w:hint="default" w:ascii="Times New Roman" w:hAnsi="Times New Roman" w:cs="Times New Roman"/>
                      <w:bCs/>
                      <w:color w:val="auto"/>
                      <w:szCs w:val="21"/>
                      <w:highlight w:val="none"/>
                    </w:rPr>
                  </w:pPr>
                </w:p>
              </w:tc>
              <w:tc>
                <w:tcPr>
                  <w:tcW w:w="1682" w:type="dxa"/>
                  <w:gridSpan w:val="2"/>
                  <w:tcBorders>
                    <w:tl2br w:val="nil"/>
                    <w:tr2bl w:val="nil"/>
                  </w:tcBorders>
                  <w:shd w:val="clear" w:color="auto" w:fill="auto"/>
                  <w:vAlign w:val="center"/>
                </w:tcPr>
                <w:p w14:paraId="29416EE2">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夹胶区</w:t>
                  </w:r>
                </w:p>
              </w:tc>
              <w:tc>
                <w:tcPr>
                  <w:tcW w:w="4074" w:type="dxa"/>
                  <w:tcBorders>
                    <w:tl2br w:val="nil"/>
                    <w:tr2bl w:val="nil"/>
                  </w:tcBorders>
                  <w:shd w:val="clear" w:color="auto" w:fill="auto"/>
                  <w:vAlign w:val="center"/>
                </w:tcPr>
                <w:p w14:paraId="23884C93">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1F，</w:t>
                  </w:r>
                  <w:r>
                    <w:rPr>
                      <w:rFonts w:hint="default" w:ascii="Times New Roman" w:hAnsi="Times New Roman" w:eastAsia="宋体" w:cs="Times New Roman"/>
                      <w:color w:val="auto"/>
                      <w:sz w:val="21"/>
                      <w:szCs w:val="21"/>
                      <w:highlight w:val="none"/>
                    </w:rPr>
                    <w:t>层高</w:t>
                  </w:r>
                  <w:r>
                    <w:rPr>
                      <w:rFonts w:hint="default" w:ascii="Times New Roman" w:hAnsi="Times New Roman" w:cs="Times New Roman"/>
                      <w:color w:val="auto"/>
                      <w:sz w:val="21"/>
                      <w:szCs w:val="21"/>
                      <w:highlight w:val="none"/>
                      <w:lang w:val="en-US" w:eastAsia="zh-CN"/>
                    </w:rPr>
                    <w:t>10.2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区域</w:t>
                  </w:r>
                  <w:r>
                    <w:rPr>
                      <w:rFonts w:hint="default" w:ascii="Times New Roman" w:hAnsi="Times New Roman" w:eastAsia="宋体" w:cs="Times New Roman"/>
                      <w:color w:val="auto"/>
                      <w:sz w:val="21"/>
                      <w:szCs w:val="21"/>
                      <w:highlight w:val="none"/>
                    </w:rPr>
                    <w:t>面积</w:t>
                  </w:r>
                  <w:r>
                    <w:rPr>
                      <w:rFonts w:hint="default" w:ascii="Times New Roman" w:hAnsi="Times New Roman"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位于钢化区的南侧；</w:t>
                  </w:r>
                  <w:r>
                    <w:rPr>
                      <w:rFonts w:hint="default" w:ascii="Times New Roman" w:hAnsi="Times New Roman" w:eastAsia="宋体" w:cs="Times New Roman"/>
                      <w:color w:val="auto"/>
                      <w:sz w:val="21"/>
                      <w:szCs w:val="21"/>
                      <w:highlight w:val="none"/>
                    </w:rPr>
                    <w:t>用于</w:t>
                  </w:r>
                  <w:r>
                    <w:rPr>
                      <w:rFonts w:hint="default" w:ascii="Times New Roman" w:hAnsi="Times New Roman" w:eastAsia="宋体" w:cs="Times New Roman"/>
                      <w:color w:val="auto"/>
                      <w:sz w:val="21"/>
                      <w:szCs w:val="21"/>
                      <w:highlight w:val="none"/>
                      <w:lang w:val="en-US" w:eastAsia="zh-CN"/>
                    </w:rPr>
                    <w:t>对玻璃的</w:t>
                  </w:r>
                  <w:r>
                    <w:rPr>
                      <w:rFonts w:hint="default" w:ascii="Times New Roman" w:hAnsi="Times New Roman" w:cs="Times New Roman"/>
                      <w:color w:val="auto"/>
                      <w:sz w:val="21"/>
                      <w:szCs w:val="21"/>
                      <w:highlight w:val="none"/>
                      <w:lang w:val="en-US" w:eastAsia="zh-CN"/>
                    </w:rPr>
                    <w:t>进行夹胶</w:t>
                  </w:r>
                  <w:r>
                    <w:rPr>
                      <w:rFonts w:hint="default" w:ascii="Times New Roman" w:hAnsi="Times New Roman" w:eastAsia="宋体" w:cs="Times New Roman"/>
                      <w:color w:val="auto"/>
                      <w:sz w:val="21"/>
                      <w:szCs w:val="21"/>
                      <w:highlight w:val="none"/>
                      <w:lang w:val="en-US" w:eastAsia="zh-CN"/>
                    </w:rPr>
                    <w:t>处理</w:t>
                  </w:r>
                </w:p>
              </w:tc>
              <w:tc>
                <w:tcPr>
                  <w:tcW w:w="737" w:type="pct"/>
                  <w:vMerge w:val="continue"/>
                  <w:tcBorders>
                    <w:tl2br w:val="nil"/>
                    <w:tr2bl w:val="nil"/>
                  </w:tcBorders>
                  <w:vAlign w:val="center"/>
                </w:tcPr>
                <w:p w14:paraId="0142CD45">
                  <w:pPr>
                    <w:adjustRightInd w:val="0"/>
                    <w:snapToGrid w:val="0"/>
                    <w:spacing w:line="240" w:lineRule="auto"/>
                    <w:jc w:val="center"/>
                    <w:rPr>
                      <w:rFonts w:hint="default" w:ascii="Times New Roman" w:hAnsi="Times New Roman" w:cs="Times New Roman"/>
                      <w:bCs/>
                      <w:color w:val="auto"/>
                      <w:szCs w:val="21"/>
                      <w:highlight w:val="none"/>
                    </w:rPr>
                  </w:pPr>
                </w:p>
              </w:tc>
            </w:tr>
            <w:tr w14:paraId="3D7B3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99" w:type="pct"/>
                  <w:vMerge w:val="continue"/>
                  <w:tcBorders>
                    <w:tl2br w:val="nil"/>
                    <w:tr2bl w:val="nil"/>
                  </w:tcBorders>
                  <w:vAlign w:val="center"/>
                </w:tcPr>
                <w:p w14:paraId="3E513D0B">
                  <w:pPr>
                    <w:adjustRightInd w:val="0"/>
                    <w:snapToGrid w:val="0"/>
                    <w:spacing w:line="240" w:lineRule="auto"/>
                    <w:jc w:val="center"/>
                    <w:rPr>
                      <w:rFonts w:hint="default" w:ascii="Times New Roman" w:hAnsi="Times New Roman" w:cs="Times New Roman"/>
                      <w:bCs/>
                      <w:color w:val="auto"/>
                      <w:szCs w:val="21"/>
                      <w:highlight w:val="none"/>
                    </w:rPr>
                  </w:pPr>
                </w:p>
              </w:tc>
              <w:tc>
                <w:tcPr>
                  <w:tcW w:w="366" w:type="pct"/>
                  <w:vMerge w:val="continue"/>
                  <w:tcBorders>
                    <w:tl2br w:val="nil"/>
                    <w:tr2bl w:val="nil"/>
                  </w:tcBorders>
                  <w:vAlign w:val="center"/>
                </w:tcPr>
                <w:p w14:paraId="4D9F9CFF">
                  <w:pPr>
                    <w:adjustRightInd w:val="0"/>
                    <w:snapToGrid w:val="0"/>
                    <w:spacing w:line="240" w:lineRule="auto"/>
                    <w:jc w:val="center"/>
                    <w:rPr>
                      <w:rFonts w:hint="default" w:ascii="Times New Roman" w:hAnsi="Times New Roman" w:cs="Times New Roman"/>
                      <w:bCs/>
                      <w:color w:val="auto"/>
                      <w:szCs w:val="21"/>
                      <w:highlight w:val="none"/>
                    </w:rPr>
                  </w:pPr>
                </w:p>
              </w:tc>
              <w:tc>
                <w:tcPr>
                  <w:tcW w:w="1021" w:type="pct"/>
                  <w:gridSpan w:val="2"/>
                  <w:tcBorders>
                    <w:tl2br w:val="nil"/>
                    <w:tr2bl w:val="nil"/>
                  </w:tcBorders>
                  <w:shd w:val="clear" w:color="auto" w:fill="auto"/>
                  <w:vAlign w:val="center"/>
                </w:tcPr>
                <w:p w14:paraId="0BF1063D">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中空区</w:t>
                  </w:r>
                </w:p>
              </w:tc>
              <w:tc>
                <w:tcPr>
                  <w:tcW w:w="2475" w:type="pct"/>
                  <w:tcBorders>
                    <w:tl2br w:val="nil"/>
                    <w:tr2bl w:val="nil"/>
                  </w:tcBorders>
                  <w:shd w:val="clear" w:color="auto" w:fill="auto"/>
                  <w:vAlign w:val="center"/>
                </w:tcPr>
                <w:p w14:paraId="7F56BFD8">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1F，</w:t>
                  </w:r>
                  <w:r>
                    <w:rPr>
                      <w:rFonts w:hint="default" w:ascii="Times New Roman" w:hAnsi="Times New Roman" w:eastAsia="宋体" w:cs="Times New Roman"/>
                      <w:color w:val="auto"/>
                      <w:sz w:val="21"/>
                      <w:szCs w:val="21"/>
                      <w:highlight w:val="none"/>
                    </w:rPr>
                    <w:t>层高</w:t>
                  </w:r>
                  <w:r>
                    <w:rPr>
                      <w:rFonts w:hint="default" w:ascii="Times New Roman" w:hAnsi="Times New Roman" w:cs="Times New Roman"/>
                      <w:color w:val="auto"/>
                      <w:sz w:val="21"/>
                      <w:szCs w:val="21"/>
                      <w:highlight w:val="none"/>
                      <w:lang w:val="en-US" w:eastAsia="zh-CN"/>
                    </w:rPr>
                    <w:t>10.2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区域</w:t>
                  </w:r>
                  <w:r>
                    <w:rPr>
                      <w:rFonts w:hint="default" w:ascii="Times New Roman" w:hAnsi="Times New Roman" w:eastAsia="宋体" w:cs="Times New Roman"/>
                      <w:color w:val="auto"/>
                      <w:sz w:val="21"/>
                      <w:szCs w:val="21"/>
                      <w:highlight w:val="none"/>
                    </w:rPr>
                    <w:t>面积</w:t>
                  </w:r>
                  <w:r>
                    <w:rPr>
                      <w:rFonts w:hint="default" w:ascii="Times New Roman" w:hAnsi="Times New Roman" w:cs="Times New Roman"/>
                      <w:color w:val="auto"/>
                      <w:sz w:val="21"/>
                      <w:szCs w:val="21"/>
                      <w:highlight w:val="none"/>
                      <w:lang w:val="en-US" w:eastAsia="zh-CN"/>
                    </w:rPr>
                    <w:t>970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位于</w:t>
                  </w:r>
                  <w:r>
                    <w:rPr>
                      <w:rFonts w:hint="default" w:ascii="Times New Roman" w:hAnsi="Times New Roman" w:cs="Times New Roman"/>
                      <w:color w:val="auto"/>
                      <w:sz w:val="21"/>
                      <w:szCs w:val="21"/>
                      <w:highlight w:val="none"/>
                      <w:lang w:val="en-US" w:eastAsia="zh-CN"/>
                    </w:rPr>
                    <w:t>厂区</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cs="Times New Roman"/>
                      <w:color w:val="auto"/>
                      <w:sz w:val="21"/>
                      <w:szCs w:val="21"/>
                      <w:highlight w:val="none"/>
                      <w:lang w:val="en-US" w:eastAsia="zh-CN"/>
                    </w:rPr>
                    <w:t>中部</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设置1条中空线和1条充气打码中空线，</w:t>
                  </w:r>
                  <w:r>
                    <w:rPr>
                      <w:rFonts w:hint="default" w:ascii="Times New Roman" w:hAnsi="Times New Roman" w:eastAsia="宋体" w:cs="Times New Roman"/>
                      <w:color w:val="auto"/>
                      <w:sz w:val="21"/>
                      <w:szCs w:val="21"/>
                      <w:highlight w:val="none"/>
                    </w:rPr>
                    <w:t>用于</w:t>
                  </w:r>
                  <w:r>
                    <w:rPr>
                      <w:rFonts w:hint="default" w:ascii="Times New Roman" w:hAnsi="Times New Roman" w:eastAsia="宋体" w:cs="Times New Roman"/>
                      <w:color w:val="auto"/>
                      <w:sz w:val="21"/>
                      <w:szCs w:val="21"/>
                      <w:highlight w:val="none"/>
                      <w:lang w:val="en-US" w:eastAsia="zh-CN"/>
                    </w:rPr>
                    <w:t>对玻璃的中空处理</w:t>
                  </w:r>
                </w:p>
              </w:tc>
              <w:tc>
                <w:tcPr>
                  <w:tcW w:w="737" w:type="pct"/>
                  <w:vMerge w:val="continue"/>
                  <w:tcBorders>
                    <w:tl2br w:val="nil"/>
                    <w:tr2bl w:val="nil"/>
                  </w:tcBorders>
                  <w:vAlign w:val="center"/>
                </w:tcPr>
                <w:p w14:paraId="3E0AC02C">
                  <w:pPr>
                    <w:adjustRightInd w:val="0"/>
                    <w:snapToGrid w:val="0"/>
                    <w:spacing w:line="240" w:lineRule="auto"/>
                    <w:jc w:val="center"/>
                    <w:rPr>
                      <w:rFonts w:hint="default" w:ascii="Times New Roman" w:hAnsi="Times New Roman" w:cs="Times New Roman"/>
                      <w:bCs/>
                      <w:color w:val="auto"/>
                      <w:szCs w:val="21"/>
                      <w:highlight w:val="none"/>
                    </w:rPr>
                  </w:pPr>
                </w:p>
              </w:tc>
            </w:tr>
            <w:tr w14:paraId="4ADD5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99" w:type="pct"/>
                  <w:vMerge w:val="continue"/>
                  <w:tcBorders>
                    <w:tl2br w:val="nil"/>
                    <w:tr2bl w:val="nil"/>
                  </w:tcBorders>
                  <w:vAlign w:val="center"/>
                </w:tcPr>
                <w:p w14:paraId="5327E16B">
                  <w:pPr>
                    <w:adjustRightInd w:val="0"/>
                    <w:snapToGrid w:val="0"/>
                    <w:spacing w:line="240" w:lineRule="auto"/>
                    <w:jc w:val="center"/>
                    <w:rPr>
                      <w:rFonts w:hint="default" w:ascii="Times New Roman" w:hAnsi="Times New Roman" w:cs="Times New Roman"/>
                      <w:bCs/>
                      <w:color w:val="auto"/>
                      <w:szCs w:val="21"/>
                      <w:highlight w:val="none"/>
                    </w:rPr>
                  </w:pPr>
                </w:p>
              </w:tc>
              <w:tc>
                <w:tcPr>
                  <w:tcW w:w="366" w:type="pct"/>
                  <w:vMerge w:val="continue"/>
                  <w:tcBorders>
                    <w:tl2br w:val="nil"/>
                    <w:tr2bl w:val="nil"/>
                  </w:tcBorders>
                  <w:vAlign w:val="center"/>
                </w:tcPr>
                <w:p w14:paraId="3BFF9F30">
                  <w:pPr>
                    <w:adjustRightInd w:val="0"/>
                    <w:snapToGrid w:val="0"/>
                    <w:spacing w:line="240" w:lineRule="auto"/>
                    <w:jc w:val="center"/>
                    <w:rPr>
                      <w:rFonts w:hint="default" w:ascii="Times New Roman" w:hAnsi="Times New Roman" w:cs="Times New Roman"/>
                      <w:bCs/>
                      <w:color w:val="auto"/>
                      <w:szCs w:val="21"/>
                      <w:highlight w:val="none"/>
                    </w:rPr>
                  </w:pPr>
                </w:p>
              </w:tc>
              <w:tc>
                <w:tcPr>
                  <w:tcW w:w="1021" w:type="pct"/>
                  <w:gridSpan w:val="2"/>
                  <w:tcBorders>
                    <w:tl2br w:val="nil"/>
                    <w:tr2bl w:val="nil"/>
                  </w:tcBorders>
                  <w:shd w:val="clear" w:color="auto" w:fill="auto"/>
                  <w:vAlign w:val="center"/>
                </w:tcPr>
                <w:p w14:paraId="682C712B">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切割</w:t>
                  </w:r>
                  <w:r>
                    <w:rPr>
                      <w:rFonts w:hint="default" w:ascii="Times New Roman" w:hAnsi="Times New Roman" w:cs="Times New Roman"/>
                      <w:color w:val="auto"/>
                      <w:sz w:val="21"/>
                      <w:szCs w:val="21"/>
                      <w:highlight w:val="none"/>
                      <w:vertAlign w:val="baseline"/>
                      <w:lang w:val="en-US" w:eastAsia="zh-CN"/>
                    </w:rPr>
                    <w:t>、打磨、清洗</w:t>
                  </w:r>
                  <w:r>
                    <w:rPr>
                      <w:rFonts w:hint="default" w:ascii="Times New Roman" w:hAnsi="Times New Roman" w:eastAsia="宋体" w:cs="Times New Roman"/>
                      <w:color w:val="auto"/>
                      <w:sz w:val="21"/>
                      <w:szCs w:val="21"/>
                      <w:highlight w:val="none"/>
                      <w:vertAlign w:val="baseline"/>
                      <w:lang w:val="en-US" w:eastAsia="zh-CN"/>
                    </w:rPr>
                    <w:t>区</w:t>
                  </w:r>
                </w:p>
              </w:tc>
              <w:tc>
                <w:tcPr>
                  <w:tcW w:w="2475" w:type="pct"/>
                  <w:tcBorders>
                    <w:tl2br w:val="nil"/>
                    <w:tr2bl w:val="nil"/>
                  </w:tcBorders>
                  <w:shd w:val="clear" w:color="auto" w:fill="auto"/>
                  <w:vAlign w:val="center"/>
                </w:tcPr>
                <w:p w14:paraId="588ABBB1">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1F，</w:t>
                  </w:r>
                  <w:r>
                    <w:rPr>
                      <w:rFonts w:hint="default" w:ascii="Times New Roman" w:hAnsi="Times New Roman" w:eastAsia="宋体" w:cs="Times New Roman"/>
                      <w:color w:val="auto"/>
                      <w:sz w:val="21"/>
                      <w:szCs w:val="21"/>
                      <w:highlight w:val="none"/>
                    </w:rPr>
                    <w:t>层高</w:t>
                  </w:r>
                  <w:r>
                    <w:rPr>
                      <w:rFonts w:hint="default" w:ascii="Times New Roman" w:hAnsi="Times New Roman" w:cs="Times New Roman"/>
                      <w:color w:val="auto"/>
                      <w:sz w:val="21"/>
                      <w:szCs w:val="21"/>
                      <w:highlight w:val="none"/>
                      <w:lang w:val="en-US" w:eastAsia="zh-CN"/>
                    </w:rPr>
                    <w:t>10.2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区域</w:t>
                  </w:r>
                  <w:r>
                    <w:rPr>
                      <w:rFonts w:hint="default" w:ascii="Times New Roman" w:hAnsi="Times New Roman" w:eastAsia="宋体" w:cs="Times New Roman"/>
                      <w:color w:val="auto"/>
                      <w:sz w:val="21"/>
                      <w:szCs w:val="21"/>
                      <w:highlight w:val="none"/>
                    </w:rPr>
                    <w:t>面积</w:t>
                  </w:r>
                  <w:r>
                    <w:rPr>
                      <w:rFonts w:hint="default" w:ascii="Times New Roman" w:hAnsi="Times New Roman" w:cs="Times New Roman"/>
                      <w:color w:val="auto"/>
                      <w:sz w:val="21"/>
                      <w:szCs w:val="21"/>
                      <w:highlight w:val="none"/>
                      <w:lang w:val="en-US" w:eastAsia="zh-CN"/>
                    </w:rPr>
                    <w:t>1130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位于中空区的</w:t>
                  </w:r>
                  <w:r>
                    <w:rPr>
                      <w:rFonts w:hint="default" w:ascii="Times New Roman" w:hAnsi="Times New Roman" w:cs="Times New Roman"/>
                      <w:color w:val="auto"/>
                      <w:sz w:val="21"/>
                      <w:szCs w:val="21"/>
                      <w:highlight w:val="none"/>
                      <w:lang w:val="en-US" w:eastAsia="zh-CN"/>
                    </w:rPr>
                    <w:t>北侧，设置2条生产线，</w:t>
                  </w:r>
                  <w:r>
                    <w:rPr>
                      <w:rFonts w:hint="default" w:ascii="Times New Roman" w:hAnsi="Times New Roman" w:eastAsia="宋体" w:cs="Times New Roman"/>
                      <w:color w:val="auto"/>
                      <w:sz w:val="21"/>
                      <w:szCs w:val="21"/>
                      <w:highlight w:val="none"/>
                    </w:rPr>
                    <w:t>用于</w:t>
                  </w:r>
                  <w:r>
                    <w:rPr>
                      <w:rFonts w:hint="default" w:ascii="Times New Roman" w:hAnsi="Times New Roman" w:eastAsia="宋体" w:cs="Times New Roman"/>
                      <w:color w:val="auto"/>
                      <w:sz w:val="21"/>
                      <w:szCs w:val="21"/>
                      <w:highlight w:val="none"/>
                      <w:lang w:val="en-US" w:eastAsia="zh-CN"/>
                    </w:rPr>
                    <w:t>对玻璃原片的切割</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磨边钻孔</w:t>
                  </w:r>
                  <w:r>
                    <w:rPr>
                      <w:rFonts w:hint="default" w:ascii="Times New Roman" w:hAnsi="Times New Roman" w:cs="Times New Roman"/>
                      <w:color w:val="auto"/>
                      <w:sz w:val="21"/>
                      <w:szCs w:val="21"/>
                      <w:highlight w:val="none"/>
                      <w:vertAlign w:val="baseline"/>
                      <w:lang w:val="en-US" w:eastAsia="zh-CN"/>
                    </w:rPr>
                    <w:t>、清洗</w:t>
                  </w:r>
                </w:p>
              </w:tc>
              <w:tc>
                <w:tcPr>
                  <w:tcW w:w="737" w:type="pct"/>
                  <w:vMerge w:val="continue"/>
                  <w:tcBorders>
                    <w:tl2br w:val="nil"/>
                    <w:tr2bl w:val="nil"/>
                  </w:tcBorders>
                  <w:vAlign w:val="center"/>
                </w:tcPr>
                <w:p w14:paraId="5D4F6B89">
                  <w:pPr>
                    <w:adjustRightInd w:val="0"/>
                    <w:snapToGrid w:val="0"/>
                    <w:spacing w:line="240" w:lineRule="auto"/>
                    <w:jc w:val="center"/>
                    <w:rPr>
                      <w:rFonts w:hint="default" w:ascii="Times New Roman" w:hAnsi="Times New Roman" w:cs="Times New Roman"/>
                      <w:bCs/>
                      <w:color w:val="auto"/>
                      <w:szCs w:val="21"/>
                      <w:highlight w:val="none"/>
                    </w:rPr>
                  </w:pPr>
                </w:p>
              </w:tc>
            </w:tr>
            <w:tr w14:paraId="19F54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99" w:type="pct"/>
                  <w:tcBorders>
                    <w:tl2br w:val="nil"/>
                    <w:tr2bl w:val="nil"/>
                  </w:tcBorders>
                  <w:vAlign w:val="center"/>
                </w:tcPr>
                <w:p w14:paraId="752834EB">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辅助工程</w:t>
                  </w:r>
                </w:p>
              </w:tc>
              <w:tc>
                <w:tcPr>
                  <w:tcW w:w="1388" w:type="pct"/>
                  <w:gridSpan w:val="3"/>
                  <w:tcBorders>
                    <w:tl2br w:val="nil"/>
                    <w:tr2bl w:val="nil"/>
                  </w:tcBorders>
                  <w:vAlign w:val="center"/>
                </w:tcPr>
                <w:p w14:paraId="22DD1E09">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办公室</w:t>
                  </w:r>
                </w:p>
              </w:tc>
              <w:tc>
                <w:tcPr>
                  <w:tcW w:w="2475" w:type="pct"/>
                  <w:tcBorders>
                    <w:tl2br w:val="nil"/>
                    <w:tr2bl w:val="nil"/>
                  </w:tcBorders>
                  <w:vAlign w:val="center"/>
                </w:tcPr>
                <w:p w14:paraId="4B2E3E8B">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位于</w:t>
                  </w:r>
                  <w:r>
                    <w:rPr>
                      <w:rFonts w:hint="default" w:ascii="Times New Roman" w:hAnsi="Times New Roman" w:cs="Times New Roman"/>
                      <w:bCs/>
                      <w:color w:val="auto"/>
                      <w:szCs w:val="21"/>
                      <w:highlight w:val="none"/>
                      <w:lang w:val="en-US" w:eastAsia="zh-CN"/>
                    </w:rPr>
                    <w:t>厂房西南角</w:t>
                  </w:r>
                  <w:r>
                    <w:rPr>
                      <w:rFonts w:hint="default" w:ascii="Times New Roman" w:hAnsi="Times New Roman" w:cs="Times New Roman"/>
                      <w:bCs/>
                      <w:color w:val="auto"/>
                      <w:szCs w:val="21"/>
                      <w:highlight w:val="none"/>
                    </w:rPr>
                    <w:t>，用于员工日常办公，建筑面积为</w:t>
                  </w:r>
                  <w:r>
                    <w:rPr>
                      <w:rFonts w:hint="default" w:ascii="Times New Roman" w:hAnsi="Times New Roman" w:cs="Times New Roman"/>
                      <w:bCs/>
                      <w:color w:val="auto"/>
                      <w:szCs w:val="21"/>
                      <w:highlight w:val="none"/>
                      <w:lang w:val="en-US" w:eastAsia="zh-CN"/>
                    </w:rPr>
                    <w:t>82</w:t>
                  </w:r>
                  <w:r>
                    <w:rPr>
                      <w:rFonts w:hint="default" w:ascii="Times New Roman" w:hAnsi="Times New Roman" w:cs="Times New Roman"/>
                      <w:bCs/>
                      <w:color w:val="auto"/>
                      <w:szCs w:val="21"/>
                      <w:highlight w:val="none"/>
                    </w:rPr>
                    <w:t>m</w:t>
                  </w:r>
                  <w:r>
                    <w:rPr>
                      <w:rFonts w:hint="default" w:ascii="Times New Roman" w:hAnsi="Times New Roman" w:cs="Times New Roman"/>
                      <w:bCs/>
                      <w:color w:val="auto"/>
                      <w:szCs w:val="21"/>
                      <w:highlight w:val="none"/>
                      <w:vertAlign w:val="superscript"/>
                    </w:rPr>
                    <w:t>2</w:t>
                  </w:r>
                  <w:r>
                    <w:rPr>
                      <w:rFonts w:hint="default" w:ascii="Times New Roman" w:hAnsi="Times New Roman" w:cs="Times New Roman"/>
                      <w:bCs/>
                      <w:color w:val="auto"/>
                      <w:szCs w:val="21"/>
                      <w:highlight w:val="none"/>
                    </w:rPr>
                    <w:t>。</w:t>
                  </w:r>
                </w:p>
              </w:tc>
              <w:tc>
                <w:tcPr>
                  <w:tcW w:w="737" w:type="pct"/>
                  <w:vMerge w:val="continue"/>
                  <w:tcBorders>
                    <w:tl2br w:val="nil"/>
                    <w:tr2bl w:val="nil"/>
                  </w:tcBorders>
                  <w:vAlign w:val="center"/>
                </w:tcPr>
                <w:p w14:paraId="6F0B2772">
                  <w:pPr>
                    <w:adjustRightInd w:val="0"/>
                    <w:snapToGrid w:val="0"/>
                    <w:spacing w:line="240" w:lineRule="auto"/>
                    <w:jc w:val="center"/>
                    <w:rPr>
                      <w:rFonts w:hint="default" w:ascii="Times New Roman" w:hAnsi="Times New Roman" w:cs="Times New Roman"/>
                      <w:bCs/>
                      <w:color w:val="auto"/>
                      <w:szCs w:val="21"/>
                      <w:highlight w:val="none"/>
                    </w:rPr>
                  </w:pPr>
                </w:p>
              </w:tc>
            </w:tr>
            <w:tr w14:paraId="131F8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pct"/>
                  <w:vMerge w:val="restart"/>
                  <w:tcBorders>
                    <w:tl2br w:val="nil"/>
                    <w:tr2bl w:val="nil"/>
                  </w:tcBorders>
                  <w:vAlign w:val="center"/>
                </w:tcPr>
                <w:p w14:paraId="3F7B0453">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贮运工程</w:t>
                  </w:r>
                </w:p>
              </w:tc>
              <w:tc>
                <w:tcPr>
                  <w:tcW w:w="1388" w:type="pct"/>
                  <w:gridSpan w:val="3"/>
                  <w:tcBorders>
                    <w:tl2br w:val="nil"/>
                    <w:tr2bl w:val="nil"/>
                  </w:tcBorders>
                  <w:vAlign w:val="center"/>
                </w:tcPr>
                <w:p w14:paraId="39420D11">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原片区</w:t>
                  </w:r>
                </w:p>
              </w:tc>
              <w:tc>
                <w:tcPr>
                  <w:tcW w:w="2475" w:type="pct"/>
                  <w:tcBorders>
                    <w:tl2br w:val="nil"/>
                    <w:tr2bl w:val="nil"/>
                  </w:tcBorders>
                  <w:vAlign w:val="center"/>
                </w:tcPr>
                <w:p w14:paraId="79FDB69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cs="Times New Roman"/>
                      <w:bCs/>
                      <w:color w:val="auto"/>
                      <w:szCs w:val="21"/>
                      <w:highlight w:val="none"/>
                      <w:lang w:val="en-US"/>
                    </w:rPr>
                  </w:pPr>
                  <w:r>
                    <w:rPr>
                      <w:rFonts w:hint="default" w:ascii="Times New Roman" w:hAnsi="Times New Roman" w:eastAsia="宋体" w:cs="Times New Roman"/>
                      <w:color w:val="auto"/>
                      <w:sz w:val="21"/>
                      <w:szCs w:val="21"/>
                      <w:highlight w:val="none"/>
                      <w:lang w:val="en-US" w:eastAsia="zh-CN"/>
                    </w:rPr>
                    <w:t>1F，</w:t>
                  </w:r>
                  <w:r>
                    <w:rPr>
                      <w:rFonts w:hint="default" w:ascii="Times New Roman" w:hAnsi="Times New Roman" w:eastAsia="宋体" w:cs="Times New Roman"/>
                      <w:color w:val="auto"/>
                      <w:sz w:val="21"/>
                      <w:szCs w:val="21"/>
                      <w:highlight w:val="none"/>
                    </w:rPr>
                    <w:t>层高</w:t>
                  </w:r>
                  <w:r>
                    <w:rPr>
                      <w:rFonts w:hint="default" w:ascii="Times New Roman" w:hAnsi="Times New Roman" w:cs="Times New Roman"/>
                      <w:color w:val="auto"/>
                      <w:sz w:val="21"/>
                      <w:szCs w:val="21"/>
                      <w:highlight w:val="none"/>
                      <w:lang w:val="en-US" w:eastAsia="zh-CN"/>
                    </w:rPr>
                    <w:t>10.2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区域</w:t>
                  </w:r>
                  <w:r>
                    <w:rPr>
                      <w:rFonts w:hint="default" w:ascii="Times New Roman" w:hAnsi="Times New Roman" w:eastAsia="宋体" w:cs="Times New Roman"/>
                      <w:color w:val="auto"/>
                      <w:sz w:val="21"/>
                      <w:szCs w:val="21"/>
                      <w:highlight w:val="none"/>
                    </w:rPr>
                    <w:t>面积</w:t>
                  </w:r>
                  <w:r>
                    <w:rPr>
                      <w:rFonts w:hint="default" w:ascii="Times New Roman" w:hAnsi="Times New Roman" w:cs="Times New Roman"/>
                      <w:color w:val="auto"/>
                      <w:sz w:val="21"/>
                      <w:szCs w:val="21"/>
                      <w:highlight w:val="none"/>
                      <w:lang w:val="en-US" w:eastAsia="zh-CN"/>
                    </w:rPr>
                    <w:t>700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位于厂区的</w:t>
                  </w:r>
                  <w:r>
                    <w:rPr>
                      <w:rFonts w:hint="default" w:ascii="Times New Roman" w:hAnsi="Times New Roman" w:cs="Times New Roman"/>
                      <w:color w:val="auto"/>
                      <w:sz w:val="21"/>
                      <w:szCs w:val="21"/>
                      <w:highlight w:val="none"/>
                      <w:lang w:val="en-US" w:eastAsia="zh-CN"/>
                    </w:rPr>
                    <w:t>西北侧</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用于</w:t>
                  </w:r>
                  <w:r>
                    <w:rPr>
                      <w:rFonts w:hint="default" w:ascii="Times New Roman" w:hAnsi="Times New Roman" w:eastAsia="宋体" w:cs="Times New Roman"/>
                      <w:color w:val="auto"/>
                      <w:sz w:val="21"/>
                      <w:szCs w:val="21"/>
                      <w:highlight w:val="none"/>
                      <w:lang w:val="en-US" w:eastAsia="zh-CN"/>
                    </w:rPr>
                    <w:t>对玻璃原片</w:t>
                  </w:r>
                  <w:r>
                    <w:rPr>
                      <w:rFonts w:hint="eastAsia" w:cs="Times New Roman"/>
                      <w:color w:val="auto"/>
                      <w:sz w:val="21"/>
                      <w:szCs w:val="21"/>
                      <w:highlight w:val="none"/>
                      <w:lang w:val="en-US" w:eastAsia="zh-CN"/>
                    </w:rPr>
                    <w:t>以及丁基胶、双组份硅酮胶等</w:t>
                  </w:r>
                  <w:r>
                    <w:rPr>
                      <w:rFonts w:hint="default" w:ascii="Times New Roman" w:hAnsi="Times New Roman" w:eastAsia="宋体" w:cs="Times New Roman"/>
                      <w:color w:val="auto"/>
                      <w:sz w:val="21"/>
                      <w:szCs w:val="21"/>
                      <w:highlight w:val="none"/>
                      <w:lang w:val="en-US" w:eastAsia="zh-CN"/>
                    </w:rPr>
                    <w:t>的存放</w:t>
                  </w:r>
                </w:p>
              </w:tc>
              <w:tc>
                <w:tcPr>
                  <w:tcW w:w="737" w:type="pct"/>
                  <w:vMerge w:val="continue"/>
                  <w:tcBorders>
                    <w:tl2br w:val="nil"/>
                    <w:tr2bl w:val="nil"/>
                  </w:tcBorders>
                  <w:vAlign w:val="center"/>
                </w:tcPr>
                <w:p w14:paraId="3E7B169E">
                  <w:pPr>
                    <w:adjustRightInd w:val="0"/>
                    <w:snapToGrid w:val="0"/>
                    <w:spacing w:line="240" w:lineRule="auto"/>
                    <w:jc w:val="center"/>
                    <w:rPr>
                      <w:rFonts w:hint="default" w:ascii="Times New Roman" w:hAnsi="Times New Roman" w:cs="Times New Roman"/>
                      <w:bCs/>
                      <w:color w:val="auto"/>
                      <w:szCs w:val="21"/>
                      <w:highlight w:val="none"/>
                    </w:rPr>
                  </w:pPr>
                </w:p>
              </w:tc>
            </w:tr>
            <w:tr w14:paraId="54318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pct"/>
                  <w:vMerge w:val="continue"/>
                  <w:tcBorders>
                    <w:tl2br w:val="nil"/>
                    <w:tr2bl w:val="nil"/>
                  </w:tcBorders>
                  <w:vAlign w:val="center"/>
                </w:tcPr>
                <w:p w14:paraId="3C6999C5">
                  <w:pPr>
                    <w:adjustRightInd w:val="0"/>
                    <w:snapToGrid w:val="0"/>
                    <w:spacing w:line="240" w:lineRule="auto"/>
                    <w:jc w:val="center"/>
                    <w:rPr>
                      <w:rFonts w:hint="default" w:ascii="Times New Roman" w:hAnsi="Times New Roman" w:cs="Times New Roman"/>
                      <w:bCs/>
                      <w:color w:val="auto"/>
                      <w:szCs w:val="21"/>
                      <w:highlight w:val="none"/>
                    </w:rPr>
                  </w:pPr>
                </w:p>
              </w:tc>
              <w:tc>
                <w:tcPr>
                  <w:tcW w:w="1388" w:type="pct"/>
                  <w:gridSpan w:val="3"/>
                  <w:tcBorders>
                    <w:tl2br w:val="nil"/>
                    <w:tr2bl w:val="nil"/>
                  </w:tcBorders>
                  <w:vAlign w:val="center"/>
                </w:tcPr>
                <w:p w14:paraId="76308101">
                  <w:pPr>
                    <w:keepNext w:val="0"/>
                    <w:keepLines w:val="0"/>
                    <w:pageBreakBefore w:val="0"/>
                    <w:suppressLineNumbers w:val="0"/>
                    <w:tabs>
                      <w:tab w:val="left" w:pos="6096"/>
                    </w:tabs>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auto"/>
                      <w:szCs w:val="21"/>
                      <w:highlight w:val="none"/>
                    </w:rPr>
                  </w:pPr>
                  <w:r>
                    <w:rPr>
                      <w:rFonts w:hint="default" w:ascii="Times New Roman" w:hAnsi="Times New Roman" w:eastAsia="宋体" w:cs="Times New Roman"/>
                      <w:color w:val="auto"/>
                      <w:sz w:val="21"/>
                      <w:szCs w:val="21"/>
                      <w:highlight w:val="none"/>
                      <w:lang w:val="en-US" w:eastAsia="zh-CN"/>
                    </w:rPr>
                    <w:t>成品</w:t>
                  </w:r>
                  <w:r>
                    <w:rPr>
                      <w:rFonts w:hint="default" w:ascii="Times New Roman" w:hAnsi="Times New Roman" w:cs="Times New Roman"/>
                      <w:color w:val="auto"/>
                      <w:sz w:val="21"/>
                      <w:szCs w:val="21"/>
                      <w:highlight w:val="none"/>
                      <w:lang w:val="en-US" w:eastAsia="zh-CN"/>
                    </w:rPr>
                    <w:t>区</w:t>
                  </w:r>
                </w:p>
              </w:tc>
              <w:tc>
                <w:tcPr>
                  <w:tcW w:w="2475" w:type="pct"/>
                  <w:tcBorders>
                    <w:tl2br w:val="nil"/>
                    <w:tr2bl w:val="nil"/>
                  </w:tcBorders>
                  <w:vAlign w:val="center"/>
                </w:tcPr>
                <w:p w14:paraId="5CE1014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cs="Times New Roman"/>
                      <w:bCs/>
                      <w:color w:val="auto"/>
                      <w:szCs w:val="21"/>
                      <w:highlight w:val="none"/>
                    </w:rPr>
                  </w:pPr>
                  <w:r>
                    <w:rPr>
                      <w:rFonts w:hint="default" w:ascii="Times New Roman" w:hAnsi="Times New Roman" w:eastAsia="宋体" w:cs="Times New Roman"/>
                      <w:color w:val="auto"/>
                      <w:sz w:val="21"/>
                      <w:szCs w:val="21"/>
                      <w:highlight w:val="none"/>
                      <w:lang w:val="en-US" w:eastAsia="zh-CN"/>
                    </w:rPr>
                    <w:t>1F，</w:t>
                  </w:r>
                  <w:r>
                    <w:rPr>
                      <w:rFonts w:hint="default" w:ascii="Times New Roman" w:hAnsi="Times New Roman" w:eastAsia="宋体" w:cs="Times New Roman"/>
                      <w:color w:val="auto"/>
                      <w:sz w:val="21"/>
                      <w:szCs w:val="21"/>
                      <w:highlight w:val="none"/>
                    </w:rPr>
                    <w:t>层高</w:t>
                  </w:r>
                  <w:r>
                    <w:rPr>
                      <w:rFonts w:hint="default" w:ascii="Times New Roman" w:hAnsi="Times New Roman" w:cs="Times New Roman"/>
                      <w:color w:val="auto"/>
                      <w:sz w:val="21"/>
                      <w:szCs w:val="21"/>
                      <w:highlight w:val="none"/>
                      <w:lang w:val="en-US" w:eastAsia="zh-CN"/>
                    </w:rPr>
                    <w:t>10.2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区域</w:t>
                  </w:r>
                  <w:r>
                    <w:rPr>
                      <w:rFonts w:hint="default" w:ascii="Times New Roman" w:hAnsi="Times New Roman" w:eastAsia="宋体" w:cs="Times New Roman"/>
                      <w:color w:val="auto"/>
                      <w:sz w:val="21"/>
                      <w:szCs w:val="21"/>
                      <w:highlight w:val="none"/>
                    </w:rPr>
                    <w:t>面积</w:t>
                  </w:r>
                  <w:r>
                    <w:rPr>
                      <w:rFonts w:hint="default" w:ascii="Times New Roman" w:hAnsi="Times New Roman" w:cs="Times New Roman"/>
                      <w:color w:val="auto"/>
                      <w:sz w:val="21"/>
                      <w:szCs w:val="21"/>
                      <w:highlight w:val="none"/>
                      <w:lang w:val="en-US" w:eastAsia="zh-CN"/>
                    </w:rPr>
                    <w:t>750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位于原料区的</w:t>
                  </w:r>
                  <w:r>
                    <w:rPr>
                      <w:rFonts w:hint="default" w:ascii="Times New Roman" w:hAnsi="Times New Roman" w:cs="Times New Roman"/>
                      <w:color w:val="auto"/>
                      <w:sz w:val="21"/>
                      <w:szCs w:val="21"/>
                      <w:highlight w:val="none"/>
                      <w:lang w:val="en-US" w:eastAsia="zh-CN"/>
                    </w:rPr>
                    <w:t>西南侧</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用于</w:t>
                  </w:r>
                  <w:r>
                    <w:rPr>
                      <w:rFonts w:hint="default" w:ascii="Times New Roman" w:hAnsi="Times New Roman" w:eastAsia="宋体" w:cs="Times New Roman"/>
                      <w:color w:val="auto"/>
                      <w:sz w:val="21"/>
                      <w:szCs w:val="21"/>
                      <w:highlight w:val="none"/>
                      <w:lang w:val="en-US" w:eastAsia="zh-CN"/>
                    </w:rPr>
                    <w:t>对钢化玻璃、中空玻璃、夹胶玻璃的储存</w:t>
                  </w:r>
                </w:p>
              </w:tc>
              <w:tc>
                <w:tcPr>
                  <w:tcW w:w="737" w:type="pct"/>
                  <w:vMerge w:val="continue"/>
                  <w:tcBorders>
                    <w:tl2br w:val="nil"/>
                    <w:tr2bl w:val="nil"/>
                  </w:tcBorders>
                  <w:vAlign w:val="center"/>
                </w:tcPr>
                <w:p w14:paraId="074098C5">
                  <w:pPr>
                    <w:adjustRightInd w:val="0"/>
                    <w:snapToGrid w:val="0"/>
                    <w:spacing w:line="240" w:lineRule="auto"/>
                    <w:jc w:val="center"/>
                    <w:rPr>
                      <w:rFonts w:hint="default" w:ascii="Times New Roman" w:hAnsi="Times New Roman" w:cs="Times New Roman"/>
                      <w:bCs/>
                      <w:color w:val="auto"/>
                      <w:szCs w:val="21"/>
                      <w:highlight w:val="none"/>
                    </w:rPr>
                  </w:pPr>
                </w:p>
              </w:tc>
            </w:tr>
            <w:tr w14:paraId="6EE08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pct"/>
                  <w:vMerge w:val="restart"/>
                  <w:tcBorders>
                    <w:tl2br w:val="nil"/>
                    <w:tr2bl w:val="nil"/>
                  </w:tcBorders>
                  <w:vAlign w:val="center"/>
                </w:tcPr>
                <w:p w14:paraId="376D2136">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公用工程</w:t>
                  </w:r>
                </w:p>
              </w:tc>
              <w:tc>
                <w:tcPr>
                  <w:tcW w:w="424" w:type="pct"/>
                  <w:gridSpan w:val="2"/>
                  <w:tcBorders>
                    <w:tl2br w:val="nil"/>
                    <w:tr2bl w:val="nil"/>
                  </w:tcBorders>
                  <w:vAlign w:val="center"/>
                </w:tcPr>
                <w:p w14:paraId="709FF0ED">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供水</w:t>
                  </w:r>
                </w:p>
              </w:tc>
              <w:tc>
                <w:tcPr>
                  <w:tcW w:w="3439" w:type="pct"/>
                  <w:gridSpan w:val="2"/>
                  <w:tcBorders>
                    <w:tl2br w:val="nil"/>
                    <w:tr2bl w:val="nil"/>
                  </w:tcBorders>
                  <w:vAlign w:val="center"/>
                </w:tcPr>
                <w:p w14:paraId="42EAABE8">
                  <w:pPr>
                    <w:adjustRightInd w:val="0"/>
                    <w:snapToGrid w:val="0"/>
                    <w:spacing w:line="240" w:lineRule="auto"/>
                    <w:jc w:val="center"/>
                    <w:rPr>
                      <w:rFonts w:hint="default" w:ascii="Times New Roman" w:hAnsi="Times New Roman" w:cs="Times New Roman"/>
                      <w:bCs/>
                      <w:color w:val="auto"/>
                      <w:szCs w:val="21"/>
                      <w:highlight w:val="none"/>
                      <w:vertAlign w:val="superscript"/>
                    </w:rPr>
                  </w:pPr>
                  <w:r>
                    <w:rPr>
                      <w:rFonts w:hint="default" w:ascii="Times New Roman" w:hAnsi="Times New Roman" w:cs="Times New Roman"/>
                      <w:bCs/>
                      <w:color w:val="auto"/>
                      <w:szCs w:val="21"/>
                      <w:highlight w:val="none"/>
                    </w:rPr>
                    <w:t>由园区给水管网提供，年用水量</w:t>
                  </w:r>
                  <w:r>
                    <w:rPr>
                      <w:rFonts w:hint="default" w:ascii="Times New Roman" w:hAnsi="Times New Roman" w:cs="Times New Roman"/>
                      <w:bCs/>
                      <w:color w:val="auto"/>
                      <w:szCs w:val="21"/>
                      <w:highlight w:val="none"/>
                      <w:lang w:val="en-US" w:eastAsia="zh-CN"/>
                    </w:rPr>
                    <w:t>648</w:t>
                  </w:r>
                  <w:r>
                    <w:rPr>
                      <w:rFonts w:hint="default" w:ascii="Times New Roman" w:hAnsi="Times New Roman" w:cs="Times New Roman"/>
                      <w:bCs/>
                      <w:color w:val="auto"/>
                      <w:szCs w:val="21"/>
                      <w:highlight w:val="none"/>
                    </w:rPr>
                    <w:t>m</w:t>
                  </w:r>
                  <w:r>
                    <w:rPr>
                      <w:rFonts w:hint="default" w:ascii="Times New Roman" w:hAnsi="Times New Roman" w:cs="Times New Roman"/>
                      <w:bCs/>
                      <w:color w:val="auto"/>
                      <w:szCs w:val="21"/>
                      <w:highlight w:val="none"/>
                      <w:vertAlign w:val="superscript"/>
                    </w:rPr>
                    <w:t>3</w:t>
                  </w:r>
                  <w:r>
                    <w:rPr>
                      <w:rFonts w:hint="default" w:ascii="Times New Roman" w:hAnsi="Times New Roman" w:cs="Times New Roman"/>
                      <w:bCs/>
                      <w:color w:val="auto"/>
                      <w:szCs w:val="21"/>
                      <w:highlight w:val="none"/>
                    </w:rPr>
                    <w:t>。</w:t>
                  </w:r>
                </w:p>
              </w:tc>
              <w:tc>
                <w:tcPr>
                  <w:tcW w:w="737" w:type="pct"/>
                  <w:tcBorders>
                    <w:tl2br w:val="nil"/>
                    <w:tr2bl w:val="nil"/>
                  </w:tcBorders>
                  <w:vAlign w:val="center"/>
                </w:tcPr>
                <w:p w14:paraId="3FD1CE34">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依托园区供水管网</w:t>
                  </w:r>
                </w:p>
              </w:tc>
            </w:tr>
            <w:tr w14:paraId="67DA2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pct"/>
                  <w:vMerge w:val="continue"/>
                  <w:tcBorders>
                    <w:tl2br w:val="nil"/>
                    <w:tr2bl w:val="nil"/>
                  </w:tcBorders>
                  <w:vAlign w:val="center"/>
                </w:tcPr>
                <w:p w14:paraId="35F93C49">
                  <w:pPr>
                    <w:adjustRightInd w:val="0"/>
                    <w:snapToGrid w:val="0"/>
                    <w:spacing w:line="240" w:lineRule="auto"/>
                    <w:jc w:val="center"/>
                    <w:rPr>
                      <w:rFonts w:hint="default" w:ascii="Times New Roman" w:hAnsi="Times New Roman" w:cs="Times New Roman"/>
                      <w:bCs/>
                      <w:color w:val="auto"/>
                      <w:szCs w:val="21"/>
                      <w:highlight w:val="none"/>
                    </w:rPr>
                  </w:pPr>
                </w:p>
              </w:tc>
              <w:tc>
                <w:tcPr>
                  <w:tcW w:w="424" w:type="pct"/>
                  <w:gridSpan w:val="2"/>
                  <w:tcBorders>
                    <w:tl2br w:val="nil"/>
                    <w:tr2bl w:val="nil"/>
                  </w:tcBorders>
                  <w:vAlign w:val="center"/>
                </w:tcPr>
                <w:p w14:paraId="358A9383">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排水</w:t>
                  </w:r>
                </w:p>
              </w:tc>
              <w:tc>
                <w:tcPr>
                  <w:tcW w:w="3439" w:type="pct"/>
                  <w:gridSpan w:val="2"/>
                  <w:tcBorders>
                    <w:tl2br w:val="nil"/>
                    <w:tr2bl w:val="nil"/>
                  </w:tcBorders>
                  <w:vAlign w:val="center"/>
                </w:tcPr>
                <w:p w14:paraId="1F1AC7ED">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雨水经厂区雨水管网排入市政雨水管网；</w:t>
                  </w:r>
                </w:p>
                <w:p w14:paraId="2049DE03">
                  <w:pPr>
                    <w:adjustRightInd w:val="0"/>
                    <w:snapToGrid w:val="0"/>
                    <w:spacing w:line="240" w:lineRule="auto"/>
                    <w:jc w:val="center"/>
                    <w:rPr>
                      <w:rFonts w:hint="eastAsia" w:ascii="Times New Roman" w:hAnsi="Times New Roman" w:eastAsia="宋体" w:cs="Times New Roman"/>
                      <w:bCs/>
                      <w:color w:val="auto"/>
                      <w:szCs w:val="21"/>
                      <w:highlight w:val="none"/>
                      <w:lang w:eastAsia="zh-CN"/>
                    </w:rPr>
                  </w:pPr>
                  <w:r>
                    <w:rPr>
                      <w:rFonts w:hint="eastAsia" w:cs="Times New Roman"/>
                      <w:bCs/>
                      <w:color w:val="auto"/>
                      <w:szCs w:val="21"/>
                      <w:highlight w:val="none"/>
                      <w:lang w:val="en-US" w:eastAsia="zh-CN"/>
                    </w:rPr>
                    <w:t>生活</w:t>
                  </w:r>
                  <w:r>
                    <w:rPr>
                      <w:rFonts w:hint="default" w:ascii="Times New Roman" w:hAnsi="Times New Roman" w:cs="Times New Roman"/>
                      <w:bCs/>
                      <w:color w:val="auto"/>
                      <w:szCs w:val="21"/>
                      <w:highlight w:val="none"/>
                    </w:rPr>
                    <w:t>污水经</w:t>
                  </w:r>
                  <w:r>
                    <w:rPr>
                      <w:rFonts w:hint="eastAsia" w:cs="Times New Roman"/>
                      <w:bCs/>
                      <w:color w:val="auto"/>
                      <w:szCs w:val="21"/>
                      <w:highlight w:val="none"/>
                      <w:lang w:val="en-US" w:eastAsia="zh-CN"/>
                    </w:rPr>
                    <w:t>化粪池</w:t>
                  </w:r>
                  <w:r>
                    <w:rPr>
                      <w:rFonts w:hint="default" w:ascii="Times New Roman" w:hAnsi="Times New Roman" w:cs="Times New Roman"/>
                      <w:bCs/>
                      <w:color w:val="auto"/>
                      <w:szCs w:val="21"/>
                      <w:highlight w:val="none"/>
                    </w:rPr>
                    <w:t>过处理后进入</w:t>
                  </w:r>
                  <w:r>
                    <w:rPr>
                      <w:rFonts w:hint="eastAsia" w:cs="Times New Roman"/>
                      <w:bCs/>
                      <w:color w:val="auto"/>
                      <w:szCs w:val="21"/>
                      <w:highlight w:val="none"/>
                      <w:lang w:eastAsia="zh-CN"/>
                    </w:rPr>
                    <w:t>淮南现代产业园污水处理站</w:t>
                  </w:r>
                </w:p>
              </w:tc>
              <w:tc>
                <w:tcPr>
                  <w:tcW w:w="737" w:type="pct"/>
                  <w:tcBorders>
                    <w:tl2br w:val="nil"/>
                    <w:tr2bl w:val="nil"/>
                  </w:tcBorders>
                  <w:vAlign w:val="center"/>
                </w:tcPr>
                <w:p w14:paraId="4CD6CF43">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依托园区排水系统</w:t>
                  </w:r>
                </w:p>
              </w:tc>
            </w:tr>
            <w:tr w14:paraId="5542D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9" w:type="pct"/>
                  <w:vMerge w:val="continue"/>
                  <w:tcBorders>
                    <w:tl2br w:val="nil"/>
                    <w:tr2bl w:val="nil"/>
                  </w:tcBorders>
                  <w:vAlign w:val="center"/>
                </w:tcPr>
                <w:p w14:paraId="36981BC9">
                  <w:pPr>
                    <w:adjustRightInd w:val="0"/>
                    <w:snapToGrid w:val="0"/>
                    <w:spacing w:line="240" w:lineRule="auto"/>
                    <w:jc w:val="center"/>
                    <w:rPr>
                      <w:rFonts w:hint="default" w:ascii="Times New Roman" w:hAnsi="Times New Roman" w:cs="Times New Roman"/>
                      <w:bCs/>
                      <w:color w:val="auto"/>
                      <w:szCs w:val="21"/>
                      <w:highlight w:val="none"/>
                    </w:rPr>
                  </w:pPr>
                </w:p>
              </w:tc>
              <w:tc>
                <w:tcPr>
                  <w:tcW w:w="424" w:type="pct"/>
                  <w:gridSpan w:val="2"/>
                  <w:tcBorders>
                    <w:tl2br w:val="nil"/>
                    <w:tr2bl w:val="nil"/>
                  </w:tcBorders>
                  <w:vAlign w:val="center"/>
                </w:tcPr>
                <w:p w14:paraId="046EC9BC">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供电</w:t>
                  </w:r>
                </w:p>
              </w:tc>
              <w:tc>
                <w:tcPr>
                  <w:tcW w:w="3439" w:type="pct"/>
                  <w:gridSpan w:val="2"/>
                  <w:tcBorders>
                    <w:tl2br w:val="nil"/>
                    <w:tr2bl w:val="nil"/>
                  </w:tcBorders>
                  <w:vAlign w:val="center"/>
                </w:tcPr>
                <w:p w14:paraId="293DF15D">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项目用电来自市政电网</w:t>
                  </w:r>
                </w:p>
              </w:tc>
              <w:tc>
                <w:tcPr>
                  <w:tcW w:w="737" w:type="pct"/>
                  <w:tcBorders>
                    <w:tl2br w:val="nil"/>
                    <w:tr2bl w:val="nil"/>
                  </w:tcBorders>
                  <w:vAlign w:val="center"/>
                </w:tcPr>
                <w:p w14:paraId="48613BE0">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依托现有供电系统</w:t>
                  </w:r>
                </w:p>
              </w:tc>
            </w:tr>
            <w:tr w14:paraId="330DB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pct"/>
                  <w:vMerge w:val="restart"/>
                  <w:tcBorders>
                    <w:tl2br w:val="nil"/>
                    <w:tr2bl w:val="nil"/>
                  </w:tcBorders>
                  <w:vAlign w:val="center"/>
                </w:tcPr>
                <w:p w14:paraId="00640589">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环保工程</w:t>
                  </w:r>
                </w:p>
              </w:tc>
              <w:tc>
                <w:tcPr>
                  <w:tcW w:w="424" w:type="pct"/>
                  <w:gridSpan w:val="2"/>
                  <w:tcBorders>
                    <w:tl2br w:val="nil"/>
                    <w:tr2bl w:val="nil"/>
                  </w:tcBorders>
                  <w:vAlign w:val="center"/>
                </w:tcPr>
                <w:p w14:paraId="18351457">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废水处理</w:t>
                  </w:r>
                </w:p>
              </w:tc>
              <w:tc>
                <w:tcPr>
                  <w:tcW w:w="3439" w:type="pct"/>
                  <w:gridSpan w:val="2"/>
                  <w:tcBorders>
                    <w:tl2br w:val="nil"/>
                    <w:tr2bl w:val="nil"/>
                  </w:tcBorders>
                  <w:vAlign w:val="center"/>
                </w:tcPr>
                <w:p w14:paraId="070324D5">
                  <w:pPr>
                    <w:adjustRightInd w:val="0"/>
                    <w:snapToGrid w:val="0"/>
                    <w:spacing w:line="240" w:lineRule="auto"/>
                    <w:ind w:firstLine="420" w:firstLineChars="200"/>
                    <w:jc w:val="both"/>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①</w:t>
                  </w:r>
                  <w:r>
                    <w:rPr>
                      <w:rFonts w:hint="default" w:ascii="Times New Roman" w:hAnsi="Times New Roman" w:eastAsia="宋体" w:cs="Times New Roman"/>
                      <w:bCs/>
                      <w:color w:val="auto"/>
                      <w:szCs w:val="21"/>
                      <w:highlight w:val="none"/>
                      <w:lang w:val="en-US" w:eastAsia="zh-CN"/>
                    </w:rPr>
                    <w:t>清洗废水和水磨废水</w:t>
                  </w:r>
                  <w:r>
                    <w:rPr>
                      <w:rFonts w:hint="default" w:ascii="Times New Roman" w:hAnsi="Times New Roman" w:eastAsia="宋体" w:cs="Times New Roman"/>
                      <w:bCs/>
                      <w:color w:val="auto"/>
                      <w:szCs w:val="21"/>
                      <w:highlight w:val="none"/>
                    </w:rPr>
                    <w:t>，经过</w:t>
                  </w:r>
                  <w:r>
                    <w:rPr>
                      <w:rFonts w:hint="default" w:ascii="Times New Roman" w:hAnsi="Times New Roman" w:eastAsia="宋体" w:cs="Times New Roman"/>
                      <w:bCs/>
                      <w:color w:val="auto"/>
                      <w:szCs w:val="21"/>
                      <w:highlight w:val="none"/>
                      <w:lang w:val="en-US" w:eastAsia="zh-CN"/>
                    </w:rPr>
                    <w:t>清洗水池</w:t>
                  </w:r>
                  <w:r>
                    <w:rPr>
                      <w:rFonts w:hint="default" w:ascii="Times New Roman" w:hAnsi="Times New Roman" w:eastAsia="宋体" w:cs="Times New Roman"/>
                      <w:bCs/>
                      <w:color w:val="auto"/>
                      <w:szCs w:val="21"/>
                      <w:highlight w:val="none"/>
                    </w:rPr>
                    <w:t>沉淀处理后循环使用</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不外排</w:t>
                  </w:r>
                  <w:r>
                    <w:rPr>
                      <w:rFonts w:hint="default" w:ascii="Times New Roman" w:hAnsi="Times New Roman" w:eastAsia="宋体" w:cs="Times New Roman"/>
                      <w:bCs/>
                      <w:color w:val="auto"/>
                      <w:szCs w:val="21"/>
                      <w:highlight w:val="none"/>
                    </w:rPr>
                    <w:t>；</w:t>
                  </w:r>
                </w:p>
                <w:p w14:paraId="481816BB">
                  <w:pPr>
                    <w:adjustRightInd w:val="0"/>
                    <w:snapToGrid w:val="0"/>
                    <w:spacing w:line="240" w:lineRule="auto"/>
                    <w:ind w:firstLine="420" w:firstLineChars="200"/>
                    <w:jc w:val="both"/>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②设备冷却用水</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循环使用，不外排；</w:t>
                  </w:r>
                </w:p>
                <w:p w14:paraId="475A1098">
                  <w:pPr>
                    <w:adjustRightInd w:val="0"/>
                    <w:snapToGrid w:val="0"/>
                    <w:spacing w:line="240" w:lineRule="auto"/>
                    <w:ind w:firstLine="420" w:firstLineChars="200"/>
                    <w:jc w:val="both"/>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③</w:t>
                  </w:r>
                  <w:r>
                    <w:rPr>
                      <w:rFonts w:hint="default" w:ascii="Times New Roman" w:hAnsi="Times New Roman" w:eastAsia="宋体" w:cs="Times New Roman"/>
                      <w:bCs/>
                      <w:color w:val="auto"/>
                      <w:szCs w:val="21"/>
                      <w:highlight w:val="none"/>
                    </w:rPr>
                    <w:t>生活污水经化粪池处理</w:t>
                  </w:r>
                  <w:r>
                    <w:rPr>
                      <w:rFonts w:hint="default" w:ascii="Times New Roman" w:hAnsi="Times New Roman" w:eastAsia="宋体" w:cs="Times New Roman"/>
                      <w:bCs/>
                      <w:color w:val="auto"/>
                      <w:szCs w:val="21"/>
                      <w:highlight w:val="none"/>
                      <w:lang w:val="en-US" w:eastAsia="zh-CN"/>
                    </w:rPr>
                    <w:t>后</w:t>
                  </w:r>
                  <w:r>
                    <w:rPr>
                      <w:rFonts w:hint="default" w:ascii="Times New Roman" w:hAnsi="Times New Roman" w:eastAsia="宋体" w:cs="Times New Roman"/>
                      <w:bCs/>
                      <w:color w:val="auto"/>
                      <w:szCs w:val="21"/>
                      <w:highlight w:val="none"/>
                    </w:rPr>
                    <w:t>达到</w:t>
                  </w:r>
                  <w:r>
                    <w:rPr>
                      <w:rFonts w:hint="eastAsia" w:cs="Times New Roman"/>
                      <w:bCs/>
                      <w:color w:val="auto"/>
                      <w:szCs w:val="21"/>
                      <w:highlight w:val="none"/>
                      <w:lang w:eastAsia="zh-CN"/>
                    </w:rPr>
                    <w:t>淮南现代产业园污水处理站</w:t>
                  </w:r>
                  <w:r>
                    <w:rPr>
                      <w:rFonts w:hint="default" w:ascii="Times New Roman" w:hAnsi="Times New Roman" w:eastAsia="宋体" w:cs="Times New Roman"/>
                      <w:bCs/>
                      <w:color w:val="auto"/>
                      <w:szCs w:val="21"/>
                      <w:highlight w:val="none"/>
                    </w:rPr>
                    <w:t>接管标准进入</w:t>
                  </w:r>
                  <w:r>
                    <w:rPr>
                      <w:rFonts w:hint="eastAsia" w:cs="Times New Roman"/>
                      <w:bCs/>
                      <w:color w:val="auto"/>
                      <w:szCs w:val="21"/>
                      <w:highlight w:val="none"/>
                      <w:lang w:eastAsia="zh-CN"/>
                    </w:rPr>
                    <w:t>淮南现代产业园污水处理站</w:t>
                  </w:r>
                  <w:r>
                    <w:rPr>
                      <w:rFonts w:hint="default" w:ascii="Times New Roman" w:hAnsi="Times New Roman" w:eastAsia="宋体" w:cs="Times New Roman"/>
                      <w:bCs/>
                      <w:color w:val="auto"/>
                      <w:szCs w:val="21"/>
                      <w:highlight w:val="none"/>
                    </w:rPr>
                    <w:t>处理，处理后尾水全部排入林桥涧沟，最终汇入瓦埠湖。</w:t>
                  </w:r>
                </w:p>
              </w:tc>
              <w:tc>
                <w:tcPr>
                  <w:tcW w:w="737" w:type="pct"/>
                  <w:tcBorders>
                    <w:tl2br w:val="nil"/>
                    <w:tr2bl w:val="nil"/>
                  </w:tcBorders>
                  <w:vAlign w:val="center"/>
                </w:tcPr>
                <w:p w14:paraId="653B67E5">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新建</w:t>
                  </w:r>
                </w:p>
              </w:tc>
            </w:tr>
            <w:tr w14:paraId="16B91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pct"/>
                  <w:vMerge w:val="continue"/>
                  <w:tcBorders>
                    <w:tl2br w:val="nil"/>
                    <w:tr2bl w:val="nil"/>
                  </w:tcBorders>
                  <w:vAlign w:val="center"/>
                </w:tcPr>
                <w:p w14:paraId="300A0B7D">
                  <w:pPr>
                    <w:adjustRightInd w:val="0"/>
                    <w:snapToGrid w:val="0"/>
                    <w:spacing w:line="240" w:lineRule="auto"/>
                    <w:jc w:val="center"/>
                    <w:rPr>
                      <w:rFonts w:hint="default" w:ascii="Times New Roman" w:hAnsi="Times New Roman" w:cs="Times New Roman"/>
                      <w:bCs/>
                      <w:color w:val="auto"/>
                      <w:szCs w:val="21"/>
                      <w:highlight w:val="none"/>
                    </w:rPr>
                  </w:pPr>
                </w:p>
              </w:tc>
              <w:tc>
                <w:tcPr>
                  <w:tcW w:w="424" w:type="pct"/>
                  <w:gridSpan w:val="2"/>
                  <w:tcBorders>
                    <w:tl2br w:val="nil"/>
                    <w:tr2bl w:val="nil"/>
                  </w:tcBorders>
                  <w:vAlign w:val="center"/>
                </w:tcPr>
                <w:p w14:paraId="0C677695">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废气处理</w:t>
                  </w:r>
                </w:p>
              </w:tc>
              <w:tc>
                <w:tcPr>
                  <w:tcW w:w="3439" w:type="pct"/>
                  <w:gridSpan w:val="2"/>
                  <w:tcBorders>
                    <w:tl2br w:val="nil"/>
                    <w:tr2bl w:val="nil"/>
                  </w:tcBorders>
                  <w:vAlign w:val="center"/>
                </w:tcPr>
                <w:p w14:paraId="783CE02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本项目的涂布丁基胶废气、</w:t>
                  </w:r>
                  <w:r>
                    <w:rPr>
                      <w:rFonts w:hint="default" w:ascii="Times New Roman" w:hAnsi="Times New Roman" w:cs="Times New Roman"/>
                      <w:bCs/>
                      <w:color w:val="auto"/>
                      <w:szCs w:val="21"/>
                      <w:highlight w:val="none"/>
                      <w:lang w:val="en-US" w:eastAsia="zh-CN"/>
                    </w:rPr>
                    <w:t>封胶</w:t>
                  </w:r>
                  <w:r>
                    <w:rPr>
                      <w:rFonts w:hint="default" w:ascii="Times New Roman" w:hAnsi="Times New Roman" w:eastAsia="宋体" w:cs="Times New Roman"/>
                      <w:bCs/>
                      <w:color w:val="auto"/>
                      <w:szCs w:val="21"/>
                      <w:highlight w:val="none"/>
                      <w:lang w:val="en-US" w:eastAsia="zh-CN"/>
                    </w:rPr>
                    <w:t>废气和</w:t>
                  </w:r>
                  <w:r>
                    <w:rPr>
                      <w:rFonts w:hint="default" w:ascii="Times New Roman" w:hAnsi="Times New Roman" w:cs="Times New Roman"/>
                      <w:bCs/>
                      <w:color w:val="auto"/>
                      <w:szCs w:val="21"/>
                      <w:highlight w:val="none"/>
                      <w:lang w:val="en-US" w:eastAsia="zh-CN"/>
                    </w:rPr>
                    <w:t>高压（</w:t>
                  </w:r>
                  <w:r>
                    <w:rPr>
                      <w:rFonts w:hint="default" w:ascii="Times New Roman" w:hAnsi="Times New Roman" w:eastAsia="宋体" w:cs="Times New Roman"/>
                      <w:bCs/>
                      <w:color w:val="auto"/>
                      <w:szCs w:val="21"/>
                      <w:highlight w:val="none"/>
                      <w:lang w:val="en-US" w:eastAsia="zh-CN"/>
                    </w:rPr>
                    <w:t>固化</w:t>
                  </w:r>
                  <w:r>
                    <w:rPr>
                      <w:rFonts w:hint="default" w:ascii="Times New Roman" w:hAnsi="Times New Roman" w:cs="Times New Roman"/>
                      <w:bCs/>
                      <w:color w:val="auto"/>
                      <w:szCs w:val="21"/>
                      <w:highlight w:val="none"/>
                      <w:lang w:val="en-US" w:eastAsia="zh-CN"/>
                    </w:rPr>
                    <w:t>)</w:t>
                  </w:r>
                  <w:r>
                    <w:rPr>
                      <w:rFonts w:hint="default" w:ascii="Times New Roman" w:hAnsi="Times New Roman" w:eastAsia="宋体" w:cs="Times New Roman"/>
                      <w:bCs/>
                      <w:color w:val="auto"/>
                      <w:szCs w:val="21"/>
                      <w:highlight w:val="none"/>
                      <w:lang w:val="en-US" w:eastAsia="zh-CN"/>
                    </w:rPr>
                    <w:t>废气，通过集气罩收集，收集后的废气经过二级活性炭吸附处理，处理后的废气经过一根15m高排气筒（DA001）达标排放；</w:t>
                  </w:r>
                </w:p>
              </w:tc>
              <w:tc>
                <w:tcPr>
                  <w:tcW w:w="737" w:type="pct"/>
                  <w:tcBorders>
                    <w:tl2br w:val="nil"/>
                    <w:tr2bl w:val="nil"/>
                  </w:tcBorders>
                  <w:vAlign w:val="center"/>
                </w:tcPr>
                <w:p w14:paraId="526F666C">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新建</w:t>
                  </w:r>
                </w:p>
              </w:tc>
            </w:tr>
            <w:tr w14:paraId="0337C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pct"/>
                  <w:vMerge w:val="continue"/>
                  <w:tcBorders>
                    <w:tl2br w:val="nil"/>
                    <w:tr2bl w:val="nil"/>
                  </w:tcBorders>
                  <w:vAlign w:val="center"/>
                </w:tcPr>
                <w:p w14:paraId="54BFD0B2">
                  <w:pPr>
                    <w:adjustRightInd w:val="0"/>
                    <w:snapToGrid w:val="0"/>
                    <w:spacing w:line="240" w:lineRule="auto"/>
                    <w:jc w:val="center"/>
                    <w:rPr>
                      <w:rFonts w:hint="default" w:ascii="Times New Roman" w:hAnsi="Times New Roman" w:cs="Times New Roman"/>
                      <w:bCs/>
                      <w:color w:val="auto"/>
                      <w:szCs w:val="21"/>
                      <w:highlight w:val="none"/>
                    </w:rPr>
                  </w:pPr>
                </w:p>
              </w:tc>
              <w:tc>
                <w:tcPr>
                  <w:tcW w:w="424" w:type="pct"/>
                  <w:gridSpan w:val="2"/>
                  <w:tcBorders>
                    <w:tl2br w:val="nil"/>
                    <w:tr2bl w:val="nil"/>
                  </w:tcBorders>
                  <w:vAlign w:val="center"/>
                </w:tcPr>
                <w:p w14:paraId="5DB61F31">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噪声处理</w:t>
                  </w:r>
                </w:p>
              </w:tc>
              <w:tc>
                <w:tcPr>
                  <w:tcW w:w="3439" w:type="pct"/>
                  <w:gridSpan w:val="2"/>
                  <w:tcBorders>
                    <w:tl2br w:val="nil"/>
                    <w:tr2bl w:val="nil"/>
                  </w:tcBorders>
                  <w:vAlign w:val="center"/>
                </w:tcPr>
                <w:p w14:paraId="2ED79589">
                  <w:pPr>
                    <w:adjustRightInd w:val="0"/>
                    <w:snapToGrid w:val="0"/>
                    <w:spacing w:line="240" w:lineRule="auto"/>
                    <w:ind w:firstLine="420" w:firstLineChars="200"/>
                    <w:jc w:val="both"/>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选用低噪声生产设备，合理布局，墙体隔声，设置减振基座、消声等措施降低噪声；</w:t>
                  </w:r>
                </w:p>
              </w:tc>
              <w:tc>
                <w:tcPr>
                  <w:tcW w:w="737" w:type="pct"/>
                  <w:tcBorders>
                    <w:tl2br w:val="nil"/>
                    <w:tr2bl w:val="nil"/>
                  </w:tcBorders>
                  <w:vAlign w:val="center"/>
                </w:tcPr>
                <w:p w14:paraId="1F90707A">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新建</w:t>
                  </w:r>
                </w:p>
              </w:tc>
            </w:tr>
            <w:tr w14:paraId="6D6D9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99" w:type="pct"/>
                  <w:vMerge w:val="continue"/>
                  <w:tcBorders>
                    <w:tl2br w:val="nil"/>
                    <w:tr2bl w:val="nil"/>
                  </w:tcBorders>
                  <w:vAlign w:val="center"/>
                </w:tcPr>
                <w:p w14:paraId="0E8C2BD2">
                  <w:pPr>
                    <w:adjustRightInd w:val="0"/>
                    <w:snapToGrid w:val="0"/>
                    <w:spacing w:line="240" w:lineRule="auto"/>
                    <w:jc w:val="center"/>
                    <w:rPr>
                      <w:rFonts w:hint="default" w:ascii="Times New Roman" w:hAnsi="Times New Roman" w:cs="Times New Roman"/>
                      <w:bCs/>
                      <w:color w:val="auto"/>
                      <w:szCs w:val="21"/>
                      <w:highlight w:val="none"/>
                    </w:rPr>
                  </w:pPr>
                </w:p>
              </w:tc>
              <w:tc>
                <w:tcPr>
                  <w:tcW w:w="424" w:type="pct"/>
                  <w:gridSpan w:val="2"/>
                  <w:tcBorders>
                    <w:tl2br w:val="nil"/>
                    <w:tr2bl w:val="nil"/>
                  </w:tcBorders>
                  <w:vAlign w:val="center"/>
                </w:tcPr>
                <w:p w14:paraId="3279D795">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固废治理</w:t>
                  </w:r>
                </w:p>
              </w:tc>
              <w:tc>
                <w:tcPr>
                  <w:tcW w:w="3439" w:type="pct"/>
                  <w:gridSpan w:val="2"/>
                  <w:tcBorders>
                    <w:tl2br w:val="nil"/>
                    <w:tr2bl w:val="nil"/>
                  </w:tcBorders>
                  <w:vAlign w:val="center"/>
                </w:tcPr>
                <w:p w14:paraId="4D99191B">
                  <w:pPr>
                    <w:adjustRightInd w:val="0"/>
                    <w:snapToGrid w:val="0"/>
                    <w:spacing w:line="240" w:lineRule="auto"/>
                    <w:ind w:firstLine="420" w:firstLineChars="200"/>
                    <w:jc w:val="both"/>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一般固废</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不合格品、玻璃边角料、玻璃沉渣、废包装</w:t>
                  </w:r>
                  <w:r>
                    <w:rPr>
                      <w:rFonts w:hint="default" w:ascii="Times New Roman" w:hAnsi="Times New Roman" w:eastAsia="宋体" w:cs="Times New Roman"/>
                      <w:bCs/>
                      <w:color w:val="auto"/>
                      <w:szCs w:val="21"/>
                      <w:highlight w:val="none"/>
                      <w:lang w:val="en-US" w:eastAsia="zh-CN"/>
                    </w:rPr>
                    <w:t>材料、铝条</w:t>
                  </w:r>
                  <w:r>
                    <w:rPr>
                      <w:rFonts w:hint="default" w:ascii="Times New Roman" w:hAnsi="Times New Roman" w:eastAsia="宋体" w:cs="Times New Roman"/>
                      <w:bCs/>
                      <w:color w:val="auto"/>
                      <w:szCs w:val="21"/>
                      <w:highlight w:val="none"/>
                    </w:rPr>
                    <w:t>，暂存于一般固废暂存间暂存（</w:t>
                  </w:r>
                  <w:r>
                    <w:rPr>
                      <w:rFonts w:hint="default" w:ascii="Times New Roman" w:hAnsi="Times New Roman" w:cs="Times New Roman"/>
                      <w:bCs/>
                      <w:color w:val="auto"/>
                      <w:szCs w:val="21"/>
                      <w:highlight w:val="none"/>
                      <w:lang w:eastAsia="zh-CN"/>
                    </w:rPr>
                    <w:t>位于</w:t>
                  </w:r>
                  <w:r>
                    <w:rPr>
                      <w:rFonts w:hint="default" w:ascii="Times New Roman" w:hAnsi="Times New Roman" w:eastAsia="宋体" w:cs="Times New Roman"/>
                      <w:bCs/>
                      <w:color w:val="auto"/>
                      <w:szCs w:val="21"/>
                      <w:highlight w:val="none"/>
                      <w:lang w:val="en-US" w:eastAsia="zh-CN"/>
                    </w:rPr>
                    <w:t>厂房东北角</w:t>
                  </w:r>
                  <w:r>
                    <w:rPr>
                      <w:rFonts w:hint="default" w:ascii="Times New Roman" w:hAnsi="Times New Roman" w:eastAsia="宋体" w:cs="Times New Roman"/>
                      <w:bCs/>
                      <w:color w:val="auto"/>
                      <w:szCs w:val="21"/>
                      <w:highlight w:val="none"/>
                    </w:rPr>
                    <w:t>；约</w:t>
                  </w:r>
                  <w:r>
                    <w:rPr>
                      <w:rFonts w:hint="default" w:ascii="Times New Roman" w:hAnsi="Times New Roman"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0m</w:t>
                  </w:r>
                  <w:r>
                    <w:rPr>
                      <w:rFonts w:hint="default" w:ascii="Times New Roman" w:hAnsi="Times New Roman" w:eastAsia="宋体" w:cs="Times New Roman"/>
                      <w:bCs/>
                      <w:color w:val="auto"/>
                      <w:szCs w:val="21"/>
                      <w:highlight w:val="none"/>
                      <w:vertAlign w:val="superscript"/>
                      <w:lang w:val="en-US" w:eastAsia="zh-CN"/>
                    </w:rPr>
                    <w:t>2</w:t>
                  </w:r>
                  <w:r>
                    <w:rPr>
                      <w:rFonts w:hint="default" w:ascii="Times New Roman" w:hAnsi="Times New Roman" w:eastAsia="宋体" w:cs="Times New Roman"/>
                      <w:bCs/>
                      <w:color w:val="auto"/>
                      <w:szCs w:val="21"/>
                      <w:highlight w:val="none"/>
                    </w:rPr>
                    <w:t>）</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统一外售处理；</w:t>
                  </w:r>
                </w:p>
                <w:p w14:paraId="68A62826">
                  <w:pPr>
                    <w:adjustRightInd w:val="0"/>
                    <w:snapToGrid w:val="0"/>
                    <w:spacing w:line="240" w:lineRule="auto"/>
                    <w:ind w:firstLine="420" w:firstLineChars="200"/>
                    <w:jc w:val="both"/>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危险废物：废胶桶、</w:t>
                  </w:r>
                  <w:r>
                    <w:rPr>
                      <w:rFonts w:hint="default" w:ascii="Times New Roman" w:hAnsi="Times New Roman" w:cs="Times New Roman"/>
                      <w:bCs/>
                      <w:color w:val="auto"/>
                      <w:szCs w:val="21"/>
                      <w:highlight w:val="none"/>
                      <w:lang w:val="en-US" w:eastAsia="zh-CN"/>
                    </w:rPr>
                    <w:t>废机油桶、</w:t>
                  </w:r>
                  <w:r>
                    <w:rPr>
                      <w:rFonts w:hint="default" w:ascii="Times New Roman" w:hAnsi="Times New Roman" w:eastAsia="宋体" w:cs="Times New Roman"/>
                      <w:bCs/>
                      <w:color w:val="auto"/>
                      <w:szCs w:val="21"/>
                      <w:highlight w:val="none"/>
                    </w:rPr>
                    <w:t>废机油、废活性炭，暂存于危废库（位于厂区</w:t>
                  </w:r>
                  <w:r>
                    <w:rPr>
                      <w:rFonts w:hint="default" w:ascii="Times New Roman" w:hAnsi="Times New Roman" w:eastAsia="宋体" w:cs="Times New Roman"/>
                      <w:bCs/>
                      <w:color w:val="auto"/>
                      <w:szCs w:val="21"/>
                      <w:highlight w:val="none"/>
                      <w:lang w:val="en-US" w:eastAsia="zh-CN"/>
                    </w:rPr>
                    <w:t>东北</w:t>
                  </w:r>
                  <w:r>
                    <w:rPr>
                      <w:rFonts w:hint="default" w:ascii="Times New Roman" w:hAnsi="Times New Roman" w:eastAsia="宋体" w:cs="Times New Roman"/>
                      <w:bCs/>
                      <w:color w:val="auto"/>
                      <w:szCs w:val="21"/>
                      <w:highlight w:val="none"/>
                    </w:rPr>
                    <w:t>角，约</w:t>
                  </w:r>
                  <w:r>
                    <w:rPr>
                      <w:rFonts w:hint="default" w:ascii="Times New Roman" w:hAnsi="Times New Roman" w:eastAsia="宋体" w:cs="Times New Roman"/>
                      <w:bCs/>
                      <w:color w:val="auto"/>
                      <w:szCs w:val="21"/>
                      <w:highlight w:val="none"/>
                      <w:lang w:val="en-US" w:eastAsia="zh-CN"/>
                    </w:rPr>
                    <w:t>8</w:t>
                  </w:r>
                  <w:r>
                    <w:rPr>
                      <w:rFonts w:hint="default" w:ascii="Times New Roman" w:hAnsi="Times New Roman" w:eastAsia="宋体" w:cs="Times New Roman"/>
                      <w:bCs/>
                      <w:color w:val="auto"/>
                      <w:szCs w:val="21"/>
                      <w:highlight w:val="none"/>
                    </w:rPr>
                    <w:t>m</w:t>
                  </w:r>
                  <w:r>
                    <w:rPr>
                      <w:rFonts w:hint="default" w:ascii="Times New Roman" w:hAnsi="Times New Roman" w:eastAsia="宋体" w:cs="Times New Roman"/>
                      <w:bCs/>
                      <w:color w:val="auto"/>
                      <w:szCs w:val="21"/>
                      <w:highlight w:val="none"/>
                      <w:vertAlign w:val="superscript"/>
                      <w:lang w:val="en-US" w:eastAsia="zh-CN"/>
                    </w:rPr>
                    <w:t>2</w:t>
                  </w:r>
                  <w:r>
                    <w:rPr>
                      <w:rFonts w:hint="default" w:ascii="Times New Roman" w:hAnsi="Times New Roman" w:eastAsia="宋体" w:cs="Times New Roman"/>
                      <w:bCs/>
                      <w:color w:val="auto"/>
                      <w:szCs w:val="21"/>
                      <w:highlight w:val="none"/>
                    </w:rPr>
                    <w:t>）</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委托有处理资质的单位处置。</w:t>
                  </w:r>
                </w:p>
                <w:p w14:paraId="6817552B">
                  <w:pPr>
                    <w:adjustRightInd w:val="0"/>
                    <w:snapToGrid w:val="0"/>
                    <w:spacing w:line="240" w:lineRule="auto"/>
                    <w:ind w:firstLine="420" w:firstLineChars="200"/>
                    <w:jc w:val="both"/>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生活垃圾</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由环卫部门定期清理。</w:t>
                  </w:r>
                </w:p>
              </w:tc>
              <w:tc>
                <w:tcPr>
                  <w:tcW w:w="737" w:type="pct"/>
                  <w:tcBorders>
                    <w:tl2br w:val="nil"/>
                    <w:tr2bl w:val="nil"/>
                  </w:tcBorders>
                  <w:vAlign w:val="center"/>
                </w:tcPr>
                <w:p w14:paraId="52CBBF0F">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新建</w:t>
                  </w:r>
                </w:p>
              </w:tc>
            </w:tr>
            <w:tr w14:paraId="5DF4F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399" w:type="pct"/>
                  <w:vMerge w:val="continue"/>
                  <w:tcBorders>
                    <w:tl2br w:val="nil"/>
                    <w:tr2bl w:val="nil"/>
                  </w:tcBorders>
                  <w:vAlign w:val="center"/>
                </w:tcPr>
                <w:p w14:paraId="1FC9AC14">
                  <w:pPr>
                    <w:adjustRightInd w:val="0"/>
                    <w:snapToGrid w:val="0"/>
                    <w:spacing w:line="240" w:lineRule="auto"/>
                    <w:jc w:val="center"/>
                    <w:rPr>
                      <w:rFonts w:hint="default" w:ascii="Times New Roman" w:hAnsi="Times New Roman" w:cs="Times New Roman"/>
                      <w:bCs/>
                      <w:color w:val="auto"/>
                      <w:szCs w:val="21"/>
                      <w:highlight w:val="none"/>
                    </w:rPr>
                  </w:pPr>
                </w:p>
              </w:tc>
              <w:tc>
                <w:tcPr>
                  <w:tcW w:w="424" w:type="pct"/>
                  <w:gridSpan w:val="2"/>
                  <w:tcBorders>
                    <w:tl2br w:val="nil"/>
                    <w:tr2bl w:val="nil"/>
                  </w:tcBorders>
                  <w:vAlign w:val="center"/>
                </w:tcPr>
                <w:p w14:paraId="73B96861">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环境风险措施</w:t>
                  </w:r>
                </w:p>
              </w:tc>
              <w:tc>
                <w:tcPr>
                  <w:tcW w:w="3439" w:type="pct"/>
                  <w:gridSpan w:val="2"/>
                  <w:tcBorders>
                    <w:tl2br w:val="nil"/>
                    <w:tr2bl w:val="nil"/>
                  </w:tcBorders>
                  <w:vAlign w:val="center"/>
                </w:tcPr>
                <w:p w14:paraId="70AA6CAF">
                  <w:pPr>
                    <w:adjustRightInd w:val="0"/>
                    <w:snapToGrid w:val="0"/>
                    <w:spacing w:line="240" w:lineRule="auto"/>
                    <w:ind w:firstLine="420" w:firstLineChars="200"/>
                    <w:jc w:val="both"/>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①项目进行分区防渗，对</w:t>
                  </w:r>
                  <w:r>
                    <w:rPr>
                      <w:rFonts w:hint="eastAsia" w:cs="Times New Roman"/>
                      <w:bCs/>
                      <w:color w:val="auto"/>
                      <w:szCs w:val="21"/>
                      <w:highlight w:val="none"/>
                      <w:lang w:val="en-US" w:eastAsia="zh-CN"/>
                    </w:rPr>
                    <w:t>一般固体废物暂存间</w:t>
                  </w:r>
                  <w:r>
                    <w:rPr>
                      <w:rFonts w:hint="default" w:ascii="Times New Roman" w:hAnsi="Times New Roman" w:eastAsia="宋体" w:cs="Times New Roman"/>
                      <w:bCs/>
                      <w:color w:val="auto"/>
                      <w:szCs w:val="21"/>
                      <w:highlight w:val="none"/>
                      <w:lang w:val="en-US" w:eastAsia="zh-CN"/>
                    </w:rPr>
                    <w:t>、危废库、清洗水池重点防渗，渗透系数≤10</w:t>
                  </w:r>
                  <w:r>
                    <w:rPr>
                      <w:rFonts w:hint="default" w:ascii="Times New Roman" w:hAnsi="Times New Roman" w:eastAsia="宋体" w:cs="Times New Roman"/>
                      <w:bCs/>
                      <w:color w:val="auto"/>
                      <w:szCs w:val="21"/>
                      <w:highlight w:val="none"/>
                      <w:vertAlign w:val="superscript"/>
                      <w:lang w:val="en-US" w:eastAsia="zh-CN"/>
                    </w:rPr>
                    <w:t>-10</w:t>
                  </w:r>
                  <w:r>
                    <w:rPr>
                      <w:rFonts w:hint="default" w:ascii="Times New Roman" w:hAnsi="Times New Roman" w:eastAsia="宋体" w:cs="Times New Roman"/>
                      <w:bCs/>
                      <w:color w:val="auto"/>
                      <w:szCs w:val="21"/>
                      <w:highlight w:val="none"/>
                      <w:lang w:val="en-US" w:eastAsia="zh-CN"/>
                    </w:rPr>
                    <w:t>cm/s。</w:t>
                  </w:r>
                </w:p>
                <w:p w14:paraId="4EB38E3E">
                  <w:pPr>
                    <w:adjustRightInd w:val="0"/>
                    <w:snapToGrid w:val="0"/>
                    <w:spacing w:line="240" w:lineRule="auto"/>
                    <w:ind w:firstLine="420" w:firstLineChars="200"/>
                    <w:jc w:val="both"/>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②原料库、成品库、生产车间其他区域进行一般防渗。</w:t>
                  </w:r>
                </w:p>
                <w:p w14:paraId="2AE64980">
                  <w:pPr>
                    <w:adjustRightInd w:val="0"/>
                    <w:snapToGrid w:val="0"/>
                    <w:spacing w:line="240" w:lineRule="auto"/>
                    <w:ind w:firstLine="420" w:firstLineChars="200"/>
                    <w:jc w:val="both"/>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③</w:t>
                  </w:r>
                  <w:r>
                    <w:rPr>
                      <w:rFonts w:hint="default" w:ascii="Times New Roman" w:hAnsi="Times New Roman" w:eastAsia="宋体" w:cs="Times New Roman"/>
                      <w:bCs/>
                      <w:color w:val="auto"/>
                      <w:szCs w:val="21"/>
                      <w:highlight w:val="none"/>
                    </w:rPr>
                    <w:t>制定环境事件风险应急预案，并报相关部门备案，加强预案演练，配备应急物资。</w:t>
                  </w:r>
                </w:p>
              </w:tc>
              <w:tc>
                <w:tcPr>
                  <w:tcW w:w="737" w:type="pct"/>
                  <w:tcBorders>
                    <w:tl2br w:val="nil"/>
                    <w:tr2bl w:val="nil"/>
                  </w:tcBorders>
                  <w:vAlign w:val="center"/>
                </w:tcPr>
                <w:p w14:paraId="5F9E7B81">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新建</w:t>
                  </w:r>
                </w:p>
              </w:tc>
            </w:tr>
          </w:tbl>
          <w:p w14:paraId="507B79E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四</w:t>
            </w:r>
            <w:r>
              <w:rPr>
                <w:rFonts w:hint="default" w:ascii="Times New Roman" w:hAnsi="Times New Roman" w:cs="Times New Roman"/>
                <w:b/>
                <w:color w:val="auto"/>
                <w:sz w:val="24"/>
                <w:highlight w:val="none"/>
              </w:rPr>
              <w:t>、产品方案及生产规模</w:t>
            </w:r>
          </w:p>
          <w:p w14:paraId="2C007E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建设项目主要从事</w:t>
            </w:r>
            <w:r>
              <w:rPr>
                <w:rFonts w:hint="default" w:ascii="Times New Roman" w:hAnsi="Times New Roman" w:cs="Times New Roman"/>
                <w:bCs/>
                <w:color w:val="auto"/>
                <w:sz w:val="24"/>
                <w:highlight w:val="none"/>
                <w:lang w:val="en-US" w:eastAsia="zh-CN"/>
              </w:rPr>
              <w:t>特种玻璃制造</w:t>
            </w:r>
            <w:r>
              <w:rPr>
                <w:rFonts w:hint="default" w:ascii="Times New Roman" w:hAnsi="Times New Roman" w:cs="Times New Roman"/>
                <w:bCs/>
                <w:color w:val="auto"/>
                <w:sz w:val="24"/>
                <w:highlight w:val="none"/>
              </w:rPr>
              <w:t>，投产后，年产</w:t>
            </w:r>
            <w:r>
              <w:rPr>
                <w:rFonts w:hint="default" w:ascii="Times New Roman" w:hAnsi="Times New Roman" w:cs="Times New Roman"/>
                <w:bCs/>
                <w:color w:val="auto"/>
                <w:sz w:val="24"/>
                <w:highlight w:val="none"/>
                <w:lang w:val="en-US" w:eastAsia="zh-CN"/>
              </w:rPr>
              <w:t>18万m</w:t>
            </w:r>
            <w:r>
              <w:rPr>
                <w:rFonts w:hint="default" w:ascii="Times New Roman" w:hAnsi="Times New Roman" w:cs="Times New Roman"/>
                <w:bCs/>
                <w:color w:val="auto"/>
                <w:sz w:val="24"/>
                <w:highlight w:val="none"/>
                <w:vertAlign w:val="superscript"/>
                <w:lang w:val="en-US" w:eastAsia="zh-CN"/>
              </w:rPr>
              <w:t>2</w:t>
            </w:r>
            <w:r>
              <w:rPr>
                <w:rFonts w:hint="default" w:ascii="Times New Roman" w:hAnsi="Times New Roman" w:cs="Times New Roman"/>
                <w:bCs/>
                <w:color w:val="auto"/>
                <w:sz w:val="24"/>
                <w:highlight w:val="none"/>
                <w:vertAlign w:val="baseline"/>
                <w:lang w:val="en-US" w:eastAsia="zh-CN"/>
              </w:rPr>
              <w:t>玻璃</w:t>
            </w:r>
            <w:r>
              <w:rPr>
                <w:rFonts w:hint="default" w:ascii="Times New Roman" w:hAnsi="Times New Roman" w:cs="Times New Roman"/>
                <w:bCs/>
                <w:color w:val="auto"/>
                <w:sz w:val="24"/>
                <w:highlight w:val="none"/>
              </w:rPr>
              <w:t>，具体方案详见表2-3。</w:t>
            </w:r>
          </w:p>
          <w:p w14:paraId="2A0DE0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表2-3本项目产品方案及生产规模</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506"/>
              <w:gridCol w:w="1414"/>
              <w:gridCol w:w="4583"/>
            </w:tblGrid>
            <w:tr w14:paraId="650E6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40" w:type="pct"/>
                  <w:tcBorders>
                    <w:tl2br w:val="nil"/>
                    <w:tr2bl w:val="nil"/>
                  </w:tcBorders>
                  <w:vAlign w:val="center"/>
                </w:tcPr>
                <w:p w14:paraId="717CDAD7">
                  <w:pPr>
                    <w:adjustRightInd w:val="0"/>
                    <w:snapToGri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915" w:type="pct"/>
                  <w:tcBorders>
                    <w:tl2br w:val="nil"/>
                    <w:tr2bl w:val="nil"/>
                  </w:tcBorders>
                  <w:shd w:val="clear" w:color="auto" w:fill="auto"/>
                  <w:vAlign w:val="center"/>
                </w:tcPr>
                <w:p w14:paraId="5DE46C41">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lang w:val="en-US" w:eastAsia="zh-CN"/>
                    </w:rPr>
                    <w:t>产品名称</w:t>
                  </w:r>
                </w:p>
              </w:tc>
              <w:tc>
                <w:tcPr>
                  <w:tcW w:w="859" w:type="pct"/>
                  <w:tcBorders>
                    <w:tl2br w:val="nil"/>
                    <w:tr2bl w:val="nil"/>
                  </w:tcBorders>
                  <w:shd w:val="clear" w:color="auto" w:fill="auto"/>
                  <w:vAlign w:val="center"/>
                </w:tcPr>
                <w:p w14:paraId="35D4964F">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lang w:val="en-US" w:eastAsia="zh-CN"/>
                    </w:rPr>
                    <w:t>产能（万m</w:t>
                  </w:r>
                  <w:r>
                    <w:rPr>
                      <w:rFonts w:hint="default" w:ascii="Times New Roman" w:hAnsi="Times New Roman" w:eastAsia="宋体" w:cs="Times New Roman"/>
                      <w:b/>
                      <w:bCs/>
                      <w:i w:val="0"/>
                      <w:iCs w:val="0"/>
                      <w:color w:val="auto"/>
                      <w:sz w:val="21"/>
                      <w:szCs w:val="21"/>
                      <w:highlight w:val="none"/>
                      <w:vertAlign w:val="superscript"/>
                      <w:lang w:val="en-US" w:eastAsia="zh-CN"/>
                    </w:rPr>
                    <w:t>2</w:t>
                  </w:r>
                  <w:r>
                    <w:rPr>
                      <w:rFonts w:hint="default" w:ascii="Times New Roman" w:hAnsi="Times New Roman" w:eastAsia="宋体" w:cs="Times New Roman"/>
                      <w:b/>
                      <w:bCs/>
                      <w:i w:val="0"/>
                      <w:iCs w:val="0"/>
                      <w:color w:val="auto"/>
                      <w:sz w:val="21"/>
                      <w:szCs w:val="21"/>
                      <w:highlight w:val="none"/>
                      <w:lang w:val="en-US" w:eastAsia="zh-CN"/>
                    </w:rPr>
                    <w:t>）</w:t>
                  </w:r>
                </w:p>
              </w:tc>
              <w:tc>
                <w:tcPr>
                  <w:tcW w:w="2785" w:type="pct"/>
                  <w:tcBorders>
                    <w:tl2br w:val="nil"/>
                    <w:tr2bl w:val="nil"/>
                  </w:tcBorders>
                  <w:shd w:val="clear" w:color="auto" w:fill="auto"/>
                  <w:vAlign w:val="center"/>
                </w:tcPr>
                <w:p w14:paraId="379711FE">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bCs/>
                      <w:i w:val="0"/>
                      <w:iCs w:val="0"/>
                      <w:color w:val="auto"/>
                      <w:sz w:val="21"/>
                      <w:szCs w:val="21"/>
                      <w:highlight w:val="none"/>
                      <w:lang w:val="en-US" w:eastAsia="zh-CN"/>
                    </w:rPr>
                    <w:t>备注</w:t>
                  </w:r>
                </w:p>
              </w:tc>
            </w:tr>
            <w:tr w14:paraId="32C44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40" w:type="pct"/>
                  <w:tcBorders>
                    <w:tl2br w:val="nil"/>
                    <w:tr2bl w:val="nil"/>
                  </w:tcBorders>
                  <w:vAlign w:val="center"/>
                </w:tcPr>
                <w:p w14:paraId="73A7970A">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915" w:type="pct"/>
                  <w:tcBorders>
                    <w:tl2br w:val="nil"/>
                    <w:tr2bl w:val="nil"/>
                  </w:tcBorders>
                  <w:shd w:val="clear" w:color="auto" w:fill="auto"/>
                  <w:vAlign w:val="center"/>
                </w:tcPr>
                <w:p w14:paraId="7F5A4BC5">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单片钢化玻璃</w:t>
                  </w:r>
                </w:p>
              </w:tc>
              <w:tc>
                <w:tcPr>
                  <w:tcW w:w="859" w:type="pct"/>
                  <w:tcBorders>
                    <w:tl2br w:val="nil"/>
                    <w:tr2bl w:val="nil"/>
                  </w:tcBorders>
                  <w:shd w:val="clear" w:color="auto" w:fill="auto"/>
                  <w:vAlign w:val="center"/>
                </w:tcPr>
                <w:p w14:paraId="15EEECAE">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w:t>
                  </w:r>
                </w:p>
              </w:tc>
              <w:tc>
                <w:tcPr>
                  <w:tcW w:w="2785" w:type="pct"/>
                  <w:tcBorders>
                    <w:tl2br w:val="nil"/>
                    <w:tr2bl w:val="nil"/>
                  </w:tcBorders>
                  <w:shd w:val="clear" w:color="auto" w:fill="auto"/>
                  <w:vAlign w:val="center"/>
                </w:tcPr>
                <w:p w14:paraId="29C50282">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shd w:val="clear" w:color="auto" w:fill="FFFFFF"/>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color="auto" w:fill="FFFFFF"/>
                      <w:lang w:val="en-US" w:eastAsia="zh-CN"/>
                    </w:rPr>
                    <w:t>min：300×300mm，max：2000×3000mm；</w:t>
                  </w:r>
                </w:p>
                <w:p w14:paraId="540A547A">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i w:val="0"/>
                      <w:iCs w:val="0"/>
                      <w:caps w:val="0"/>
                      <w:color w:val="auto"/>
                      <w:spacing w:val="0"/>
                      <w:sz w:val="21"/>
                      <w:szCs w:val="21"/>
                      <w:highlight w:val="none"/>
                      <w:shd w:val="clear" w:color="auto" w:fill="FFFFFF"/>
                      <w:lang w:val="en-US" w:eastAsia="zh-CN"/>
                    </w:rPr>
                    <w:t>厚度：4mm~12mm</w:t>
                  </w:r>
                  <w:r>
                    <w:rPr>
                      <w:rFonts w:hint="default" w:ascii="Times New Roman" w:hAnsi="Times New Roman" w:cs="Times New Roman"/>
                      <w:b w:val="0"/>
                      <w:bCs w:val="0"/>
                      <w:i w:val="0"/>
                      <w:iCs w:val="0"/>
                      <w:caps w:val="0"/>
                      <w:color w:val="auto"/>
                      <w:spacing w:val="0"/>
                      <w:sz w:val="21"/>
                      <w:szCs w:val="21"/>
                      <w:highlight w:val="none"/>
                      <w:shd w:val="clear" w:color="auto" w:fill="FFFFFF"/>
                      <w:lang w:val="en-US" w:eastAsia="zh-CN"/>
                    </w:rPr>
                    <w:t>，温度：680℃~700℃</w:t>
                  </w:r>
                </w:p>
              </w:tc>
            </w:tr>
            <w:tr w14:paraId="588C2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vAlign w:val="center"/>
                </w:tcPr>
                <w:p w14:paraId="2EA2A8A2">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p>
              </w:tc>
              <w:tc>
                <w:tcPr>
                  <w:tcW w:w="915" w:type="pct"/>
                  <w:tcBorders>
                    <w:tl2br w:val="nil"/>
                    <w:tr2bl w:val="nil"/>
                  </w:tcBorders>
                  <w:shd w:val="clear" w:color="auto" w:fill="auto"/>
                  <w:vAlign w:val="center"/>
                </w:tcPr>
                <w:p w14:paraId="312C21A6">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 w:val="0"/>
                      <w:bCs w:val="0"/>
                      <w:i w:val="0"/>
                      <w:iCs w:val="0"/>
                      <w:caps w:val="0"/>
                      <w:color w:val="auto"/>
                      <w:spacing w:val="0"/>
                      <w:sz w:val="21"/>
                      <w:szCs w:val="21"/>
                      <w:highlight w:val="none"/>
                      <w:shd w:val="clear" w:color="auto" w:fill="FFFFFF"/>
                      <w:lang w:val="en-US" w:eastAsia="zh-CN"/>
                    </w:rPr>
                    <w:t>防火钢化玻璃</w:t>
                  </w:r>
                </w:p>
              </w:tc>
              <w:tc>
                <w:tcPr>
                  <w:tcW w:w="859" w:type="pct"/>
                  <w:tcBorders>
                    <w:tl2br w:val="nil"/>
                    <w:tr2bl w:val="nil"/>
                  </w:tcBorders>
                  <w:shd w:val="clear" w:color="auto" w:fill="auto"/>
                  <w:vAlign w:val="center"/>
                </w:tcPr>
                <w:p w14:paraId="6BB1DBFF">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1</w:t>
                  </w:r>
                </w:p>
              </w:tc>
              <w:tc>
                <w:tcPr>
                  <w:tcW w:w="2785" w:type="pct"/>
                  <w:tcBorders>
                    <w:tl2br w:val="nil"/>
                    <w:tr2bl w:val="nil"/>
                  </w:tcBorders>
                  <w:shd w:val="clear" w:color="auto" w:fill="auto"/>
                  <w:vAlign w:val="center"/>
                </w:tcPr>
                <w:p w14:paraId="72F9E097">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单</w:t>
                  </w:r>
                  <w:r>
                    <w:rPr>
                      <w:rFonts w:hint="default" w:ascii="Times New Roman" w:hAnsi="Times New Roman" w:cs="Times New Roman"/>
                      <w:bCs/>
                      <w:color w:val="auto"/>
                      <w:szCs w:val="21"/>
                      <w:highlight w:val="none"/>
                      <w:lang w:val="en-US" w:eastAsia="zh-CN"/>
                    </w:rPr>
                    <w:t>片</w:t>
                  </w:r>
                  <w:r>
                    <w:rPr>
                      <w:rFonts w:hint="default" w:ascii="Times New Roman" w:hAnsi="Times New Roman" w:cs="Times New Roman"/>
                      <w:bCs/>
                      <w:color w:val="auto"/>
                      <w:szCs w:val="21"/>
                      <w:highlight w:val="none"/>
                    </w:rPr>
                    <w:t>钢化玻璃</w:t>
                  </w:r>
                  <w:r>
                    <w:rPr>
                      <w:rFonts w:hint="default" w:ascii="Times New Roman" w:hAnsi="Times New Roman" w:cs="Times New Roman"/>
                      <w:bCs/>
                      <w:color w:val="auto"/>
                      <w:szCs w:val="21"/>
                      <w:highlight w:val="none"/>
                      <w:lang w:val="en-US" w:eastAsia="zh-CN"/>
                    </w:rPr>
                    <w:t>温度达到</w:t>
                  </w:r>
                  <w:r>
                    <w:rPr>
                      <w:rFonts w:hint="default" w:ascii="Times New Roman" w:hAnsi="Times New Roman" w:cs="Times New Roman"/>
                      <w:b w:val="0"/>
                      <w:bCs w:val="0"/>
                      <w:i w:val="0"/>
                      <w:iCs w:val="0"/>
                      <w:caps w:val="0"/>
                      <w:color w:val="auto"/>
                      <w:spacing w:val="0"/>
                      <w:sz w:val="21"/>
                      <w:szCs w:val="21"/>
                      <w:highlight w:val="none"/>
                      <w:shd w:val="clear" w:color="auto" w:fill="FFFFFF"/>
                      <w:lang w:val="en-US" w:eastAsia="zh-CN"/>
                    </w:rPr>
                    <w:t>800℃~1000℃时，即为防火钢化玻璃</w:t>
                  </w:r>
                </w:p>
              </w:tc>
            </w:tr>
            <w:tr w14:paraId="2BF8F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40" w:type="pct"/>
                  <w:tcBorders>
                    <w:tl2br w:val="nil"/>
                    <w:tr2bl w:val="nil"/>
                  </w:tcBorders>
                  <w:vAlign w:val="center"/>
                </w:tcPr>
                <w:p w14:paraId="4D05B3E9">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w:t>
                  </w:r>
                </w:p>
              </w:tc>
              <w:tc>
                <w:tcPr>
                  <w:tcW w:w="915" w:type="pct"/>
                  <w:tcBorders>
                    <w:tl2br w:val="nil"/>
                    <w:tr2bl w:val="nil"/>
                  </w:tcBorders>
                  <w:shd w:val="clear" w:color="auto" w:fill="auto"/>
                  <w:vAlign w:val="center"/>
                </w:tcPr>
                <w:p w14:paraId="42519E3B">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i w:val="0"/>
                      <w:iCs w:val="0"/>
                      <w:color w:val="auto"/>
                      <w:sz w:val="21"/>
                      <w:szCs w:val="21"/>
                      <w:highlight w:val="none"/>
                      <w:lang w:val="en-US" w:eastAsia="zh-CN"/>
                    </w:rPr>
                  </w:pPr>
                  <w:r>
                    <w:rPr>
                      <w:rFonts w:hint="default" w:ascii="Times New Roman" w:hAnsi="Times New Roman" w:cs="Times New Roman"/>
                      <w:b w:val="0"/>
                      <w:bCs w:val="0"/>
                      <w:i w:val="0"/>
                      <w:iCs w:val="0"/>
                      <w:color w:val="auto"/>
                      <w:sz w:val="21"/>
                      <w:szCs w:val="21"/>
                      <w:highlight w:val="none"/>
                      <w:lang w:val="en-US" w:eastAsia="zh-CN"/>
                    </w:rPr>
                    <w:t>普通</w:t>
                  </w:r>
                  <w:r>
                    <w:rPr>
                      <w:rFonts w:hint="default" w:ascii="Times New Roman" w:hAnsi="Times New Roman" w:eastAsia="宋体" w:cs="Times New Roman"/>
                      <w:b w:val="0"/>
                      <w:bCs w:val="0"/>
                      <w:i w:val="0"/>
                      <w:iCs w:val="0"/>
                      <w:color w:val="auto"/>
                      <w:sz w:val="21"/>
                      <w:szCs w:val="21"/>
                      <w:highlight w:val="none"/>
                      <w:lang w:val="en-US" w:eastAsia="zh-CN"/>
                    </w:rPr>
                    <w:t>中空玻璃</w:t>
                  </w:r>
                </w:p>
              </w:tc>
              <w:tc>
                <w:tcPr>
                  <w:tcW w:w="859" w:type="pct"/>
                  <w:tcBorders>
                    <w:tl2br w:val="nil"/>
                    <w:tr2bl w:val="nil"/>
                  </w:tcBorders>
                  <w:shd w:val="clear" w:color="auto" w:fill="auto"/>
                  <w:vAlign w:val="center"/>
                </w:tcPr>
                <w:p w14:paraId="7C39DF44">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w:t>
                  </w:r>
                </w:p>
              </w:tc>
              <w:tc>
                <w:tcPr>
                  <w:tcW w:w="2785" w:type="pct"/>
                  <w:tcBorders>
                    <w:tl2br w:val="nil"/>
                    <w:tr2bl w:val="nil"/>
                  </w:tcBorders>
                  <w:shd w:val="clear" w:color="auto" w:fill="auto"/>
                  <w:vAlign w:val="center"/>
                </w:tcPr>
                <w:p w14:paraId="123BE31F">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highlight w:val="none"/>
                      <w:shd w:val="clear" w:color="auto" w:fill="FFFFFF"/>
                      <w:lang w:val="en-US" w:eastAsia="zh-CN"/>
                    </w:rPr>
                  </w:pPr>
                  <w:r>
                    <w:rPr>
                      <w:rFonts w:hint="default" w:ascii="Times New Roman" w:hAnsi="Times New Roman" w:eastAsia="宋体" w:cs="Times New Roman"/>
                      <w:b w:val="0"/>
                      <w:bCs w:val="0"/>
                      <w:i w:val="0"/>
                      <w:iCs w:val="0"/>
                      <w:caps w:val="0"/>
                      <w:color w:val="auto"/>
                      <w:spacing w:val="0"/>
                      <w:sz w:val="21"/>
                      <w:szCs w:val="21"/>
                      <w:highlight w:val="none"/>
                      <w:shd w:val="clear" w:color="auto" w:fill="FFFFFF"/>
                    </w:rPr>
                    <w:t>中空玻璃是将两片或多片玻璃以有效支撑均匀隔开并周边粘结密封，使玻璃层间形成有干燥气体空间的玻璃制品。</w:t>
                  </w:r>
                </w:p>
              </w:tc>
            </w:tr>
            <w:tr w14:paraId="10AAE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l2br w:val="nil"/>
                    <w:tr2bl w:val="nil"/>
                  </w:tcBorders>
                  <w:vAlign w:val="center"/>
                </w:tcPr>
                <w:p w14:paraId="13230E0C">
                  <w:pPr>
                    <w:adjustRightInd w:val="0"/>
                    <w:snapToGrid w:val="0"/>
                    <w:spacing w:line="240" w:lineRule="auto"/>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w:t>
                  </w:r>
                </w:p>
              </w:tc>
              <w:tc>
                <w:tcPr>
                  <w:tcW w:w="915" w:type="pct"/>
                  <w:tcBorders>
                    <w:tl2br w:val="nil"/>
                    <w:tr2bl w:val="nil"/>
                  </w:tcBorders>
                  <w:vAlign w:val="center"/>
                </w:tcPr>
                <w:p w14:paraId="42DEA2F3">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 w:val="0"/>
                      <w:bCs w:val="0"/>
                      <w:i w:val="0"/>
                      <w:iCs w:val="0"/>
                      <w:color w:val="auto"/>
                      <w:sz w:val="21"/>
                      <w:szCs w:val="21"/>
                      <w:highlight w:val="none"/>
                      <w:lang w:val="en-US" w:eastAsia="zh-CN"/>
                    </w:rPr>
                    <w:t>钢化中空玻璃</w:t>
                  </w:r>
                </w:p>
              </w:tc>
              <w:tc>
                <w:tcPr>
                  <w:tcW w:w="859" w:type="pct"/>
                  <w:tcBorders>
                    <w:tl2br w:val="nil"/>
                    <w:tr2bl w:val="nil"/>
                  </w:tcBorders>
                  <w:vAlign w:val="center"/>
                </w:tcPr>
                <w:p w14:paraId="52222C43">
                  <w:pPr>
                    <w:adjustRightInd w:val="0"/>
                    <w:snapToGrid w:val="0"/>
                    <w:spacing w:line="24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5</w:t>
                  </w:r>
                </w:p>
              </w:tc>
              <w:tc>
                <w:tcPr>
                  <w:tcW w:w="2785" w:type="pct"/>
                  <w:tcBorders>
                    <w:tl2br w:val="nil"/>
                    <w:tr2bl w:val="nil"/>
                  </w:tcBorders>
                  <w:vAlign w:val="center"/>
                </w:tcPr>
                <w:p w14:paraId="0408F5FD">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 w:val="0"/>
                      <w:bCs w:val="0"/>
                      <w:i w:val="0"/>
                      <w:iCs w:val="0"/>
                      <w:caps w:val="0"/>
                      <w:color w:val="auto"/>
                      <w:spacing w:val="0"/>
                      <w:sz w:val="21"/>
                      <w:szCs w:val="21"/>
                      <w:highlight w:val="none"/>
                      <w:shd w:val="clear" w:color="auto" w:fill="FFFFFF"/>
                      <w:lang w:val="en-US" w:eastAsia="zh-CN"/>
                    </w:rPr>
                    <w:t>将普通中空玻璃换成钢化中空玻璃，其余工序一样</w:t>
                  </w:r>
                </w:p>
              </w:tc>
            </w:tr>
            <w:tr w14:paraId="07AE3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l2br w:val="nil"/>
                    <w:tr2bl w:val="nil"/>
                  </w:tcBorders>
                  <w:vAlign w:val="center"/>
                </w:tcPr>
                <w:p w14:paraId="0726B782">
                  <w:pPr>
                    <w:adjustRightInd w:val="0"/>
                    <w:snapToGrid w:val="0"/>
                    <w:spacing w:line="240" w:lineRule="auto"/>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5</w:t>
                  </w:r>
                </w:p>
              </w:tc>
              <w:tc>
                <w:tcPr>
                  <w:tcW w:w="915" w:type="pct"/>
                  <w:tcBorders>
                    <w:tl2br w:val="nil"/>
                    <w:tr2bl w:val="nil"/>
                  </w:tcBorders>
                  <w:shd w:val="clear" w:color="auto" w:fill="auto"/>
                  <w:vAlign w:val="center"/>
                </w:tcPr>
                <w:p w14:paraId="735AA6A1">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夹胶玻璃</w:t>
                  </w:r>
                </w:p>
              </w:tc>
              <w:tc>
                <w:tcPr>
                  <w:tcW w:w="859" w:type="pct"/>
                  <w:tcBorders>
                    <w:tl2br w:val="nil"/>
                    <w:tr2bl w:val="nil"/>
                  </w:tcBorders>
                  <w:shd w:val="clear" w:color="auto" w:fill="auto"/>
                  <w:vAlign w:val="center"/>
                </w:tcPr>
                <w:p w14:paraId="33AD33C0">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2</w:t>
                  </w:r>
                </w:p>
              </w:tc>
              <w:tc>
                <w:tcPr>
                  <w:tcW w:w="2785" w:type="pct"/>
                  <w:tcBorders>
                    <w:tl2br w:val="nil"/>
                    <w:tr2bl w:val="nil"/>
                  </w:tcBorders>
                  <w:shd w:val="clear" w:color="auto" w:fill="auto"/>
                  <w:vAlign w:val="center"/>
                </w:tcPr>
                <w:p w14:paraId="16A71249">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i w:val="0"/>
                      <w:iCs w:val="0"/>
                      <w:caps w:val="0"/>
                      <w:color w:val="auto"/>
                      <w:spacing w:val="0"/>
                      <w:sz w:val="21"/>
                      <w:szCs w:val="21"/>
                      <w:highlight w:val="none"/>
                      <w:shd w:val="clear" w:color="auto" w:fill="FFFFFF"/>
                    </w:rPr>
                    <w:t>夹层玻璃是由两片或多片玻璃，之间夹了一层或多层有机聚合物中间膜，经过特殊的高温预压（或抽真空）及高温高压工艺处理后，使玻璃和中间膜永久粘合为一体的</w:t>
                  </w:r>
                  <w:r>
                    <w:rPr>
                      <w:rFonts w:hint="default" w:ascii="Times New Roman" w:hAnsi="Times New Roman" w:eastAsia="宋体" w:cs="Times New Roman"/>
                      <w:b w:val="0"/>
                      <w:bCs w:val="0"/>
                      <w:i w:val="0"/>
                      <w:iCs w:val="0"/>
                      <w:caps w:val="0"/>
                      <w:color w:val="auto"/>
                      <w:spacing w:val="0"/>
                      <w:sz w:val="21"/>
                      <w:szCs w:val="21"/>
                      <w:highlight w:val="none"/>
                      <w:u w:val="none"/>
                      <w:shd w:val="clear" w:color="auto" w:fill="FFFFFF"/>
                    </w:rPr>
                    <w:fldChar w:fldCharType="begin"/>
                  </w:r>
                  <w:r>
                    <w:rPr>
                      <w:rFonts w:hint="default" w:ascii="Times New Roman" w:hAnsi="Times New Roman" w:eastAsia="宋体" w:cs="Times New Roman"/>
                      <w:b w:val="0"/>
                      <w:bCs w:val="0"/>
                      <w:i w:val="0"/>
                      <w:iCs w:val="0"/>
                      <w:caps w:val="0"/>
                      <w:color w:val="auto"/>
                      <w:spacing w:val="0"/>
                      <w:sz w:val="21"/>
                      <w:szCs w:val="21"/>
                      <w:highlight w:val="none"/>
                      <w:u w:val="none"/>
                      <w:shd w:val="clear" w:color="auto" w:fill="FFFFFF"/>
                    </w:rPr>
                    <w:instrText xml:space="preserve"> HYPERLINK "https://baike.baidu.com/item/%E5%A4%8D%E5%90%88%E7%8E%BB%E7%92%83/3108311" \t "https://baike.baidu.com/item/_blank" </w:instrText>
                  </w:r>
                  <w:r>
                    <w:rPr>
                      <w:rFonts w:hint="default" w:ascii="Times New Roman" w:hAnsi="Times New Roman" w:eastAsia="宋体" w:cs="Times New Roman"/>
                      <w:b w:val="0"/>
                      <w:bCs w:val="0"/>
                      <w:i w:val="0"/>
                      <w:iCs w:val="0"/>
                      <w:caps w:val="0"/>
                      <w:color w:val="auto"/>
                      <w:spacing w:val="0"/>
                      <w:sz w:val="21"/>
                      <w:szCs w:val="21"/>
                      <w:highlight w:val="none"/>
                      <w:u w:val="none"/>
                      <w:shd w:val="clear" w:color="auto" w:fill="FFFFFF"/>
                    </w:rPr>
                    <w:fldChar w:fldCharType="separate"/>
                  </w:r>
                  <w:r>
                    <w:rPr>
                      <w:rStyle w:val="30"/>
                      <w:rFonts w:hint="default" w:ascii="Times New Roman" w:hAnsi="Times New Roman" w:eastAsia="宋体" w:cs="Times New Roman"/>
                      <w:b w:val="0"/>
                      <w:bCs w:val="0"/>
                      <w:i w:val="0"/>
                      <w:iCs w:val="0"/>
                      <w:caps w:val="0"/>
                      <w:color w:val="auto"/>
                      <w:spacing w:val="0"/>
                      <w:sz w:val="21"/>
                      <w:szCs w:val="21"/>
                      <w:highlight w:val="none"/>
                      <w:u w:val="none"/>
                      <w:shd w:val="clear" w:color="auto" w:fill="FFFFFF"/>
                    </w:rPr>
                    <w:t>复合玻璃</w:t>
                  </w:r>
                  <w:r>
                    <w:rPr>
                      <w:rFonts w:hint="default" w:ascii="Times New Roman" w:hAnsi="Times New Roman" w:eastAsia="宋体" w:cs="Times New Roman"/>
                      <w:b w:val="0"/>
                      <w:bCs w:val="0"/>
                      <w:i w:val="0"/>
                      <w:iCs w:val="0"/>
                      <w:caps w:val="0"/>
                      <w:color w:val="auto"/>
                      <w:spacing w:val="0"/>
                      <w:sz w:val="21"/>
                      <w:szCs w:val="21"/>
                      <w:highlight w:val="none"/>
                      <w:u w:val="none"/>
                      <w:shd w:val="clear" w:color="auto" w:fill="FFFFFF"/>
                    </w:rPr>
                    <w:fldChar w:fldCharType="end"/>
                  </w:r>
                  <w:r>
                    <w:rPr>
                      <w:rFonts w:hint="default" w:ascii="Times New Roman" w:hAnsi="Times New Roman" w:eastAsia="宋体" w:cs="Times New Roman"/>
                      <w:b w:val="0"/>
                      <w:bCs w:val="0"/>
                      <w:i w:val="0"/>
                      <w:iCs w:val="0"/>
                      <w:caps w:val="0"/>
                      <w:color w:val="auto"/>
                      <w:spacing w:val="0"/>
                      <w:sz w:val="21"/>
                      <w:szCs w:val="21"/>
                      <w:highlight w:val="none"/>
                      <w:shd w:val="clear" w:color="auto" w:fill="FFFFFF"/>
                    </w:rPr>
                    <w:t>产品。</w:t>
                  </w:r>
                </w:p>
              </w:tc>
            </w:tr>
          </w:tbl>
          <w:p w14:paraId="43A4267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五</w:t>
            </w:r>
            <w:r>
              <w:rPr>
                <w:rFonts w:hint="default" w:ascii="Times New Roman" w:hAnsi="Times New Roman" w:cs="Times New Roman"/>
                <w:b/>
                <w:color w:val="auto"/>
                <w:sz w:val="24"/>
                <w:highlight w:val="none"/>
              </w:rPr>
              <w:t>、主要原辅材料</w:t>
            </w:r>
          </w:p>
          <w:p w14:paraId="0B64AB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建设项目主要原辅材料详见表2-</w:t>
            </w:r>
            <w:r>
              <w:rPr>
                <w:rFonts w:hint="default" w:ascii="Times New Roman" w:hAnsi="Times New Roman" w:cs="Times New Roman"/>
                <w:bCs/>
                <w:color w:val="auto"/>
                <w:sz w:val="24"/>
                <w:highlight w:val="none"/>
                <w:lang w:val="en-US" w:eastAsia="zh-CN"/>
              </w:rPr>
              <w:t>4</w:t>
            </w:r>
          </w:p>
          <w:p w14:paraId="082A8F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Cs w:val="21"/>
                <w:highlight w:val="none"/>
              </w:rPr>
            </w:pPr>
          </w:p>
          <w:p w14:paraId="302387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 w:val="24"/>
                <w:szCs w:val="24"/>
                <w:highlight w:val="none"/>
              </w:rPr>
              <w:t>2-</w:t>
            </w:r>
            <w:r>
              <w:rPr>
                <w:rFonts w:hint="default" w:ascii="Times New Roman" w:hAnsi="Times New Roman" w:cs="Times New Roman"/>
                <w:b/>
                <w:color w:val="auto"/>
                <w:sz w:val="24"/>
                <w:szCs w:val="24"/>
                <w:highlight w:val="none"/>
                <w:lang w:val="en-US" w:eastAsia="zh-CN"/>
              </w:rPr>
              <w:t>4</w:t>
            </w:r>
            <w:r>
              <w:rPr>
                <w:rFonts w:hint="eastAsia"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建设项目原辅材料一览表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8"/>
              <w:gridCol w:w="727"/>
              <w:gridCol w:w="707"/>
              <w:gridCol w:w="1318"/>
              <w:gridCol w:w="1063"/>
              <w:gridCol w:w="1198"/>
              <w:gridCol w:w="752"/>
              <w:gridCol w:w="1933"/>
            </w:tblGrid>
            <w:tr w14:paraId="4FEFDC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4" w:hRule="atLeast"/>
                <w:jc w:val="center"/>
              </w:trPr>
              <w:tc>
                <w:tcPr>
                  <w:tcW w:w="321" w:type="pct"/>
                  <w:tcBorders>
                    <w:right w:val="single" w:color="auto" w:sz="4" w:space="0"/>
                    <w:tl2br w:val="nil"/>
                    <w:tr2bl w:val="nil"/>
                  </w:tcBorders>
                  <w:shd w:val="clear" w:color="auto" w:fill="auto"/>
                  <w:noWrap w:val="0"/>
                  <w:tcMar>
                    <w:top w:w="15" w:type="dxa"/>
                    <w:left w:w="15" w:type="dxa"/>
                    <w:right w:w="15" w:type="dxa"/>
                  </w:tcMar>
                  <w:vAlign w:val="center"/>
                </w:tcPr>
                <w:p w14:paraId="214870D7">
                  <w:pPr>
                    <w:pStyle w:val="21"/>
                    <w:keepNext w:val="0"/>
                    <w:keepLines w:val="0"/>
                    <w:pageBreakBefore w:val="0"/>
                    <w:widowControl w:val="0"/>
                    <w:kinsoku/>
                    <w:wordWrap/>
                    <w:overflowPunct/>
                    <w:topLinePunct w:val="0"/>
                    <w:bidi w:val="0"/>
                    <w:spacing w:line="240" w:lineRule="auto"/>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872" w:type="pct"/>
                  <w:gridSpan w:val="2"/>
                  <w:tcBorders>
                    <w:right w:val="single" w:color="auto" w:sz="4" w:space="0"/>
                    <w:tl2br w:val="nil"/>
                    <w:tr2bl w:val="nil"/>
                  </w:tcBorders>
                  <w:noWrap w:val="0"/>
                  <w:tcMar>
                    <w:top w:w="15" w:type="dxa"/>
                    <w:left w:w="15" w:type="dxa"/>
                    <w:right w:w="15" w:type="dxa"/>
                  </w:tcMar>
                  <w:vAlign w:val="center"/>
                </w:tcPr>
                <w:p w14:paraId="45256ECA">
                  <w:pPr>
                    <w:pStyle w:val="21"/>
                    <w:keepNext w:val="0"/>
                    <w:keepLines w:val="0"/>
                    <w:pageBreakBefore w:val="0"/>
                    <w:widowControl w:val="0"/>
                    <w:kinsoku/>
                    <w:wordWrap/>
                    <w:overflowPunct/>
                    <w:topLinePunct w:val="0"/>
                    <w:bidi w:val="0"/>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原辅材料名称</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3B0A01B6">
                  <w:pPr>
                    <w:pStyle w:val="21"/>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规格/型号</w:t>
                  </w:r>
                </w:p>
              </w:tc>
              <w:tc>
                <w:tcPr>
                  <w:tcW w:w="646" w:type="pct"/>
                  <w:tcBorders>
                    <w:left w:val="single" w:color="auto" w:sz="4" w:space="0"/>
                    <w:tl2br w:val="nil"/>
                    <w:tr2bl w:val="nil"/>
                  </w:tcBorders>
                  <w:noWrap w:val="0"/>
                  <w:tcMar>
                    <w:top w:w="15" w:type="dxa"/>
                    <w:left w:w="15" w:type="dxa"/>
                    <w:right w:w="15" w:type="dxa"/>
                  </w:tcMar>
                  <w:vAlign w:val="center"/>
                </w:tcPr>
                <w:p w14:paraId="39A25562">
                  <w:pPr>
                    <w:pStyle w:val="21"/>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年消耗量</w:t>
                  </w:r>
                </w:p>
              </w:tc>
              <w:tc>
                <w:tcPr>
                  <w:tcW w:w="728" w:type="pct"/>
                  <w:tcBorders>
                    <w:right w:val="single" w:color="auto" w:sz="4" w:space="0"/>
                    <w:tl2br w:val="nil"/>
                    <w:tr2bl w:val="nil"/>
                  </w:tcBorders>
                  <w:noWrap w:val="0"/>
                  <w:tcMar>
                    <w:top w:w="15" w:type="dxa"/>
                    <w:left w:w="15" w:type="dxa"/>
                    <w:right w:w="15" w:type="dxa"/>
                  </w:tcMar>
                  <w:vAlign w:val="center"/>
                </w:tcPr>
                <w:p w14:paraId="34A701E3">
                  <w:pPr>
                    <w:widowControl/>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rPr>
                    <w:t>最大储存量</w:t>
                  </w:r>
                </w:p>
              </w:tc>
              <w:tc>
                <w:tcPr>
                  <w:tcW w:w="457" w:type="pct"/>
                  <w:tcBorders>
                    <w:left w:val="single" w:color="auto" w:sz="4" w:space="0"/>
                    <w:right w:val="single" w:color="auto" w:sz="4" w:space="0"/>
                    <w:tl2br w:val="nil"/>
                    <w:tr2bl w:val="nil"/>
                  </w:tcBorders>
                  <w:noWrap w:val="0"/>
                  <w:tcMar>
                    <w:top w:w="15" w:type="dxa"/>
                    <w:left w:w="15" w:type="dxa"/>
                    <w:right w:w="15" w:type="dxa"/>
                  </w:tcMar>
                  <w:vAlign w:val="center"/>
                </w:tcPr>
                <w:p w14:paraId="43C465E2">
                  <w:pPr>
                    <w:keepLines w:val="0"/>
                    <w:pageBreakBefore w:val="0"/>
                    <w:widowControl/>
                    <w:kinsoku/>
                    <w:topLinePunct w:val="0"/>
                    <w:bidi w:val="0"/>
                    <w:adjustRightInd w:val="0"/>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单位</w:t>
                  </w:r>
                </w:p>
              </w:tc>
              <w:tc>
                <w:tcPr>
                  <w:tcW w:w="1172" w:type="pct"/>
                  <w:tcBorders>
                    <w:left w:val="single" w:color="auto" w:sz="4" w:space="0"/>
                    <w:tl2br w:val="nil"/>
                    <w:tr2bl w:val="nil"/>
                  </w:tcBorders>
                  <w:noWrap w:val="0"/>
                  <w:tcMar>
                    <w:top w:w="15" w:type="dxa"/>
                    <w:left w:w="15" w:type="dxa"/>
                    <w:right w:w="15" w:type="dxa"/>
                  </w:tcMar>
                  <w:vAlign w:val="center"/>
                </w:tcPr>
                <w:p w14:paraId="273868D1">
                  <w:pPr>
                    <w:widowControl/>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备注</w:t>
                  </w:r>
                </w:p>
              </w:tc>
            </w:tr>
            <w:tr w14:paraId="196FB8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1" w:hRule="atLeast"/>
                <w:jc w:val="center"/>
              </w:trPr>
              <w:tc>
                <w:tcPr>
                  <w:tcW w:w="5000" w:type="pct"/>
                  <w:gridSpan w:val="8"/>
                  <w:tcBorders>
                    <w:tl2br w:val="nil"/>
                    <w:tr2bl w:val="nil"/>
                  </w:tcBorders>
                  <w:shd w:val="clear" w:color="auto" w:fill="auto"/>
                  <w:noWrap w:val="0"/>
                  <w:tcMar>
                    <w:top w:w="15" w:type="dxa"/>
                    <w:left w:w="15" w:type="dxa"/>
                    <w:right w:w="15" w:type="dxa"/>
                  </w:tcMar>
                  <w:vAlign w:val="center"/>
                </w:tcPr>
                <w:p w14:paraId="1A9235A0">
                  <w:pPr>
                    <w:pStyle w:val="33"/>
                    <w:keepNext w:val="0"/>
                    <w:keepLines w:val="0"/>
                    <w:pageBreakBefore w:val="0"/>
                    <w:widowControl w:val="0"/>
                    <w:kinsoku/>
                    <w:wordWrap/>
                    <w:overflowPunct/>
                    <w:topLinePunct w:val="0"/>
                    <w:bidi w:val="0"/>
                    <w:spacing w:beforeLines="0" w:afterLines="0" w:line="240" w:lineRule="auto"/>
                    <w:ind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单片钢化玻璃、防火钢化玻璃</w:t>
                  </w:r>
                </w:p>
              </w:tc>
            </w:tr>
            <w:tr w14:paraId="24FCCB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321" w:type="pct"/>
                  <w:vMerge w:val="restart"/>
                  <w:tcBorders>
                    <w:right w:val="single" w:color="auto" w:sz="4" w:space="0"/>
                    <w:tl2br w:val="nil"/>
                    <w:tr2bl w:val="nil"/>
                  </w:tcBorders>
                  <w:shd w:val="clear" w:color="auto" w:fill="auto"/>
                  <w:noWrap w:val="0"/>
                  <w:tcMar>
                    <w:top w:w="15" w:type="dxa"/>
                    <w:left w:w="15" w:type="dxa"/>
                    <w:right w:w="15" w:type="dxa"/>
                  </w:tcMar>
                  <w:vAlign w:val="center"/>
                </w:tcPr>
                <w:p w14:paraId="7ECF1FD6">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872" w:type="pct"/>
                  <w:gridSpan w:val="2"/>
                  <w:vMerge w:val="restart"/>
                  <w:tcBorders>
                    <w:right w:val="single" w:color="auto" w:sz="4" w:space="0"/>
                    <w:tl2br w:val="nil"/>
                    <w:tr2bl w:val="nil"/>
                  </w:tcBorders>
                  <w:noWrap w:val="0"/>
                  <w:tcMar>
                    <w:top w:w="15" w:type="dxa"/>
                    <w:left w:w="15" w:type="dxa"/>
                    <w:right w:w="15" w:type="dxa"/>
                  </w:tcMar>
                  <w:vAlign w:val="center"/>
                </w:tcPr>
                <w:p w14:paraId="62B689C7">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普通</w:t>
                  </w:r>
                  <w:r>
                    <w:rPr>
                      <w:rFonts w:hint="default" w:ascii="Times New Roman" w:hAnsi="Times New Roman" w:eastAsia="宋体" w:cs="Times New Roman"/>
                      <w:b w:val="0"/>
                      <w:bCs w:val="0"/>
                      <w:color w:val="auto"/>
                      <w:sz w:val="21"/>
                      <w:szCs w:val="21"/>
                      <w:highlight w:val="none"/>
                      <w:lang w:val="en-US" w:eastAsia="zh-CN"/>
                    </w:rPr>
                    <w:t>玻璃原片</w:t>
                  </w:r>
                </w:p>
              </w:tc>
              <w:tc>
                <w:tcPr>
                  <w:tcW w:w="801" w:type="pct"/>
                  <w:tcBorders>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67EAB8A4">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4-12mm</w:t>
                  </w:r>
                </w:p>
              </w:tc>
              <w:tc>
                <w:tcPr>
                  <w:tcW w:w="646" w:type="pct"/>
                  <w:tcBorders>
                    <w:left w:val="single" w:color="auto" w:sz="4" w:space="0"/>
                    <w:bottom w:val="single" w:color="auto" w:sz="4" w:space="0"/>
                    <w:tl2br w:val="nil"/>
                    <w:tr2bl w:val="nil"/>
                  </w:tcBorders>
                  <w:noWrap w:val="0"/>
                  <w:tcMar>
                    <w:top w:w="15" w:type="dxa"/>
                    <w:left w:w="15" w:type="dxa"/>
                    <w:right w:w="15" w:type="dxa"/>
                  </w:tcMar>
                  <w:vAlign w:val="center"/>
                </w:tcPr>
                <w:p w14:paraId="6CAD4D6A">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5.25</w:t>
                  </w:r>
                </w:p>
              </w:tc>
              <w:tc>
                <w:tcPr>
                  <w:tcW w:w="728" w:type="pct"/>
                  <w:tcBorders>
                    <w:bottom w:val="single" w:color="auto" w:sz="4" w:space="0"/>
                    <w:right w:val="single" w:color="auto" w:sz="4" w:space="0"/>
                    <w:tl2br w:val="nil"/>
                    <w:tr2bl w:val="nil"/>
                  </w:tcBorders>
                  <w:noWrap w:val="0"/>
                  <w:tcMar>
                    <w:top w:w="15" w:type="dxa"/>
                    <w:left w:w="15" w:type="dxa"/>
                    <w:right w:w="15" w:type="dxa"/>
                  </w:tcMar>
                  <w:vAlign w:val="center"/>
                </w:tcPr>
                <w:p w14:paraId="04EAD42C">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1.5</w:t>
                  </w:r>
                </w:p>
              </w:tc>
              <w:tc>
                <w:tcPr>
                  <w:tcW w:w="457" w:type="pct"/>
                  <w:tcBorders>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38694A40">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万m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172" w:type="pct"/>
                  <w:tcBorders>
                    <w:left w:val="single" w:color="auto" w:sz="4" w:space="0"/>
                    <w:bottom w:val="single" w:color="auto" w:sz="4" w:space="0"/>
                    <w:tl2br w:val="nil"/>
                    <w:tr2bl w:val="nil"/>
                  </w:tcBorders>
                  <w:noWrap w:val="0"/>
                  <w:tcMar>
                    <w:top w:w="15" w:type="dxa"/>
                    <w:left w:w="15" w:type="dxa"/>
                    <w:right w:w="15" w:type="dxa"/>
                  </w:tcMar>
                  <w:vAlign w:val="center"/>
                </w:tcPr>
                <w:p w14:paraId="533D8B75">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用于生产单钢</w:t>
                  </w:r>
                  <w:r>
                    <w:rPr>
                      <w:rFonts w:hint="eastAsia" w:ascii="Times New Roman" w:cs="Times New Roman"/>
                      <w:b w:val="0"/>
                      <w:bCs w:val="0"/>
                      <w:color w:val="auto"/>
                      <w:sz w:val="21"/>
                      <w:szCs w:val="21"/>
                      <w:highlight w:val="none"/>
                      <w:lang w:val="en-US" w:eastAsia="zh-CN"/>
                    </w:rPr>
                    <w:t>售卖</w:t>
                  </w:r>
                </w:p>
              </w:tc>
            </w:tr>
            <w:tr w14:paraId="1075F3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21" w:type="pct"/>
                  <w:vMerge w:val="continue"/>
                  <w:tcBorders>
                    <w:right w:val="single" w:color="auto" w:sz="4" w:space="0"/>
                    <w:tl2br w:val="nil"/>
                    <w:tr2bl w:val="nil"/>
                  </w:tcBorders>
                  <w:shd w:val="clear" w:color="auto" w:fill="auto"/>
                  <w:noWrap w:val="0"/>
                  <w:tcMar>
                    <w:top w:w="15" w:type="dxa"/>
                    <w:left w:w="15" w:type="dxa"/>
                    <w:right w:w="15" w:type="dxa"/>
                  </w:tcMar>
                  <w:vAlign w:val="center"/>
                </w:tcPr>
                <w:p w14:paraId="27E048FD">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872" w:type="pct"/>
                  <w:gridSpan w:val="2"/>
                  <w:vMerge w:val="continue"/>
                  <w:tcBorders>
                    <w:right w:val="single" w:color="auto" w:sz="4" w:space="0"/>
                    <w:tl2br w:val="nil"/>
                    <w:tr2bl w:val="nil"/>
                  </w:tcBorders>
                  <w:noWrap w:val="0"/>
                  <w:tcMar>
                    <w:top w:w="15" w:type="dxa"/>
                    <w:left w:w="15" w:type="dxa"/>
                    <w:right w:w="15" w:type="dxa"/>
                  </w:tcMar>
                  <w:vAlign w:val="center"/>
                </w:tcPr>
                <w:p w14:paraId="1E809B48">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801" w:type="pc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2A1FD806">
                  <w:pPr>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4-12mm</w:t>
                  </w:r>
                </w:p>
              </w:tc>
              <w:tc>
                <w:tcPr>
                  <w:tcW w:w="646" w:type="pct"/>
                  <w:tcBorders>
                    <w:top w:val="single" w:color="auto" w:sz="4" w:space="0"/>
                    <w:left w:val="single" w:color="auto" w:sz="4" w:space="0"/>
                    <w:bottom w:val="single" w:color="auto" w:sz="4" w:space="0"/>
                    <w:tl2br w:val="nil"/>
                    <w:tr2bl w:val="nil"/>
                  </w:tcBorders>
                  <w:noWrap w:val="0"/>
                  <w:tcMar>
                    <w:top w:w="15" w:type="dxa"/>
                    <w:left w:w="15" w:type="dxa"/>
                    <w:right w:w="15" w:type="dxa"/>
                  </w:tcMar>
                  <w:vAlign w:val="center"/>
                </w:tcPr>
                <w:p w14:paraId="1A01C986">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1.05</w:t>
                  </w:r>
                </w:p>
              </w:tc>
              <w:tc>
                <w:tcPr>
                  <w:tcW w:w="728" w:type="pct"/>
                  <w:tcBorders>
                    <w:top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2EDE0220">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0.5</w:t>
                  </w:r>
                </w:p>
              </w:tc>
              <w:tc>
                <w:tcPr>
                  <w:tcW w:w="457" w:type="pc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650C8A81">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万m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172" w:type="pct"/>
                  <w:tcBorders>
                    <w:top w:val="single" w:color="auto" w:sz="4" w:space="0"/>
                    <w:left w:val="single" w:color="auto" w:sz="4" w:space="0"/>
                    <w:bottom w:val="single" w:color="auto" w:sz="4" w:space="0"/>
                    <w:tl2br w:val="nil"/>
                    <w:tr2bl w:val="nil"/>
                  </w:tcBorders>
                  <w:noWrap w:val="0"/>
                  <w:tcMar>
                    <w:top w:w="15" w:type="dxa"/>
                    <w:left w:w="15" w:type="dxa"/>
                    <w:right w:w="15" w:type="dxa"/>
                  </w:tcMar>
                  <w:vAlign w:val="center"/>
                </w:tcPr>
                <w:p w14:paraId="0B3CF907">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用于生产防火玻璃</w:t>
                  </w:r>
                </w:p>
              </w:tc>
            </w:tr>
            <w:tr w14:paraId="78F4EF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321" w:type="pct"/>
                  <w:vMerge w:val="continue"/>
                  <w:tcBorders>
                    <w:right w:val="single" w:color="auto" w:sz="4" w:space="0"/>
                    <w:tl2br w:val="nil"/>
                    <w:tr2bl w:val="nil"/>
                  </w:tcBorders>
                  <w:shd w:val="clear" w:color="auto" w:fill="auto"/>
                  <w:noWrap w:val="0"/>
                  <w:tcMar>
                    <w:top w:w="15" w:type="dxa"/>
                    <w:left w:w="15" w:type="dxa"/>
                    <w:right w:w="15" w:type="dxa"/>
                  </w:tcMar>
                  <w:vAlign w:val="center"/>
                </w:tcPr>
                <w:p w14:paraId="359E680B">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872" w:type="pct"/>
                  <w:gridSpan w:val="2"/>
                  <w:vMerge w:val="continue"/>
                  <w:tcBorders>
                    <w:right w:val="single" w:color="auto" w:sz="4" w:space="0"/>
                    <w:tl2br w:val="nil"/>
                    <w:tr2bl w:val="nil"/>
                  </w:tcBorders>
                  <w:noWrap w:val="0"/>
                  <w:tcMar>
                    <w:top w:w="15" w:type="dxa"/>
                    <w:left w:w="15" w:type="dxa"/>
                    <w:right w:w="15" w:type="dxa"/>
                  </w:tcMar>
                  <w:vAlign w:val="center"/>
                </w:tcPr>
                <w:p w14:paraId="4F61ADF4">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801" w:type="pct"/>
                  <w:tcBorders>
                    <w:top w:val="single" w:color="auto" w:sz="4" w:space="0"/>
                    <w:left w:val="single" w:color="auto" w:sz="4" w:space="0"/>
                    <w:right w:val="single" w:color="auto" w:sz="4" w:space="0"/>
                    <w:tl2br w:val="nil"/>
                    <w:tr2bl w:val="nil"/>
                  </w:tcBorders>
                  <w:noWrap w:val="0"/>
                  <w:tcMar>
                    <w:top w:w="15" w:type="dxa"/>
                    <w:left w:w="15" w:type="dxa"/>
                    <w:right w:w="15" w:type="dxa"/>
                  </w:tcMar>
                  <w:vAlign w:val="center"/>
                </w:tcPr>
                <w:p w14:paraId="5154672E">
                  <w:pPr>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4-12mm</w:t>
                  </w:r>
                </w:p>
              </w:tc>
              <w:tc>
                <w:tcPr>
                  <w:tcW w:w="646" w:type="pct"/>
                  <w:tcBorders>
                    <w:top w:val="single" w:color="auto" w:sz="4" w:space="0"/>
                    <w:left w:val="single" w:color="auto" w:sz="4" w:space="0"/>
                    <w:tl2br w:val="nil"/>
                    <w:tr2bl w:val="nil"/>
                  </w:tcBorders>
                  <w:noWrap w:val="0"/>
                  <w:tcMar>
                    <w:top w:w="15" w:type="dxa"/>
                    <w:left w:w="15" w:type="dxa"/>
                    <w:right w:w="15" w:type="dxa"/>
                  </w:tcMar>
                  <w:vAlign w:val="center"/>
                </w:tcPr>
                <w:p w14:paraId="03BCA044">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14.7</w:t>
                  </w:r>
                </w:p>
              </w:tc>
              <w:tc>
                <w:tcPr>
                  <w:tcW w:w="728" w:type="pct"/>
                  <w:tcBorders>
                    <w:top w:val="single" w:color="auto" w:sz="4" w:space="0"/>
                    <w:right w:val="single" w:color="auto" w:sz="4" w:space="0"/>
                    <w:tl2br w:val="nil"/>
                    <w:tr2bl w:val="nil"/>
                  </w:tcBorders>
                  <w:noWrap w:val="0"/>
                  <w:tcMar>
                    <w:top w:w="15" w:type="dxa"/>
                    <w:left w:w="15" w:type="dxa"/>
                    <w:right w:w="15" w:type="dxa"/>
                  </w:tcMar>
                  <w:vAlign w:val="center"/>
                </w:tcPr>
                <w:p w14:paraId="0B55F029">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5</w:t>
                  </w:r>
                </w:p>
              </w:tc>
              <w:tc>
                <w:tcPr>
                  <w:tcW w:w="457" w:type="pct"/>
                  <w:tcBorders>
                    <w:top w:val="single" w:color="auto" w:sz="4" w:space="0"/>
                    <w:left w:val="single" w:color="auto" w:sz="4" w:space="0"/>
                    <w:right w:val="single" w:color="auto" w:sz="4" w:space="0"/>
                    <w:tl2br w:val="nil"/>
                    <w:tr2bl w:val="nil"/>
                  </w:tcBorders>
                  <w:noWrap w:val="0"/>
                  <w:tcMar>
                    <w:top w:w="15" w:type="dxa"/>
                    <w:left w:w="15" w:type="dxa"/>
                    <w:right w:w="15" w:type="dxa"/>
                  </w:tcMar>
                  <w:vAlign w:val="center"/>
                </w:tcPr>
                <w:p w14:paraId="1F22ED28">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万m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172" w:type="pct"/>
                  <w:tcBorders>
                    <w:top w:val="single" w:color="auto" w:sz="4" w:space="0"/>
                    <w:left w:val="single" w:color="auto" w:sz="4" w:space="0"/>
                    <w:tl2br w:val="nil"/>
                    <w:tr2bl w:val="nil"/>
                  </w:tcBorders>
                  <w:noWrap w:val="0"/>
                  <w:tcMar>
                    <w:top w:w="15" w:type="dxa"/>
                    <w:left w:w="15" w:type="dxa"/>
                    <w:right w:w="15" w:type="dxa"/>
                  </w:tcMar>
                  <w:vAlign w:val="center"/>
                </w:tcPr>
                <w:p w14:paraId="608B8397">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中空玻璃、夹胶玻璃需要的钢化玻璃</w:t>
                  </w:r>
                </w:p>
              </w:tc>
            </w:tr>
            <w:tr w14:paraId="56ECC5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4" w:hRule="atLeast"/>
                <w:jc w:val="center"/>
              </w:trPr>
              <w:tc>
                <w:tcPr>
                  <w:tcW w:w="5000" w:type="pct"/>
                  <w:gridSpan w:val="8"/>
                  <w:tcBorders>
                    <w:tl2br w:val="nil"/>
                    <w:tr2bl w:val="nil"/>
                  </w:tcBorders>
                  <w:shd w:val="clear" w:color="auto" w:fill="auto"/>
                  <w:noWrap w:val="0"/>
                  <w:tcMar>
                    <w:top w:w="15" w:type="dxa"/>
                    <w:left w:w="15" w:type="dxa"/>
                    <w:right w:w="15" w:type="dxa"/>
                  </w:tcMar>
                  <w:vAlign w:val="center"/>
                </w:tcPr>
                <w:p w14:paraId="674671FA">
                  <w:pPr>
                    <w:pStyle w:val="33"/>
                    <w:keepNext w:val="0"/>
                    <w:keepLines w:val="0"/>
                    <w:pageBreakBefore w:val="0"/>
                    <w:widowControl w:val="0"/>
                    <w:kinsoku/>
                    <w:wordWrap/>
                    <w:overflowPunct/>
                    <w:topLinePunct w:val="0"/>
                    <w:bidi w:val="0"/>
                    <w:spacing w:beforeLines="0" w:afterLines="0" w:line="240" w:lineRule="auto"/>
                    <w:ind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bCs/>
                      <w:color w:val="auto"/>
                      <w:sz w:val="21"/>
                      <w:szCs w:val="21"/>
                      <w:highlight w:val="none"/>
                      <w:lang w:val="en-US" w:eastAsia="zh-CN"/>
                    </w:rPr>
                    <w:t>一</w:t>
                  </w:r>
                  <w:r>
                    <w:rPr>
                      <w:rFonts w:hint="default" w:ascii="Times New Roman" w:hAnsi="Times New Roman" w:eastAsia="宋体" w:cs="Times New Roman"/>
                      <w:b/>
                      <w:bCs/>
                      <w:color w:val="auto"/>
                      <w:sz w:val="21"/>
                      <w:szCs w:val="21"/>
                      <w:highlight w:val="none"/>
                      <w:lang w:val="en-US" w:eastAsia="zh-CN"/>
                    </w:rPr>
                    <w:t>、普通中空玻璃、钢化中空玻璃</w:t>
                  </w:r>
                </w:p>
              </w:tc>
            </w:tr>
            <w:tr w14:paraId="6DCD41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321" w:type="pct"/>
                  <w:vMerge w:val="restart"/>
                  <w:tcBorders>
                    <w:right w:val="single" w:color="auto" w:sz="4" w:space="0"/>
                    <w:tl2br w:val="nil"/>
                    <w:tr2bl w:val="nil"/>
                  </w:tcBorders>
                  <w:shd w:val="clear" w:color="auto" w:fill="auto"/>
                  <w:noWrap w:val="0"/>
                  <w:tcMar>
                    <w:top w:w="15" w:type="dxa"/>
                    <w:left w:w="15" w:type="dxa"/>
                    <w:right w:w="15" w:type="dxa"/>
                  </w:tcMar>
                  <w:vAlign w:val="center"/>
                </w:tcPr>
                <w:p w14:paraId="63DF9564">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872" w:type="pct"/>
                  <w:gridSpan w:val="2"/>
                  <w:tcBorders>
                    <w:bottom w:val="single" w:color="auto" w:sz="4" w:space="0"/>
                    <w:right w:val="single" w:color="auto" w:sz="4" w:space="0"/>
                    <w:tl2br w:val="nil"/>
                    <w:tr2bl w:val="nil"/>
                  </w:tcBorders>
                  <w:noWrap w:val="0"/>
                  <w:tcMar>
                    <w:top w:w="15" w:type="dxa"/>
                    <w:left w:w="15" w:type="dxa"/>
                    <w:right w:w="15" w:type="dxa"/>
                  </w:tcMar>
                  <w:vAlign w:val="center"/>
                </w:tcPr>
                <w:p w14:paraId="7510BDE2">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普通</w:t>
                  </w:r>
                  <w:r>
                    <w:rPr>
                      <w:rFonts w:hint="default" w:ascii="Times New Roman" w:hAnsi="Times New Roman" w:eastAsia="宋体" w:cs="Times New Roman"/>
                      <w:b w:val="0"/>
                      <w:bCs w:val="0"/>
                      <w:color w:val="auto"/>
                      <w:sz w:val="21"/>
                      <w:szCs w:val="21"/>
                      <w:highlight w:val="none"/>
                      <w:lang w:val="en-US" w:eastAsia="zh-CN"/>
                    </w:rPr>
                    <w:t>玻璃原片</w:t>
                  </w:r>
                </w:p>
              </w:tc>
              <w:tc>
                <w:tcPr>
                  <w:tcW w:w="801" w:type="pct"/>
                  <w:tcBorders>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6C5833D3">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4-12mm</w:t>
                  </w:r>
                </w:p>
              </w:tc>
              <w:tc>
                <w:tcPr>
                  <w:tcW w:w="646" w:type="pct"/>
                  <w:tcBorders>
                    <w:left w:val="single" w:color="auto" w:sz="4" w:space="0"/>
                    <w:bottom w:val="single" w:color="auto" w:sz="4" w:space="0"/>
                    <w:tl2br w:val="nil"/>
                    <w:tr2bl w:val="nil"/>
                  </w:tcBorders>
                  <w:noWrap w:val="0"/>
                  <w:tcMar>
                    <w:top w:w="15" w:type="dxa"/>
                    <w:left w:w="15" w:type="dxa"/>
                    <w:right w:w="15" w:type="dxa"/>
                  </w:tcMar>
                  <w:vAlign w:val="center"/>
                </w:tcPr>
                <w:p w14:paraId="35407FFA">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10.5</w:t>
                  </w:r>
                </w:p>
              </w:tc>
              <w:tc>
                <w:tcPr>
                  <w:tcW w:w="728" w:type="pct"/>
                  <w:tcBorders>
                    <w:bottom w:val="single" w:color="auto" w:sz="4" w:space="0"/>
                    <w:right w:val="single" w:color="auto" w:sz="4" w:space="0"/>
                    <w:tl2br w:val="nil"/>
                    <w:tr2bl w:val="nil"/>
                  </w:tcBorders>
                  <w:noWrap w:val="0"/>
                  <w:tcMar>
                    <w:top w:w="15" w:type="dxa"/>
                    <w:left w:w="15" w:type="dxa"/>
                    <w:right w:w="15" w:type="dxa"/>
                  </w:tcMar>
                  <w:vAlign w:val="center"/>
                </w:tcPr>
                <w:p w14:paraId="2C00C6FE">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2.5</w:t>
                  </w:r>
                </w:p>
              </w:tc>
              <w:tc>
                <w:tcPr>
                  <w:tcW w:w="457" w:type="pct"/>
                  <w:tcBorders>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14:paraId="73BDDE92">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万m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172" w:type="pct"/>
                  <w:tcBorders>
                    <w:left w:val="single" w:color="auto" w:sz="4" w:space="0"/>
                    <w:bottom w:val="single" w:color="auto" w:sz="4" w:space="0"/>
                    <w:tl2br w:val="nil"/>
                    <w:tr2bl w:val="nil"/>
                  </w:tcBorders>
                  <w:noWrap w:val="0"/>
                  <w:tcMar>
                    <w:top w:w="15" w:type="dxa"/>
                    <w:left w:w="15" w:type="dxa"/>
                    <w:right w:w="15" w:type="dxa"/>
                  </w:tcMar>
                  <w:vAlign w:val="center"/>
                </w:tcPr>
                <w:p w14:paraId="1DB53858">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外购的普通玻璃</w:t>
                  </w:r>
                </w:p>
              </w:tc>
            </w:tr>
            <w:tr w14:paraId="734904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321" w:type="pct"/>
                  <w:vMerge w:val="continue"/>
                  <w:tcBorders>
                    <w:right w:val="single" w:color="auto" w:sz="4" w:space="0"/>
                    <w:tl2br w:val="nil"/>
                    <w:tr2bl w:val="nil"/>
                  </w:tcBorders>
                  <w:shd w:val="clear" w:color="auto" w:fill="auto"/>
                  <w:noWrap w:val="0"/>
                  <w:tcMar>
                    <w:top w:w="15" w:type="dxa"/>
                    <w:left w:w="15" w:type="dxa"/>
                    <w:right w:w="15" w:type="dxa"/>
                  </w:tcMar>
                  <w:vAlign w:val="center"/>
                </w:tcPr>
                <w:p w14:paraId="403353C2">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872" w:type="pct"/>
                  <w:gridSpan w:val="2"/>
                  <w:tcBorders>
                    <w:top w:val="single" w:color="auto" w:sz="4" w:space="0"/>
                    <w:right w:val="single" w:color="auto" w:sz="4" w:space="0"/>
                    <w:tl2br w:val="nil"/>
                    <w:tr2bl w:val="nil"/>
                  </w:tcBorders>
                  <w:noWrap w:val="0"/>
                  <w:tcMar>
                    <w:top w:w="15" w:type="dxa"/>
                    <w:left w:w="15" w:type="dxa"/>
                    <w:right w:w="15" w:type="dxa"/>
                  </w:tcMar>
                  <w:vAlign w:val="center"/>
                </w:tcPr>
                <w:p w14:paraId="72FE0B48">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钢化玻璃原片</w:t>
                  </w:r>
                </w:p>
              </w:tc>
              <w:tc>
                <w:tcPr>
                  <w:tcW w:w="801" w:type="pct"/>
                  <w:tcBorders>
                    <w:top w:val="single" w:color="auto" w:sz="4" w:space="0"/>
                    <w:left w:val="single" w:color="auto" w:sz="4" w:space="0"/>
                    <w:right w:val="single" w:color="auto" w:sz="4" w:space="0"/>
                    <w:tl2br w:val="nil"/>
                    <w:tr2bl w:val="nil"/>
                  </w:tcBorders>
                  <w:noWrap w:val="0"/>
                  <w:tcMar>
                    <w:top w:w="15" w:type="dxa"/>
                    <w:left w:w="15" w:type="dxa"/>
                    <w:right w:w="15" w:type="dxa"/>
                  </w:tcMar>
                  <w:vAlign w:val="center"/>
                </w:tcPr>
                <w:p w14:paraId="64017200">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4-12mm</w:t>
                  </w:r>
                </w:p>
              </w:tc>
              <w:tc>
                <w:tcPr>
                  <w:tcW w:w="646" w:type="pct"/>
                  <w:tcBorders>
                    <w:top w:val="single" w:color="auto" w:sz="4" w:space="0"/>
                    <w:left w:val="single" w:color="auto" w:sz="4" w:space="0"/>
                    <w:tl2br w:val="nil"/>
                    <w:tr2bl w:val="nil"/>
                  </w:tcBorders>
                  <w:noWrap w:val="0"/>
                  <w:tcMar>
                    <w:top w:w="15" w:type="dxa"/>
                    <w:left w:w="15" w:type="dxa"/>
                    <w:right w:w="15" w:type="dxa"/>
                  </w:tcMar>
                  <w:vAlign w:val="center"/>
                </w:tcPr>
                <w:p w14:paraId="67F90A81">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10.5</w:t>
                  </w:r>
                </w:p>
              </w:tc>
              <w:tc>
                <w:tcPr>
                  <w:tcW w:w="728" w:type="pct"/>
                  <w:tcBorders>
                    <w:top w:val="single" w:color="auto" w:sz="4" w:space="0"/>
                    <w:right w:val="single" w:color="auto" w:sz="4" w:space="0"/>
                    <w:tl2br w:val="nil"/>
                    <w:tr2bl w:val="nil"/>
                  </w:tcBorders>
                  <w:noWrap w:val="0"/>
                  <w:tcMar>
                    <w:top w:w="15" w:type="dxa"/>
                    <w:left w:w="15" w:type="dxa"/>
                    <w:right w:w="15" w:type="dxa"/>
                  </w:tcMar>
                  <w:vAlign w:val="center"/>
                </w:tcPr>
                <w:p w14:paraId="3FB540DC">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2.5</w:t>
                  </w:r>
                </w:p>
              </w:tc>
              <w:tc>
                <w:tcPr>
                  <w:tcW w:w="457" w:type="pct"/>
                  <w:tcBorders>
                    <w:top w:val="single" w:color="auto" w:sz="4" w:space="0"/>
                    <w:left w:val="single" w:color="auto" w:sz="4" w:space="0"/>
                    <w:right w:val="single" w:color="auto" w:sz="4" w:space="0"/>
                    <w:tl2br w:val="nil"/>
                    <w:tr2bl w:val="nil"/>
                  </w:tcBorders>
                  <w:noWrap w:val="0"/>
                  <w:tcMar>
                    <w:top w:w="15" w:type="dxa"/>
                    <w:left w:w="15" w:type="dxa"/>
                    <w:right w:w="15" w:type="dxa"/>
                  </w:tcMar>
                  <w:vAlign w:val="center"/>
                </w:tcPr>
                <w:p w14:paraId="36B0D70D">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万m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172" w:type="pct"/>
                  <w:tcBorders>
                    <w:top w:val="single" w:color="auto" w:sz="4" w:space="0"/>
                    <w:left w:val="single" w:color="auto" w:sz="4" w:space="0"/>
                    <w:tl2br w:val="nil"/>
                    <w:tr2bl w:val="nil"/>
                  </w:tcBorders>
                  <w:noWrap w:val="0"/>
                  <w:tcMar>
                    <w:top w:w="15" w:type="dxa"/>
                    <w:left w:w="15" w:type="dxa"/>
                    <w:right w:w="15" w:type="dxa"/>
                  </w:tcMar>
                  <w:vAlign w:val="center"/>
                </w:tcPr>
                <w:p w14:paraId="04C76CE8">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自家生产的钢化玻璃</w:t>
                  </w:r>
                </w:p>
              </w:tc>
            </w:tr>
            <w:tr w14:paraId="23164A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4" w:hRule="atLeast"/>
                <w:jc w:val="center"/>
              </w:trPr>
              <w:tc>
                <w:tcPr>
                  <w:tcW w:w="321" w:type="pct"/>
                  <w:vMerge w:val="restart"/>
                  <w:tcBorders>
                    <w:right w:val="single" w:color="auto" w:sz="4" w:space="0"/>
                    <w:tl2br w:val="nil"/>
                    <w:tr2bl w:val="nil"/>
                  </w:tcBorders>
                  <w:shd w:val="clear" w:color="auto" w:fill="auto"/>
                  <w:noWrap w:val="0"/>
                  <w:tcMar>
                    <w:top w:w="15" w:type="dxa"/>
                    <w:left w:w="15" w:type="dxa"/>
                    <w:right w:w="15" w:type="dxa"/>
                  </w:tcMar>
                  <w:vAlign w:val="center"/>
                </w:tcPr>
                <w:p w14:paraId="00585675">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442" w:type="pct"/>
                  <w:vMerge w:val="restart"/>
                  <w:tcBorders>
                    <w:right w:val="single" w:color="000000" w:sz="4" w:space="0"/>
                    <w:tl2br w:val="nil"/>
                    <w:tr2bl w:val="nil"/>
                  </w:tcBorders>
                  <w:noWrap w:val="0"/>
                  <w:tcMar>
                    <w:top w:w="15" w:type="dxa"/>
                    <w:left w:w="15" w:type="dxa"/>
                    <w:right w:w="15" w:type="dxa"/>
                  </w:tcMar>
                  <w:vAlign w:val="center"/>
                </w:tcPr>
                <w:p w14:paraId="6A8C939C">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双组份硅酮胶</w:t>
                  </w:r>
                </w:p>
              </w:tc>
              <w:tc>
                <w:tcPr>
                  <w:tcW w:w="429" w:type="pct"/>
                  <w:tcBorders>
                    <w:right w:val="single" w:color="auto" w:sz="4" w:space="0"/>
                    <w:tl2br w:val="nil"/>
                    <w:tr2bl w:val="nil"/>
                  </w:tcBorders>
                  <w:noWrap w:val="0"/>
                  <w:tcMar>
                    <w:top w:w="15" w:type="dxa"/>
                    <w:left w:w="15" w:type="dxa"/>
                    <w:right w:w="15" w:type="dxa"/>
                  </w:tcMar>
                  <w:vAlign w:val="center"/>
                </w:tcPr>
                <w:p w14:paraId="2F7C9CDD">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A组分</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542DF762">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190L/桶</w:t>
                  </w:r>
                </w:p>
              </w:tc>
              <w:tc>
                <w:tcPr>
                  <w:tcW w:w="646" w:type="pct"/>
                  <w:tcBorders>
                    <w:left w:val="single" w:color="auto" w:sz="4" w:space="0"/>
                    <w:tl2br w:val="nil"/>
                    <w:tr2bl w:val="nil"/>
                  </w:tcBorders>
                  <w:noWrap w:val="0"/>
                  <w:tcMar>
                    <w:top w:w="15" w:type="dxa"/>
                    <w:left w:w="15" w:type="dxa"/>
                    <w:right w:w="15" w:type="dxa"/>
                  </w:tcMar>
                  <w:vAlign w:val="center"/>
                </w:tcPr>
                <w:p w14:paraId="33EE098C">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78</w:t>
                  </w:r>
                </w:p>
              </w:tc>
              <w:tc>
                <w:tcPr>
                  <w:tcW w:w="728" w:type="pct"/>
                  <w:vMerge w:val="restart"/>
                  <w:tcBorders>
                    <w:right w:val="single" w:color="auto" w:sz="4" w:space="0"/>
                    <w:tl2br w:val="nil"/>
                    <w:tr2bl w:val="nil"/>
                  </w:tcBorders>
                  <w:noWrap w:val="0"/>
                  <w:tcMar>
                    <w:top w:w="15" w:type="dxa"/>
                    <w:left w:w="15" w:type="dxa"/>
                    <w:right w:w="15" w:type="dxa"/>
                  </w:tcMar>
                  <w:vAlign w:val="center"/>
                </w:tcPr>
                <w:p w14:paraId="52BADAFE">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457" w:type="pct"/>
                  <w:vMerge w:val="restart"/>
                  <w:tcBorders>
                    <w:left w:val="single" w:color="auto" w:sz="4" w:space="0"/>
                    <w:right w:val="single" w:color="auto" w:sz="4" w:space="0"/>
                    <w:tl2br w:val="nil"/>
                    <w:tr2bl w:val="nil"/>
                  </w:tcBorders>
                  <w:shd w:val="clear" w:color="auto" w:fill="auto"/>
                  <w:noWrap w:val="0"/>
                  <w:tcMar>
                    <w:top w:w="15" w:type="dxa"/>
                    <w:left w:w="15" w:type="dxa"/>
                    <w:right w:w="15" w:type="dxa"/>
                  </w:tcMar>
                  <w:vAlign w:val="center"/>
                </w:tcPr>
                <w:p w14:paraId="218B030E">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1172" w:type="pct"/>
                  <w:vMerge w:val="restart"/>
                  <w:tcBorders>
                    <w:left w:val="single" w:color="auto" w:sz="4" w:space="0"/>
                    <w:tl2br w:val="nil"/>
                    <w:tr2bl w:val="nil"/>
                  </w:tcBorders>
                  <w:noWrap w:val="0"/>
                  <w:tcMar>
                    <w:top w:w="15" w:type="dxa"/>
                    <w:left w:w="15" w:type="dxa"/>
                    <w:right w:w="15" w:type="dxa"/>
                  </w:tcMar>
                  <w:vAlign w:val="center"/>
                </w:tcPr>
                <w:p w14:paraId="45A6AB5C">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223282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321" w:type="pct"/>
                  <w:vMerge w:val="continue"/>
                  <w:tcBorders>
                    <w:right w:val="single" w:color="auto" w:sz="4" w:space="0"/>
                    <w:tl2br w:val="nil"/>
                    <w:tr2bl w:val="nil"/>
                  </w:tcBorders>
                  <w:shd w:val="clear" w:color="auto" w:fill="auto"/>
                  <w:noWrap w:val="0"/>
                  <w:tcMar>
                    <w:top w:w="15" w:type="dxa"/>
                    <w:left w:w="15" w:type="dxa"/>
                    <w:right w:w="15" w:type="dxa"/>
                  </w:tcMar>
                  <w:vAlign w:val="center"/>
                </w:tcPr>
                <w:p w14:paraId="519BF14F">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442" w:type="pct"/>
                  <w:vMerge w:val="continue"/>
                  <w:tcBorders>
                    <w:right w:val="single" w:color="000000" w:sz="4" w:space="0"/>
                    <w:tl2br w:val="nil"/>
                    <w:tr2bl w:val="nil"/>
                  </w:tcBorders>
                  <w:noWrap w:val="0"/>
                  <w:tcMar>
                    <w:top w:w="15" w:type="dxa"/>
                    <w:left w:w="15" w:type="dxa"/>
                    <w:right w:w="15" w:type="dxa"/>
                  </w:tcMar>
                  <w:vAlign w:val="center"/>
                </w:tcPr>
                <w:p w14:paraId="1A514A44">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429" w:type="pct"/>
                  <w:tcBorders>
                    <w:right w:val="single" w:color="auto" w:sz="4" w:space="0"/>
                    <w:tl2br w:val="nil"/>
                    <w:tr2bl w:val="nil"/>
                  </w:tcBorders>
                  <w:noWrap w:val="0"/>
                  <w:tcMar>
                    <w:top w:w="15" w:type="dxa"/>
                    <w:left w:w="15" w:type="dxa"/>
                    <w:right w:w="15" w:type="dxa"/>
                  </w:tcMar>
                  <w:vAlign w:val="center"/>
                </w:tcPr>
                <w:p w14:paraId="7936E7FB">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B组分</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08958F76">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19L/桶</w:t>
                  </w:r>
                </w:p>
              </w:tc>
              <w:tc>
                <w:tcPr>
                  <w:tcW w:w="646" w:type="pct"/>
                  <w:tcBorders>
                    <w:left w:val="single" w:color="auto" w:sz="4" w:space="0"/>
                    <w:tl2br w:val="nil"/>
                    <w:tr2bl w:val="nil"/>
                  </w:tcBorders>
                  <w:noWrap w:val="0"/>
                  <w:tcMar>
                    <w:top w:w="15" w:type="dxa"/>
                    <w:left w:w="15" w:type="dxa"/>
                    <w:right w:w="15" w:type="dxa"/>
                  </w:tcMar>
                  <w:vAlign w:val="center"/>
                </w:tcPr>
                <w:p w14:paraId="2AB09D58">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w:t>
                  </w:r>
                </w:p>
              </w:tc>
              <w:tc>
                <w:tcPr>
                  <w:tcW w:w="728" w:type="pct"/>
                  <w:vMerge w:val="continue"/>
                  <w:tcBorders>
                    <w:right w:val="single" w:color="auto" w:sz="4" w:space="0"/>
                    <w:tl2br w:val="nil"/>
                    <w:tr2bl w:val="nil"/>
                  </w:tcBorders>
                  <w:noWrap w:val="0"/>
                  <w:tcMar>
                    <w:top w:w="15" w:type="dxa"/>
                    <w:left w:w="15" w:type="dxa"/>
                    <w:right w:w="15" w:type="dxa"/>
                  </w:tcMar>
                  <w:vAlign w:val="center"/>
                </w:tcPr>
                <w:p w14:paraId="45D2C13F">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457" w:type="pct"/>
                  <w:vMerge w:val="continue"/>
                  <w:tcBorders>
                    <w:left w:val="single" w:color="auto" w:sz="4" w:space="0"/>
                    <w:right w:val="single" w:color="auto" w:sz="4" w:space="0"/>
                    <w:tl2br w:val="nil"/>
                    <w:tr2bl w:val="nil"/>
                  </w:tcBorders>
                  <w:shd w:val="clear" w:color="auto" w:fill="auto"/>
                  <w:noWrap w:val="0"/>
                  <w:tcMar>
                    <w:top w:w="15" w:type="dxa"/>
                    <w:left w:w="15" w:type="dxa"/>
                    <w:right w:w="15" w:type="dxa"/>
                  </w:tcMar>
                  <w:vAlign w:val="center"/>
                </w:tcPr>
                <w:p w14:paraId="58CCF166">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172" w:type="pct"/>
                  <w:vMerge w:val="continue"/>
                  <w:tcBorders>
                    <w:left w:val="single" w:color="auto" w:sz="4" w:space="0"/>
                    <w:tl2br w:val="nil"/>
                    <w:tr2bl w:val="nil"/>
                  </w:tcBorders>
                  <w:noWrap w:val="0"/>
                  <w:tcMar>
                    <w:top w:w="15" w:type="dxa"/>
                    <w:left w:w="15" w:type="dxa"/>
                    <w:right w:w="15" w:type="dxa"/>
                  </w:tcMar>
                  <w:vAlign w:val="center"/>
                </w:tcPr>
                <w:p w14:paraId="3C654FF5">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p>
              </w:tc>
            </w:tr>
            <w:tr w14:paraId="615355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21" w:type="pct"/>
                  <w:tcBorders>
                    <w:right w:val="single" w:color="auto" w:sz="4" w:space="0"/>
                    <w:tl2br w:val="nil"/>
                    <w:tr2bl w:val="nil"/>
                  </w:tcBorders>
                  <w:shd w:val="clear" w:color="auto" w:fill="auto"/>
                  <w:noWrap w:val="0"/>
                  <w:tcMar>
                    <w:top w:w="15" w:type="dxa"/>
                    <w:left w:w="15" w:type="dxa"/>
                    <w:right w:w="15" w:type="dxa"/>
                  </w:tcMar>
                  <w:vAlign w:val="center"/>
                </w:tcPr>
                <w:p w14:paraId="2C93868F">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872" w:type="pct"/>
                  <w:gridSpan w:val="2"/>
                  <w:tcBorders>
                    <w:right w:val="single" w:color="auto" w:sz="4" w:space="0"/>
                    <w:tl2br w:val="nil"/>
                    <w:tr2bl w:val="nil"/>
                  </w:tcBorders>
                  <w:noWrap w:val="0"/>
                  <w:tcMar>
                    <w:top w:w="15" w:type="dxa"/>
                    <w:left w:w="15" w:type="dxa"/>
                    <w:right w:w="15" w:type="dxa"/>
                  </w:tcMar>
                  <w:vAlign w:val="center"/>
                </w:tcPr>
                <w:p w14:paraId="64A28829">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丁基胶</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79CBA2BB">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28kg/箱</w:t>
                  </w:r>
                </w:p>
              </w:tc>
              <w:tc>
                <w:tcPr>
                  <w:tcW w:w="646" w:type="pct"/>
                  <w:tcBorders>
                    <w:left w:val="single" w:color="auto" w:sz="4" w:space="0"/>
                    <w:tl2br w:val="nil"/>
                    <w:tr2bl w:val="nil"/>
                  </w:tcBorders>
                  <w:noWrap w:val="0"/>
                  <w:tcMar>
                    <w:top w:w="15" w:type="dxa"/>
                    <w:left w:w="15" w:type="dxa"/>
                    <w:right w:w="15" w:type="dxa"/>
                  </w:tcMar>
                  <w:vAlign w:val="center"/>
                </w:tcPr>
                <w:p w14:paraId="082AFCB6">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eastAsia" w:ascii="Times New Roman" w:cs="Times New Roman"/>
                      <w:b w:val="0"/>
                      <w:bCs w:val="0"/>
                      <w:color w:val="auto"/>
                      <w:sz w:val="21"/>
                      <w:szCs w:val="21"/>
                      <w:highlight w:val="none"/>
                      <w:lang w:val="en-US" w:eastAsia="zh-CN"/>
                    </w:rPr>
                    <w:t>8</w:t>
                  </w:r>
                </w:p>
              </w:tc>
              <w:tc>
                <w:tcPr>
                  <w:tcW w:w="728" w:type="pct"/>
                  <w:tcBorders>
                    <w:right w:val="single" w:color="auto" w:sz="4" w:space="0"/>
                    <w:tl2br w:val="nil"/>
                    <w:tr2bl w:val="nil"/>
                  </w:tcBorders>
                  <w:noWrap w:val="0"/>
                  <w:tcMar>
                    <w:top w:w="15" w:type="dxa"/>
                    <w:left w:w="15" w:type="dxa"/>
                    <w:right w:w="15" w:type="dxa"/>
                  </w:tcMar>
                  <w:vAlign w:val="center"/>
                </w:tcPr>
                <w:p w14:paraId="202BB518">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w:t>
                  </w:r>
                </w:p>
              </w:tc>
              <w:tc>
                <w:tcPr>
                  <w:tcW w:w="457" w:type="pct"/>
                  <w:tcBorders>
                    <w:left w:val="single" w:color="auto" w:sz="4" w:space="0"/>
                    <w:right w:val="single" w:color="auto" w:sz="4" w:space="0"/>
                    <w:tl2br w:val="nil"/>
                    <w:tr2bl w:val="nil"/>
                  </w:tcBorders>
                  <w:shd w:val="clear" w:color="auto" w:fill="auto"/>
                  <w:noWrap w:val="0"/>
                  <w:tcMar>
                    <w:top w:w="15" w:type="dxa"/>
                    <w:left w:w="15" w:type="dxa"/>
                    <w:right w:w="15" w:type="dxa"/>
                  </w:tcMar>
                  <w:vAlign w:val="center"/>
                </w:tcPr>
                <w:p w14:paraId="528DD735">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1172" w:type="pct"/>
                  <w:tcBorders>
                    <w:left w:val="single" w:color="auto" w:sz="4" w:space="0"/>
                    <w:tl2br w:val="nil"/>
                    <w:tr2bl w:val="nil"/>
                  </w:tcBorders>
                  <w:noWrap w:val="0"/>
                  <w:tcMar>
                    <w:top w:w="15" w:type="dxa"/>
                    <w:left w:w="15" w:type="dxa"/>
                    <w:right w:w="15" w:type="dxa"/>
                  </w:tcMar>
                  <w:vAlign w:val="center"/>
                </w:tcPr>
                <w:p w14:paraId="1EEE4104">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0189CD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21" w:type="pct"/>
                  <w:tcBorders>
                    <w:right w:val="single" w:color="auto" w:sz="4" w:space="0"/>
                    <w:tl2br w:val="nil"/>
                    <w:tr2bl w:val="nil"/>
                  </w:tcBorders>
                  <w:shd w:val="clear" w:color="auto" w:fill="auto"/>
                  <w:noWrap w:val="0"/>
                  <w:tcMar>
                    <w:top w:w="15" w:type="dxa"/>
                    <w:left w:w="15" w:type="dxa"/>
                    <w:right w:w="15" w:type="dxa"/>
                  </w:tcMar>
                  <w:vAlign w:val="center"/>
                </w:tcPr>
                <w:p w14:paraId="7EA723C3">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872" w:type="pct"/>
                  <w:gridSpan w:val="2"/>
                  <w:tcBorders>
                    <w:right w:val="single" w:color="auto" w:sz="4" w:space="0"/>
                    <w:tl2br w:val="nil"/>
                    <w:tr2bl w:val="nil"/>
                  </w:tcBorders>
                  <w:noWrap w:val="0"/>
                  <w:tcMar>
                    <w:top w:w="15" w:type="dxa"/>
                    <w:left w:w="15" w:type="dxa"/>
                    <w:right w:w="15" w:type="dxa"/>
                  </w:tcMar>
                  <w:vAlign w:val="center"/>
                </w:tcPr>
                <w:p w14:paraId="540CE778">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分子筛</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49120E1B">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10kg/箱</w:t>
                  </w:r>
                </w:p>
              </w:tc>
              <w:tc>
                <w:tcPr>
                  <w:tcW w:w="646" w:type="pct"/>
                  <w:tcBorders>
                    <w:left w:val="single" w:color="auto" w:sz="4" w:space="0"/>
                    <w:tl2br w:val="nil"/>
                    <w:tr2bl w:val="nil"/>
                  </w:tcBorders>
                  <w:noWrap w:val="0"/>
                  <w:tcMar>
                    <w:top w:w="15" w:type="dxa"/>
                    <w:left w:w="15" w:type="dxa"/>
                    <w:right w:w="15" w:type="dxa"/>
                  </w:tcMar>
                  <w:vAlign w:val="center"/>
                </w:tcPr>
                <w:p w14:paraId="09C70065">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w:t>
                  </w:r>
                </w:p>
              </w:tc>
              <w:tc>
                <w:tcPr>
                  <w:tcW w:w="728" w:type="pct"/>
                  <w:tcBorders>
                    <w:right w:val="single" w:color="auto" w:sz="4" w:space="0"/>
                    <w:tl2br w:val="nil"/>
                    <w:tr2bl w:val="nil"/>
                  </w:tcBorders>
                  <w:noWrap w:val="0"/>
                  <w:tcMar>
                    <w:top w:w="15" w:type="dxa"/>
                    <w:left w:w="15" w:type="dxa"/>
                    <w:right w:w="15" w:type="dxa"/>
                  </w:tcMar>
                  <w:vAlign w:val="center"/>
                </w:tcPr>
                <w:p w14:paraId="4732BFEC">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457" w:type="pct"/>
                  <w:tcBorders>
                    <w:left w:val="single" w:color="auto" w:sz="4" w:space="0"/>
                    <w:right w:val="single" w:color="auto" w:sz="4" w:space="0"/>
                    <w:tl2br w:val="nil"/>
                    <w:tr2bl w:val="nil"/>
                  </w:tcBorders>
                  <w:shd w:val="clear" w:color="auto" w:fill="auto"/>
                  <w:noWrap w:val="0"/>
                  <w:tcMar>
                    <w:top w:w="15" w:type="dxa"/>
                    <w:left w:w="15" w:type="dxa"/>
                    <w:right w:w="15" w:type="dxa"/>
                  </w:tcMar>
                  <w:vAlign w:val="center"/>
                </w:tcPr>
                <w:p w14:paraId="63DB6045">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1172" w:type="pct"/>
                  <w:tcBorders>
                    <w:left w:val="single" w:color="auto" w:sz="4" w:space="0"/>
                    <w:tl2br w:val="nil"/>
                    <w:tr2bl w:val="nil"/>
                  </w:tcBorders>
                  <w:noWrap w:val="0"/>
                  <w:tcMar>
                    <w:top w:w="15" w:type="dxa"/>
                    <w:left w:w="15" w:type="dxa"/>
                    <w:right w:w="15" w:type="dxa"/>
                  </w:tcMar>
                  <w:vAlign w:val="center"/>
                </w:tcPr>
                <w:p w14:paraId="23E5A0B5">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244A75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21" w:type="pct"/>
                  <w:tcBorders>
                    <w:right w:val="single" w:color="auto" w:sz="4" w:space="0"/>
                    <w:tl2br w:val="nil"/>
                    <w:tr2bl w:val="nil"/>
                  </w:tcBorders>
                  <w:shd w:val="clear" w:color="auto" w:fill="auto"/>
                  <w:noWrap w:val="0"/>
                  <w:tcMar>
                    <w:top w:w="15" w:type="dxa"/>
                    <w:left w:w="15" w:type="dxa"/>
                    <w:right w:w="15" w:type="dxa"/>
                  </w:tcMar>
                  <w:vAlign w:val="center"/>
                </w:tcPr>
                <w:p w14:paraId="741AD883">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872" w:type="pct"/>
                  <w:gridSpan w:val="2"/>
                  <w:tcBorders>
                    <w:right w:val="single" w:color="auto" w:sz="4" w:space="0"/>
                    <w:tl2br w:val="nil"/>
                    <w:tr2bl w:val="nil"/>
                  </w:tcBorders>
                  <w:noWrap w:val="0"/>
                  <w:tcMar>
                    <w:top w:w="15" w:type="dxa"/>
                    <w:left w:w="15" w:type="dxa"/>
                    <w:right w:w="15" w:type="dxa"/>
                  </w:tcMar>
                  <w:vAlign w:val="center"/>
                </w:tcPr>
                <w:p w14:paraId="1FB29692">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铝条</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2BB21BF9">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646" w:type="pct"/>
                  <w:tcBorders>
                    <w:left w:val="single" w:color="auto" w:sz="4" w:space="0"/>
                    <w:tl2br w:val="nil"/>
                    <w:tr2bl w:val="nil"/>
                  </w:tcBorders>
                  <w:noWrap w:val="0"/>
                  <w:tcMar>
                    <w:top w:w="15" w:type="dxa"/>
                    <w:left w:w="15" w:type="dxa"/>
                    <w:right w:w="15" w:type="dxa"/>
                  </w:tcMar>
                  <w:vAlign w:val="center"/>
                </w:tcPr>
                <w:p w14:paraId="04C15F83">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3.8</w:t>
                  </w:r>
                </w:p>
              </w:tc>
              <w:tc>
                <w:tcPr>
                  <w:tcW w:w="728" w:type="pct"/>
                  <w:tcBorders>
                    <w:right w:val="single" w:color="auto" w:sz="4" w:space="0"/>
                    <w:tl2br w:val="nil"/>
                    <w:tr2bl w:val="nil"/>
                  </w:tcBorders>
                  <w:noWrap w:val="0"/>
                  <w:tcMar>
                    <w:top w:w="15" w:type="dxa"/>
                    <w:left w:w="15" w:type="dxa"/>
                    <w:right w:w="15" w:type="dxa"/>
                  </w:tcMar>
                  <w:vAlign w:val="center"/>
                </w:tcPr>
                <w:p w14:paraId="03ED2A64">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3.8</w:t>
                  </w:r>
                </w:p>
              </w:tc>
              <w:tc>
                <w:tcPr>
                  <w:tcW w:w="457" w:type="pct"/>
                  <w:tcBorders>
                    <w:left w:val="single" w:color="auto" w:sz="4" w:space="0"/>
                    <w:right w:val="single" w:color="auto" w:sz="4" w:space="0"/>
                    <w:tl2br w:val="nil"/>
                    <w:tr2bl w:val="nil"/>
                  </w:tcBorders>
                  <w:noWrap w:val="0"/>
                  <w:tcMar>
                    <w:top w:w="15" w:type="dxa"/>
                    <w:left w:w="15" w:type="dxa"/>
                    <w:right w:w="15" w:type="dxa"/>
                  </w:tcMar>
                  <w:vAlign w:val="center"/>
                </w:tcPr>
                <w:p w14:paraId="40F14F36">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1172" w:type="pct"/>
                  <w:tcBorders>
                    <w:left w:val="single" w:color="auto" w:sz="4" w:space="0"/>
                    <w:tl2br w:val="nil"/>
                    <w:tr2bl w:val="nil"/>
                  </w:tcBorders>
                  <w:noWrap w:val="0"/>
                  <w:tcMar>
                    <w:top w:w="15" w:type="dxa"/>
                    <w:left w:w="15" w:type="dxa"/>
                    <w:right w:w="15" w:type="dxa"/>
                  </w:tcMar>
                  <w:vAlign w:val="center"/>
                </w:tcPr>
                <w:p w14:paraId="1E9DD084">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玻璃用4m</w:t>
                  </w:r>
                </w:p>
              </w:tc>
            </w:tr>
            <w:tr w14:paraId="58D9FA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4" w:hRule="atLeast"/>
                <w:jc w:val="center"/>
              </w:trPr>
              <w:tc>
                <w:tcPr>
                  <w:tcW w:w="5000" w:type="pct"/>
                  <w:gridSpan w:val="8"/>
                  <w:tcBorders>
                    <w:tl2br w:val="nil"/>
                    <w:tr2bl w:val="nil"/>
                  </w:tcBorders>
                  <w:shd w:val="clear" w:color="auto" w:fill="auto"/>
                  <w:noWrap w:val="0"/>
                  <w:tcMar>
                    <w:top w:w="15" w:type="dxa"/>
                    <w:left w:w="15" w:type="dxa"/>
                    <w:right w:w="15" w:type="dxa"/>
                  </w:tcMar>
                  <w:vAlign w:val="center"/>
                </w:tcPr>
                <w:p w14:paraId="38F84B26">
                  <w:pPr>
                    <w:pStyle w:val="33"/>
                    <w:keepNext w:val="0"/>
                    <w:keepLines w:val="0"/>
                    <w:pageBreakBefore w:val="0"/>
                    <w:widowControl w:val="0"/>
                    <w:kinsoku/>
                    <w:wordWrap/>
                    <w:overflowPunct/>
                    <w:topLinePunct w:val="0"/>
                    <w:bidi w:val="0"/>
                    <w:spacing w:beforeLines="0" w:afterLines="0" w:line="240" w:lineRule="auto"/>
                    <w:ind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bCs/>
                      <w:color w:val="auto"/>
                      <w:sz w:val="21"/>
                      <w:szCs w:val="21"/>
                      <w:highlight w:val="none"/>
                      <w:lang w:val="en-US" w:eastAsia="zh-CN"/>
                    </w:rPr>
                    <w:t>二</w:t>
                  </w:r>
                  <w:r>
                    <w:rPr>
                      <w:rFonts w:hint="default" w:ascii="Times New Roman" w:hAnsi="Times New Roman" w:eastAsia="宋体" w:cs="Times New Roman"/>
                      <w:b/>
                      <w:bCs/>
                      <w:color w:val="auto"/>
                      <w:sz w:val="21"/>
                      <w:szCs w:val="21"/>
                      <w:highlight w:val="none"/>
                      <w:lang w:val="en-US" w:eastAsia="zh-CN"/>
                    </w:rPr>
                    <w:t>、夹胶玻璃</w:t>
                  </w:r>
                </w:p>
              </w:tc>
            </w:tr>
            <w:tr w14:paraId="6D23B5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21" w:type="pct"/>
                  <w:tcBorders>
                    <w:right w:val="single" w:color="auto" w:sz="4" w:space="0"/>
                    <w:tl2br w:val="nil"/>
                    <w:tr2bl w:val="nil"/>
                  </w:tcBorders>
                  <w:shd w:val="clear" w:color="auto" w:fill="auto"/>
                  <w:noWrap w:val="0"/>
                  <w:tcMar>
                    <w:top w:w="15" w:type="dxa"/>
                    <w:left w:w="15" w:type="dxa"/>
                    <w:right w:w="15" w:type="dxa"/>
                  </w:tcMar>
                  <w:vAlign w:val="center"/>
                </w:tcPr>
                <w:p w14:paraId="452064ED">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872" w:type="pct"/>
                  <w:gridSpan w:val="2"/>
                  <w:tcBorders>
                    <w:right w:val="single" w:color="auto" w:sz="4" w:space="0"/>
                    <w:tl2br w:val="nil"/>
                    <w:tr2bl w:val="nil"/>
                  </w:tcBorders>
                  <w:noWrap w:val="0"/>
                  <w:tcMar>
                    <w:top w:w="15" w:type="dxa"/>
                    <w:left w:w="15" w:type="dxa"/>
                    <w:right w:w="15" w:type="dxa"/>
                  </w:tcMar>
                  <w:vAlign w:val="center"/>
                </w:tcPr>
                <w:p w14:paraId="4CAE8947">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钢化</w:t>
                  </w:r>
                  <w:r>
                    <w:rPr>
                      <w:rFonts w:hint="default" w:ascii="Times New Roman" w:hAnsi="Times New Roman" w:eastAsia="宋体" w:cs="Times New Roman"/>
                      <w:b w:val="0"/>
                      <w:bCs w:val="0"/>
                      <w:color w:val="auto"/>
                      <w:sz w:val="21"/>
                      <w:szCs w:val="21"/>
                      <w:highlight w:val="none"/>
                      <w:lang w:val="en-US" w:eastAsia="zh-CN"/>
                    </w:rPr>
                    <w:t>玻璃原片</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5BFD1BD6">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4-12mm</w:t>
                  </w:r>
                </w:p>
              </w:tc>
              <w:tc>
                <w:tcPr>
                  <w:tcW w:w="646" w:type="pct"/>
                  <w:tcBorders>
                    <w:left w:val="single" w:color="auto" w:sz="4" w:space="0"/>
                    <w:tl2br w:val="nil"/>
                    <w:tr2bl w:val="nil"/>
                  </w:tcBorders>
                  <w:noWrap w:val="0"/>
                  <w:tcMar>
                    <w:top w:w="15" w:type="dxa"/>
                    <w:left w:w="15" w:type="dxa"/>
                    <w:right w:w="15" w:type="dxa"/>
                  </w:tcMar>
                  <w:vAlign w:val="center"/>
                </w:tcPr>
                <w:p w14:paraId="35ADBE42">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4.2</w:t>
                  </w:r>
                </w:p>
              </w:tc>
              <w:tc>
                <w:tcPr>
                  <w:tcW w:w="728" w:type="pct"/>
                  <w:tcBorders>
                    <w:right w:val="single" w:color="auto" w:sz="4" w:space="0"/>
                    <w:tl2br w:val="nil"/>
                    <w:tr2bl w:val="nil"/>
                  </w:tcBorders>
                  <w:noWrap w:val="0"/>
                  <w:tcMar>
                    <w:top w:w="15" w:type="dxa"/>
                    <w:left w:w="15" w:type="dxa"/>
                    <w:right w:w="15" w:type="dxa"/>
                  </w:tcMar>
                  <w:vAlign w:val="center"/>
                </w:tcPr>
                <w:p w14:paraId="44B80CDD">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457" w:type="pct"/>
                  <w:tcBorders>
                    <w:left w:val="single" w:color="auto" w:sz="4" w:space="0"/>
                    <w:right w:val="single" w:color="auto" w:sz="4" w:space="0"/>
                    <w:tl2br w:val="nil"/>
                    <w:tr2bl w:val="nil"/>
                  </w:tcBorders>
                  <w:shd w:val="clear" w:color="auto" w:fill="auto"/>
                  <w:noWrap w:val="0"/>
                  <w:tcMar>
                    <w:top w:w="15" w:type="dxa"/>
                    <w:left w:w="15" w:type="dxa"/>
                    <w:right w:w="15" w:type="dxa"/>
                  </w:tcMar>
                  <w:vAlign w:val="center"/>
                </w:tcPr>
                <w:p w14:paraId="7DBF90D3">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万m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172" w:type="pct"/>
                  <w:tcBorders>
                    <w:left w:val="single" w:color="auto" w:sz="4" w:space="0"/>
                    <w:tl2br w:val="nil"/>
                    <w:tr2bl w:val="nil"/>
                  </w:tcBorders>
                  <w:noWrap w:val="0"/>
                  <w:tcMar>
                    <w:top w:w="15" w:type="dxa"/>
                    <w:left w:w="15" w:type="dxa"/>
                    <w:right w:w="15" w:type="dxa"/>
                  </w:tcMar>
                  <w:vAlign w:val="center"/>
                </w:tcPr>
                <w:p w14:paraId="11F8F9FD">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自家生产的钢化玻璃</w:t>
                  </w:r>
                </w:p>
              </w:tc>
            </w:tr>
            <w:tr w14:paraId="475165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321" w:type="pct"/>
                  <w:tcBorders>
                    <w:right w:val="single" w:color="auto" w:sz="4" w:space="0"/>
                    <w:tl2br w:val="nil"/>
                    <w:tr2bl w:val="nil"/>
                  </w:tcBorders>
                  <w:shd w:val="clear" w:color="auto" w:fill="auto"/>
                  <w:noWrap w:val="0"/>
                  <w:tcMar>
                    <w:top w:w="15" w:type="dxa"/>
                    <w:left w:w="15" w:type="dxa"/>
                    <w:right w:w="15" w:type="dxa"/>
                  </w:tcMar>
                  <w:vAlign w:val="center"/>
                </w:tcPr>
                <w:p w14:paraId="2E87902E">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872" w:type="pct"/>
                  <w:gridSpan w:val="2"/>
                  <w:tcBorders>
                    <w:right w:val="single" w:color="auto" w:sz="4" w:space="0"/>
                    <w:tl2br w:val="nil"/>
                    <w:tr2bl w:val="nil"/>
                  </w:tcBorders>
                  <w:noWrap w:val="0"/>
                  <w:tcMar>
                    <w:top w:w="15" w:type="dxa"/>
                    <w:left w:w="15" w:type="dxa"/>
                    <w:right w:w="15" w:type="dxa"/>
                  </w:tcMar>
                  <w:vAlign w:val="center"/>
                </w:tcPr>
                <w:p w14:paraId="7CD724A4">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PVB胶片</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1755264D">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0.38-1.52mm</w:t>
                  </w:r>
                </w:p>
              </w:tc>
              <w:tc>
                <w:tcPr>
                  <w:tcW w:w="646" w:type="pct"/>
                  <w:tcBorders>
                    <w:left w:val="single" w:color="auto" w:sz="4" w:space="0"/>
                    <w:tl2br w:val="nil"/>
                    <w:tr2bl w:val="nil"/>
                  </w:tcBorders>
                  <w:noWrap w:val="0"/>
                  <w:tcMar>
                    <w:top w:w="15" w:type="dxa"/>
                    <w:left w:w="15" w:type="dxa"/>
                    <w:right w:w="15" w:type="dxa"/>
                  </w:tcMar>
                  <w:vAlign w:val="center"/>
                </w:tcPr>
                <w:p w14:paraId="3965AEEE">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w:t>
                  </w:r>
                </w:p>
              </w:tc>
              <w:tc>
                <w:tcPr>
                  <w:tcW w:w="728" w:type="pct"/>
                  <w:tcBorders>
                    <w:right w:val="single" w:color="auto" w:sz="4" w:space="0"/>
                    <w:tl2br w:val="nil"/>
                    <w:tr2bl w:val="nil"/>
                  </w:tcBorders>
                  <w:noWrap w:val="0"/>
                  <w:tcMar>
                    <w:top w:w="15" w:type="dxa"/>
                    <w:left w:w="15" w:type="dxa"/>
                    <w:right w:w="15" w:type="dxa"/>
                  </w:tcMar>
                  <w:vAlign w:val="center"/>
                </w:tcPr>
                <w:p w14:paraId="710C86D6">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457" w:type="pct"/>
                  <w:tcBorders>
                    <w:left w:val="single" w:color="auto" w:sz="4" w:space="0"/>
                    <w:right w:val="single" w:color="auto" w:sz="4" w:space="0"/>
                    <w:tl2br w:val="nil"/>
                    <w:tr2bl w:val="nil"/>
                  </w:tcBorders>
                  <w:shd w:val="clear" w:color="auto" w:fill="auto"/>
                  <w:noWrap w:val="0"/>
                  <w:tcMar>
                    <w:top w:w="15" w:type="dxa"/>
                    <w:left w:w="15" w:type="dxa"/>
                    <w:right w:w="15" w:type="dxa"/>
                  </w:tcMar>
                  <w:vAlign w:val="center"/>
                </w:tcPr>
                <w:p w14:paraId="0ACAAE37">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万m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172" w:type="pct"/>
                  <w:tcBorders>
                    <w:left w:val="single" w:color="auto" w:sz="4" w:space="0"/>
                    <w:tl2br w:val="nil"/>
                    <w:tr2bl w:val="nil"/>
                  </w:tcBorders>
                  <w:noWrap w:val="0"/>
                  <w:tcMar>
                    <w:top w:w="15" w:type="dxa"/>
                    <w:left w:w="15" w:type="dxa"/>
                    <w:right w:w="15" w:type="dxa"/>
                  </w:tcMar>
                  <w:vAlign w:val="center"/>
                </w:tcPr>
                <w:p w14:paraId="0EFB53BE">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62C84C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5000" w:type="pct"/>
                  <w:gridSpan w:val="8"/>
                  <w:tcBorders>
                    <w:tl2br w:val="nil"/>
                    <w:tr2bl w:val="nil"/>
                  </w:tcBorders>
                  <w:shd w:val="clear" w:color="auto" w:fill="auto"/>
                  <w:noWrap w:val="0"/>
                  <w:tcMar>
                    <w:top w:w="15" w:type="dxa"/>
                    <w:left w:w="15" w:type="dxa"/>
                    <w:right w:w="15" w:type="dxa"/>
                  </w:tcMar>
                  <w:vAlign w:val="center"/>
                </w:tcPr>
                <w:p w14:paraId="62BEC933">
                  <w:pPr>
                    <w:pStyle w:val="33"/>
                    <w:keepNext w:val="0"/>
                    <w:keepLines w:val="0"/>
                    <w:pageBreakBefore w:val="0"/>
                    <w:widowControl w:val="0"/>
                    <w:kinsoku/>
                    <w:wordWrap/>
                    <w:overflowPunct/>
                    <w:topLinePunct w:val="0"/>
                    <w:bidi w:val="0"/>
                    <w:spacing w:beforeLines="0" w:afterLines="0" w:line="240" w:lineRule="auto"/>
                    <w:ind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能源消耗</w:t>
                  </w:r>
                </w:p>
              </w:tc>
            </w:tr>
            <w:tr w14:paraId="74019B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21" w:type="pct"/>
                  <w:tcBorders>
                    <w:right w:val="single" w:color="auto" w:sz="4" w:space="0"/>
                    <w:tl2br w:val="nil"/>
                    <w:tr2bl w:val="nil"/>
                  </w:tcBorders>
                  <w:shd w:val="clear" w:color="auto" w:fill="auto"/>
                  <w:noWrap w:val="0"/>
                  <w:tcMar>
                    <w:top w:w="15" w:type="dxa"/>
                    <w:left w:w="15" w:type="dxa"/>
                    <w:right w:w="15" w:type="dxa"/>
                  </w:tcMar>
                  <w:vAlign w:val="center"/>
                </w:tcPr>
                <w:p w14:paraId="25C59341">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872" w:type="pct"/>
                  <w:gridSpan w:val="2"/>
                  <w:tcBorders>
                    <w:right w:val="single" w:color="auto" w:sz="4" w:space="0"/>
                    <w:tl2br w:val="nil"/>
                    <w:tr2bl w:val="nil"/>
                  </w:tcBorders>
                  <w:noWrap w:val="0"/>
                  <w:tcMar>
                    <w:top w:w="15" w:type="dxa"/>
                    <w:left w:w="15" w:type="dxa"/>
                    <w:right w:w="15" w:type="dxa"/>
                  </w:tcMar>
                  <w:vAlign w:val="center"/>
                </w:tcPr>
                <w:p w14:paraId="0A0F50AB">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14385B15">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646" w:type="pct"/>
                  <w:tcBorders>
                    <w:left w:val="single" w:color="auto" w:sz="4" w:space="0"/>
                    <w:tl2br w:val="nil"/>
                    <w:tr2bl w:val="nil"/>
                  </w:tcBorders>
                  <w:noWrap w:val="0"/>
                  <w:tcMar>
                    <w:top w:w="15" w:type="dxa"/>
                    <w:left w:w="15" w:type="dxa"/>
                    <w:right w:w="15" w:type="dxa"/>
                  </w:tcMar>
                  <w:vAlign w:val="center"/>
                </w:tcPr>
                <w:p w14:paraId="7CF6B40B">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648</w:t>
                  </w:r>
                </w:p>
              </w:tc>
              <w:tc>
                <w:tcPr>
                  <w:tcW w:w="728" w:type="pct"/>
                  <w:tcBorders>
                    <w:right w:val="single" w:color="auto" w:sz="4" w:space="0"/>
                    <w:tl2br w:val="nil"/>
                    <w:tr2bl w:val="nil"/>
                  </w:tcBorders>
                  <w:noWrap w:val="0"/>
                  <w:tcMar>
                    <w:top w:w="15" w:type="dxa"/>
                    <w:left w:w="15" w:type="dxa"/>
                    <w:right w:w="15" w:type="dxa"/>
                  </w:tcMar>
                  <w:vAlign w:val="center"/>
                </w:tcPr>
                <w:p w14:paraId="42FD6A57">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457" w:type="pct"/>
                  <w:tcBorders>
                    <w:left w:val="single" w:color="auto" w:sz="4" w:space="0"/>
                    <w:right w:val="single" w:color="auto" w:sz="4" w:space="0"/>
                    <w:tl2br w:val="nil"/>
                    <w:tr2bl w:val="nil"/>
                  </w:tcBorders>
                  <w:noWrap w:val="0"/>
                  <w:tcMar>
                    <w:top w:w="15" w:type="dxa"/>
                    <w:left w:w="15" w:type="dxa"/>
                    <w:right w:w="15" w:type="dxa"/>
                  </w:tcMar>
                  <w:vAlign w:val="center"/>
                </w:tcPr>
                <w:p w14:paraId="443B90C7">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/a</w:t>
                  </w:r>
                </w:p>
              </w:tc>
              <w:tc>
                <w:tcPr>
                  <w:tcW w:w="1172" w:type="pct"/>
                  <w:tcBorders>
                    <w:left w:val="single" w:color="auto" w:sz="4" w:space="0"/>
                    <w:tl2br w:val="nil"/>
                    <w:tr2bl w:val="nil"/>
                  </w:tcBorders>
                  <w:noWrap w:val="0"/>
                  <w:tcMar>
                    <w:top w:w="15" w:type="dxa"/>
                    <w:left w:w="15" w:type="dxa"/>
                    <w:right w:w="15" w:type="dxa"/>
                  </w:tcMar>
                  <w:vAlign w:val="center"/>
                </w:tcPr>
                <w:p w14:paraId="45F13C2F">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市政供水</w:t>
                  </w:r>
                </w:p>
              </w:tc>
            </w:tr>
            <w:tr w14:paraId="16F4EA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4" w:hRule="atLeast"/>
                <w:jc w:val="center"/>
              </w:trPr>
              <w:tc>
                <w:tcPr>
                  <w:tcW w:w="321" w:type="pct"/>
                  <w:tcBorders>
                    <w:right w:val="single" w:color="auto" w:sz="4" w:space="0"/>
                    <w:tl2br w:val="nil"/>
                    <w:tr2bl w:val="nil"/>
                  </w:tcBorders>
                  <w:shd w:val="clear" w:color="auto" w:fill="auto"/>
                  <w:noWrap w:val="0"/>
                  <w:tcMar>
                    <w:top w:w="15" w:type="dxa"/>
                    <w:left w:w="15" w:type="dxa"/>
                    <w:right w:w="15" w:type="dxa"/>
                  </w:tcMar>
                  <w:vAlign w:val="center"/>
                </w:tcPr>
                <w:p w14:paraId="5C139718">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872" w:type="pct"/>
                  <w:gridSpan w:val="2"/>
                  <w:tcBorders>
                    <w:right w:val="single" w:color="auto" w:sz="4" w:space="0"/>
                    <w:tl2br w:val="nil"/>
                    <w:tr2bl w:val="nil"/>
                  </w:tcBorders>
                  <w:noWrap w:val="0"/>
                  <w:tcMar>
                    <w:top w:w="15" w:type="dxa"/>
                    <w:left w:w="15" w:type="dxa"/>
                    <w:right w:w="15" w:type="dxa"/>
                  </w:tcMar>
                  <w:vAlign w:val="center"/>
                </w:tcPr>
                <w:p w14:paraId="3C5560F9">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电</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388FC97E">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646" w:type="pct"/>
                  <w:tcBorders>
                    <w:left w:val="single" w:color="auto" w:sz="4" w:space="0"/>
                    <w:tl2br w:val="nil"/>
                    <w:tr2bl w:val="nil"/>
                  </w:tcBorders>
                  <w:noWrap w:val="0"/>
                  <w:tcMar>
                    <w:top w:w="15" w:type="dxa"/>
                    <w:left w:w="15" w:type="dxa"/>
                    <w:right w:w="15" w:type="dxa"/>
                  </w:tcMar>
                  <w:vAlign w:val="center"/>
                </w:tcPr>
                <w:p w14:paraId="5E74F3B0">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48</w:t>
                  </w:r>
                </w:p>
              </w:tc>
              <w:tc>
                <w:tcPr>
                  <w:tcW w:w="728" w:type="pct"/>
                  <w:tcBorders>
                    <w:right w:val="single" w:color="auto" w:sz="4" w:space="0"/>
                    <w:tl2br w:val="nil"/>
                    <w:tr2bl w:val="nil"/>
                  </w:tcBorders>
                  <w:noWrap w:val="0"/>
                  <w:tcMar>
                    <w:top w:w="15" w:type="dxa"/>
                    <w:left w:w="15" w:type="dxa"/>
                    <w:right w:w="15" w:type="dxa"/>
                  </w:tcMar>
                  <w:vAlign w:val="center"/>
                </w:tcPr>
                <w:p w14:paraId="09048A7E">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457" w:type="pct"/>
                  <w:tcBorders>
                    <w:left w:val="single" w:color="auto" w:sz="4" w:space="0"/>
                    <w:right w:val="single" w:color="auto" w:sz="4" w:space="0"/>
                    <w:tl2br w:val="nil"/>
                    <w:tr2bl w:val="nil"/>
                  </w:tcBorders>
                  <w:noWrap w:val="0"/>
                  <w:tcMar>
                    <w:top w:w="15" w:type="dxa"/>
                    <w:left w:w="15" w:type="dxa"/>
                    <w:right w:w="15" w:type="dxa"/>
                  </w:tcMar>
                  <w:vAlign w:val="center"/>
                </w:tcPr>
                <w:p w14:paraId="5F0E7583">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万度/a</w:t>
                  </w:r>
                </w:p>
              </w:tc>
              <w:tc>
                <w:tcPr>
                  <w:tcW w:w="1172" w:type="pct"/>
                  <w:tcBorders>
                    <w:left w:val="single" w:color="auto" w:sz="4" w:space="0"/>
                    <w:tl2br w:val="nil"/>
                    <w:tr2bl w:val="nil"/>
                  </w:tcBorders>
                  <w:noWrap w:val="0"/>
                  <w:tcMar>
                    <w:top w:w="15" w:type="dxa"/>
                    <w:left w:w="15" w:type="dxa"/>
                    <w:right w:w="15" w:type="dxa"/>
                  </w:tcMar>
                  <w:vAlign w:val="center"/>
                </w:tcPr>
                <w:p w14:paraId="1A50AA14">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市政供电</w:t>
                  </w:r>
                </w:p>
              </w:tc>
            </w:tr>
            <w:tr w14:paraId="4EDD16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21" w:type="pct"/>
                  <w:tcBorders>
                    <w:right w:val="single" w:color="auto" w:sz="4" w:space="0"/>
                    <w:tl2br w:val="nil"/>
                    <w:tr2bl w:val="nil"/>
                  </w:tcBorders>
                  <w:shd w:val="clear" w:color="auto" w:fill="auto"/>
                  <w:noWrap w:val="0"/>
                  <w:tcMar>
                    <w:top w:w="15" w:type="dxa"/>
                    <w:left w:w="15" w:type="dxa"/>
                    <w:right w:w="15" w:type="dxa"/>
                  </w:tcMar>
                  <w:vAlign w:val="center"/>
                </w:tcPr>
                <w:p w14:paraId="21D93055">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872" w:type="pct"/>
                  <w:gridSpan w:val="2"/>
                  <w:tcBorders>
                    <w:right w:val="single" w:color="auto" w:sz="4" w:space="0"/>
                    <w:tl2br w:val="nil"/>
                    <w:tr2bl w:val="nil"/>
                  </w:tcBorders>
                  <w:noWrap w:val="0"/>
                  <w:tcMar>
                    <w:top w:w="15" w:type="dxa"/>
                    <w:left w:w="15" w:type="dxa"/>
                    <w:right w:w="15" w:type="dxa"/>
                  </w:tcMar>
                  <w:vAlign w:val="center"/>
                </w:tcPr>
                <w:p w14:paraId="144C386F">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机油</w:t>
                  </w:r>
                </w:p>
              </w:tc>
              <w:tc>
                <w:tcPr>
                  <w:tcW w:w="801" w:type="pct"/>
                  <w:tcBorders>
                    <w:left w:val="single" w:color="auto" w:sz="4" w:space="0"/>
                    <w:right w:val="single" w:color="auto" w:sz="4" w:space="0"/>
                    <w:tl2br w:val="nil"/>
                    <w:tr2bl w:val="nil"/>
                  </w:tcBorders>
                  <w:noWrap w:val="0"/>
                  <w:tcMar>
                    <w:top w:w="15" w:type="dxa"/>
                    <w:left w:w="15" w:type="dxa"/>
                    <w:right w:w="15" w:type="dxa"/>
                  </w:tcMar>
                  <w:vAlign w:val="center"/>
                </w:tcPr>
                <w:p w14:paraId="150BAF71">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25kg/桶</w:t>
                  </w:r>
                </w:p>
              </w:tc>
              <w:tc>
                <w:tcPr>
                  <w:tcW w:w="646" w:type="pct"/>
                  <w:tcBorders>
                    <w:left w:val="single" w:color="auto" w:sz="4" w:space="0"/>
                    <w:tl2br w:val="nil"/>
                    <w:tr2bl w:val="nil"/>
                  </w:tcBorders>
                  <w:noWrap w:val="0"/>
                  <w:tcMar>
                    <w:top w:w="15" w:type="dxa"/>
                    <w:left w:w="15" w:type="dxa"/>
                    <w:right w:w="15" w:type="dxa"/>
                  </w:tcMar>
                  <w:vAlign w:val="center"/>
                </w:tcPr>
                <w:p w14:paraId="53E020D8">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w:t>
                  </w:r>
                </w:p>
              </w:tc>
              <w:tc>
                <w:tcPr>
                  <w:tcW w:w="728" w:type="pct"/>
                  <w:tcBorders>
                    <w:right w:val="single" w:color="auto" w:sz="4" w:space="0"/>
                    <w:tl2br w:val="nil"/>
                    <w:tr2bl w:val="nil"/>
                  </w:tcBorders>
                  <w:noWrap w:val="0"/>
                  <w:tcMar>
                    <w:top w:w="15" w:type="dxa"/>
                    <w:left w:w="15" w:type="dxa"/>
                    <w:right w:w="15" w:type="dxa"/>
                  </w:tcMar>
                  <w:vAlign w:val="center"/>
                </w:tcPr>
                <w:p w14:paraId="27670EA1">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457" w:type="pct"/>
                  <w:tcBorders>
                    <w:left w:val="single" w:color="auto" w:sz="4" w:space="0"/>
                    <w:right w:val="single" w:color="auto" w:sz="4" w:space="0"/>
                    <w:tl2br w:val="nil"/>
                    <w:tr2bl w:val="nil"/>
                  </w:tcBorders>
                  <w:noWrap w:val="0"/>
                  <w:tcMar>
                    <w:top w:w="15" w:type="dxa"/>
                    <w:left w:w="15" w:type="dxa"/>
                    <w:right w:w="15" w:type="dxa"/>
                  </w:tcMar>
                  <w:vAlign w:val="center"/>
                </w:tcPr>
                <w:p w14:paraId="1245408B">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1172" w:type="pct"/>
                  <w:tcBorders>
                    <w:left w:val="single" w:color="auto" w:sz="4" w:space="0"/>
                    <w:tl2br w:val="nil"/>
                    <w:tr2bl w:val="nil"/>
                  </w:tcBorders>
                  <w:noWrap w:val="0"/>
                  <w:tcMar>
                    <w:top w:w="15" w:type="dxa"/>
                    <w:left w:w="15" w:type="dxa"/>
                    <w:right w:w="15" w:type="dxa"/>
                  </w:tcMar>
                  <w:vAlign w:val="center"/>
                </w:tcPr>
                <w:p w14:paraId="497397B1">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r>
          </w:tbl>
          <w:p w14:paraId="48B261B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5" o:spt="75" type="#_x0000_t75" style="height:211.6pt;width:388.2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14:paraId="305F327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szCs w:val="32"/>
                <w:highlight w:val="none"/>
                <w:lang w:val="en-US" w:eastAsia="zh-CN"/>
              </w:rPr>
            </w:pPr>
            <w:r>
              <w:rPr>
                <w:rFonts w:hint="eastAsia" w:cs="Times New Roman"/>
                <w:b/>
                <w:bCs/>
                <w:color w:val="auto"/>
                <w:sz w:val="24"/>
                <w:szCs w:val="32"/>
                <w:highlight w:val="none"/>
                <w:lang w:val="en-US" w:eastAsia="zh-CN"/>
              </w:rPr>
              <w:t>图2-1 物料平衡图   单位：m</w:t>
            </w:r>
            <w:r>
              <w:rPr>
                <w:rFonts w:hint="eastAsia" w:cs="Times New Roman"/>
                <w:b/>
                <w:bCs/>
                <w:color w:val="auto"/>
                <w:sz w:val="24"/>
                <w:szCs w:val="32"/>
                <w:highlight w:val="none"/>
                <w:vertAlign w:val="superscript"/>
                <w:lang w:val="en-US" w:eastAsia="zh-CN"/>
              </w:rPr>
              <w:t>2</w:t>
            </w:r>
          </w:p>
          <w:p w14:paraId="3204170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highlight w:val="none"/>
              </w:rPr>
            </w:pPr>
          </w:p>
          <w:p w14:paraId="561F0EE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highlight w:val="none"/>
              </w:rPr>
            </w:pPr>
          </w:p>
          <w:p w14:paraId="0699436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highlight w:val="none"/>
              </w:rPr>
            </w:pPr>
          </w:p>
          <w:p w14:paraId="3012CDA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lang w:eastAsia="zh-CN"/>
              </w:rPr>
            </w:pPr>
            <w:r>
              <w:rPr>
                <w:rFonts w:hint="default" w:ascii="Times New Roman" w:hAnsi="Times New Roman" w:cs="Times New Roman"/>
                <w:b/>
                <w:color w:val="auto"/>
                <w:sz w:val="24"/>
                <w:highlight w:val="none"/>
              </w:rPr>
              <w:t>主要原辅材料理化性质</w:t>
            </w:r>
            <w:r>
              <w:rPr>
                <w:rFonts w:hint="default" w:ascii="Times New Roman" w:hAnsi="Times New Roman" w:cs="Times New Roman"/>
                <w:b/>
                <w:color w:val="auto"/>
                <w:sz w:val="24"/>
                <w:highlight w:val="none"/>
                <w:lang w:eastAsia="zh-CN"/>
              </w:rPr>
              <w:t>：</w:t>
            </w:r>
          </w:p>
          <w:p w14:paraId="5C6962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w:t>
            </w:r>
            <w:r>
              <w:rPr>
                <w:rFonts w:hint="default" w:ascii="Times New Roman" w:hAnsi="Times New Roman" w:cs="Times New Roman"/>
                <w:b/>
                <w:color w:val="auto"/>
                <w:sz w:val="24"/>
                <w:szCs w:val="24"/>
                <w:highlight w:val="none"/>
                <w:lang w:val="en-US" w:eastAsia="zh-CN"/>
              </w:rPr>
              <w:t>5</w:t>
            </w:r>
            <w:r>
              <w:rPr>
                <w:rFonts w:hint="eastAsia"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物料理化性质一览表</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108" w:type="dxa"/>
                <w:bottom w:w="0" w:type="dxa"/>
                <w:right w:w="108" w:type="dxa"/>
              </w:tblCellMar>
            </w:tblPr>
            <w:tblGrid>
              <w:gridCol w:w="769"/>
              <w:gridCol w:w="1232"/>
              <w:gridCol w:w="6228"/>
            </w:tblGrid>
            <w:tr w14:paraId="07E81293">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90" w:hRule="atLeast"/>
                <w:tblHeader/>
                <w:jc w:val="center"/>
              </w:trPr>
              <w:tc>
                <w:tcPr>
                  <w:tcW w:w="467" w:type="pct"/>
                  <w:tcBorders>
                    <w:tl2br w:val="nil"/>
                    <w:tr2bl w:val="nil"/>
                  </w:tcBorders>
                  <w:noWrap w:val="0"/>
                  <w:vAlign w:val="center"/>
                </w:tcPr>
                <w:p w14:paraId="19FD7D1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748" w:type="pct"/>
                  <w:tcBorders>
                    <w:tl2br w:val="nil"/>
                    <w:tr2bl w:val="nil"/>
                  </w:tcBorders>
                  <w:noWrap w:val="0"/>
                  <w:vAlign w:val="center"/>
                </w:tcPr>
                <w:p w14:paraId="4BC2BC1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3783" w:type="pct"/>
                  <w:tcBorders>
                    <w:tl2br w:val="nil"/>
                    <w:tr2bl w:val="nil"/>
                  </w:tcBorders>
                  <w:noWrap w:val="0"/>
                  <w:vAlign w:val="center"/>
                </w:tcPr>
                <w:p w14:paraId="23A00BB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理化性质</w:t>
                  </w:r>
                </w:p>
              </w:tc>
            </w:tr>
            <w:tr w14:paraId="18C51A97">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tblHeader/>
                <w:jc w:val="center"/>
              </w:trPr>
              <w:tc>
                <w:tcPr>
                  <w:tcW w:w="467" w:type="pct"/>
                  <w:tcBorders>
                    <w:tl2br w:val="nil"/>
                    <w:tr2bl w:val="nil"/>
                  </w:tcBorders>
                  <w:noWrap w:val="0"/>
                  <w:vAlign w:val="center"/>
                </w:tcPr>
                <w:p w14:paraId="6D724D6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748" w:type="pct"/>
                  <w:tcBorders>
                    <w:tl2br w:val="nil"/>
                    <w:tr2bl w:val="nil"/>
                  </w:tcBorders>
                  <w:noWrap w:val="0"/>
                  <w:vAlign w:val="center"/>
                </w:tcPr>
                <w:p w14:paraId="1D560C42">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双组份硅酮胶</w:t>
                  </w:r>
                </w:p>
              </w:tc>
              <w:tc>
                <w:tcPr>
                  <w:tcW w:w="3783" w:type="pct"/>
                  <w:tcBorders>
                    <w:tl2br w:val="nil"/>
                    <w:tr2bl w:val="nil"/>
                  </w:tcBorders>
                  <w:noWrap w:val="0"/>
                  <w:vAlign w:val="center"/>
                </w:tcPr>
                <w:p w14:paraId="534CE955">
                  <w:pPr>
                    <w:keepNext w:val="0"/>
                    <w:keepLines w:val="0"/>
                    <w:pageBreakBefore w:val="0"/>
                    <w:widowControl w:val="0"/>
                    <w:kinsoku/>
                    <w:wordWrap/>
                    <w:overflowPunct/>
                    <w:topLinePunct w:val="0"/>
                    <w:bidi w:val="0"/>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0"/>
                      <w:w w:val="100"/>
                      <w:position w:val="0"/>
                      <w:sz w:val="21"/>
                      <w:szCs w:val="21"/>
                      <w:highlight w:val="none"/>
                    </w:rPr>
                    <w:t>使用的密封胶为双组份硅酮胶，是一种中性、无毒的交联体系，双组份则是指硅酮密封胶分成A、B两组，任何一组单独存在都不能形成固化，但是两组胶浆一旦混合就产生固化。A组为硅酮胶，白色膏状物基本没有气味，主要成分为端羧基聚二甲基硅氧烷(30-70%)、二甲基硅油(1~5%)及碳酸钙(30~70%)。B组分为固化剂，黑色膏状物，主要成分为二甲基硅油(20-60%)、炭黑(15%)、甲基三甲氧基硅烷(10-40%)、氨丙基三乙氧基硅烷(2~10%)、二丁基二月桂酸锡(1~5%)。硅酮密封胶因为常被用于玻璃方面的粘接和密封，所以俗称玻璃胶。根据建设单位提供的检测报告，本项目使用的双组份密封胶中挥发性有机化合物含量为</w:t>
                  </w:r>
                  <w:r>
                    <w:rPr>
                      <w:rFonts w:hint="eastAsia" w:cs="Times New Roman"/>
                      <w:color w:val="auto"/>
                      <w:spacing w:val="0"/>
                      <w:w w:val="100"/>
                      <w:position w:val="0"/>
                      <w:sz w:val="21"/>
                      <w:szCs w:val="21"/>
                      <w:highlight w:val="none"/>
                      <w:lang w:val="en-US" w:eastAsia="zh-CN"/>
                    </w:rPr>
                    <w:t>16</w:t>
                  </w:r>
                  <w:r>
                    <w:rPr>
                      <w:rFonts w:hint="default" w:ascii="Times New Roman" w:hAnsi="Times New Roman" w:eastAsia="宋体" w:cs="Times New Roman"/>
                      <w:color w:val="auto"/>
                      <w:spacing w:val="0"/>
                      <w:w w:val="100"/>
                      <w:position w:val="0"/>
                      <w:sz w:val="21"/>
                      <w:szCs w:val="21"/>
                      <w:highlight w:val="none"/>
                    </w:rPr>
                    <w:t>g</w:t>
                  </w:r>
                  <w:r>
                    <w:rPr>
                      <w:rFonts w:hint="eastAsia" w:cs="Times New Roman"/>
                      <w:color w:val="auto"/>
                      <w:spacing w:val="0"/>
                      <w:w w:val="100"/>
                      <w:position w:val="0"/>
                      <w:sz w:val="21"/>
                      <w:szCs w:val="21"/>
                      <w:highlight w:val="none"/>
                      <w:lang w:val="en-US" w:eastAsia="zh-CN"/>
                    </w:rPr>
                    <w:t>/k</w:t>
                  </w:r>
                  <w:r>
                    <w:rPr>
                      <w:rFonts w:hint="default" w:ascii="Times New Roman" w:hAnsi="Times New Roman" w:eastAsia="宋体" w:cs="Times New Roman"/>
                      <w:color w:val="auto"/>
                      <w:spacing w:val="0"/>
                      <w:w w:val="100"/>
                      <w:position w:val="0"/>
                      <w:sz w:val="21"/>
                      <w:szCs w:val="21"/>
                      <w:highlight w:val="none"/>
                    </w:rPr>
                    <w:t>g</w:t>
                  </w:r>
                  <w:r>
                    <w:rPr>
                      <w:rFonts w:hint="eastAsia" w:cs="Times New Roman"/>
                      <w:color w:val="auto"/>
                      <w:spacing w:val="0"/>
                      <w:w w:val="100"/>
                      <w:position w:val="0"/>
                      <w:sz w:val="21"/>
                      <w:szCs w:val="21"/>
                      <w:highlight w:val="none"/>
                      <w:lang w:eastAsia="zh-CN"/>
                    </w:rPr>
                    <w:t>，</w:t>
                  </w:r>
                  <w:r>
                    <w:rPr>
                      <w:rFonts w:hint="default" w:ascii="Times New Roman" w:hAnsi="Times New Roman" w:eastAsia="宋体" w:cs="Times New Roman"/>
                      <w:color w:val="auto"/>
                      <w:spacing w:val="0"/>
                      <w:w w:val="100"/>
                      <w:position w:val="0"/>
                      <w:sz w:val="21"/>
                      <w:szCs w:val="21"/>
                      <w:highlight w:val="none"/>
                    </w:rPr>
                    <w:t>低于《胶粘剂挥发性有机化合物限量》(GB33372-2020)中“本体型胶粘剂有机硅类-其他”的限值为100g</w:t>
                  </w:r>
                  <w:r>
                    <w:rPr>
                      <w:rFonts w:hint="eastAsia" w:cs="Times New Roman"/>
                      <w:color w:val="auto"/>
                      <w:spacing w:val="0"/>
                      <w:w w:val="100"/>
                      <w:position w:val="0"/>
                      <w:sz w:val="21"/>
                      <w:szCs w:val="21"/>
                      <w:highlight w:val="none"/>
                      <w:lang w:val="en-US" w:eastAsia="zh-CN"/>
                    </w:rPr>
                    <w:t>/</w:t>
                  </w:r>
                  <w:r>
                    <w:rPr>
                      <w:rFonts w:hint="default" w:ascii="Times New Roman" w:hAnsi="Times New Roman" w:eastAsia="宋体" w:cs="Times New Roman"/>
                      <w:color w:val="auto"/>
                      <w:spacing w:val="0"/>
                      <w:w w:val="100"/>
                      <w:position w:val="0"/>
                      <w:sz w:val="21"/>
                      <w:szCs w:val="21"/>
                      <w:highlight w:val="none"/>
                    </w:rPr>
                    <w:t>k</w:t>
                  </w:r>
                  <w:r>
                    <w:rPr>
                      <w:rFonts w:hint="eastAsia" w:cs="Times New Roman"/>
                      <w:color w:val="auto"/>
                      <w:spacing w:val="0"/>
                      <w:w w:val="100"/>
                      <w:position w:val="0"/>
                      <w:sz w:val="21"/>
                      <w:szCs w:val="21"/>
                      <w:highlight w:val="none"/>
                      <w:lang w:val="en-US" w:eastAsia="zh-CN"/>
                    </w:rPr>
                    <w:t>g</w:t>
                  </w:r>
                  <w:r>
                    <w:rPr>
                      <w:rFonts w:hint="eastAsia" w:cs="Times New Roman"/>
                      <w:color w:val="auto"/>
                      <w:spacing w:val="0"/>
                      <w:w w:val="100"/>
                      <w:position w:val="0"/>
                      <w:sz w:val="21"/>
                      <w:szCs w:val="21"/>
                      <w:highlight w:val="none"/>
                      <w:lang w:eastAsia="zh-CN"/>
                    </w:rPr>
                    <w:t>，</w:t>
                  </w:r>
                  <w:r>
                    <w:rPr>
                      <w:rFonts w:hint="default" w:ascii="Times New Roman" w:hAnsi="Times New Roman" w:eastAsia="宋体" w:cs="Times New Roman"/>
                      <w:color w:val="auto"/>
                      <w:spacing w:val="0"/>
                      <w:w w:val="100"/>
                      <w:position w:val="0"/>
                      <w:sz w:val="21"/>
                      <w:szCs w:val="21"/>
                      <w:highlight w:val="none"/>
                    </w:rPr>
                    <w:t>属于低VOCs原料。</w:t>
                  </w:r>
                </w:p>
              </w:tc>
            </w:tr>
            <w:tr w14:paraId="311D87E3">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340" w:hRule="atLeast"/>
                <w:tblHeader/>
                <w:jc w:val="center"/>
              </w:trPr>
              <w:tc>
                <w:tcPr>
                  <w:tcW w:w="467" w:type="pct"/>
                  <w:tcBorders>
                    <w:tl2br w:val="nil"/>
                    <w:tr2bl w:val="nil"/>
                  </w:tcBorders>
                  <w:noWrap w:val="0"/>
                  <w:vAlign w:val="center"/>
                </w:tcPr>
                <w:p w14:paraId="315D388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748" w:type="pct"/>
                  <w:tcBorders>
                    <w:tl2br w:val="nil"/>
                    <w:tr2bl w:val="nil"/>
                  </w:tcBorders>
                  <w:noWrap w:val="0"/>
                  <w:vAlign w:val="center"/>
                </w:tcPr>
                <w:p w14:paraId="1BCD321A">
                  <w:pPr>
                    <w:pStyle w:val="33"/>
                    <w:keepNext w:val="0"/>
                    <w:keepLines w:val="0"/>
                    <w:pageBreakBefore w:val="0"/>
                    <w:widowControl w:val="0"/>
                    <w:kinsoku/>
                    <w:wordWrap/>
                    <w:overflowPunct/>
                    <w:topLinePunct w:val="0"/>
                    <w:bidi w:val="0"/>
                    <w:spacing w:beforeLines="0" w:afterLines="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丁基胶</w:t>
                  </w:r>
                </w:p>
              </w:tc>
              <w:tc>
                <w:tcPr>
                  <w:tcW w:w="3783" w:type="pct"/>
                  <w:tcBorders>
                    <w:tl2br w:val="nil"/>
                    <w:tr2bl w:val="nil"/>
                  </w:tcBorders>
                  <w:noWrap w:val="0"/>
                  <w:vAlign w:val="center"/>
                </w:tcPr>
                <w:p w14:paraId="7D98FFC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0"/>
                      <w:w w:val="100"/>
                      <w:position w:val="0"/>
                      <w:sz w:val="21"/>
                      <w:szCs w:val="21"/>
                      <w:highlight w:val="none"/>
                    </w:rPr>
                    <w:t>是一种以聚异丁烯橡胶为基料的单组分、无溶剂、不出雾、不硫化、具有永久塑性的中空玻璃的第一道密封胶，主要成分为异J烯和异戍二烯的共聚物，外观为黑灰色，无臭无味，密度为1.041g</w:t>
                  </w:r>
                  <w:r>
                    <w:rPr>
                      <w:rFonts w:hint="eastAsia" w:cs="Times New Roman"/>
                      <w:color w:val="auto"/>
                      <w:spacing w:val="0"/>
                      <w:w w:val="100"/>
                      <w:position w:val="0"/>
                      <w:sz w:val="21"/>
                      <w:szCs w:val="21"/>
                      <w:highlight w:val="none"/>
                      <w:lang w:val="en-US" w:eastAsia="zh-CN"/>
                    </w:rPr>
                    <w:t>/</w:t>
                  </w:r>
                  <w:r>
                    <w:rPr>
                      <w:rFonts w:hint="default" w:ascii="Times New Roman" w:hAnsi="Times New Roman" w:eastAsia="宋体" w:cs="Times New Roman"/>
                      <w:color w:val="auto"/>
                      <w:spacing w:val="0"/>
                      <w:w w:val="100"/>
                      <w:position w:val="0"/>
                      <w:sz w:val="21"/>
                      <w:szCs w:val="21"/>
                      <w:highlight w:val="none"/>
                    </w:rPr>
                    <w:t>cm</w:t>
                  </w:r>
                  <w:r>
                    <w:rPr>
                      <w:rFonts w:hint="default" w:ascii="Times New Roman" w:hAnsi="Times New Roman" w:eastAsia="宋体" w:cs="Times New Roman"/>
                      <w:color w:val="auto"/>
                      <w:spacing w:val="0"/>
                      <w:w w:val="100"/>
                      <w:position w:val="0"/>
                      <w:sz w:val="21"/>
                      <w:szCs w:val="21"/>
                      <w:highlight w:val="none"/>
                      <w:vertAlign w:val="superscript"/>
                    </w:rPr>
                    <w:t>3</w:t>
                  </w:r>
                  <w:r>
                    <w:rPr>
                      <w:rFonts w:hint="eastAsia" w:cs="Times New Roman"/>
                      <w:color w:val="auto"/>
                      <w:spacing w:val="0"/>
                      <w:w w:val="100"/>
                      <w:position w:val="0"/>
                      <w:sz w:val="21"/>
                      <w:szCs w:val="21"/>
                      <w:highlight w:val="none"/>
                      <w:lang w:eastAsia="zh-CN"/>
                    </w:rPr>
                    <w:t>，</w:t>
                  </w:r>
                  <w:r>
                    <w:rPr>
                      <w:rFonts w:hint="default" w:ascii="Times New Roman" w:hAnsi="Times New Roman" w:eastAsia="宋体" w:cs="Times New Roman"/>
                      <w:color w:val="auto"/>
                      <w:spacing w:val="0"/>
                      <w:w w:val="100"/>
                      <w:position w:val="0"/>
                      <w:sz w:val="21"/>
                      <w:szCs w:val="21"/>
                      <w:highlight w:val="none"/>
                    </w:rPr>
                    <w:t>热熔丁基密封胶在较宽温度范围内保持其塑性和密封性，且表面不开裂、不变硬。它对玻璃、铝合金、镀锌桶、不锈钢等材料具有良好的粘合性。由于其极低的水汽透过率，它可以与弹性密封胶一起构成一个优异的抗湿气系统。特点：密封效果好，质量容易保证；无需固化期。耐温性范围：-4℃-130℃：最高耐热温度160℃，高温状态不易分解，沸点为 180℃-250℃。根据《胶粘剂挥发性有机化合物限量》(GB33372-2020)“本体型胶粘剂有机硅类-其他”的限值为100g</w:t>
                  </w:r>
                  <w:r>
                    <w:rPr>
                      <w:rFonts w:hint="eastAsia" w:cs="Times New Roman"/>
                      <w:color w:val="auto"/>
                      <w:spacing w:val="0"/>
                      <w:w w:val="100"/>
                      <w:position w:val="0"/>
                      <w:sz w:val="21"/>
                      <w:szCs w:val="21"/>
                      <w:highlight w:val="none"/>
                      <w:lang w:val="en-US" w:eastAsia="zh-CN"/>
                    </w:rPr>
                    <w:t>/</w:t>
                  </w:r>
                  <w:r>
                    <w:rPr>
                      <w:rFonts w:hint="default" w:ascii="Times New Roman" w:hAnsi="Times New Roman" w:eastAsia="宋体" w:cs="Times New Roman"/>
                      <w:color w:val="auto"/>
                      <w:spacing w:val="0"/>
                      <w:w w:val="100"/>
                      <w:position w:val="0"/>
                      <w:sz w:val="21"/>
                      <w:szCs w:val="21"/>
                      <w:highlight w:val="none"/>
                    </w:rPr>
                    <w:t>k</w:t>
                  </w:r>
                  <w:r>
                    <w:rPr>
                      <w:rFonts w:hint="eastAsia" w:cs="Times New Roman"/>
                      <w:color w:val="auto"/>
                      <w:spacing w:val="0"/>
                      <w:w w:val="100"/>
                      <w:position w:val="0"/>
                      <w:sz w:val="21"/>
                      <w:szCs w:val="21"/>
                      <w:highlight w:val="none"/>
                      <w:lang w:val="en-US" w:eastAsia="zh-CN"/>
                    </w:rPr>
                    <w:t>g</w:t>
                  </w:r>
                  <w:r>
                    <w:rPr>
                      <w:rFonts w:hint="eastAsia" w:cs="Times New Roman"/>
                      <w:color w:val="auto"/>
                      <w:spacing w:val="0"/>
                      <w:w w:val="100"/>
                      <w:position w:val="0"/>
                      <w:sz w:val="21"/>
                      <w:szCs w:val="21"/>
                      <w:highlight w:val="none"/>
                      <w:lang w:eastAsia="zh-CN"/>
                    </w:rPr>
                    <w:t>，</w:t>
                  </w:r>
                  <w:r>
                    <w:rPr>
                      <w:rFonts w:hint="default" w:ascii="Times New Roman" w:hAnsi="Times New Roman" w:eastAsia="宋体" w:cs="Times New Roman"/>
                      <w:color w:val="auto"/>
                      <w:spacing w:val="0"/>
                      <w:w w:val="100"/>
                      <w:position w:val="0"/>
                      <w:sz w:val="21"/>
                      <w:szCs w:val="21"/>
                      <w:highlight w:val="none"/>
                    </w:rPr>
                    <w:t>根据建设单位提供的检测报告，本项目丁基胶的挥发性有机化合物含量为</w:t>
                  </w:r>
                  <w:r>
                    <w:rPr>
                      <w:rFonts w:hint="eastAsia" w:cs="Times New Roman"/>
                      <w:color w:val="auto"/>
                      <w:spacing w:val="0"/>
                      <w:w w:val="100"/>
                      <w:position w:val="0"/>
                      <w:sz w:val="21"/>
                      <w:szCs w:val="21"/>
                      <w:highlight w:val="none"/>
                      <w:lang w:val="en-US" w:eastAsia="zh-CN"/>
                    </w:rPr>
                    <w:t>10</w:t>
                  </w:r>
                  <w:r>
                    <w:rPr>
                      <w:rFonts w:hint="default" w:ascii="Times New Roman" w:hAnsi="Times New Roman" w:eastAsia="宋体" w:cs="Times New Roman"/>
                      <w:color w:val="auto"/>
                      <w:spacing w:val="0"/>
                      <w:w w:val="100"/>
                      <w:position w:val="0"/>
                      <w:sz w:val="21"/>
                      <w:szCs w:val="21"/>
                      <w:highlight w:val="none"/>
                    </w:rPr>
                    <w:t>g</w:t>
                  </w:r>
                  <w:r>
                    <w:rPr>
                      <w:rFonts w:hint="eastAsia" w:cs="Times New Roman"/>
                      <w:color w:val="auto"/>
                      <w:spacing w:val="0"/>
                      <w:w w:val="100"/>
                      <w:position w:val="0"/>
                      <w:sz w:val="21"/>
                      <w:szCs w:val="21"/>
                      <w:highlight w:val="none"/>
                      <w:lang w:val="en-US" w:eastAsia="zh-CN"/>
                    </w:rPr>
                    <w:t>/k</w:t>
                  </w:r>
                  <w:r>
                    <w:rPr>
                      <w:rFonts w:hint="default" w:ascii="Times New Roman" w:hAnsi="Times New Roman" w:eastAsia="宋体" w:cs="Times New Roman"/>
                      <w:color w:val="auto"/>
                      <w:spacing w:val="0"/>
                      <w:w w:val="100"/>
                      <w:position w:val="0"/>
                      <w:sz w:val="21"/>
                      <w:szCs w:val="21"/>
                      <w:highlight w:val="none"/>
                    </w:rPr>
                    <w:t>g</w:t>
                  </w:r>
                  <w:r>
                    <w:rPr>
                      <w:rFonts w:hint="eastAsia" w:cs="Times New Roman"/>
                      <w:color w:val="auto"/>
                      <w:spacing w:val="0"/>
                      <w:w w:val="100"/>
                      <w:position w:val="0"/>
                      <w:sz w:val="21"/>
                      <w:szCs w:val="21"/>
                      <w:highlight w:val="none"/>
                      <w:lang w:eastAsia="zh-CN"/>
                    </w:rPr>
                    <w:t>，</w:t>
                  </w:r>
                  <w:r>
                    <w:rPr>
                      <w:rFonts w:hint="default" w:ascii="Times New Roman" w:hAnsi="Times New Roman" w:eastAsia="宋体" w:cs="Times New Roman"/>
                      <w:color w:val="auto"/>
                      <w:spacing w:val="0"/>
                      <w:w w:val="100"/>
                      <w:position w:val="0"/>
                      <w:sz w:val="21"/>
                      <w:szCs w:val="21"/>
                      <w:highlight w:val="none"/>
                    </w:rPr>
                    <w:t>符合V0Cs含量的限值要求，属于低VOCs原材料。</w:t>
                  </w:r>
                </w:p>
              </w:tc>
            </w:tr>
            <w:tr w14:paraId="5D643600">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914" w:hRule="atLeast"/>
                <w:tblHeader/>
                <w:jc w:val="center"/>
              </w:trPr>
              <w:tc>
                <w:tcPr>
                  <w:tcW w:w="467" w:type="pct"/>
                  <w:tcBorders>
                    <w:tl2br w:val="nil"/>
                    <w:tr2bl w:val="nil"/>
                  </w:tcBorders>
                  <w:noWrap w:val="0"/>
                  <w:vAlign w:val="center"/>
                </w:tcPr>
                <w:p w14:paraId="1194E08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748" w:type="pct"/>
                  <w:tcBorders>
                    <w:tl2br w:val="nil"/>
                    <w:tr2bl w:val="nil"/>
                  </w:tcBorders>
                  <w:noWrap w:val="0"/>
                  <w:vAlign w:val="center"/>
                </w:tcPr>
                <w:p w14:paraId="40F0C98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PVB胶片</w:t>
                  </w:r>
                </w:p>
              </w:tc>
              <w:tc>
                <w:tcPr>
                  <w:tcW w:w="3783" w:type="pct"/>
                  <w:tcBorders>
                    <w:tl2br w:val="nil"/>
                    <w:tr2bl w:val="nil"/>
                  </w:tcBorders>
                  <w:noWrap w:val="0"/>
                  <w:vAlign w:val="center"/>
                </w:tcPr>
                <w:p w14:paraId="5DDD500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en-US"/>
                    </w:rPr>
                    <w:t>PVB</w:t>
                  </w:r>
                  <w:r>
                    <w:rPr>
                      <w:rFonts w:hint="default" w:ascii="Times New Roman" w:hAnsi="Times New Roman" w:eastAsia="宋体" w:cs="Times New Roman"/>
                      <w:color w:val="auto"/>
                      <w:spacing w:val="0"/>
                      <w:w w:val="100"/>
                      <w:position w:val="0"/>
                      <w:sz w:val="21"/>
                      <w:szCs w:val="21"/>
                      <w:highlight w:val="none"/>
                    </w:rPr>
                    <w:t>全称聚乙烯醇缩</w:t>
                  </w:r>
                  <w:r>
                    <w:rPr>
                      <w:rFonts w:hint="default" w:ascii="Times New Roman" w:hAnsi="Times New Roman" w:eastAsia="宋体" w:cs="Times New Roman"/>
                      <w:color w:val="auto"/>
                      <w:spacing w:val="0"/>
                      <w:w w:val="100"/>
                      <w:position w:val="0"/>
                      <w:sz w:val="21"/>
                      <w:szCs w:val="21"/>
                      <w:highlight w:val="none"/>
                      <w:lang w:val="en-US" w:eastAsia="zh-CN"/>
                    </w:rPr>
                    <w:t>丁</w:t>
                  </w:r>
                  <w:r>
                    <w:rPr>
                      <w:rFonts w:hint="default" w:ascii="Times New Roman" w:hAnsi="Times New Roman" w:eastAsia="宋体" w:cs="Times New Roman"/>
                      <w:color w:val="auto"/>
                      <w:spacing w:val="0"/>
                      <w:w w:val="100"/>
                      <w:position w:val="0"/>
                      <w:sz w:val="21"/>
                      <w:szCs w:val="21"/>
                      <w:highlight w:val="none"/>
                    </w:rPr>
                    <w:t>醛，PVB胶片主要用PVB树脂制成。PVB树脂是由聚乙烯醇和丁醛在强酸催化作用下反应得到的高分子化合物。PVB树脂无毒、无臭、无腐蚀性、不易燃，密度为1.08g/cm</w:t>
                  </w:r>
                  <w:r>
                    <w:rPr>
                      <w:rFonts w:hint="default" w:ascii="Times New Roman" w:hAnsi="Times New Roman" w:eastAsia="宋体" w:cs="Times New Roman"/>
                      <w:color w:val="auto"/>
                      <w:spacing w:val="0"/>
                      <w:w w:val="100"/>
                      <w:position w:val="0"/>
                      <w:sz w:val="21"/>
                      <w:szCs w:val="21"/>
                      <w:highlight w:val="none"/>
                      <w:vertAlign w:val="superscript"/>
                    </w:rPr>
                    <w:t>3</w:t>
                  </w:r>
                  <w:r>
                    <w:rPr>
                      <w:rFonts w:hint="default" w:ascii="Times New Roman" w:hAnsi="Times New Roman" w:eastAsia="宋体" w:cs="Times New Roman"/>
                      <w:color w:val="auto"/>
                      <w:spacing w:val="0"/>
                      <w:w w:val="100"/>
                      <w:position w:val="0"/>
                      <w:sz w:val="21"/>
                      <w:szCs w:val="21"/>
                      <w:highlight w:val="none"/>
                    </w:rPr>
                    <w:t>，不溶于水，熔点为60~80℃，热分解温度为</w:t>
                  </w:r>
                  <w:r>
                    <w:rPr>
                      <w:rFonts w:hint="eastAsia" w:cs="Times New Roman"/>
                      <w:color w:val="auto"/>
                      <w:spacing w:val="0"/>
                      <w:w w:val="100"/>
                      <w:position w:val="0"/>
                      <w:sz w:val="21"/>
                      <w:szCs w:val="21"/>
                      <w:highlight w:val="none"/>
                      <w:lang w:val="en-US" w:eastAsia="zh-CN"/>
                    </w:rPr>
                    <w:t>20</w:t>
                  </w:r>
                  <w:r>
                    <w:rPr>
                      <w:rFonts w:hint="default" w:ascii="Times New Roman" w:hAnsi="Times New Roman" w:eastAsia="宋体" w:cs="Times New Roman"/>
                      <w:color w:val="auto"/>
                      <w:spacing w:val="0"/>
                      <w:w w:val="100"/>
                      <w:position w:val="0"/>
                      <w:sz w:val="21"/>
                      <w:szCs w:val="21"/>
                      <w:highlight w:val="none"/>
                    </w:rPr>
                    <w:t>0~</w:t>
                  </w:r>
                  <w:r>
                    <w:rPr>
                      <w:rFonts w:hint="eastAsia" w:cs="Times New Roman"/>
                      <w:color w:val="auto"/>
                      <w:spacing w:val="0"/>
                      <w:w w:val="100"/>
                      <w:position w:val="0"/>
                      <w:sz w:val="21"/>
                      <w:szCs w:val="21"/>
                      <w:highlight w:val="none"/>
                      <w:lang w:val="en-US" w:eastAsia="zh-CN"/>
                    </w:rPr>
                    <w:t>24</w:t>
                  </w:r>
                  <w:r>
                    <w:rPr>
                      <w:rFonts w:hint="default" w:ascii="Times New Roman" w:hAnsi="Times New Roman" w:eastAsia="宋体" w:cs="Times New Roman"/>
                      <w:color w:val="auto"/>
                      <w:spacing w:val="0"/>
                      <w:w w:val="100"/>
                      <w:position w:val="0"/>
                      <w:sz w:val="21"/>
                      <w:szCs w:val="21"/>
                      <w:highlight w:val="none"/>
                    </w:rPr>
                    <w:t>0℃，具有良好的透光性、绝缘性、耐候性、耐磨、耐水、耐油、耐老化的作用，对无机和有机玻璃有特殊的粘结性和透光性能。可用作安全玻璃的夹层材料，并可作其他的透明材料用。本项目夹胶过程不加热，夹胶半成品进入高压釜内加热温度为130-150℃，均未达到分解温度，因此不会发生分解。</w:t>
                  </w:r>
                </w:p>
              </w:tc>
            </w:tr>
            <w:tr w14:paraId="57FAA5AB">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108" w:type="dxa"/>
                  <w:bottom w:w="0" w:type="dxa"/>
                  <w:right w:w="108" w:type="dxa"/>
                </w:tblCellMar>
              </w:tblPrEx>
              <w:trPr>
                <w:trHeight w:val="914" w:hRule="atLeast"/>
                <w:tblHeader/>
                <w:jc w:val="center"/>
              </w:trPr>
              <w:tc>
                <w:tcPr>
                  <w:tcW w:w="467" w:type="pct"/>
                  <w:tcBorders>
                    <w:tl2br w:val="nil"/>
                    <w:tr2bl w:val="nil"/>
                  </w:tcBorders>
                  <w:noWrap w:val="0"/>
                  <w:vAlign w:val="center"/>
                </w:tcPr>
                <w:p w14:paraId="4B42998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748" w:type="pct"/>
                  <w:tcBorders>
                    <w:tl2br w:val="nil"/>
                    <w:tr2bl w:val="nil"/>
                  </w:tcBorders>
                  <w:noWrap w:val="0"/>
                  <w:vAlign w:val="center"/>
                </w:tcPr>
                <w:p w14:paraId="379227F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分子筛干燥剂</w:t>
                  </w:r>
                </w:p>
              </w:tc>
              <w:tc>
                <w:tcPr>
                  <w:tcW w:w="3783" w:type="pct"/>
                  <w:tcBorders>
                    <w:tl2br w:val="nil"/>
                    <w:tr2bl w:val="nil"/>
                  </w:tcBorders>
                  <w:noWrap w:val="0"/>
                  <w:vAlign w:val="center"/>
                </w:tcPr>
                <w:p w14:paraId="1D4E8CA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一种人工合成的具有筛选分子作用的水合硅铝酸盐（泡沸石）或天然沸石。它在结构上有许多孔径均匀的孔道和排列整齐的孔穴，不同孔径的分子筛把不同大小和形状分子分开。利用低硅铝比的沸石分子筛（如A型，X型等）的极性亲水性，可以进行空气的干燥。</w:t>
                  </w:r>
                </w:p>
              </w:tc>
            </w:tr>
          </w:tbl>
          <w:p w14:paraId="0D78DF8F">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六</w:t>
            </w:r>
            <w:r>
              <w:rPr>
                <w:rFonts w:hint="default" w:ascii="Times New Roman" w:hAnsi="Times New Roman" w:cs="Times New Roman"/>
                <w:b/>
                <w:color w:val="auto"/>
                <w:sz w:val="24"/>
                <w:highlight w:val="none"/>
              </w:rPr>
              <w:t>、主要生产设备</w:t>
            </w:r>
          </w:p>
          <w:p w14:paraId="486C5F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建设项目主要生产设备见表2-</w:t>
            </w:r>
            <w:r>
              <w:rPr>
                <w:rFonts w:hint="eastAsia" w:cs="Times New Roman"/>
                <w:bCs/>
                <w:color w:val="auto"/>
                <w:sz w:val="24"/>
                <w:highlight w:val="none"/>
                <w:lang w:val="en-US" w:eastAsia="zh-CN"/>
              </w:rPr>
              <w:t>6</w:t>
            </w:r>
            <w:r>
              <w:rPr>
                <w:rFonts w:hint="default" w:ascii="Times New Roman" w:hAnsi="Times New Roman" w:cs="Times New Roman"/>
                <w:bCs/>
                <w:color w:val="auto"/>
                <w:sz w:val="24"/>
                <w:highlight w:val="none"/>
              </w:rPr>
              <w:t>。</w:t>
            </w:r>
          </w:p>
          <w:p w14:paraId="36A586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表2-</w:t>
            </w:r>
            <w:r>
              <w:rPr>
                <w:rFonts w:hint="eastAsia"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建设项目主要设备一览表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2"/>
              <w:gridCol w:w="1589"/>
              <w:gridCol w:w="2645"/>
              <w:gridCol w:w="1421"/>
              <w:gridCol w:w="1699"/>
            </w:tblGrid>
            <w:tr w14:paraId="2E97D6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noWrap/>
                  <w:tcMar>
                    <w:top w:w="15" w:type="dxa"/>
                    <w:left w:w="15" w:type="dxa"/>
                    <w:right w:w="15" w:type="dxa"/>
                  </w:tcMar>
                  <w:vAlign w:val="center"/>
                </w:tcPr>
                <w:p w14:paraId="4465FB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sz w:val="21"/>
                      <w:szCs w:val="21"/>
                      <w:highlight w:val="none"/>
                      <w:u w:val="none"/>
                      <w:lang w:val="en-US" w:eastAsia="zh-CN"/>
                    </w:rPr>
                  </w:pPr>
                  <w:r>
                    <w:rPr>
                      <w:rFonts w:hint="default" w:ascii="Times New Roman" w:hAnsi="Times New Roman" w:cs="Times New Roman"/>
                      <w:b/>
                      <w:bCs/>
                      <w:i w:val="0"/>
                      <w:color w:val="auto"/>
                      <w:sz w:val="21"/>
                      <w:szCs w:val="21"/>
                      <w:highlight w:val="none"/>
                      <w:u w:val="none"/>
                      <w:lang w:val="en-US" w:eastAsia="zh-CN"/>
                    </w:rPr>
                    <w:t>序号</w:t>
                  </w:r>
                </w:p>
              </w:tc>
              <w:tc>
                <w:tcPr>
                  <w:tcW w:w="965" w:type="pct"/>
                  <w:tcBorders>
                    <w:tl2br w:val="nil"/>
                    <w:tr2bl w:val="nil"/>
                  </w:tcBorders>
                  <w:noWrap/>
                  <w:tcMar>
                    <w:top w:w="15" w:type="dxa"/>
                    <w:left w:w="15" w:type="dxa"/>
                    <w:right w:w="15" w:type="dxa"/>
                  </w:tcMar>
                  <w:vAlign w:val="center"/>
                </w:tcPr>
                <w:p w14:paraId="515E60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生产线</w:t>
                  </w:r>
                </w:p>
              </w:tc>
              <w:tc>
                <w:tcPr>
                  <w:tcW w:w="1607" w:type="pct"/>
                  <w:tcBorders>
                    <w:tl2br w:val="nil"/>
                    <w:tr2bl w:val="nil"/>
                  </w:tcBorders>
                  <w:noWrap/>
                  <w:tcMar>
                    <w:top w:w="15" w:type="dxa"/>
                    <w:left w:w="15" w:type="dxa"/>
                    <w:right w:w="15" w:type="dxa"/>
                  </w:tcMar>
                  <w:vAlign w:val="center"/>
                </w:tcPr>
                <w:p w14:paraId="47B05D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设备名称</w:t>
                  </w:r>
                </w:p>
              </w:tc>
              <w:tc>
                <w:tcPr>
                  <w:tcW w:w="863" w:type="pct"/>
                  <w:tcBorders>
                    <w:tl2br w:val="nil"/>
                    <w:tr2bl w:val="nil"/>
                  </w:tcBorders>
                  <w:noWrap/>
                  <w:tcMar>
                    <w:top w:w="15" w:type="dxa"/>
                    <w:left w:w="15" w:type="dxa"/>
                    <w:right w:w="15" w:type="dxa"/>
                  </w:tcMar>
                  <w:vAlign w:val="center"/>
                </w:tcPr>
                <w:p w14:paraId="68BB01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型号规格</w:t>
                  </w:r>
                </w:p>
              </w:tc>
              <w:tc>
                <w:tcPr>
                  <w:tcW w:w="1032" w:type="pct"/>
                  <w:tcBorders>
                    <w:tl2br w:val="nil"/>
                    <w:tr2bl w:val="nil"/>
                  </w:tcBorders>
                  <w:noWrap/>
                  <w:tcMar>
                    <w:top w:w="15" w:type="dxa"/>
                    <w:left w:w="15" w:type="dxa"/>
                    <w:right w:w="15" w:type="dxa"/>
                  </w:tcMar>
                  <w:vAlign w:val="center"/>
                </w:tcPr>
                <w:p w14:paraId="16FD99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sz w:val="21"/>
                      <w:szCs w:val="21"/>
                      <w:highlight w:val="none"/>
                      <w:u w:val="none"/>
                      <w:lang w:val="en-US"/>
                    </w:rPr>
                  </w:pPr>
                  <w:r>
                    <w:rPr>
                      <w:rFonts w:hint="default" w:ascii="Times New Roman" w:hAnsi="Times New Roman" w:eastAsia="宋体" w:cs="Times New Roman"/>
                      <w:b/>
                      <w:bCs/>
                      <w:i w:val="0"/>
                      <w:color w:val="auto"/>
                      <w:kern w:val="0"/>
                      <w:sz w:val="21"/>
                      <w:szCs w:val="21"/>
                      <w:highlight w:val="none"/>
                      <w:u w:val="none"/>
                      <w:lang w:val="en-US" w:eastAsia="zh-CN" w:bidi="ar"/>
                    </w:rPr>
                    <w:t>数量（台/套</w:t>
                  </w:r>
                  <w:r>
                    <w:rPr>
                      <w:rFonts w:hint="eastAsia" w:cs="Times New Roman"/>
                      <w:b/>
                      <w:bCs/>
                      <w:i w:val="0"/>
                      <w:color w:val="auto"/>
                      <w:kern w:val="0"/>
                      <w:sz w:val="21"/>
                      <w:szCs w:val="21"/>
                      <w:highlight w:val="none"/>
                      <w:u w:val="none"/>
                      <w:lang w:val="en-US" w:eastAsia="zh-CN" w:bidi="ar"/>
                    </w:rPr>
                    <w:t>/条</w:t>
                  </w:r>
                  <w:r>
                    <w:rPr>
                      <w:rFonts w:hint="default" w:ascii="Times New Roman" w:hAnsi="Times New Roman" w:eastAsia="宋体" w:cs="Times New Roman"/>
                      <w:b/>
                      <w:bCs/>
                      <w:i w:val="0"/>
                      <w:color w:val="auto"/>
                      <w:kern w:val="0"/>
                      <w:sz w:val="21"/>
                      <w:szCs w:val="21"/>
                      <w:highlight w:val="none"/>
                      <w:u w:val="none"/>
                      <w:lang w:val="en-US" w:eastAsia="zh-CN" w:bidi="ar"/>
                    </w:rPr>
                    <w:t>）</w:t>
                  </w:r>
                </w:p>
              </w:tc>
            </w:tr>
            <w:tr w14:paraId="1F14D4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7" w:hRule="atLeast"/>
                <w:jc w:val="center"/>
              </w:trPr>
              <w:tc>
                <w:tcPr>
                  <w:tcW w:w="530" w:type="pct"/>
                  <w:tcBorders>
                    <w:tl2br w:val="nil"/>
                    <w:tr2bl w:val="nil"/>
                  </w:tcBorders>
                  <w:noWrap/>
                  <w:tcMar>
                    <w:top w:w="15" w:type="dxa"/>
                    <w:left w:w="15" w:type="dxa"/>
                    <w:right w:w="15" w:type="dxa"/>
                  </w:tcMar>
                  <w:vAlign w:val="center"/>
                </w:tcPr>
                <w:p w14:paraId="76595C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c>
                <w:tcPr>
                  <w:tcW w:w="965" w:type="pct"/>
                  <w:vMerge w:val="restart"/>
                  <w:tcBorders>
                    <w:tl2br w:val="nil"/>
                    <w:tr2bl w:val="nil"/>
                  </w:tcBorders>
                  <w:noWrap/>
                  <w:tcMar>
                    <w:top w:w="15" w:type="dxa"/>
                    <w:left w:w="15" w:type="dxa"/>
                    <w:right w:w="15" w:type="dxa"/>
                  </w:tcMar>
                  <w:vAlign w:val="center"/>
                </w:tcPr>
                <w:p w14:paraId="2952BC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钢化玻璃生产线</w:t>
                  </w:r>
                </w:p>
              </w:tc>
              <w:tc>
                <w:tcPr>
                  <w:tcW w:w="1607" w:type="pct"/>
                  <w:tcBorders>
                    <w:tl2br w:val="nil"/>
                    <w:tr2bl w:val="nil"/>
                  </w:tcBorders>
                  <w:noWrap w:val="0"/>
                  <w:tcMar>
                    <w:top w:w="15" w:type="dxa"/>
                    <w:left w:w="15" w:type="dxa"/>
                    <w:right w:w="15" w:type="dxa"/>
                  </w:tcMar>
                  <w:vAlign w:val="center"/>
                </w:tcPr>
                <w:p w14:paraId="24DC40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玻璃上片台</w:t>
                  </w:r>
                </w:p>
              </w:tc>
              <w:tc>
                <w:tcPr>
                  <w:tcW w:w="863" w:type="pct"/>
                  <w:tcBorders>
                    <w:tl2br w:val="nil"/>
                    <w:tr2bl w:val="nil"/>
                  </w:tcBorders>
                  <w:noWrap w:val="0"/>
                  <w:tcMar>
                    <w:top w:w="15" w:type="dxa"/>
                    <w:left w:w="15" w:type="dxa"/>
                    <w:right w:w="15" w:type="dxa"/>
                  </w:tcMar>
                  <w:vAlign w:val="center"/>
                </w:tcPr>
                <w:p w14:paraId="32D740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ST3025</w:t>
                  </w:r>
                </w:p>
              </w:tc>
              <w:tc>
                <w:tcPr>
                  <w:tcW w:w="1032" w:type="pct"/>
                  <w:tcBorders>
                    <w:tl2br w:val="nil"/>
                    <w:tr2bl w:val="nil"/>
                  </w:tcBorders>
                  <w:noWrap/>
                  <w:tcMar>
                    <w:top w:w="15" w:type="dxa"/>
                    <w:left w:w="15" w:type="dxa"/>
                    <w:right w:w="15" w:type="dxa"/>
                  </w:tcMar>
                  <w:vAlign w:val="center"/>
                </w:tcPr>
                <w:p w14:paraId="6AF12C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2</w:t>
                  </w:r>
                </w:p>
              </w:tc>
            </w:tr>
            <w:tr w14:paraId="1C71F8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5D6238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2</w:t>
                  </w:r>
                </w:p>
              </w:tc>
              <w:tc>
                <w:tcPr>
                  <w:tcW w:w="965" w:type="pct"/>
                  <w:vMerge w:val="continue"/>
                  <w:tcBorders>
                    <w:tl2br w:val="nil"/>
                    <w:tr2bl w:val="nil"/>
                  </w:tcBorders>
                  <w:noWrap/>
                  <w:tcMar>
                    <w:top w:w="15" w:type="dxa"/>
                    <w:left w:w="15" w:type="dxa"/>
                    <w:right w:w="15" w:type="dxa"/>
                  </w:tcMar>
                  <w:vAlign w:val="center"/>
                </w:tcPr>
                <w:p w14:paraId="6C3F0E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p>
              </w:tc>
              <w:tc>
                <w:tcPr>
                  <w:tcW w:w="1607" w:type="pct"/>
                  <w:tcBorders>
                    <w:tl2br w:val="nil"/>
                    <w:tr2bl w:val="nil"/>
                  </w:tcBorders>
                  <w:noWrap w:val="0"/>
                  <w:tcMar>
                    <w:top w:w="15" w:type="dxa"/>
                    <w:left w:w="15" w:type="dxa"/>
                    <w:right w:w="15" w:type="dxa"/>
                  </w:tcMar>
                  <w:vAlign w:val="center"/>
                </w:tcPr>
                <w:p w14:paraId="378754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玻璃下片台</w:t>
                  </w:r>
                </w:p>
              </w:tc>
              <w:tc>
                <w:tcPr>
                  <w:tcW w:w="863" w:type="pct"/>
                  <w:tcBorders>
                    <w:tl2br w:val="nil"/>
                    <w:tr2bl w:val="nil"/>
                  </w:tcBorders>
                  <w:noWrap w:val="0"/>
                  <w:tcMar>
                    <w:top w:w="15" w:type="dxa"/>
                    <w:left w:w="15" w:type="dxa"/>
                    <w:right w:w="15" w:type="dxa"/>
                  </w:tcMar>
                  <w:vAlign w:val="center"/>
                </w:tcPr>
                <w:p w14:paraId="48F8A5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ST3025</w:t>
                  </w:r>
                </w:p>
              </w:tc>
              <w:tc>
                <w:tcPr>
                  <w:tcW w:w="1032" w:type="pct"/>
                  <w:tcBorders>
                    <w:tl2br w:val="nil"/>
                    <w:tr2bl w:val="nil"/>
                  </w:tcBorders>
                  <w:noWrap/>
                  <w:tcMar>
                    <w:top w:w="15" w:type="dxa"/>
                    <w:left w:w="15" w:type="dxa"/>
                    <w:right w:w="15" w:type="dxa"/>
                  </w:tcMar>
                  <w:vAlign w:val="center"/>
                </w:tcPr>
                <w:p w14:paraId="51208D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2</w:t>
                  </w:r>
                </w:p>
              </w:tc>
            </w:tr>
            <w:tr w14:paraId="732193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7F18BF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3</w:t>
                  </w:r>
                </w:p>
              </w:tc>
              <w:tc>
                <w:tcPr>
                  <w:tcW w:w="965" w:type="pct"/>
                  <w:vMerge w:val="continue"/>
                  <w:tcBorders>
                    <w:tl2br w:val="nil"/>
                    <w:tr2bl w:val="nil"/>
                  </w:tcBorders>
                  <w:noWrap/>
                  <w:tcMar>
                    <w:top w:w="15" w:type="dxa"/>
                    <w:left w:w="15" w:type="dxa"/>
                    <w:right w:w="15" w:type="dxa"/>
                  </w:tcMar>
                  <w:vAlign w:val="center"/>
                </w:tcPr>
                <w:p w14:paraId="1C1F45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35A984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玻璃切割机</w:t>
                  </w:r>
                </w:p>
              </w:tc>
              <w:tc>
                <w:tcPr>
                  <w:tcW w:w="863" w:type="pct"/>
                  <w:tcBorders>
                    <w:tl2br w:val="nil"/>
                    <w:tr2bl w:val="nil"/>
                  </w:tcBorders>
                  <w:noWrap/>
                  <w:tcMar>
                    <w:top w:w="15" w:type="dxa"/>
                    <w:left w:w="15" w:type="dxa"/>
                    <w:right w:w="15" w:type="dxa"/>
                  </w:tcMar>
                  <w:vAlign w:val="center"/>
                </w:tcPr>
                <w:p w14:paraId="4559A4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YR-CNC-4228</w:t>
                  </w:r>
                </w:p>
              </w:tc>
              <w:tc>
                <w:tcPr>
                  <w:tcW w:w="1032" w:type="pct"/>
                  <w:tcBorders>
                    <w:tl2br w:val="nil"/>
                    <w:tr2bl w:val="nil"/>
                  </w:tcBorders>
                  <w:noWrap/>
                  <w:tcMar>
                    <w:top w:w="15" w:type="dxa"/>
                    <w:left w:w="15" w:type="dxa"/>
                    <w:right w:w="15" w:type="dxa"/>
                  </w:tcMar>
                  <w:vAlign w:val="center"/>
                </w:tcPr>
                <w:p w14:paraId="65C1C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76470A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30" w:type="pct"/>
                  <w:tcBorders>
                    <w:tl2br w:val="nil"/>
                    <w:tr2bl w:val="nil"/>
                  </w:tcBorders>
                  <w:shd w:val="clear" w:color="auto" w:fill="auto"/>
                  <w:noWrap/>
                  <w:tcMar>
                    <w:top w:w="15" w:type="dxa"/>
                    <w:left w:w="15" w:type="dxa"/>
                    <w:right w:w="15" w:type="dxa"/>
                  </w:tcMar>
                  <w:vAlign w:val="center"/>
                </w:tcPr>
                <w:p w14:paraId="03C1B5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4</w:t>
                  </w:r>
                </w:p>
              </w:tc>
              <w:tc>
                <w:tcPr>
                  <w:tcW w:w="965" w:type="pct"/>
                  <w:vMerge w:val="continue"/>
                  <w:tcBorders>
                    <w:tl2br w:val="nil"/>
                    <w:tr2bl w:val="nil"/>
                  </w:tcBorders>
                  <w:noWrap/>
                  <w:tcMar>
                    <w:top w:w="15" w:type="dxa"/>
                    <w:left w:w="15" w:type="dxa"/>
                    <w:right w:w="15" w:type="dxa"/>
                  </w:tcMar>
                  <w:vAlign w:val="center"/>
                </w:tcPr>
                <w:p w14:paraId="02C680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5BE29B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掰片台</w:t>
                  </w:r>
                </w:p>
              </w:tc>
              <w:tc>
                <w:tcPr>
                  <w:tcW w:w="863" w:type="pct"/>
                  <w:tcBorders>
                    <w:tl2br w:val="nil"/>
                    <w:tr2bl w:val="nil"/>
                  </w:tcBorders>
                  <w:noWrap/>
                  <w:tcMar>
                    <w:top w:w="15" w:type="dxa"/>
                    <w:left w:w="15" w:type="dxa"/>
                    <w:right w:w="15" w:type="dxa"/>
                  </w:tcMar>
                  <w:vAlign w:val="center"/>
                </w:tcPr>
                <w:p w14:paraId="3D4638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w:t>
                  </w:r>
                </w:p>
              </w:tc>
              <w:tc>
                <w:tcPr>
                  <w:tcW w:w="1032" w:type="pct"/>
                  <w:tcBorders>
                    <w:tl2br w:val="nil"/>
                    <w:tr2bl w:val="nil"/>
                  </w:tcBorders>
                  <w:noWrap/>
                  <w:tcMar>
                    <w:top w:w="15" w:type="dxa"/>
                    <w:left w:w="15" w:type="dxa"/>
                    <w:right w:w="15" w:type="dxa"/>
                  </w:tcMar>
                  <w:vAlign w:val="center"/>
                </w:tcPr>
                <w:p w14:paraId="5F7B30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1D25CF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6BF273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5</w:t>
                  </w:r>
                </w:p>
              </w:tc>
              <w:tc>
                <w:tcPr>
                  <w:tcW w:w="965" w:type="pct"/>
                  <w:vMerge w:val="continue"/>
                  <w:tcBorders>
                    <w:tl2br w:val="nil"/>
                    <w:tr2bl w:val="nil"/>
                  </w:tcBorders>
                  <w:noWrap/>
                  <w:tcMar>
                    <w:top w:w="15" w:type="dxa"/>
                    <w:left w:w="15" w:type="dxa"/>
                    <w:right w:w="15" w:type="dxa"/>
                  </w:tcMar>
                  <w:vAlign w:val="center"/>
                </w:tcPr>
                <w:p w14:paraId="300366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lang w:val="en-US"/>
                    </w:rPr>
                  </w:pPr>
                </w:p>
              </w:tc>
              <w:tc>
                <w:tcPr>
                  <w:tcW w:w="1607" w:type="pct"/>
                  <w:tcBorders>
                    <w:tl2br w:val="nil"/>
                    <w:tr2bl w:val="nil"/>
                  </w:tcBorders>
                  <w:noWrap/>
                  <w:tcMar>
                    <w:top w:w="15" w:type="dxa"/>
                    <w:left w:w="15" w:type="dxa"/>
                    <w:right w:w="15" w:type="dxa"/>
                  </w:tcMar>
                  <w:vAlign w:val="center"/>
                </w:tcPr>
                <w:p w14:paraId="78B1AE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过渡台</w:t>
                  </w:r>
                </w:p>
              </w:tc>
              <w:tc>
                <w:tcPr>
                  <w:tcW w:w="863" w:type="pct"/>
                  <w:tcBorders>
                    <w:tl2br w:val="nil"/>
                    <w:tr2bl w:val="nil"/>
                  </w:tcBorders>
                  <w:noWrap/>
                  <w:tcMar>
                    <w:top w:w="15" w:type="dxa"/>
                    <w:left w:w="15" w:type="dxa"/>
                    <w:right w:w="15" w:type="dxa"/>
                  </w:tcMar>
                  <w:vAlign w:val="center"/>
                </w:tcPr>
                <w:p w14:paraId="2C29A4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LW-GD2540</w:t>
                  </w:r>
                </w:p>
              </w:tc>
              <w:tc>
                <w:tcPr>
                  <w:tcW w:w="1032" w:type="pct"/>
                  <w:tcBorders>
                    <w:tl2br w:val="nil"/>
                    <w:tr2bl w:val="nil"/>
                  </w:tcBorders>
                  <w:noWrap/>
                  <w:tcMar>
                    <w:top w:w="15" w:type="dxa"/>
                    <w:left w:w="15" w:type="dxa"/>
                    <w:right w:w="15" w:type="dxa"/>
                  </w:tcMar>
                  <w:vAlign w:val="center"/>
                </w:tcPr>
                <w:p w14:paraId="6CBDBE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2</w:t>
                  </w:r>
                </w:p>
              </w:tc>
            </w:tr>
            <w:tr w14:paraId="429A9A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36D0E7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6</w:t>
                  </w:r>
                </w:p>
              </w:tc>
              <w:tc>
                <w:tcPr>
                  <w:tcW w:w="965" w:type="pct"/>
                  <w:vMerge w:val="continue"/>
                  <w:tcBorders>
                    <w:tl2br w:val="nil"/>
                    <w:tr2bl w:val="nil"/>
                  </w:tcBorders>
                  <w:noWrap/>
                  <w:tcMar>
                    <w:top w:w="15" w:type="dxa"/>
                    <w:left w:w="15" w:type="dxa"/>
                    <w:right w:w="15" w:type="dxa"/>
                  </w:tcMar>
                  <w:vAlign w:val="center"/>
                </w:tcPr>
                <w:p w14:paraId="531EE9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702FC0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双边磨</w:t>
                  </w:r>
                </w:p>
              </w:tc>
              <w:tc>
                <w:tcPr>
                  <w:tcW w:w="863" w:type="pct"/>
                  <w:tcBorders>
                    <w:tl2br w:val="nil"/>
                    <w:tr2bl w:val="nil"/>
                  </w:tcBorders>
                  <w:noWrap/>
                  <w:tcMar>
                    <w:top w:w="15" w:type="dxa"/>
                    <w:left w:w="15" w:type="dxa"/>
                    <w:right w:w="15" w:type="dxa"/>
                  </w:tcMar>
                  <w:vAlign w:val="center"/>
                </w:tcPr>
                <w:p w14:paraId="6673F0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CGSZ1437GC</w:t>
                  </w:r>
                </w:p>
              </w:tc>
              <w:tc>
                <w:tcPr>
                  <w:tcW w:w="1032" w:type="pct"/>
                  <w:tcBorders>
                    <w:tl2br w:val="nil"/>
                    <w:tr2bl w:val="nil"/>
                  </w:tcBorders>
                  <w:noWrap/>
                  <w:tcMar>
                    <w:top w:w="15" w:type="dxa"/>
                    <w:left w:w="15" w:type="dxa"/>
                    <w:right w:w="15" w:type="dxa"/>
                  </w:tcMar>
                  <w:vAlign w:val="center"/>
                </w:tcPr>
                <w:p w14:paraId="3C8090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0D9150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6476F0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p>
              </w:tc>
              <w:tc>
                <w:tcPr>
                  <w:tcW w:w="965" w:type="pct"/>
                  <w:vMerge w:val="continue"/>
                  <w:tcBorders>
                    <w:tl2br w:val="nil"/>
                    <w:tr2bl w:val="nil"/>
                  </w:tcBorders>
                  <w:noWrap/>
                  <w:tcMar>
                    <w:top w:w="15" w:type="dxa"/>
                    <w:left w:w="15" w:type="dxa"/>
                    <w:right w:w="15" w:type="dxa"/>
                  </w:tcMar>
                  <w:vAlign w:val="center"/>
                </w:tcPr>
                <w:p w14:paraId="5950FA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439B7B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四边磨</w:t>
                  </w:r>
                </w:p>
              </w:tc>
              <w:tc>
                <w:tcPr>
                  <w:tcW w:w="863" w:type="pct"/>
                  <w:tcBorders>
                    <w:tl2br w:val="nil"/>
                    <w:tr2bl w:val="nil"/>
                  </w:tcBorders>
                  <w:noWrap/>
                  <w:tcMar>
                    <w:top w:w="15" w:type="dxa"/>
                    <w:left w:w="15" w:type="dxa"/>
                    <w:right w:w="15" w:type="dxa"/>
                  </w:tcMar>
                  <w:vAlign w:val="center"/>
                </w:tcPr>
                <w:p w14:paraId="14EC8B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w:t>
                  </w:r>
                </w:p>
              </w:tc>
              <w:tc>
                <w:tcPr>
                  <w:tcW w:w="1032" w:type="pct"/>
                  <w:tcBorders>
                    <w:tl2br w:val="nil"/>
                    <w:tr2bl w:val="nil"/>
                  </w:tcBorders>
                  <w:noWrap/>
                  <w:tcMar>
                    <w:top w:w="15" w:type="dxa"/>
                    <w:left w:w="15" w:type="dxa"/>
                    <w:right w:w="15" w:type="dxa"/>
                  </w:tcMar>
                  <w:vAlign w:val="center"/>
                </w:tcPr>
                <w:p w14:paraId="266B53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2</w:t>
                  </w:r>
                </w:p>
              </w:tc>
            </w:tr>
            <w:tr w14:paraId="6B4918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30" w:type="pct"/>
                  <w:tcBorders>
                    <w:tl2br w:val="nil"/>
                    <w:tr2bl w:val="nil"/>
                  </w:tcBorders>
                  <w:shd w:val="clear" w:color="auto" w:fill="auto"/>
                  <w:noWrap/>
                  <w:tcMar>
                    <w:top w:w="15" w:type="dxa"/>
                    <w:left w:w="15" w:type="dxa"/>
                    <w:right w:w="15" w:type="dxa"/>
                  </w:tcMar>
                  <w:vAlign w:val="center"/>
                </w:tcPr>
                <w:p w14:paraId="23274F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7</w:t>
                  </w:r>
                </w:p>
              </w:tc>
              <w:tc>
                <w:tcPr>
                  <w:tcW w:w="965" w:type="pct"/>
                  <w:vMerge w:val="continue"/>
                  <w:tcBorders>
                    <w:tl2br w:val="nil"/>
                    <w:tr2bl w:val="nil"/>
                  </w:tcBorders>
                  <w:noWrap/>
                  <w:tcMar>
                    <w:top w:w="15" w:type="dxa"/>
                    <w:left w:w="15" w:type="dxa"/>
                    <w:right w:w="15" w:type="dxa"/>
                  </w:tcMar>
                  <w:vAlign w:val="center"/>
                </w:tcPr>
                <w:p w14:paraId="076DA8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46EA0F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清洗机</w:t>
                  </w:r>
                </w:p>
              </w:tc>
              <w:tc>
                <w:tcPr>
                  <w:tcW w:w="863" w:type="pct"/>
                  <w:tcBorders>
                    <w:tl2br w:val="nil"/>
                    <w:tr2bl w:val="nil"/>
                  </w:tcBorders>
                  <w:noWrap/>
                  <w:tcMar>
                    <w:top w:w="15" w:type="dxa"/>
                    <w:left w:w="15" w:type="dxa"/>
                    <w:right w:w="15" w:type="dxa"/>
                  </w:tcMar>
                  <w:vAlign w:val="center"/>
                </w:tcPr>
                <w:p w14:paraId="263385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CGQ-2500</w:t>
                  </w:r>
                </w:p>
              </w:tc>
              <w:tc>
                <w:tcPr>
                  <w:tcW w:w="1032" w:type="pct"/>
                  <w:tcBorders>
                    <w:tl2br w:val="nil"/>
                    <w:tr2bl w:val="nil"/>
                  </w:tcBorders>
                  <w:noWrap/>
                  <w:tcMar>
                    <w:top w:w="15" w:type="dxa"/>
                    <w:left w:w="15" w:type="dxa"/>
                    <w:right w:w="15" w:type="dxa"/>
                  </w:tcMar>
                  <w:vAlign w:val="center"/>
                </w:tcPr>
                <w:p w14:paraId="5AAD4E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7EB6BC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5" w:hRule="atLeast"/>
                <w:jc w:val="center"/>
              </w:trPr>
              <w:tc>
                <w:tcPr>
                  <w:tcW w:w="530" w:type="pct"/>
                  <w:tcBorders>
                    <w:tl2br w:val="nil"/>
                    <w:tr2bl w:val="nil"/>
                  </w:tcBorders>
                  <w:shd w:val="clear" w:color="auto" w:fill="auto"/>
                  <w:noWrap/>
                  <w:tcMar>
                    <w:top w:w="15" w:type="dxa"/>
                    <w:left w:w="15" w:type="dxa"/>
                    <w:right w:w="15" w:type="dxa"/>
                  </w:tcMar>
                  <w:vAlign w:val="center"/>
                </w:tcPr>
                <w:p w14:paraId="326678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8</w:t>
                  </w:r>
                </w:p>
              </w:tc>
              <w:tc>
                <w:tcPr>
                  <w:tcW w:w="965" w:type="pct"/>
                  <w:vMerge w:val="continue"/>
                  <w:tcBorders>
                    <w:tl2br w:val="nil"/>
                    <w:tr2bl w:val="nil"/>
                  </w:tcBorders>
                  <w:noWrap/>
                  <w:tcMar>
                    <w:top w:w="15" w:type="dxa"/>
                    <w:left w:w="15" w:type="dxa"/>
                    <w:right w:w="15" w:type="dxa"/>
                  </w:tcMar>
                  <w:vAlign w:val="center"/>
                </w:tcPr>
                <w:p w14:paraId="7BEFA4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5525D2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旋转台</w:t>
                  </w:r>
                </w:p>
              </w:tc>
              <w:tc>
                <w:tcPr>
                  <w:tcW w:w="863" w:type="pct"/>
                  <w:tcBorders>
                    <w:tl2br w:val="nil"/>
                    <w:tr2bl w:val="nil"/>
                  </w:tcBorders>
                  <w:noWrap/>
                  <w:tcMar>
                    <w:top w:w="15" w:type="dxa"/>
                    <w:left w:w="15" w:type="dxa"/>
                    <w:right w:w="15" w:type="dxa"/>
                  </w:tcMar>
                  <w:vAlign w:val="center"/>
                </w:tcPr>
                <w:p w14:paraId="7EB2AD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CDLT3725</w:t>
                  </w:r>
                </w:p>
              </w:tc>
              <w:tc>
                <w:tcPr>
                  <w:tcW w:w="1032" w:type="pct"/>
                  <w:tcBorders>
                    <w:tl2br w:val="nil"/>
                    <w:tr2bl w:val="nil"/>
                  </w:tcBorders>
                  <w:noWrap/>
                  <w:tcMar>
                    <w:top w:w="15" w:type="dxa"/>
                    <w:left w:w="15" w:type="dxa"/>
                    <w:right w:w="15" w:type="dxa"/>
                  </w:tcMar>
                  <w:vAlign w:val="center"/>
                </w:tcPr>
                <w:p w14:paraId="26858F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2</w:t>
                  </w:r>
                </w:p>
              </w:tc>
            </w:tr>
            <w:tr w14:paraId="3530DF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7C597D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9</w:t>
                  </w:r>
                </w:p>
              </w:tc>
              <w:tc>
                <w:tcPr>
                  <w:tcW w:w="965" w:type="pct"/>
                  <w:vMerge w:val="continue"/>
                  <w:tcBorders>
                    <w:tl2br w:val="nil"/>
                    <w:tr2bl w:val="nil"/>
                  </w:tcBorders>
                  <w:noWrap/>
                  <w:tcMar>
                    <w:top w:w="15" w:type="dxa"/>
                    <w:left w:w="15" w:type="dxa"/>
                    <w:right w:w="15" w:type="dxa"/>
                  </w:tcMar>
                  <w:vAlign w:val="center"/>
                </w:tcPr>
                <w:p w14:paraId="297D1B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608A92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钢化炉</w:t>
                  </w:r>
                </w:p>
              </w:tc>
              <w:tc>
                <w:tcPr>
                  <w:tcW w:w="863" w:type="pct"/>
                  <w:tcBorders>
                    <w:tl2br w:val="nil"/>
                    <w:tr2bl w:val="nil"/>
                  </w:tcBorders>
                  <w:noWrap/>
                  <w:tcMar>
                    <w:top w:w="15" w:type="dxa"/>
                    <w:left w:w="15" w:type="dxa"/>
                    <w:right w:w="15" w:type="dxa"/>
                  </w:tcMar>
                  <w:vAlign w:val="center"/>
                </w:tcPr>
                <w:p w14:paraId="1A8D1B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LDA2442B18U</w:t>
                  </w:r>
                </w:p>
              </w:tc>
              <w:tc>
                <w:tcPr>
                  <w:tcW w:w="1032" w:type="pct"/>
                  <w:tcBorders>
                    <w:tl2br w:val="nil"/>
                    <w:tr2bl w:val="nil"/>
                  </w:tcBorders>
                  <w:noWrap/>
                  <w:tcMar>
                    <w:top w:w="15" w:type="dxa"/>
                    <w:left w:w="15" w:type="dxa"/>
                    <w:right w:w="15" w:type="dxa"/>
                  </w:tcMar>
                  <w:vAlign w:val="center"/>
                </w:tcPr>
                <w:p w14:paraId="18E902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475E57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438E53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10</w:t>
                  </w:r>
                </w:p>
              </w:tc>
              <w:tc>
                <w:tcPr>
                  <w:tcW w:w="965" w:type="pct"/>
                  <w:vMerge w:val="restart"/>
                  <w:tcBorders>
                    <w:tl2br w:val="nil"/>
                    <w:tr2bl w:val="nil"/>
                  </w:tcBorders>
                  <w:noWrap/>
                  <w:tcMar>
                    <w:top w:w="15" w:type="dxa"/>
                    <w:left w:w="15" w:type="dxa"/>
                    <w:right w:w="15" w:type="dxa"/>
                  </w:tcMar>
                  <w:vAlign w:val="center"/>
                </w:tcPr>
                <w:p w14:paraId="1509F6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中空玻璃生产线</w:t>
                  </w:r>
                </w:p>
              </w:tc>
              <w:tc>
                <w:tcPr>
                  <w:tcW w:w="1607" w:type="pct"/>
                  <w:tcBorders>
                    <w:tl2br w:val="nil"/>
                    <w:tr2bl w:val="nil"/>
                  </w:tcBorders>
                  <w:noWrap/>
                  <w:tcMar>
                    <w:top w:w="15" w:type="dxa"/>
                    <w:left w:w="15" w:type="dxa"/>
                    <w:right w:w="15" w:type="dxa"/>
                  </w:tcMar>
                  <w:vAlign w:val="center"/>
                </w:tcPr>
                <w:p w14:paraId="5C93AD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铝条折弯机</w:t>
                  </w:r>
                </w:p>
              </w:tc>
              <w:tc>
                <w:tcPr>
                  <w:tcW w:w="863" w:type="pct"/>
                  <w:tcBorders>
                    <w:tl2br w:val="nil"/>
                    <w:tr2bl w:val="nil"/>
                  </w:tcBorders>
                  <w:noWrap/>
                  <w:tcMar>
                    <w:top w:w="15" w:type="dxa"/>
                    <w:left w:w="15" w:type="dxa"/>
                    <w:right w:w="15" w:type="dxa"/>
                  </w:tcMar>
                  <w:vAlign w:val="center"/>
                </w:tcPr>
                <w:p w14:paraId="6E70C0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w:t>
                  </w:r>
                </w:p>
              </w:tc>
              <w:tc>
                <w:tcPr>
                  <w:tcW w:w="1032" w:type="pct"/>
                  <w:tcBorders>
                    <w:tl2br w:val="nil"/>
                    <w:tr2bl w:val="nil"/>
                  </w:tcBorders>
                  <w:noWrap/>
                  <w:tcMar>
                    <w:top w:w="15" w:type="dxa"/>
                    <w:left w:w="15" w:type="dxa"/>
                    <w:right w:w="15" w:type="dxa"/>
                  </w:tcMar>
                  <w:vAlign w:val="center"/>
                </w:tcPr>
                <w:p w14:paraId="37CD1C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7315D0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173FAB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11</w:t>
                  </w:r>
                </w:p>
              </w:tc>
              <w:tc>
                <w:tcPr>
                  <w:tcW w:w="965" w:type="pct"/>
                  <w:vMerge w:val="continue"/>
                  <w:tcBorders>
                    <w:tl2br w:val="nil"/>
                    <w:tr2bl w:val="nil"/>
                  </w:tcBorders>
                  <w:noWrap/>
                  <w:tcMar>
                    <w:top w:w="15" w:type="dxa"/>
                    <w:left w:w="15" w:type="dxa"/>
                    <w:right w:w="15" w:type="dxa"/>
                  </w:tcMar>
                  <w:vAlign w:val="center"/>
                </w:tcPr>
                <w:p w14:paraId="2C9613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4E3F20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分子筛灌装机</w:t>
                  </w:r>
                </w:p>
              </w:tc>
              <w:tc>
                <w:tcPr>
                  <w:tcW w:w="863" w:type="pct"/>
                  <w:tcBorders>
                    <w:tl2br w:val="nil"/>
                    <w:tr2bl w:val="nil"/>
                  </w:tcBorders>
                  <w:noWrap/>
                  <w:tcMar>
                    <w:top w:w="15" w:type="dxa"/>
                    <w:left w:w="15" w:type="dxa"/>
                    <w:right w:w="15" w:type="dxa"/>
                  </w:tcMar>
                  <w:vAlign w:val="center"/>
                </w:tcPr>
                <w:p w14:paraId="606485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w:t>
                  </w:r>
                </w:p>
              </w:tc>
              <w:tc>
                <w:tcPr>
                  <w:tcW w:w="1032" w:type="pct"/>
                  <w:tcBorders>
                    <w:tl2br w:val="nil"/>
                    <w:tr2bl w:val="nil"/>
                  </w:tcBorders>
                  <w:noWrap/>
                  <w:tcMar>
                    <w:top w:w="15" w:type="dxa"/>
                    <w:left w:w="15" w:type="dxa"/>
                    <w:right w:w="15" w:type="dxa"/>
                  </w:tcMar>
                  <w:vAlign w:val="center"/>
                </w:tcPr>
                <w:p w14:paraId="1D2CF3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20C310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31BA24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12</w:t>
                  </w:r>
                </w:p>
              </w:tc>
              <w:tc>
                <w:tcPr>
                  <w:tcW w:w="965" w:type="pct"/>
                  <w:vMerge w:val="continue"/>
                  <w:tcBorders>
                    <w:tl2br w:val="nil"/>
                    <w:tr2bl w:val="nil"/>
                  </w:tcBorders>
                  <w:noWrap/>
                  <w:tcMar>
                    <w:top w:w="15" w:type="dxa"/>
                    <w:left w:w="15" w:type="dxa"/>
                    <w:right w:w="15" w:type="dxa"/>
                  </w:tcMar>
                  <w:vAlign w:val="center"/>
                </w:tcPr>
                <w:p w14:paraId="55E58B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0D05F0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涂胶机</w:t>
                  </w:r>
                </w:p>
              </w:tc>
              <w:tc>
                <w:tcPr>
                  <w:tcW w:w="863" w:type="pct"/>
                  <w:tcBorders>
                    <w:tl2br w:val="nil"/>
                    <w:tr2bl w:val="nil"/>
                  </w:tcBorders>
                  <w:noWrap/>
                  <w:tcMar>
                    <w:top w:w="15" w:type="dxa"/>
                    <w:left w:w="15" w:type="dxa"/>
                    <w:right w:w="15" w:type="dxa"/>
                  </w:tcMar>
                  <w:vAlign w:val="center"/>
                </w:tcPr>
                <w:p w14:paraId="122274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LT-13-1</w:t>
                  </w:r>
                </w:p>
              </w:tc>
              <w:tc>
                <w:tcPr>
                  <w:tcW w:w="1032" w:type="pct"/>
                  <w:tcBorders>
                    <w:tl2br w:val="nil"/>
                    <w:tr2bl w:val="nil"/>
                  </w:tcBorders>
                  <w:noWrap/>
                  <w:tcMar>
                    <w:top w:w="15" w:type="dxa"/>
                    <w:left w:w="15" w:type="dxa"/>
                    <w:right w:w="15" w:type="dxa"/>
                  </w:tcMar>
                  <w:vAlign w:val="center"/>
                </w:tcPr>
                <w:p w14:paraId="274775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09E03E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3770AC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13</w:t>
                  </w:r>
                </w:p>
              </w:tc>
              <w:tc>
                <w:tcPr>
                  <w:tcW w:w="965" w:type="pct"/>
                  <w:vMerge w:val="continue"/>
                  <w:tcBorders>
                    <w:tl2br w:val="nil"/>
                    <w:tr2bl w:val="nil"/>
                  </w:tcBorders>
                  <w:noWrap/>
                  <w:tcMar>
                    <w:top w:w="15" w:type="dxa"/>
                    <w:left w:w="15" w:type="dxa"/>
                    <w:right w:w="15" w:type="dxa"/>
                  </w:tcMar>
                  <w:vAlign w:val="center"/>
                </w:tcPr>
                <w:p w14:paraId="293FF0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31E9F8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充气打码中空玻璃生产线</w:t>
                  </w:r>
                </w:p>
              </w:tc>
              <w:tc>
                <w:tcPr>
                  <w:tcW w:w="863" w:type="pct"/>
                  <w:tcBorders>
                    <w:tl2br w:val="nil"/>
                    <w:tr2bl w:val="nil"/>
                  </w:tcBorders>
                  <w:noWrap/>
                  <w:tcMar>
                    <w:top w:w="15" w:type="dxa"/>
                    <w:left w:w="15" w:type="dxa"/>
                    <w:right w:w="15" w:type="dxa"/>
                  </w:tcMar>
                  <w:vAlign w:val="center"/>
                </w:tcPr>
                <w:p w14:paraId="50E707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BMCC-F-2536</w:t>
                  </w:r>
                </w:p>
              </w:tc>
              <w:tc>
                <w:tcPr>
                  <w:tcW w:w="1032" w:type="pct"/>
                  <w:tcBorders>
                    <w:tl2br w:val="nil"/>
                    <w:tr2bl w:val="nil"/>
                  </w:tcBorders>
                  <w:noWrap/>
                  <w:tcMar>
                    <w:top w:w="15" w:type="dxa"/>
                    <w:left w:w="15" w:type="dxa"/>
                    <w:right w:w="15" w:type="dxa"/>
                  </w:tcMar>
                  <w:vAlign w:val="center"/>
                </w:tcPr>
                <w:p w14:paraId="5B283B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2</w:t>
                  </w:r>
                </w:p>
              </w:tc>
            </w:tr>
            <w:tr w14:paraId="141454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62B0ED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14</w:t>
                  </w:r>
                </w:p>
              </w:tc>
              <w:tc>
                <w:tcPr>
                  <w:tcW w:w="965" w:type="pct"/>
                  <w:vMerge w:val="restart"/>
                  <w:tcBorders>
                    <w:tl2br w:val="nil"/>
                    <w:tr2bl w:val="nil"/>
                  </w:tcBorders>
                  <w:noWrap/>
                  <w:tcMar>
                    <w:top w:w="15" w:type="dxa"/>
                    <w:left w:w="15" w:type="dxa"/>
                    <w:right w:w="15" w:type="dxa"/>
                  </w:tcMar>
                  <w:vAlign w:val="center"/>
                </w:tcPr>
                <w:p w14:paraId="15BFBF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夹胶玻璃生产线</w:t>
                  </w:r>
                </w:p>
              </w:tc>
              <w:tc>
                <w:tcPr>
                  <w:tcW w:w="1607" w:type="pct"/>
                  <w:tcBorders>
                    <w:tl2br w:val="nil"/>
                    <w:tr2bl w:val="nil"/>
                  </w:tcBorders>
                  <w:noWrap/>
                  <w:tcMar>
                    <w:top w:w="15" w:type="dxa"/>
                    <w:left w:w="15" w:type="dxa"/>
                    <w:right w:w="15" w:type="dxa"/>
                  </w:tcMar>
                  <w:vAlign w:val="center"/>
                </w:tcPr>
                <w:p w14:paraId="116FD9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清洗机</w:t>
                  </w:r>
                </w:p>
              </w:tc>
              <w:tc>
                <w:tcPr>
                  <w:tcW w:w="863" w:type="pct"/>
                  <w:tcBorders>
                    <w:tl2br w:val="nil"/>
                    <w:tr2bl w:val="nil"/>
                  </w:tcBorders>
                  <w:noWrap/>
                  <w:tcMar>
                    <w:top w:w="15" w:type="dxa"/>
                    <w:left w:w="15" w:type="dxa"/>
                    <w:right w:w="15" w:type="dxa"/>
                  </w:tcMar>
                  <w:vAlign w:val="center"/>
                </w:tcPr>
                <w:p w14:paraId="1B0150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LW-QX25</w:t>
                  </w:r>
                </w:p>
              </w:tc>
              <w:tc>
                <w:tcPr>
                  <w:tcW w:w="1032" w:type="pct"/>
                  <w:tcBorders>
                    <w:tl2br w:val="nil"/>
                    <w:tr2bl w:val="nil"/>
                  </w:tcBorders>
                  <w:noWrap/>
                  <w:tcMar>
                    <w:top w:w="15" w:type="dxa"/>
                    <w:left w:w="15" w:type="dxa"/>
                    <w:right w:w="15" w:type="dxa"/>
                  </w:tcMar>
                  <w:vAlign w:val="center"/>
                </w:tcPr>
                <w:p w14:paraId="35968E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52A2E0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671235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15</w:t>
                  </w:r>
                </w:p>
              </w:tc>
              <w:tc>
                <w:tcPr>
                  <w:tcW w:w="965" w:type="pct"/>
                  <w:vMerge w:val="continue"/>
                  <w:tcBorders>
                    <w:tl2br w:val="nil"/>
                    <w:tr2bl w:val="nil"/>
                  </w:tcBorders>
                  <w:noWrap/>
                  <w:tcMar>
                    <w:top w:w="15" w:type="dxa"/>
                    <w:left w:w="15" w:type="dxa"/>
                    <w:right w:w="15" w:type="dxa"/>
                  </w:tcMar>
                  <w:vAlign w:val="center"/>
                </w:tcPr>
                <w:p w14:paraId="4FB7F0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2597E4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合片机</w:t>
                  </w:r>
                </w:p>
              </w:tc>
              <w:tc>
                <w:tcPr>
                  <w:tcW w:w="863" w:type="pct"/>
                  <w:tcBorders>
                    <w:tl2br w:val="nil"/>
                    <w:tr2bl w:val="nil"/>
                  </w:tcBorders>
                  <w:noWrap/>
                  <w:tcMar>
                    <w:top w:w="15" w:type="dxa"/>
                    <w:left w:w="15" w:type="dxa"/>
                    <w:right w:w="15" w:type="dxa"/>
                  </w:tcMar>
                  <w:vAlign w:val="center"/>
                </w:tcPr>
                <w:p w14:paraId="1E5017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CGSZ1437GC</w:t>
                  </w:r>
                </w:p>
              </w:tc>
              <w:tc>
                <w:tcPr>
                  <w:tcW w:w="1032" w:type="pct"/>
                  <w:tcBorders>
                    <w:tl2br w:val="nil"/>
                    <w:tr2bl w:val="nil"/>
                  </w:tcBorders>
                  <w:noWrap/>
                  <w:tcMar>
                    <w:top w:w="15" w:type="dxa"/>
                    <w:left w:w="15" w:type="dxa"/>
                    <w:right w:w="15" w:type="dxa"/>
                  </w:tcMar>
                  <w:vAlign w:val="center"/>
                </w:tcPr>
                <w:p w14:paraId="284628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42A564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shd w:val="clear" w:color="auto" w:fill="auto"/>
                  <w:noWrap/>
                  <w:tcMar>
                    <w:top w:w="15" w:type="dxa"/>
                    <w:left w:w="15" w:type="dxa"/>
                    <w:right w:w="15" w:type="dxa"/>
                  </w:tcMar>
                  <w:vAlign w:val="center"/>
                </w:tcPr>
                <w:p w14:paraId="0256B1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16</w:t>
                  </w:r>
                </w:p>
              </w:tc>
              <w:tc>
                <w:tcPr>
                  <w:tcW w:w="965" w:type="pct"/>
                  <w:vMerge w:val="continue"/>
                  <w:tcBorders>
                    <w:tl2br w:val="nil"/>
                    <w:tr2bl w:val="nil"/>
                  </w:tcBorders>
                  <w:noWrap/>
                  <w:tcMar>
                    <w:top w:w="15" w:type="dxa"/>
                    <w:left w:w="15" w:type="dxa"/>
                    <w:right w:w="15" w:type="dxa"/>
                  </w:tcMar>
                  <w:vAlign w:val="center"/>
                </w:tcPr>
                <w:p w14:paraId="140BED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55CAE5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过渡机</w:t>
                  </w:r>
                </w:p>
              </w:tc>
              <w:tc>
                <w:tcPr>
                  <w:tcW w:w="863" w:type="pct"/>
                  <w:tcBorders>
                    <w:tl2br w:val="nil"/>
                    <w:tr2bl w:val="nil"/>
                  </w:tcBorders>
                  <w:noWrap/>
                  <w:tcMar>
                    <w:top w:w="15" w:type="dxa"/>
                    <w:left w:w="15" w:type="dxa"/>
                    <w:right w:w="15" w:type="dxa"/>
                  </w:tcMar>
                  <w:vAlign w:val="center"/>
                </w:tcPr>
                <w:p w14:paraId="07F294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LW-GD2540</w:t>
                  </w:r>
                </w:p>
              </w:tc>
              <w:tc>
                <w:tcPr>
                  <w:tcW w:w="1032" w:type="pct"/>
                  <w:tcBorders>
                    <w:tl2br w:val="nil"/>
                    <w:tr2bl w:val="nil"/>
                  </w:tcBorders>
                  <w:noWrap/>
                  <w:tcMar>
                    <w:top w:w="15" w:type="dxa"/>
                    <w:left w:w="15" w:type="dxa"/>
                    <w:right w:w="15" w:type="dxa"/>
                  </w:tcMar>
                  <w:vAlign w:val="center"/>
                </w:tcPr>
                <w:p w14:paraId="38D7C5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r w14:paraId="40D69C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0" w:type="pct"/>
                  <w:tcBorders>
                    <w:tl2br w:val="nil"/>
                    <w:tr2bl w:val="nil"/>
                  </w:tcBorders>
                  <w:noWrap/>
                  <w:tcMar>
                    <w:top w:w="15" w:type="dxa"/>
                    <w:left w:w="15" w:type="dxa"/>
                    <w:right w:w="15" w:type="dxa"/>
                  </w:tcMar>
                  <w:vAlign w:val="center"/>
                </w:tcPr>
                <w:p w14:paraId="06FBA2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17</w:t>
                  </w:r>
                </w:p>
              </w:tc>
              <w:tc>
                <w:tcPr>
                  <w:tcW w:w="965" w:type="pct"/>
                  <w:vMerge w:val="continue"/>
                  <w:tcBorders>
                    <w:tl2br w:val="nil"/>
                    <w:tr2bl w:val="nil"/>
                  </w:tcBorders>
                  <w:noWrap/>
                  <w:tcMar>
                    <w:top w:w="15" w:type="dxa"/>
                    <w:left w:w="15" w:type="dxa"/>
                    <w:right w:w="15" w:type="dxa"/>
                  </w:tcMar>
                  <w:vAlign w:val="center"/>
                </w:tcPr>
                <w:p w14:paraId="33EAF6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rPr>
                  </w:pPr>
                </w:p>
              </w:tc>
              <w:tc>
                <w:tcPr>
                  <w:tcW w:w="1607" w:type="pct"/>
                  <w:tcBorders>
                    <w:tl2br w:val="nil"/>
                    <w:tr2bl w:val="nil"/>
                  </w:tcBorders>
                  <w:noWrap/>
                  <w:tcMar>
                    <w:top w:w="15" w:type="dxa"/>
                    <w:left w:w="15" w:type="dxa"/>
                    <w:right w:w="15" w:type="dxa"/>
                  </w:tcMar>
                  <w:vAlign w:val="center"/>
                </w:tcPr>
                <w:p w14:paraId="68F7C8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高压釜</w:t>
                  </w:r>
                </w:p>
              </w:tc>
              <w:tc>
                <w:tcPr>
                  <w:tcW w:w="863" w:type="pct"/>
                  <w:tcBorders>
                    <w:tl2br w:val="nil"/>
                    <w:tr2bl w:val="nil"/>
                  </w:tcBorders>
                  <w:noWrap/>
                  <w:tcMar>
                    <w:top w:w="15" w:type="dxa"/>
                    <w:left w:w="15" w:type="dxa"/>
                    <w:right w:w="15" w:type="dxa"/>
                  </w:tcMar>
                  <w:vAlign w:val="center"/>
                </w:tcPr>
                <w:p w14:paraId="3C68FB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w:t>
                  </w:r>
                </w:p>
              </w:tc>
              <w:tc>
                <w:tcPr>
                  <w:tcW w:w="1032" w:type="pct"/>
                  <w:tcBorders>
                    <w:tl2br w:val="nil"/>
                    <w:tr2bl w:val="nil"/>
                  </w:tcBorders>
                  <w:noWrap/>
                  <w:tcMar>
                    <w:top w:w="15" w:type="dxa"/>
                    <w:left w:w="15" w:type="dxa"/>
                    <w:right w:w="15" w:type="dxa"/>
                  </w:tcMar>
                  <w:vAlign w:val="center"/>
                </w:tcPr>
                <w:p w14:paraId="71CFAF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w:t>
                  </w:r>
                </w:p>
              </w:tc>
            </w:tr>
          </w:tbl>
          <w:p w14:paraId="3445744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textAlignment w:val="auto"/>
              <w:rPr>
                <w:rFonts w:hint="eastAsia" w:cs="Times New Roman"/>
                <w:b/>
                <w:color w:val="auto"/>
                <w:sz w:val="24"/>
                <w:highlight w:val="none"/>
                <w:lang w:val="en-US" w:eastAsia="zh-CN"/>
              </w:rPr>
            </w:pPr>
            <w:r>
              <w:rPr>
                <w:rFonts w:hint="eastAsia" w:cs="Times New Roman"/>
                <w:b/>
                <w:color w:val="auto"/>
                <w:sz w:val="24"/>
                <w:highlight w:val="none"/>
                <w:lang w:val="en-US" w:eastAsia="zh-CN"/>
              </w:rPr>
              <w:t>产能匹配性分析：</w:t>
            </w:r>
          </w:p>
          <w:p w14:paraId="5FA7B6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4"/>
                <w:szCs w:val="24"/>
                <w:highlight w:val="none"/>
                <w:lang w:val="en-US"/>
              </w:rPr>
            </w:pPr>
            <w:r>
              <w:rPr>
                <w:rFonts w:hint="default" w:ascii="Times New Roman" w:hAnsi="Times New Roman" w:cs="Times New Roman"/>
                <w:b/>
                <w:color w:val="auto"/>
                <w:sz w:val="24"/>
                <w:szCs w:val="24"/>
                <w:highlight w:val="none"/>
              </w:rPr>
              <w:t>表2-</w:t>
            </w:r>
            <w:r>
              <w:rPr>
                <w:rFonts w:hint="eastAsia" w:cs="Times New Roman"/>
                <w:b/>
                <w:color w:val="auto"/>
                <w:sz w:val="24"/>
                <w:szCs w:val="24"/>
                <w:highlight w:val="none"/>
                <w:lang w:val="en-US" w:eastAsia="zh-CN"/>
              </w:rPr>
              <w:t>7</w:t>
            </w:r>
            <w:r>
              <w:rPr>
                <w:rFonts w:hint="eastAsia"/>
                <w:lang w:val="en-US" w:eastAsia="zh-CN"/>
              </w:rPr>
              <w:t xml:space="preserve"> </w:t>
            </w:r>
            <w:r>
              <w:rPr>
                <w:rFonts w:hint="eastAsia" w:cs="Times New Roman"/>
                <w:b/>
                <w:color w:val="auto"/>
                <w:sz w:val="24"/>
                <w:szCs w:val="24"/>
                <w:highlight w:val="none"/>
                <w:lang w:val="en-US" w:eastAsia="zh-CN"/>
              </w:rPr>
              <w:t>设备产能匹配性分析</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21"/>
              <w:gridCol w:w="825"/>
              <w:gridCol w:w="855"/>
              <w:gridCol w:w="1110"/>
              <w:gridCol w:w="885"/>
              <w:gridCol w:w="1095"/>
              <w:gridCol w:w="1095"/>
              <w:gridCol w:w="840"/>
              <w:gridCol w:w="800"/>
            </w:tblGrid>
            <w:tr w14:paraId="5C126E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8" w:type="pct"/>
                  <w:tcBorders>
                    <w:tl2br w:val="nil"/>
                    <w:tr2bl w:val="nil"/>
                  </w:tcBorders>
                  <w:noWrap/>
                  <w:tcMar>
                    <w:top w:w="15" w:type="dxa"/>
                    <w:left w:w="15" w:type="dxa"/>
                    <w:right w:w="15" w:type="dxa"/>
                  </w:tcMar>
                  <w:vAlign w:val="center"/>
                </w:tcPr>
                <w:p w14:paraId="1EAC6B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sz w:val="21"/>
                      <w:szCs w:val="21"/>
                      <w:highlight w:val="none"/>
                      <w:u w:val="none"/>
                      <w:lang w:val="en-US" w:eastAsia="zh-CN"/>
                    </w:rPr>
                  </w:pPr>
                  <w:r>
                    <w:rPr>
                      <w:rFonts w:hint="default" w:ascii="Times New Roman" w:hAnsi="Times New Roman" w:cs="Times New Roman"/>
                      <w:b/>
                      <w:bCs/>
                      <w:i w:val="0"/>
                      <w:color w:val="auto"/>
                      <w:sz w:val="21"/>
                      <w:szCs w:val="21"/>
                      <w:highlight w:val="none"/>
                      <w:u w:val="none"/>
                      <w:lang w:val="en-US" w:eastAsia="zh-CN"/>
                    </w:rPr>
                    <w:t>序号</w:t>
                  </w:r>
                </w:p>
              </w:tc>
              <w:tc>
                <w:tcPr>
                  <w:tcW w:w="501" w:type="pct"/>
                  <w:tcBorders>
                    <w:tl2br w:val="nil"/>
                    <w:tr2bl w:val="nil"/>
                  </w:tcBorders>
                  <w:shd w:val="clear" w:color="auto" w:fill="auto"/>
                  <w:noWrap/>
                  <w:tcMar>
                    <w:top w:w="15" w:type="dxa"/>
                    <w:left w:w="15" w:type="dxa"/>
                    <w:right w:w="15" w:type="dxa"/>
                  </w:tcMar>
                  <w:vAlign w:val="center"/>
                </w:tcPr>
                <w:p w14:paraId="7EF599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kern w:val="2"/>
                      <w:sz w:val="21"/>
                      <w:szCs w:val="21"/>
                      <w:highlight w:val="none"/>
                      <w:u w:val="none"/>
                      <w:lang w:val="en-US" w:eastAsia="zh-CN" w:bidi="ar-SA"/>
                    </w:rPr>
                  </w:pPr>
                  <w:r>
                    <w:rPr>
                      <w:rFonts w:hint="default" w:ascii="Times New Roman" w:hAnsi="Times New Roman" w:eastAsia="宋体" w:cs="Times New Roman"/>
                      <w:b/>
                      <w:bCs/>
                      <w:i w:val="0"/>
                      <w:color w:val="auto"/>
                      <w:kern w:val="0"/>
                      <w:sz w:val="21"/>
                      <w:szCs w:val="21"/>
                      <w:highlight w:val="none"/>
                      <w:u w:val="none"/>
                      <w:lang w:val="en-US" w:eastAsia="zh-CN" w:bidi="ar"/>
                    </w:rPr>
                    <w:t>设备名称</w:t>
                  </w:r>
                </w:p>
              </w:tc>
              <w:tc>
                <w:tcPr>
                  <w:tcW w:w="519" w:type="pct"/>
                  <w:tcBorders>
                    <w:tl2br w:val="nil"/>
                    <w:tr2bl w:val="nil"/>
                  </w:tcBorders>
                  <w:shd w:val="clear" w:color="auto" w:fill="auto"/>
                  <w:noWrap/>
                  <w:tcMar>
                    <w:top w:w="15" w:type="dxa"/>
                    <w:left w:w="15" w:type="dxa"/>
                    <w:right w:w="15" w:type="dxa"/>
                  </w:tcMar>
                  <w:vAlign w:val="center"/>
                </w:tcPr>
                <w:p w14:paraId="5FD391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数量</w:t>
                  </w:r>
                </w:p>
              </w:tc>
              <w:tc>
                <w:tcPr>
                  <w:tcW w:w="674" w:type="pct"/>
                  <w:tcBorders>
                    <w:tl2br w:val="nil"/>
                    <w:tr2bl w:val="nil"/>
                  </w:tcBorders>
                  <w:shd w:val="clear" w:color="auto" w:fill="auto"/>
                  <w:noWrap/>
                  <w:tcMar>
                    <w:top w:w="15" w:type="dxa"/>
                    <w:left w:w="15" w:type="dxa"/>
                    <w:right w:w="15" w:type="dxa"/>
                  </w:tcMar>
                  <w:vAlign w:val="center"/>
                </w:tcPr>
                <w:p w14:paraId="0090CE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每台额定产能（m</w:t>
                  </w:r>
                  <w:r>
                    <w:rPr>
                      <w:rFonts w:hint="eastAsia" w:cs="Times New Roman"/>
                      <w:b/>
                      <w:bCs/>
                      <w:i w:val="0"/>
                      <w:color w:val="auto"/>
                      <w:kern w:val="0"/>
                      <w:sz w:val="21"/>
                      <w:szCs w:val="21"/>
                      <w:highlight w:val="none"/>
                      <w:u w:val="none"/>
                      <w:vertAlign w:val="superscript"/>
                      <w:lang w:val="en-US" w:eastAsia="zh-CN" w:bidi="ar"/>
                    </w:rPr>
                    <w:t>2</w:t>
                  </w:r>
                  <w:r>
                    <w:rPr>
                      <w:rFonts w:hint="eastAsia" w:cs="Times New Roman"/>
                      <w:b/>
                      <w:bCs/>
                      <w:i w:val="0"/>
                      <w:color w:val="auto"/>
                      <w:kern w:val="0"/>
                      <w:sz w:val="21"/>
                      <w:szCs w:val="21"/>
                      <w:highlight w:val="none"/>
                      <w:u w:val="none"/>
                      <w:lang w:val="en-US" w:eastAsia="zh-CN" w:bidi="ar"/>
                    </w:rPr>
                    <w:t>/h）</w:t>
                  </w:r>
                </w:p>
              </w:tc>
              <w:tc>
                <w:tcPr>
                  <w:tcW w:w="537" w:type="pct"/>
                  <w:tcBorders>
                    <w:tl2br w:val="nil"/>
                    <w:tr2bl w:val="nil"/>
                  </w:tcBorders>
                  <w:shd w:val="clear" w:color="auto" w:fill="auto"/>
                  <w:noWrap/>
                  <w:tcMar>
                    <w:top w:w="15" w:type="dxa"/>
                    <w:left w:w="15" w:type="dxa"/>
                    <w:right w:w="15" w:type="dxa"/>
                  </w:tcMar>
                  <w:vAlign w:val="center"/>
                </w:tcPr>
                <w:p w14:paraId="68A646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生产时间（h）</w:t>
                  </w:r>
                </w:p>
              </w:tc>
              <w:tc>
                <w:tcPr>
                  <w:tcW w:w="665" w:type="pct"/>
                  <w:tcBorders>
                    <w:tl2br w:val="nil"/>
                    <w:tr2bl w:val="nil"/>
                  </w:tcBorders>
                  <w:shd w:val="clear" w:color="auto" w:fill="auto"/>
                  <w:noWrap/>
                  <w:tcMar>
                    <w:top w:w="15" w:type="dxa"/>
                    <w:left w:w="15" w:type="dxa"/>
                    <w:right w:w="15" w:type="dxa"/>
                  </w:tcMar>
                  <w:vAlign w:val="center"/>
                </w:tcPr>
                <w:p w14:paraId="2E378D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最大产能（万m</w:t>
                  </w:r>
                  <w:r>
                    <w:rPr>
                      <w:rFonts w:hint="eastAsia" w:cs="Times New Roman"/>
                      <w:b/>
                      <w:bCs/>
                      <w:i w:val="0"/>
                      <w:color w:val="auto"/>
                      <w:kern w:val="0"/>
                      <w:sz w:val="21"/>
                      <w:szCs w:val="21"/>
                      <w:highlight w:val="none"/>
                      <w:u w:val="none"/>
                      <w:vertAlign w:val="superscript"/>
                      <w:lang w:val="en-US" w:eastAsia="zh-CN" w:bidi="ar"/>
                    </w:rPr>
                    <w:t>2</w:t>
                  </w:r>
                  <w:r>
                    <w:rPr>
                      <w:rFonts w:hint="eastAsia" w:cs="Times New Roman"/>
                      <w:b/>
                      <w:bCs/>
                      <w:i w:val="0"/>
                      <w:color w:val="auto"/>
                      <w:kern w:val="0"/>
                      <w:sz w:val="21"/>
                      <w:szCs w:val="21"/>
                      <w:highlight w:val="none"/>
                      <w:u w:val="none"/>
                      <w:lang w:val="en-US" w:eastAsia="zh-CN" w:bidi="ar"/>
                    </w:rPr>
                    <w:t>/a）</w:t>
                  </w:r>
                </w:p>
              </w:tc>
              <w:tc>
                <w:tcPr>
                  <w:tcW w:w="665" w:type="pct"/>
                  <w:tcBorders>
                    <w:tl2br w:val="nil"/>
                    <w:tr2bl w:val="nil"/>
                  </w:tcBorders>
                  <w:shd w:val="clear" w:color="auto" w:fill="auto"/>
                  <w:noWrap/>
                  <w:tcMar>
                    <w:top w:w="15" w:type="dxa"/>
                    <w:left w:w="15" w:type="dxa"/>
                    <w:right w:w="15" w:type="dxa"/>
                  </w:tcMar>
                  <w:vAlign w:val="center"/>
                </w:tcPr>
                <w:p w14:paraId="0CDFD0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设计产能（万m</w:t>
                  </w:r>
                  <w:r>
                    <w:rPr>
                      <w:rFonts w:hint="eastAsia" w:cs="Times New Roman"/>
                      <w:b/>
                      <w:bCs/>
                      <w:i w:val="0"/>
                      <w:color w:val="auto"/>
                      <w:kern w:val="0"/>
                      <w:sz w:val="21"/>
                      <w:szCs w:val="21"/>
                      <w:highlight w:val="none"/>
                      <w:u w:val="none"/>
                      <w:vertAlign w:val="superscript"/>
                      <w:lang w:val="en-US" w:eastAsia="zh-CN" w:bidi="ar"/>
                    </w:rPr>
                    <w:t>2</w:t>
                  </w:r>
                  <w:r>
                    <w:rPr>
                      <w:rFonts w:hint="eastAsia" w:cs="Times New Roman"/>
                      <w:b/>
                      <w:bCs/>
                      <w:i w:val="0"/>
                      <w:color w:val="auto"/>
                      <w:kern w:val="0"/>
                      <w:sz w:val="21"/>
                      <w:szCs w:val="21"/>
                      <w:highlight w:val="none"/>
                      <w:u w:val="none"/>
                      <w:lang w:val="en-US" w:eastAsia="zh-CN" w:bidi="ar"/>
                    </w:rPr>
                    <w:t>/a）</w:t>
                  </w:r>
                </w:p>
              </w:tc>
              <w:tc>
                <w:tcPr>
                  <w:tcW w:w="510" w:type="pct"/>
                  <w:tcBorders>
                    <w:tl2br w:val="nil"/>
                    <w:tr2bl w:val="nil"/>
                  </w:tcBorders>
                  <w:shd w:val="clear" w:color="auto" w:fill="auto"/>
                  <w:noWrap/>
                  <w:tcMar>
                    <w:top w:w="15" w:type="dxa"/>
                    <w:left w:w="15" w:type="dxa"/>
                    <w:right w:w="15" w:type="dxa"/>
                  </w:tcMar>
                  <w:vAlign w:val="center"/>
                </w:tcPr>
                <w:p w14:paraId="299F9F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负荷率</w:t>
                  </w:r>
                </w:p>
              </w:tc>
              <w:tc>
                <w:tcPr>
                  <w:tcW w:w="486" w:type="pct"/>
                  <w:tcBorders>
                    <w:tl2br w:val="nil"/>
                    <w:tr2bl w:val="nil"/>
                  </w:tcBorders>
                  <w:shd w:val="clear" w:color="auto" w:fill="auto"/>
                  <w:noWrap/>
                  <w:tcMar>
                    <w:top w:w="15" w:type="dxa"/>
                    <w:left w:w="15" w:type="dxa"/>
                    <w:right w:w="15" w:type="dxa"/>
                  </w:tcMar>
                  <w:vAlign w:val="center"/>
                </w:tcPr>
                <w:p w14:paraId="34EC88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是否匹配</w:t>
                  </w:r>
                </w:p>
              </w:tc>
            </w:tr>
            <w:tr w14:paraId="12C20E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8" w:type="pct"/>
                  <w:vMerge w:val="restart"/>
                  <w:tcBorders>
                    <w:tl2br w:val="nil"/>
                    <w:tr2bl w:val="nil"/>
                  </w:tcBorders>
                  <w:shd w:val="clear" w:color="auto" w:fill="auto"/>
                  <w:noWrap/>
                  <w:tcMar>
                    <w:top w:w="15" w:type="dxa"/>
                    <w:left w:w="15" w:type="dxa"/>
                    <w:right w:w="15" w:type="dxa"/>
                  </w:tcMar>
                  <w:vAlign w:val="center"/>
                </w:tcPr>
                <w:p w14:paraId="3C9AB4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钢化玻璃生产线</w:t>
                  </w:r>
                </w:p>
              </w:tc>
              <w:tc>
                <w:tcPr>
                  <w:tcW w:w="501" w:type="pct"/>
                  <w:tcBorders>
                    <w:tl2br w:val="nil"/>
                    <w:tr2bl w:val="nil"/>
                  </w:tcBorders>
                  <w:shd w:val="clear" w:color="auto" w:fill="auto"/>
                  <w:noWrap/>
                  <w:tcMar>
                    <w:top w:w="15" w:type="dxa"/>
                    <w:left w:w="15" w:type="dxa"/>
                    <w:right w:w="15" w:type="dxa"/>
                  </w:tcMar>
                  <w:vAlign w:val="center"/>
                </w:tcPr>
                <w:p w14:paraId="11502B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玻璃切割机</w:t>
                  </w:r>
                </w:p>
              </w:tc>
              <w:tc>
                <w:tcPr>
                  <w:tcW w:w="519" w:type="pct"/>
                  <w:tcBorders>
                    <w:tl2br w:val="nil"/>
                    <w:tr2bl w:val="nil"/>
                  </w:tcBorders>
                  <w:shd w:val="clear" w:color="auto" w:fill="auto"/>
                  <w:noWrap/>
                  <w:tcMar>
                    <w:top w:w="15" w:type="dxa"/>
                    <w:left w:w="15" w:type="dxa"/>
                    <w:right w:w="15" w:type="dxa"/>
                  </w:tcMar>
                  <w:vAlign w:val="center"/>
                </w:tcPr>
                <w:p w14:paraId="1AB25C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cs="Times New Roman"/>
                      <w:b w:val="0"/>
                      <w:bCs w:val="0"/>
                      <w:i w:val="0"/>
                      <w:color w:val="auto"/>
                      <w:sz w:val="21"/>
                      <w:szCs w:val="21"/>
                      <w:highlight w:val="none"/>
                      <w:u w:val="none"/>
                      <w:lang w:val="en-US" w:eastAsia="zh-CN"/>
                    </w:rPr>
                    <w:t>1</w:t>
                  </w:r>
                  <w:r>
                    <w:rPr>
                      <w:rFonts w:hint="default" w:ascii="Times New Roman" w:hAnsi="Times New Roman" w:eastAsia="宋体" w:cs="Times New Roman"/>
                      <w:b w:val="0"/>
                      <w:bCs w:val="0"/>
                      <w:i w:val="0"/>
                      <w:color w:val="auto"/>
                      <w:kern w:val="0"/>
                      <w:sz w:val="21"/>
                      <w:szCs w:val="21"/>
                      <w:highlight w:val="none"/>
                      <w:u w:val="none"/>
                      <w:lang w:val="en-US" w:eastAsia="zh-CN" w:bidi="ar"/>
                    </w:rPr>
                    <w:t>台</w:t>
                  </w:r>
                </w:p>
              </w:tc>
              <w:tc>
                <w:tcPr>
                  <w:tcW w:w="674" w:type="pct"/>
                  <w:tcBorders>
                    <w:tl2br w:val="nil"/>
                    <w:tr2bl w:val="nil"/>
                  </w:tcBorders>
                  <w:shd w:val="clear" w:color="auto" w:fill="auto"/>
                  <w:noWrap/>
                  <w:tcMar>
                    <w:top w:w="15" w:type="dxa"/>
                    <w:left w:w="15" w:type="dxa"/>
                    <w:right w:w="15" w:type="dxa"/>
                  </w:tcMar>
                  <w:vAlign w:val="center"/>
                </w:tcPr>
                <w:p w14:paraId="5FF07E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240</w:t>
                  </w:r>
                </w:p>
              </w:tc>
              <w:tc>
                <w:tcPr>
                  <w:tcW w:w="537" w:type="pct"/>
                  <w:tcBorders>
                    <w:tl2br w:val="nil"/>
                    <w:tr2bl w:val="nil"/>
                  </w:tcBorders>
                  <w:shd w:val="clear" w:color="auto" w:fill="auto"/>
                  <w:noWrap/>
                  <w:tcMar>
                    <w:top w:w="15" w:type="dxa"/>
                    <w:left w:w="15" w:type="dxa"/>
                    <w:right w:w="15" w:type="dxa"/>
                  </w:tcMar>
                  <w:vAlign w:val="center"/>
                </w:tcPr>
                <w:p w14:paraId="16E65F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2400</w:t>
                  </w:r>
                </w:p>
              </w:tc>
              <w:tc>
                <w:tcPr>
                  <w:tcW w:w="665" w:type="pct"/>
                  <w:tcBorders>
                    <w:tl2br w:val="nil"/>
                    <w:tr2bl w:val="nil"/>
                  </w:tcBorders>
                  <w:shd w:val="clear" w:color="auto" w:fill="auto"/>
                  <w:noWrap/>
                  <w:tcMar>
                    <w:top w:w="15" w:type="dxa"/>
                    <w:left w:w="15" w:type="dxa"/>
                    <w:right w:w="15" w:type="dxa"/>
                  </w:tcMar>
                  <w:vAlign w:val="center"/>
                </w:tcPr>
                <w:p w14:paraId="49750D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57.6</w:t>
                  </w:r>
                </w:p>
              </w:tc>
              <w:tc>
                <w:tcPr>
                  <w:tcW w:w="665" w:type="pct"/>
                  <w:tcBorders>
                    <w:tl2br w:val="nil"/>
                    <w:tr2bl w:val="nil"/>
                  </w:tcBorders>
                  <w:shd w:val="clear" w:color="auto" w:fill="auto"/>
                  <w:noWrap/>
                  <w:tcMar>
                    <w:top w:w="15" w:type="dxa"/>
                    <w:left w:w="15" w:type="dxa"/>
                    <w:right w:w="15" w:type="dxa"/>
                  </w:tcMar>
                  <w:vAlign w:val="center"/>
                </w:tcPr>
                <w:p w14:paraId="139533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31</w:t>
                  </w:r>
                </w:p>
              </w:tc>
              <w:tc>
                <w:tcPr>
                  <w:tcW w:w="510" w:type="pct"/>
                  <w:tcBorders>
                    <w:tl2br w:val="nil"/>
                    <w:tr2bl w:val="nil"/>
                  </w:tcBorders>
                  <w:shd w:val="clear" w:color="auto" w:fill="auto"/>
                  <w:noWrap/>
                  <w:tcMar>
                    <w:top w:w="15" w:type="dxa"/>
                    <w:left w:w="15" w:type="dxa"/>
                    <w:right w:w="15" w:type="dxa"/>
                  </w:tcMar>
                  <w:vAlign w:val="center"/>
                </w:tcPr>
                <w:p w14:paraId="182F17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53.82</w:t>
                  </w:r>
                </w:p>
              </w:tc>
              <w:tc>
                <w:tcPr>
                  <w:tcW w:w="486" w:type="pct"/>
                  <w:tcBorders>
                    <w:tl2br w:val="nil"/>
                    <w:tr2bl w:val="nil"/>
                  </w:tcBorders>
                  <w:shd w:val="clear" w:color="auto" w:fill="auto"/>
                  <w:noWrap/>
                  <w:tcMar>
                    <w:top w:w="15" w:type="dxa"/>
                    <w:left w:w="15" w:type="dxa"/>
                    <w:right w:w="15" w:type="dxa"/>
                  </w:tcMar>
                  <w:vAlign w:val="center"/>
                </w:tcPr>
                <w:p w14:paraId="338DC1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是</w:t>
                  </w:r>
                </w:p>
              </w:tc>
            </w:tr>
            <w:tr w14:paraId="5D2B85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8" w:type="pct"/>
                  <w:vMerge w:val="continue"/>
                  <w:tcBorders>
                    <w:tl2br w:val="nil"/>
                    <w:tr2bl w:val="nil"/>
                  </w:tcBorders>
                  <w:shd w:val="clear" w:color="auto" w:fill="auto"/>
                  <w:noWrap/>
                  <w:tcMar>
                    <w:top w:w="15" w:type="dxa"/>
                    <w:left w:w="15" w:type="dxa"/>
                    <w:right w:w="15" w:type="dxa"/>
                  </w:tcMar>
                  <w:vAlign w:val="center"/>
                </w:tcPr>
                <w:p w14:paraId="56C603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p>
              </w:tc>
              <w:tc>
                <w:tcPr>
                  <w:tcW w:w="501" w:type="pct"/>
                  <w:tcBorders>
                    <w:tl2br w:val="nil"/>
                    <w:tr2bl w:val="nil"/>
                  </w:tcBorders>
                  <w:shd w:val="clear" w:color="auto" w:fill="auto"/>
                  <w:noWrap/>
                  <w:tcMar>
                    <w:top w:w="15" w:type="dxa"/>
                    <w:left w:w="15" w:type="dxa"/>
                    <w:right w:w="15" w:type="dxa"/>
                  </w:tcMar>
                  <w:vAlign w:val="center"/>
                </w:tcPr>
                <w:p w14:paraId="64BB1B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双边磨</w:t>
                  </w:r>
                </w:p>
              </w:tc>
              <w:tc>
                <w:tcPr>
                  <w:tcW w:w="519" w:type="pct"/>
                  <w:tcBorders>
                    <w:tl2br w:val="nil"/>
                    <w:tr2bl w:val="nil"/>
                  </w:tcBorders>
                  <w:shd w:val="clear" w:color="auto" w:fill="auto"/>
                  <w:noWrap/>
                  <w:tcMar>
                    <w:top w:w="15" w:type="dxa"/>
                    <w:left w:w="15" w:type="dxa"/>
                    <w:right w:w="15" w:type="dxa"/>
                  </w:tcMar>
                  <w:vAlign w:val="center"/>
                </w:tcPr>
                <w:p w14:paraId="0C7E44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cs="Times New Roman"/>
                      <w:b w:val="0"/>
                      <w:bCs w:val="0"/>
                      <w:i w:val="0"/>
                      <w:color w:val="auto"/>
                      <w:sz w:val="21"/>
                      <w:szCs w:val="21"/>
                      <w:highlight w:val="none"/>
                      <w:u w:val="none"/>
                      <w:lang w:val="en-US" w:eastAsia="zh-CN"/>
                    </w:rPr>
                    <w:t>1</w:t>
                  </w:r>
                  <w:r>
                    <w:rPr>
                      <w:rFonts w:hint="default" w:ascii="Times New Roman" w:hAnsi="Times New Roman" w:eastAsia="宋体" w:cs="Times New Roman"/>
                      <w:b w:val="0"/>
                      <w:bCs w:val="0"/>
                      <w:i w:val="0"/>
                      <w:color w:val="auto"/>
                      <w:kern w:val="0"/>
                      <w:sz w:val="21"/>
                      <w:szCs w:val="21"/>
                      <w:highlight w:val="none"/>
                      <w:u w:val="none"/>
                      <w:lang w:val="en-US" w:eastAsia="zh-CN" w:bidi="ar"/>
                    </w:rPr>
                    <w:t>台</w:t>
                  </w:r>
                </w:p>
              </w:tc>
              <w:tc>
                <w:tcPr>
                  <w:tcW w:w="674" w:type="pct"/>
                  <w:tcBorders>
                    <w:tl2br w:val="nil"/>
                    <w:tr2bl w:val="nil"/>
                  </w:tcBorders>
                  <w:shd w:val="clear" w:color="auto" w:fill="auto"/>
                  <w:noWrap/>
                  <w:tcMar>
                    <w:top w:w="15" w:type="dxa"/>
                    <w:left w:w="15" w:type="dxa"/>
                    <w:right w:w="15" w:type="dxa"/>
                  </w:tcMar>
                  <w:vAlign w:val="center"/>
                </w:tcPr>
                <w:p w14:paraId="218657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50</w:t>
                  </w:r>
                </w:p>
              </w:tc>
              <w:tc>
                <w:tcPr>
                  <w:tcW w:w="537" w:type="pct"/>
                  <w:tcBorders>
                    <w:tl2br w:val="nil"/>
                    <w:tr2bl w:val="nil"/>
                  </w:tcBorders>
                  <w:shd w:val="clear" w:color="auto" w:fill="auto"/>
                  <w:noWrap/>
                  <w:tcMar>
                    <w:top w:w="15" w:type="dxa"/>
                    <w:left w:w="15" w:type="dxa"/>
                    <w:right w:w="15" w:type="dxa"/>
                  </w:tcMar>
                  <w:vAlign w:val="center"/>
                </w:tcPr>
                <w:p w14:paraId="347BBA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2400</w:t>
                  </w:r>
                </w:p>
              </w:tc>
              <w:tc>
                <w:tcPr>
                  <w:tcW w:w="665" w:type="pct"/>
                  <w:tcBorders>
                    <w:tl2br w:val="nil"/>
                    <w:tr2bl w:val="nil"/>
                  </w:tcBorders>
                  <w:shd w:val="clear" w:color="auto" w:fill="auto"/>
                  <w:noWrap/>
                  <w:tcMar>
                    <w:top w:w="15" w:type="dxa"/>
                    <w:left w:w="15" w:type="dxa"/>
                    <w:right w:w="15" w:type="dxa"/>
                  </w:tcMar>
                  <w:vAlign w:val="center"/>
                </w:tcPr>
                <w:p w14:paraId="69D10E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12</w:t>
                  </w:r>
                </w:p>
              </w:tc>
              <w:tc>
                <w:tcPr>
                  <w:tcW w:w="665" w:type="pct"/>
                  <w:tcBorders>
                    <w:tl2br w:val="nil"/>
                    <w:tr2bl w:val="nil"/>
                  </w:tcBorders>
                  <w:shd w:val="clear" w:color="auto" w:fill="auto"/>
                  <w:noWrap/>
                  <w:tcMar>
                    <w:top w:w="15" w:type="dxa"/>
                    <w:left w:w="15" w:type="dxa"/>
                    <w:right w:w="15" w:type="dxa"/>
                  </w:tcMar>
                  <w:vAlign w:val="center"/>
                </w:tcPr>
                <w:p w14:paraId="69D2B1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10</w:t>
                  </w:r>
                </w:p>
              </w:tc>
              <w:tc>
                <w:tcPr>
                  <w:tcW w:w="510" w:type="pct"/>
                  <w:tcBorders>
                    <w:tl2br w:val="nil"/>
                    <w:tr2bl w:val="nil"/>
                  </w:tcBorders>
                  <w:shd w:val="clear" w:color="auto" w:fill="auto"/>
                  <w:noWrap/>
                  <w:tcMar>
                    <w:top w:w="15" w:type="dxa"/>
                    <w:left w:w="15" w:type="dxa"/>
                    <w:right w:w="15" w:type="dxa"/>
                  </w:tcMar>
                  <w:vAlign w:val="center"/>
                </w:tcPr>
                <w:p w14:paraId="163641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83.33</w:t>
                  </w:r>
                </w:p>
              </w:tc>
              <w:tc>
                <w:tcPr>
                  <w:tcW w:w="486" w:type="pct"/>
                  <w:tcBorders>
                    <w:tl2br w:val="nil"/>
                    <w:tr2bl w:val="nil"/>
                  </w:tcBorders>
                  <w:shd w:val="clear" w:color="auto" w:fill="auto"/>
                  <w:noWrap/>
                  <w:tcMar>
                    <w:top w:w="15" w:type="dxa"/>
                    <w:left w:w="15" w:type="dxa"/>
                    <w:right w:w="15" w:type="dxa"/>
                  </w:tcMar>
                  <w:vAlign w:val="center"/>
                </w:tcPr>
                <w:p w14:paraId="6B004C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是</w:t>
                  </w:r>
                </w:p>
              </w:tc>
            </w:tr>
            <w:tr w14:paraId="7E41EE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8" w:type="pct"/>
                  <w:vMerge w:val="continue"/>
                  <w:tcBorders>
                    <w:tl2br w:val="nil"/>
                    <w:tr2bl w:val="nil"/>
                  </w:tcBorders>
                  <w:shd w:val="clear" w:color="auto" w:fill="auto"/>
                  <w:noWrap/>
                  <w:tcMar>
                    <w:top w:w="15" w:type="dxa"/>
                    <w:left w:w="15" w:type="dxa"/>
                    <w:right w:w="15" w:type="dxa"/>
                  </w:tcMar>
                  <w:vAlign w:val="center"/>
                </w:tcPr>
                <w:p w14:paraId="79C4C8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p>
              </w:tc>
              <w:tc>
                <w:tcPr>
                  <w:tcW w:w="501" w:type="pct"/>
                  <w:tcBorders>
                    <w:tl2br w:val="nil"/>
                    <w:tr2bl w:val="nil"/>
                  </w:tcBorders>
                  <w:shd w:val="clear" w:color="auto" w:fill="auto"/>
                  <w:noWrap/>
                  <w:tcMar>
                    <w:top w:w="15" w:type="dxa"/>
                    <w:left w:w="15" w:type="dxa"/>
                    <w:right w:w="15" w:type="dxa"/>
                  </w:tcMar>
                  <w:vAlign w:val="center"/>
                </w:tcPr>
                <w:p w14:paraId="4447B7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四边磨</w:t>
                  </w:r>
                </w:p>
              </w:tc>
              <w:tc>
                <w:tcPr>
                  <w:tcW w:w="519" w:type="pct"/>
                  <w:tcBorders>
                    <w:tl2br w:val="nil"/>
                    <w:tr2bl w:val="nil"/>
                  </w:tcBorders>
                  <w:shd w:val="clear" w:color="auto" w:fill="auto"/>
                  <w:noWrap/>
                  <w:tcMar>
                    <w:top w:w="15" w:type="dxa"/>
                    <w:left w:w="15" w:type="dxa"/>
                    <w:right w:w="15" w:type="dxa"/>
                  </w:tcMar>
                  <w:vAlign w:val="center"/>
                </w:tcPr>
                <w:p w14:paraId="4D2F59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cs="Times New Roman"/>
                      <w:b w:val="0"/>
                      <w:bCs w:val="0"/>
                      <w:i w:val="0"/>
                      <w:color w:val="auto"/>
                      <w:sz w:val="21"/>
                      <w:szCs w:val="21"/>
                      <w:highlight w:val="none"/>
                      <w:u w:val="none"/>
                      <w:lang w:val="en-US" w:eastAsia="zh-CN"/>
                    </w:rPr>
                    <w:t>2</w:t>
                  </w:r>
                  <w:r>
                    <w:rPr>
                      <w:rFonts w:hint="default" w:ascii="Times New Roman" w:hAnsi="Times New Roman" w:eastAsia="宋体" w:cs="Times New Roman"/>
                      <w:b w:val="0"/>
                      <w:bCs w:val="0"/>
                      <w:i w:val="0"/>
                      <w:color w:val="auto"/>
                      <w:kern w:val="0"/>
                      <w:sz w:val="21"/>
                      <w:szCs w:val="21"/>
                      <w:highlight w:val="none"/>
                      <w:u w:val="none"/>
                      <w:lang w:val="en-US" w:eastAsia="zh-CN" w:bidi="ar"/>
                    </w:rPr>
                    <w:t>台</w:t>
                  </w:r>
                </w:p>
              </w:tc>
              <w:tc>
                <w:tcPr>
                  <w:tcW w:w="674" w:type="pct"/>
                  <w:tcBorders>
                    <w:tl2br w:val="nil"/>
                    <w:tr2bl w:val="nil"/>
                  </w:tcBorders>
                  <w:shd w:val="clear" w:color="auto" w:fill="auto"/>
                  <w:noWrap/>
                  <w:tcMar>
                    <w:top w:w="15" w:type="dxa"/>
                    <w:left w:w="15" w:type="dxa"/>
                    <w:right w:w="15" w:type="dxa"/>
                  </w:tcMar>
                  <w:vAlign w:val="center"/>
                </w:tcPr>
                <w:p w14:paraId="3EC363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50</w:t>
                  </w:r>
                </w:p>
              </w:tc>
              <w:tc>
                <w:tcPr>
                  <w:tcW w:w="537" w:type="pct"/>
                  <w:tcBorders>
                    <w:tl2br w:val="nil"/>
                    <w:tr2bl w:val="nil"/>
                  </w:tcBorders>
                  <w:shd w:val="clear" w:color="auto" w:fill="auto"/>
                  <w:noWrap/>
                  <w:tcMar>
                    <w:top w:w="15" w:type="dxa"/>
                    <w:left w:w="15" w:type="dxa"/>
                    <w:right w:w="15" w:type="dxa"/>
                  </w:tcMar>
                  <w:vAlign w:val="center"/>
                </w:tcPr>
                <w:p w14:paraId="3F82ED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2400</w:t>
                  </w:r>
                </w:p>
              </w:tc>
              <w:tc>
                <w:tcPr>
                  <w:tcW w:w="665" w:type="pct"/>
                  <w:tcBorders>
                    <w:tl2br w:val="nil"/>
                    <w:tr2bl w:val="nil"/>
                  </w:tcBorders>
                  <w:shd w:val="clear" w:color="auto" w:fill="auto"/>
                  <w:noWrap/>
                  <w:tcMar>
                    <w:top w:w="15" w:type="dxa"/>
                    <w:left w:w="15" w:type="dxa"/>
                    <w:right w:w="15" w:type="dxa"/>
                  </w:tcMar>
                  <w:vAlign w:val="center"/>
                </w:tcPr>
                <w:p w14:paraId="45ADD1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w:t>
                  </w:r>
                </w:p>
              </w:tc>
              <w:tc>
                <w:tcPr>
                  <w:tcW w:w="665" w:type="pct"/>
                  <w:tcBorders>
                    <w:tl2br w:val="nil"/>
                    <w:tr2bl w:val="nil"/>
                  </w:tcBorders>
                  <w:shd w:val="clear" w:color="auto" w:fill="auto"/>
                  <w:noWrap/>
                  <w:tcMar>
                    <w:top w:w="15" w:type="dxa"/>
                    <w:left w:w="15" w:type="dxa"/>
                    <w:right w:w="15" w:type="dxa"/>
                  </w:tcMar>
                  <w:vAlign w:val="center"/>
                </w:tcPr>
                <w:p w14:paraId="7F038C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21</w:t>
                  </w:r>
                </w:p>
              </w:tc>
              <w:tc>
                <w:tcPr>
                  <w:tcW w:w="510" w:type="pct"/>
                  <w:tcBorders>
                    <w:tl2br w:val="nil"/>
                    <w:tr2bl w:val="nil"/>
                  </w:tcBorders>
                  <w:shd w:val="clear" w:color="auto" w:fill="auto"/>
                  <w:noWrap/>
                  <w:tcMar>
                    <w:top w:w="15" w:type="dxa"/>
                    <w:left w:w="15" w:type="dxa"/>
                    <w:right w:w="15" w:type="dxa"/>
                  </w:tcMar>
                  <w:vAlign w:val="center"/>
                </w:tcPr>
                <w:p w14:paraId="263BFB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87.5</w:t>
                  </w:r>
                </w:p>
              </w:tc>
              <w:tc>
                <w:tcPr>
                  <w:tcW w:w="486" w:type="pct"/>
                  <w:tcBorders>
                    <w:tl2br w:val="nil"/>
                    <w:tr2bl w:val="nil"/>
                  </w:tcBorders>
                  <w:shd w:val="clear" w:color="auto" w:fill="auto"/>
                  <w:noWrap/>
                  <w:tcMar>
                    <w:top w:w="15" w:type="dxa"/>
                    <w:left w:w="15" w:type="dxa"/>
                    <w:right w:w="15" w:type="dxa"/>
                  </w:tcMar>
                  <w:vAlign w:val="center"/>
                </w:tcPr>
                <w:p w14:paraId="70F79F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是</w:t>
                  </w:r>
                </w:p>
              </w:tc>
            </w:tr>
            <w:tr w14:paraId="48EDC5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8" w:type="pct"/>
                  <w:vMerge w:val="continue"/>
                  <w:tcBorders>
                    <w:tl2br w:val="nil"/>
                    <w:tr2bl w:val="nil"/>
                  </w:tcBorders>
                  <w:shd w:val="clear" w:color="auto" w:fill="auto"/>
                  <w:noWrap/>
                  <w:tcMar>
                    <w:top w:w="15" w:type="dxa"/>
                    <w:left w:w="15" w:type="dxa"/>
                    <w:right w:w="15" w:type="dxa"/>
                  </w:tcMar>
                  <w:vAlign w:val="center"/>
                </w:tcPr>
                <w:p w14:paraId="599556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p>
              </w:tc>
              <w:tc>
                <w:tcPr>
                  <w:tcW w:w="501" w:type="pct"/>
                  <w:tcBorders>
                    <w:tl2br w:val="nil"/>
                    <w:tr2bl w:val="nil"/>
                  </w:tcBorders>
                  <w:shd w:val="clear" w:color="auto" w:fill="auto"/>
                  <w:noWrap/>
                  <w:tcMar>
                    <w:top w:w="15" w:type="dxa"/>
                    <w:left w:w="15" w:type="dxa"/>
                    <w:right w:w="15" w:type="dxa"/>
                  </w:tcMar>
                  <w:vAlign w:val="center"/>
                </w:tcPr>
                <w:p w14:paraId="1806EF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清洗机</w:t>
                  </w:r>
                </w:p>
              </w:tc>
              <w:tc>
                <w:tcPr>
                  <w:tcW w:w="519" w:type="pct"/>
                  <w:tcBorders>
                    <w:tl2br w:val="nil"/>
                    <w:tr2bl w:val="nil"/>
                  </w:tcBorders>
                  <w:shd w:val="clear" w:color="auto" w:fill="auto"/>
                  <w:noWrap/>
                  <w:tcMar>
                    <w:top w:w="15" w:type="dxa"/>
                    <w:left w:w="15" w:type="dxa"/>
                    <w:right w:w="15" w:type="dxa"/>
                  </w:tcMar>
                  <w:vAlign w:val="center"/>
                </w:tcPr>
                <w:p w14:paraId="68BD43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cs="Times New Roman"/>
                      <w:b w:val="0"/>
                      <w:bCs w:val="0"/>
                      <w:i w:val="0"/>
                      <w:color w:val="auto"/>
                      <w:sz w:val="21"/>
                      <w:szCs w:val="21"/>
                      <w:highlight w:val="none"/>
                      <w:u w:val="none"/>
                      <w:lang w:val="en-US" w:eastAsia="zh-CN"/>
                    </w:rPr>
                    <w:t>1</w:t>
                  </w:r>
                  <w:r>
                    <w:rPr>
                      <w:rFonts w:hint="default" w:ascii="Times New Roman" w:hAnsi="Times New Roman" w:eastAsia="宋体" w:cs="Times New Roman"/>
                      <w:b w:val="0"/>
                      <w:bCs w:val="0"/>
                      <w:i w:val="0"/>
                      <w:color w:val="auto"/>
                      <w:kern w:val="0"/>
                      <w:sz w:val="21"/>
                      <w:szCs w:val="21"/>
                      <w:highlight w:val="none"/>
                      <w:u w:val="none"/>
                      <w:lang w:val="en-US" w:eastAsia="zh-CN" w:bidi="ar"/>
                    </w:rPr>
                    <w:t>台</w:t>
                  </w:r>
                </w:p>
              </w:tc>
              <w:tc>
                <w:tcPr>
                  <w:tcW w:w="674" w:type="pct"/>
                  <w:tcBorders>
                    <w:tl2br w:val="nil"/>
                    <w:tr2bl w:val="nil"/>
                  </w:tcBorders>
                  <w:shd w:val="clear" w:color="auto" w:fill="auto"/>
                  <w:noWrap/>
                  <w:tcMar>
                    <w:top w:w="15" w:type="dxa"/>
                    <w:left w:w="15" w:type="dxa"/>
                    <w:right w:w="15" w:type="dxa"/>
                  </w:tcMar>
                  <w:vAlign w:val="center"/>
                </w:tcPr>
                <w:p w14:paraId="57EB80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160</w:t>
                  </w:r>
                </w:p>
              </w:tc>
              <w:tc>
                <w:tcPr>
                  <w:tcW w:w="537" w:type="pct"/>
                  <w:tcBorders>
                    <w:tl2br w:val="nil"/>
                    <w:tr2bl w:val="nil"/>
                  </w:tcBorders>
                  <w:shd w:val="clear" w:color="auto" w:fill="auto"/>
                  <w:noWrap/>
                  <w:tcMar>
                    <w:top w:w="15" w:type="dxa"/>
                    <w:left w:w="15" w:type="dxa"/>
                    <w:right w:w="15" w:type="dxa"/>
                  </w:tcMar>
                  <w:vAlign w:val="center"/>
                </w:tcPr>
                <w:p w14:paraId="753462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2400</w:t>
                  </w:r>
                </w:p>
              </w:tc>
              <w:tc>
                <w:tcPr>
                  <w:tcW w:w="665" w:type="pct"/>
                  <w:tcBorders>
                    <w:tl2br w:val="nil"/>
                    <w:tr2bl w:val="nil"/>
                  </w:tcBorders>
                  <w:shd w:val="clear" w:color="auto" w:fill="auto"/>
                  <w:noWrap/>
                  <w:tcMar>
                    <w:top w:w="15" w:type="dxa"/>
                    <w:left w:w="15" w:type="dxa"/>
                    <w:right w:w="15" w:type="dxa"/>
                  </w:tcMar>
                  <w:vAlign w:val="center"/>
                </w:tcPr>
                <w:p w14:paraId="2B8711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38.4</w:t>
                  </w:r>
                </w:p>
              </w:tc>
              <w:tc>
                <w:tcPr>
                  <w:tcW w:w="665" w:type="pct"/>
                  <w:tcBorders>
                    <w:tl2br w:val="nil"/>
                    <w:tr2bl w:val="nil"/>
                  </w:tcBorders>
                  <w:shd w:val="clear" w:color="auto" w:fill="auto"/>
                  <w:noWrap/>
                  <w:tcMar>
                    <w:top w:w="15" w:type="dxa"/>
                    <w:left w:w="15" w:type="dxa"/>
                    <w:right w:w="15" w:type="dxa"/>
                  </w:tcMar>
                  <w:vAlign w:val="center"/>
                </w:tcPr>
                <w:p w14:paraId="03E76D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31</w:t>
                  </w:r>
                </w:p>
              </w:tc>
              <w:tc>
                <w:tcPr>
                  <w:tcW w:w="510" w:type="pct"/>
                  <w:tcBorders>
                    <w:tl2br w:val="nil"/>
                    <w:tr2bl w:val="nil"/>
                  </w:tcBorders>
                  <w:shd w:val="clear" w:color="auto" w:fill="auto"/>
                  <w:noWrap/>
                  <w:tcMar>
                    <w:top w:w="15" w:type="dxa"/>
                    <w:left w:w="15" w:type="dxa"/>
                    <w:right w:w="15" w:type="dxa"/>
                  </w:tcMar>
                  <w:vAlign w:val="center"/>
                </w:tcPr>
                <w:p w14:paraId="163F49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80.73</w:t>
                  </w:r>
                </w:p>
              </w:tc>
              <w:tc>
                <w:tcPr>
                  <w:tcW w:w="486" w:type="pct"/>
                  <w:tcBorders>
                    <w:tl2br w:val="nil"/>
                    <w:tr2bl w:val="nil"/>
                  </w:tcBorders>
                  <w:shd w:val="clear" w:color="auto" w:fill="auto"/>
                  <w:noWrap/>
                  <w:tcMar>
                    <w:top w:w="15" w:type="dxa"/>
                    <w:left w:w="15" w:type="dxa"/>
                    <w:right w:w="15" w:type="dxa"/>
                  </w:tcMar>
                  <w:vAlign w:val="center"/>
                </w:tcPr>
                <w:p w14:paraId="65141C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是</w:t>
                  </w:r>
                </w:p>
              </w:tc>
            </w:tr>
            <w:tr w14:paraId="0E6597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8" w:type="pct"/>
                  <w:vMerge w:val="continue"/>
                  <w:tcBorders>
                    <w:tl2br w:val="nil"/>
                    <w:tr2bl w:val="nil"/>
                  </w:tcBorders>
                  <w:shd w:val="clear" w:color="auto" w:fill="auto"/>
                  <w:noWrap/>
                  <w:tcMar>
                    <w:top w:w="15" w:type="dxa"/>
                    <w:left w:w="15" w:type="dxa"/>
                    <w:right w:w="15" w:type="dxa"/>
                  </w:tcMar>
                  <w:vAlign w:val="center"/>
                </w:tcPr>
                <w:p w14:paraId="5FA41D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p>
              </w:tc>
              <w:tc>
                <w:tcPr>
                  <w:tcW w:w="501" w:type="pct"/>
                  <w:tcBorders>
                    <w:tl2br w:val="nil"/>
                    <w:tr2bl w:val="nil"/>
                  </w:tcBorders>
                  <w:shd w:val="clear" w:color="auto" w:fill="auto"/>
                  <w:noWrap/>
                  <w:tcMar>
                    <w:top w:w="15" w:type="dxa"/>
                    <w:left w:w="15" w:type="dxa"/>
                    <w:right w:w="15" w:type="dxa"/>
                  </w:tcMar>
                  <w:vAlign w:val="center"/>
                </w:tcPr>
                <w:p w14:paraId="4E50D5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钢化炉</w:t>
                  </w:r>
                </w:p>
              </w:tc>
              <w:tc>
                <w:tcPr>
                  <w:tcW w:w="519" w:type="pct"/>
                  <w:tcBorders>
                    <w:tl2br w:val="nil"/>
                    <w:tr2bl w:val="nil"/>
                  </w:tcBorders>
                  <w:shd w:val="clear" w:color="auto" w:fill="auto"/>
                  <w:noWrap/>
                  <w:tcMar>
                    <w:top w:w="15" w:type="dxa"/>
                    <w:left w:w="15" w:type="dxa"/>
                    <w:right w:w="15" w:type="dxa"/>
                  </w:tcMar>
                  <w:vAlign w:val="center"/>
                </w:tcPr>
                <w:p w14:paraId="349C20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cs="Times New Roman"/>
                      <w:b w:val="0"/>
                      <w:bCs w:val="0"/>
                      <w:i w:val="0"/>
                      <w:color w:val="auto"/>
                      <w:sz w:val="21"/>
                      <w:szCs w:val="21"/>
                      <w:highlight w:val="none"/>
                      <w:u w:val="none"/>
                      <w:lang w:val="en-US" w:eastAsia="zh-CN"/>
                    </w:rPr>
                    <w:t>1</w:t>
                  </w:r>
                  <w:r>
                    <w:rPr>
                      <w:rFonts w:hint="default" w:ascii="Times New Roman" w:hAnsi="Times New Roman" w:eastAsia="宋体" w:cs="Times New Roman"/>
                      <w:b w:val="0"/>
                      <w:bCs w:val="0"/>
                      <w:i w:val="0"/>
                      <w:color w:val="auto"/>
                      <w:kern w:val="0"/>
                      <w:sz w:val="21"/>
                      <w:szCs w:val="21"/>
                      <w:highlight w:val="none"/>
                      <w:u w:val="none"/>
                      <w:lang w:val="en-US" w:eastAsia="zh-CN" w:bidi="ar"/>
                    </w:rPr>
                    <w:t>台</w:t>
                  </w:r>
                </w:p>
              </w:tc>
              <w:tc>
                <w:tcPr>
                  <w:tcW w:w="674" w:type="pct"/>
                  <w:tcBorders>
                    <w:tl2br w:val="nil"/>
                    <w:tr2bl w:val="nil"/>
                  </w:tcBorders>
                  <w:shd w:val="clear" w:color="auto" w:fill="auto"/>
                  <w:noWrap/>
                  <w:tcMar>
                    <w:top w:w="15" w:type="dxa"/>
                    <w:left w:w="15" w:type="dxa"/>
                    <w:right w:w="15" w:type="dxa"/>
                  </w:tcMar>
                  <w:vAlign w:val="center"/>
                </w:tcPr>
                <w:p w14:paraId="28718D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100</w:t>
                  </w:r>
                </w:p>
              </w:tc>
              <w:tc>
                <w:tcPr>
                  <w:tcW w:w="537" w:type="pct"/>
                  <w:tcBorders>
                    <w:tl2br w:val="nil"/>
                    <w:tr2bl w:val="nil"/>
                  </w:tcBorders>
                  <w:shd w:val="clear" w:color="auto" w:fill="auto"/>
                  <w:noWrap/>
                  <w:tcMar>
                    <w:top w:w="15" w:type="dxa"/>
                    <w:left w:w="15" w:type="dxa"/>
                    <w:right w:w="15" w:type="dxa"/>
                  </w:tcMar>
                  <w:vAlign w:val="center"/>
                </w:tcPr>
                <w:p w14:paraId="00EEA0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2400</w:t>
                  </w:r>
                </w:p>
              </w:tc>
              <w:tc>
                <w:tcPr>
                  <w:tcW w:w="665" w:type="pct"/>
                  <w:tcBorders>
                    <w:tl2br w:val="nil"/>
                    <w:tr2bl w:val="nil"/>
                  </w:tcBorders>
                  <w:shd w:val="clear" w:color="auto" w:fill="auto"/>
                  <w:noWrap/>
                  <w:tcMar>
                    <w:top w:w="15" w:type="dxa"/>
                    <w:left w:w="15" w:type="dxa"/>
                    <w:right w:w="15" w:type="dxa"/>
                  </w:tcMar>
                  <w:vAlign w:val="center"/>
                </w:tcPr>
                <w:p w14:paraId="5FF077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w:t>
                  </w:r>
                </w:p>
              </w:tc>
              <w:tc>
                <w:tcPr>
                  <w:tcW w:w="665" w:type="pct"/>
                  <w:tcBorders>
                    <w:tl2br w:val="nil"/>
                    <w:tr2bl w:val="nil"/>
                  </w:tcBorders>
                  <w:shd w:val="clear" w:color="auto" w:fill="auto"/>
                  <w:noWrap/>
                  <w:tcMar>
                    <w:top w:w="15" w:type="dxa"/>
                    <w:left w:w="15" w:type="dxa"/>
                    <w:right w:w="15" w:type="dxa"/>
                  </w:tcMar>
                  <w:vAlign w:val="center"/>
                </w:tcPr>
                <w:p w14:paraId="76D6EB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21</w:t>
                  </w:r>
                </w:p>
              </w:tc>
              <w:tc>
                <w:tcPr>
                  <w:tcW w:w="510" w:type="pct"/>
                  <w:tcBorders>
                    <w:tl2br w:val="nil"/>
                    <w:tr2bl w:val="nil"/>
                  </w:tcBorders>
                  <w:shd w:val="clear" w:color="auto" w:fill="auto"/>
                  <w:noWrap/>
                  <w:tcMar>
                    <w:top w:w="15" w:type="dxa"/>
                    <w:left w:w="15" w:type="dxa"/>
                    <w:right w:w="15" w:type="dxa"/>
                  </w:tcMar>
                  <w:vAlign w:val="center"/>
                </w:tcPr>
                <w:p w14:paraId="1A5B2F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87.5</w:t>
                  </w:r>
                </w:p>
              </w:tc>
              <w:tc>
                <w:tcPr>
                  <w:tcW w:w="486" w:type="pct"/>
                  <w:tcBorders>
                    <w:tl2br w:val="nil"/>
                    <w:tr2bl w:val="nil"/>
                  </w:tcBorders>
                  <w:shd w:val="clear" w:color="auto" w:fill="auto"/>
                  <w:noWrap/>
                  <w:tcMar>
                    <w:top w:w="15" w:type="dxa"/>
                    <w:left w:w="15" w:type="dxa"/>
                    <w:right w:w="15" w:type="dxa"/>
                  </w:tcMar>
                  <w:vAlign w:val="center"/>
                </w:tcPr>
                <w:p w14:paraId="6BE0BA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是</w:t>
                  </w:r>
                </w:p>
              </w:tc>
            </w:tr>
            <w:tr w14:paraId="4C8C8E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8" w:type="pct"/>
                  <w:vMerge w:val="restart"/>
                  <w:tcBorders>
                    <w:tl2br w:val="nil"/>
                    <w:tr2bl w:val="nil"/>
                  </w:tcBorders>
                  <w:shd w:val="clear" w:color="auto" w:fill="auto"/>
                  <w:noWrap/>
                  <w:tcMar>
                    <w:top w:w="15" w:type="dxa"/>
                    <w:left w:w="15" w:type="dxa"/>
                    <w:right w:w="15" w:type="dxa"/>
                  </w:tcMar>
                  <w:vAlign w:val="center"/>
                </w:tcPr>
                <w:p w14:paraId="37CA62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中空玻璃生产线</w:t>
                  </w:r>
                </w:p>
              </w:tc>
              <w:tc>
                <w:tcPr>
                  <w:tcW w:w="501" w:type="pct"/>
                  <w:tcBorders>
                    <w:tl2br w:val="nil"/>
                    <w:tr2bl w:val="nil"/>
                  </w:tcBorders>
                  <w:shd w:val="clear" w:color="auto" w:fill="auto"/>
                  <w:noWrap/>
                  <w:tcMar>
                    <w:top w:w="15" w:type="dxa"/>
                    <w:left w:w="15" w:type="dxa"/>
                    <w:right w:w="15" w:type="dxa"/>
                  </w:tcMar>
                  <w:vAlign w:val="center"/>
                </w:tcPr>
                <w:p w14:paraId="4751E2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铝条折弯机</w:t>
                  </w:r>
                </w:p>
              </w:tc>
              <w:tc>
                <w:tcPr>
                  <w:tcW w:w="519" w:type="pct"/>
                  <w:tcBorders>
                    <w:tl2br w:val="nil"/>
                    <w:tr2bl w:val="nil"/>
                  </w:tcBorders>
                  <w:shd w:val="clear" w:color="auto" w:fill="auto"/>
                  <w:noWrap/>
                  <w:tcMar>
                    <w:top w:w="15" w:type="dxa"/>
                    <w:left w:w="15" w:type="dxa"/>
                    <w:right w:w="15" w:type="dxa"/>
                  </w:tcMar>
                  <w:vAlign w:val="center"/>
                </w:tcPr>
                <w:p w14:paraId="255B1B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cs="Times New Roman"/>
                      <w:b w:val="0"/>
                      <w:bCs w:val="0"/>
                      <w:i w:val="0"/>
                      <w:color w:val="auto"/>
                      <w:sz w:val="21"/>
                      <w:szCs w:val="21"/>
                      <w:highlight w:val="none"/>
                      <w:u w:val="none"/>
                      <w:lang w:val="en-US" w:eastAsia="zh-CN"/>
                    </w:rPr>
                    <w:t>1</w:t>
                  </w:r>
                  <w:r>
                    <w:rPr>
                      <w:rFonts w:hint="default" w:ascii="Times New Roman" w:hAnsi="Times New Roman" w:eastAsia="宋体" w:cs="Times New Roman"/>
                      <w:b w:val="0"/>
                      <w:bCs w:val="0"/>
                      <w:i w:val="0"/>
                      <w:color w:val="auto"/>
                      <w:kern w:val="0"/>
                      <w:sz w:val="21"/>
                      <w:szCs w:val="21"/>
                      <w:highlight w:val="none"/>
                      <w:u w:val="none"/>
                      <w:lang w:val="en-US" w:eastAsia="zh-CN" w:bidi="ar"/>
                    </w:rPr>
                    <w:t>台</w:t>
                  </w:r>
                </w:p>
              </w:tc>
              <w:tc>
                <w:tcPr>
                  <w:tcW w:w="674" w:type="pct"/>
                  <w:tcBorders>
                    <w:tl2br w:val="nil"/>
                    <w:tr2bl w:val="nil"/>
                  </w:tcBorders>
                  <w:shd w:val="clear" w:color="auto" w:fill="auto"/>
                  <w:noWrap/>
                  <w:tcMar>
                    <w:top w:w="15" w:type="dxa"/>
                    <w:left w:w="15" w:type="dxa"/>
                    <w:right w:w="15" w:type="dxa"/>
                  </w:tcMar>
                  <w:vAlign w:val="center"/>
                </w:tcPr>
                <w:p w14:paraId="00AFA6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400m/h</w:t>
                  </w:r>
                </w:p>
              </w:tc>
              <w:tc>
                <w:tcPr>
                  <w:tcW w:w="537" w:type="pct"/>
                  <w:tcBorders>
                    <w:tl2br w:val="nil"/>
                    <w:tr2bl w:val="nil"/>
                  </w:tcBorders>
                  <w:shd w:val="clear" w:color="auto" w:fill="auto"/>
                  <w:noWrap/>
                  <w:tcMar>
                    <w:top w:w="15" w:type="dxa"/>
                    <w:left w:w="15" w:type="dxa"/>
                    <w:right w:w="15" w:type="dxa"/>
                  </w:tcMar>
                  <w:vAlign w:val="center"/>
                </w:tcPr>
                <w:p w14:paraId="3714A2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2400</w:t>
                  </w:r>
                </w:p>
              </w:tc>
              <w:tc>
                <w:tcPr>
                  <w:tcW w:w="665" w:type="pct"/>
                  <w:tcBorders>
                    <w:tl2br w:val="nil"/>
                    <w:tr2bl w:val="nil"/>
                  </w:tcBorders>
                  <w:shd w:val="clear" w:color="auto" w:fill="auto"/>
                  <w:noWrap/>
                  <w:tcMar>
                    <w:top w:w="15" w:type="dxa"/>
                    <w:left w:w="15" w:type="dxa"/>
                    <w:right w:w="15" w:type="dxa"/>
                  </w:tcMar>
                  <w:vAlign w:val="center"/>
                </w:tcPr>
                <w:p w14:paraId="3DA2A5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96万m/a</w:t>
                  </w:r>
                </w:p>
              </w:tc>
              <w:tc>
                <w:tcPr>
                  <w:tcW w:w="665" w:type="pct"/>
                  <w:tcBorders>
                    <w:tl2br w:val="nil"/>
                    <w:tr2bl w:val="nil"/>
                  </w:tcBorders>
                  <w:shd w:val="clear" w:color="auto" w:fill="auto"/>
                  <w:noWrap/>
                  <w:tcMar>
                    <w:top w:w="15" w:type="dxa"/>
                    <w:left w:w="15" w:type="dxa"/>
                    <w:right w:w="15" w:type="dxa"/>
                  </w:tcMar>
                  <w:vAlign w:val="center"/>
                </w:tcPr>
                <w:p w14:paraId="605E73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84万m/a</w:t>
                  </w:r>
                </w:p>
              </w:tc>
              <w:tc>
                <w:tcPr>
                  <w:tcW w:w="510" w:type="pct"/>
                  <w:tcBorders>
                    <w:tl2br w:val="nil"/>
                    <w:tr2bl w:val="nil"/>
                  </w:tcBorders>
                  <w:shd w:val="clear" w:color="auto" w:fill="auto"/>
                  <w:noWrap/>
                  <w:tcMar>
                    <w:top w:w="15" w:type="dxa"/>
                    <w:left w:w="15" w:type="dxa"/>
                    <w:right w:w="15" w:type="dxa"/>
                  </w:tcMar>
                  <w:vAlign w:val="center"/>
                </w:tcPr>
                <w:p w14:paraId="1E74A1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87.5</w:t>
                  </w:r>
                </w:p>
              </w:tc>
              <w:tc>
                <w:tcPr>
                  <w:tcW w:w="486" w:type="pct"/>
                  <w:tcBorders>
                    <w:tl2br w:val="nil"/>
                    <w:tr2bl w:val="nil"/>
                  </w:tcBorders>
                  <w:shd w:val="clear" w:color="auto" w:fill="auto"/>
                  <w:noWrap/>
                  <w:tcMar>
                    <w:top w:w="15" w:type="dxa"/>
                    <w:left w:w="15" w:type="dxa"/>
                    <w:right w:w="15" w:type="dxa"/>
                  </w:tcMar>
                  <w:vAlign w:val="center"/>
                </w:tcPr>
                <w:p w14:paraId="7104F3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是</w:t>
                  </w:r>
                </w:p>
              </w:tc>
            </w:tr>
            <w:tr w14:paraId="3A2270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8" w:type="pct"/>
                  <w:vMerge w:val="continue"/>
                  <w:tcBorders>
                    <w:tl2br w:val="nil"/>
                    <w:tr2bl w:val="nil"/>
                  </w:tcBorders>
                  <w:shd w:val="clear" w:color="auto" w:fill="auto"/>
                  <w:noWrap/>
                  <w:tcMar>
                    <w:top w:w="15" w:type="dxa"/>
                    <w:left w:w="15" w:type="dxa"/>
                    <w:right w:w="15" w:type="dxa"/>
                  </w:tcMar>
                  <w:vAlign w:val="center"/>
                </w:tcPr>
                <w:p w14:paraId="4E82D4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p>
              </w:tc>
              <w:tc>
                <w:tcPr>
                  <w:tcW w:w="501" w:type="pct"/>
                  <w:tcBorders>
                    <w:tl2br w:val="nil"/>
                    <w:tr2bl w:val="nil"/>
                  </w:tcBorders>
                  <w:shd w:val="clear" w:color="auto" w:fill="auto"/>
                  <w:noWrap/>
                  <w:tcMar>
                    <w:top w:w="15" w:type="dxa"/>
                    <w:left w:w="15" w:type="dxa"/>
                    <w:right w:w="15" w:type="dxa"/>
                  </w:tcMar>
                  <w:vAlign w:val="center"/>
                </w:tcPr>
                <w:p w14:paraId="5991A9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分子筛灌装机</w:t>
                  </w:r>
                </w:p>
              </w:tc>
              <w:tc>
                <w:tcPr>
                  <w:tcW w:w="519" w:type="pct"/>
                  <w:tcBorders>
                    <w:tl2br w:val="nil"/>
                    <w:tr2bl w:val="nil"/>
                  </w:tcBorders>
                  <w:shd w:val="clear" w:color="auto" w:fill="auto"/>
                  <w:noWrap/>
                  <w:tcMar>
                    <w:top w:w="15" w:type="dxa"/>
                    <w:left w:w="15" w:type="dxa"/>
                    <w:right w:w="15" w:type="dxa"/>
                  </w:tcMar>
                  <w:vAlign w:val="center"/>
                </w:tcPr>
                <w:p w14:paraId="295F42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cs="Times New Roman"/>
                      <w:b w:val="0"/>
                      <w:bCs w:val="0"/>
                      <w:i w:val="0"/>
                      <w:color w:val="auto"/>
                      <w:sz w:val="21"/>
                      <w:szCs w:val="21"/>
                      <w:highlight w:val="none"/>
                      <w:u w:val="none"/>
                      <w:lang w:val="en-US" w:eastAsia="zh-CN"/>
                    </w:rPr>
                    <w:t>1</w:t>
                  </w:r>
                  <w:r>
                    <w:rPr>
                      <w:rFonts w:hint="default" w:ascii="Times New Roman" w:hAnsi="Times New Roman" w:eastAsia="宋体" w:cs="Times New Roman"/>
                      <w:b w:val="0"/>
                      <w:bCs w:val="0"/>
                      <w:i w:val="0"/>
                      <w:color w:val="auto"/>
                      <w:kern w:val="0"/>
                      <w:sz w:val="21"/>
                      <w:szCs w:val="21"/>
                      <w:highlight w:val="none"/>
                      <w:u w:val="none"/>
                      <w:lang w:val="en-US" w:eastAsia="zh-CN" w:bidi="ar"/>
                    </w:rPr>
                    <w:t>台</w:t>
                  </w:r>
                </w:p>
              </w:tc>
              <w:tc>
                <w:tcPr>
                  <w:tcW w:w="674" w:type="pct"/>
                  <w:tcBorders>
                    <w:tl2br w:val="nil"/>
                    <w:tr2bl w:val="nil"/>
                  </w:tcBorders>
                  <w:shd w:val="clear" w:color="auto" w:fill="auto"/>
                  <w:noWrap/>
                  <w:tcMar>
                    <w:top w:w="15" w:type="dxa"/>
                    <w:left w:w="15" w:type="dxa"/>
                    <w:right w:w="15" w:type="dxa"/>
                  </w:tcMar>
                  <w:vAlign w:val="center"/>
                </w:tcPr>
                <w:p w14:paraId="7F3C92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125</w:t>
                  </w:r>
                </w:p>
              </w:tc>
              <w:tc>
                <w:tcPr>
                  <w:tcW w:w="537" w:type="pct"/>
                  <w:tcBorders>
                    <w:tl2br w:val="nil"/>
                    <w:tr2bl w:val="nil"/>
                  </w:tcBorders>
                  <w:shd w:val="clear" w:color="auto" w:fill="auto"/>
                  <w:noWrap/>
                  <w:tcMar>
                    <w:top w:w="15" w:type="dxa"/>
                    <w:left w:w="15" w:type="dxa"/>
                    <w:right w:w="15" w:type="dxa"/>
                  </w:tcMar>
                  <w:vAlign w:val="center"/>
                </w:tcPr>
                <w:p w14:paraId="603B4C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2400</w:t>
                  </w:r>
                </w:p>
              </w:tc>
              <w:tc>
                <w:tcPr>
                  <w:tcW w:w="665" w:type="pct"/>
                  <w:tcBorders>
                    <w:tl2br w:val="nil"/>
                    <w:tr2bl w:val="nil"/>
                  </w:tcBorders>
                  <w:shd w:val="clear" w:color="auto" w:fill="auto"/>
                  <w:noWrap/>
                  <w:tcMar>
                    <w:top w:w="15" w:type="dxa"/>
                    <w:left w:w="15" w:type="dxa"/>
                    <w:right w:w="15" w:type="dxa"/>
                  </w:tcMar>
                  <w:vAlign w:val="center"/>
                </w:tcPr>
                <w:p w14:paraId="52DD42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30</w:t>
                  </w:r>
                </w:p>
              </w:tc>
              <w:tc>
                <w:tcPr>
                  <w:tcW w:w="665" w:type="pct"/>
                  <w:tcBorders>
                    <w:tl2br w:val="nil"/>
                    <w:tr2bl w:val="nil"/>
                  </w:tcBorders>
                  <w:shd w:val="clear" w:color="auto" w:fill="auto"/>
                  <w:noWrap/>
                  <w:tcMar>
                    <w:top w:w="15" w:type="dxa"/>
                    <w:left w:w="15" w:type="dxa"/>
                    <w:right w:w="15" w:type="dxa"/>
                  </w:tcMar>
                  <w:vAlign w:val="center"/>
                </w:tcPr>
                <w:p w14:paraId="0EEC86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21</w:t>
                  </w:r>
                </w:p>
              </w:tc>
              <w:tc>
                <w:tcPr>
                  <w:tcW w:w="510" w:type="pct"/>
                  <w:tcBorders>
                    <w:tl2br w:val="nil"/>
                    <w:tr2bl w:val="nil"/>
                  </w:tcBorders>
                  <w:shd w:val="clear" w:color="auto" w:fill="auto"/>
                  <w:noWrap/>
                  <w:tcMar>
                    <w:top w:w="15" w:type="dxa"/>
                    <w:left w:w="15" w:type="dxa"/>
                    <w:right w:w="15" w:type="dxa"/>
                  </w:tcMar>
                  <w:vAlign w:val="center"/>
                </w:tcPr>
                <w:p w14:paraId="02AED3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70</w:t>
                  </w:r>
                </w:p>
              </w:tc>
              <w:tc>
                <w:tcPr>
                  <w:tcW w:w="486" w:type="pct"/>
                  <w:tcBorders>
                    <w:tl2br w:val="nil"/>
                    <w:tr2bl w:val="nil"/>
                  </w:tcBorders>
                  <w:shd w:val="clear" w:color="auto" w:fill="auto"/>
                  <w:noWrap/>
                  <w:tcMar>
                    <w:top w:w="15" w:type="dxa"/>
                    <w:left w:w="15" w:type="dxa"/>
                    <w:right w:w="15" w:type="dxa"/>
                  </w:tcMar>
                  <w:vAlign w:val="center"/>
                </w:tcPr>
                <w:p w14:paraId="69CCC9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是</w:t>
                  </w:r>
                </w:p>
              </w:tc>
            </w:tr>
            <w:tr w14:paraId="31EAB7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8" w:type="pct"/>
                  <w:vMerge w:val="continue"/>
                  <w:tcBorders>
                    <w:tl2br w:val="nil"/>
                    <w:tr2bl w:val="nil"/>
                  </w:tcBorders>
                  <w:shd w:val="clear" w:color="auto" w:fill="auto"/>
                  <w:noWrap/>
                  <w:tcMar>
                    <w:top w:w="15" w:type="dxa"/>
                    <w:left w:w="15" w:type="dxa"/>
                    <w:right w:w="15" w:type="dxa"/>
                  </w:tcMar>
                  <w:vAlign w:val="center"/>
                </w:tcPr>
                <w:p w14:paraId="7FD845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p>
              </w:tc>
              <w:tc>
                <w:tcPr>
                  <w:tcW w:w="501" w:type="pct"/>
                  <w:tcBorders>
                    <w:tl2br w:val="nil"/>
                    <w:tr2bl w:val="nil"/>
                  </w:tcBorders>
                  <w:shd w:val="clear" w:color="auto" w:fill="auto"/>
                  <w:noWrap/>
                  <w:tcMar>
                    <w:top w:w="15" w:type="dxa"/>
                    <w:left w:w="15" w:type="dxa"/>
                    <w:right w:w="15" w:type="dxa"/>
                  </w:tcMar>
                  <w:vAlign w:val="center"/>
                </w:tcPr>
                <w:p w14:paraId="090F83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涂胶机</w:t>
                  </w:r>
                </w:p>
              </w:tc>
              <w:tc>
                <w:tcPr>
                  <w:tcW w:w="519" w:type="pct"/>
                  <w:tcBorders>
                    <w:tl2br w:val="nil"/>
                    <w:tr2bl w:val="nil"/>
                  </w:tcBorders>
                  <w:shd w:val="clear" w:color="auto" w:fill="auto"/>
                  <w:noWrap/>
                  <w:tcMar>
                    <w:top w:w="15" w:type="dxa"/>
                    <w:left w:w="15" w:type="dxa"/>
                    <w:right w:w="15" w:type="dxa"/>
                  </w:tcMar>
                  <w:vAlign w:val="center"/>
                </w:tcPr>
                <w:p w14:paraId="023A8C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cs="Times New Roman"/>
                      <w:b w:val="0"/>
                      <w:bCs w:val="0"/>
                      <w:i w:val="0"/>
                      <w:color w:val="auto"/>
                      <w:sz w:val="21"/>
                      <w:szCs w:val="21"/>
                      <w:highlight w:val="none"/>
                      <w:u w:val="none"/>
                      <w:lang w:val="en-US" w:eastAsia="zh-CN"/>
                    </w:rPr>
                    <w:t>1</w:t>
                  </w:r>
                  <w:r>
                    <w:rPr>
                      <w:rFonts w:hint="default" w:ascii="Times New Roman" w:hAnsi="Times New Roman" w:eastAsia="宋体" w:cs="Times New Roman"/>
                      <w:b w:val="0"/>
                      <w:bCs w:val="0"/>
                      <w:i w:val="0"/>
                      <w:color w:val="auto"/>
                      <w:kern w:val="0"/>
                      <w:sz w:val="21"/>
                      <w:szCs w:val="21"/>
                      <w:highlight w:val="none"/>
                      <w:u w:val="none"/>
                      <w:lang w:val="en-US" w:eastAsia="zh-CN" w:bidi="ar"/>
                    </w:rPr>
                    <w:t>台</w:t>
                  </w:r>
                </w:p>
              </w:tc>
              <w:tc>
                <w:tcPr>
                  <w:tcW w:w="674" w:type="pct"/>
                  <w:tcBorders>
                    <w:tl2br w:val="nil"/>
                    <w:tr2bl w:val="nil"/>
                  </w:tcBorders>
                  <w:shd w:val="clear" w:color="auto" w:fill="auto"/>
                  <w:noWrap/>
                  <w:tcMar>
                    <w:top w:w="15" w:type="dxa"/>
                    <w:left w:w="15" w:type="dxa"/>
                    <w:right w:w="15" w:type="dxa"/>
                  </w:tcMar>
                  <w:vAlign w:val="center"/>
                </w:tcPr>
                <w:p w14:paraId="7B0CC1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120</w:t>
                  </w:r>
                </w:p>
              </w:tc>
              <w:tc>
                <w:tcPr>
                  <w:tcW w:w="537" w:type="pct"/>
                  <w:tcBorders>
                    <w:tl2br w:val="nil"/>
                    <w:tr2bl w:val="nil"/>
                  </w:tcBorders>
                  <w:shd w:val="clear" w:color="auto" w:fill="auto"/>
                  <w:noWrap/>
                  <w:tcMar>
                    <w:top w:w="15" w:type="dxa"/>
                    <w:left w:w="15" w:type="dxa"/>
                    <w:right w:w="15" w:type="dxa"/>
                  </w:tcMar>
                  <w:vAlign w:val="center"/>
                </w:tcPr>
                <w:p w14:paraId="74A3D4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2400</w:t>
                  </w:r>
                </w:p>
              </w:tc>
              <w:tc>
                <w:tcPr>
                  <w:tcW w:w="665" w:type="pct"/>
                  <w:tcBorders>
                    <w:tl2br w:val="nil"/>
                    <w:tr2bl w:val="nil"/>
                  </w:tcBorders>
                  <w:shd w:val="clear" w:color="auto" w:fill="auto"/>
                  <w:noWrap/>
                  <w:tcMar>
                    <w:top w:w="15" w:type="dxa"/>
                    <w:left w:w="15" w:type="dxa"/>
                    <w:right w:w="15" w:type="dxa"/>
                  </w:tcMar>
                  <w:vAlign w:val="center"/>
                </w:tcPr>
                <w:p w14:paraId="7CCA9C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28.8</w:t>
                  </w:r>
                </w:p>
              </w:tc>
              <w:tc>
                <w:tcPr>
                  <w:tcW w:w="665" w:type="pct"/>
                  <w:tcBorders>
                    <w:tl2br w:val="nil"/>
                    <w:tr2bl w:val="nil"/>
                  </w:tcBorders>
                  <w:shd w:val="clear" w:color="auto" w:fill="auto"/>
                  <w:noWrap/>
                  <w:tcMar>
                    <w:top w:w="15" w:type="dxa"/>
                    <w:left w:w="15" w:type="dxa"/>
                    <w:right w:w="15" w:type="dxa"/>
                  </w:tcMar>
                  <w:vAlign w:val="center"/>
                </w:tcPr>
                <w:p w14:paraId="656E3B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21</w:t>
                  </w:r>
                </w:p>
              </w:tc>
              <w:tc>
                <w:tcPr>
                  <w:tcW w:w="510" w:type="pct"/>
                  <w:tcBorders>
                    <w:tl2br w:val="nil"/>
                    <w:tr2bl w:val="nil"/>
                  </w:tcBorders>
                  <w:shd w:val="clear" w:color="auto" w:fill="auto"/>
                  <w:noWrap/>
                  <w:tcMar>
                    <w:top w:w="15" w:type="dxa"/>
                    <w:left w:w="15" w:type="dxa"/>
                    <w:right w:w="15" w:type="dxa"/>
                  </w:tcMar>
                  <w:vAlign w:val="center"/>
                </w:tcPr>
                <w:p w14:paraId="000ABB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72.92</w:t>
                  </w:r>
                </w:p>
              </w:tc>
              <w:tc>
                <w:tcPr>
                  <w:tcW w:w="486" w:type="pct"/>
                  <w:tcBorders>
                    <w:tl2br w:val="nil"/>
                    <w:tr2bl w:val="nil"/>
                  </w:tcBorders>
                  <w:shd w:val="clear" w:color="auto" w:fill="auto"/>
                  <w:noWrap/>
                  <w:tcMar>
                    <w:top w:w="15" w:type="dxa"/>
                    <w:left w:w="15" w:type="dxa"/>
                    <w:right w:w="15" w:type="dxa"/>
                  </w:tcMar>
                  <w:vAlign w:val="center"/>
                </w:tcPr>
                <w:p w14:paraId="6715D3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是</w:t>
                  </w:r>
                </w:p>
              </w:tc>
            </w:tr>
            <w:tr w14:paraId="4E0F9D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8" w:type="pct"/>
                  <w:vMerge w:val="restart"/>
                  <w:tcBorders>
                    <w:tl2br w:val="nil"/>
                    <w:tr2bl w:val="nil"/>
                  </w:tcBorders>
                  <w:shd w:val="clear" w:color="auto" w:fill="auto"/>
                  <w:noWrap/>
                  <w:tcMar>
                    <w:top w:w="15" w:type="dxa"/>
                    <w:left w:w="15" w:type="dxa"/>
                    <w:right w:w="15" w:type="dxa"/>
                  </w:tcMar>
                  <w:vAlign w:val="center"/>
                </w:tcPr>
                <w:p w14:paraId="4B5904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夹胶玻璃生产线</w:t>
                  </w:r>
                </w:p>
              </w:tc>
              <w:tc>
                <w:tcPr>
                  <w:tcW w:w="501" w:type="pct"/>
                  <w:tcBorders>
                    <w:tl2br w:val="nil"/>
                    <w:tr2bl w:val="nil"/>
                  </w:tcBorders>
                  <w:shd w:val="clear" w:color="auto" w:fill="auto"/>
                  <w:noWrap/>
                  <w:tcMar>
                    <w:top w:w="15" w:type="dxa"/>
                    <w:left w:w="15" w:type="dxa"/>
                    <w:right w:w="15" w:type="dxa"/>
                  </w:tcMar>
                  <w:vAlign w:val="center"/>
                </w:tcPr>
                <w:p w14:paraId="3AB760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清洗机</w:t>
                  </w:r>
                </w:p>
              </w:tc>
              <w:tc>
                <w:tcPr>
                  <w:tcW w:w="519" w:type="pct"/>
                  <w:tcBorders>
                    <w:tl2br w:val="nil"/>
                    <w:tr2bl w:val="nil"/>
                  </w:tcBorders>
                  <w:shd w:val="clear" w:color="auto" w:fill="auto"/>
                  <w:noWrap/>
                  <w:tcMar>
                    <w:top w:w="15" w:type="dxa"/>
                    <w:left w:w="15" w:type="dxa"/>
                    <w:right w:w="15" w:type="dxa"/>
                  </w:tcMar>
                  <w:vAlign w:val="center"/>
                </w:tcPr>
                <w:p w14:paraId="14A952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cs="Times New Roman"/>
                      <w:b w:val="0"/>
                      <w:bCs w:val="0"/>
                      <w:i w:val="0"/>
                      <w:color w:val="auto"/>
                      <w:sz w:val="21"/>
                      <w:szCs w:val="21"/>
                      <w:highlight w:val="none"/>
                      <w:u w:val="none"/>
                      <w:lang w:val="en-US" w:eastAsia="zh-CN"/>
                    </w:rPr>
                    <w:t>1</w:t>
                  </w:r>
                  <w:r>
                    <w:rPr>
                      <w:rFonts w:hint="default" w:ascii="Times New Roman" w:hAnsi="Times New Roman" w:eastAsia="宋体" w:cs="Times New Roman"/>
                      <w:b w:val="0"/>
                      <w:bCs w:val="0"/>
                      <w:i w:val="0"/>
                      <w:color w:val="auto"/>
                      <w:kern w:val="0"/>
                      <w:sz w:val="21"/>
                      <w:szCs w:val="21"/>
                      <w:highlight w:val="none"/>
                      <w:u w:val="none"/>
                      <w:lang w:val="en-US" w:eastAsia="zh-CN" w:bidi="ar"/>
                    </w:rPr>
                    <w:t>台</w:t>
                  </w:r>
                </w:p>
              </w:tc>
              <w:tc>
                <w:tcPr>
                  <w:tcW w:w="674" w:type="pct"/>
                  <w:tcBorders>
                    <w:tl2br w:val="nil"/>
                    <w:tr2bl w:val="nil"/>
                  </w:tcBorders>
                  <w:shd w:val="clear" w:color="auto" w:fill="auto"/>
                  <w:noWrap/>
                  <w:tcMar>
                    <w:top w:w="15" w:type="dxa"/>
                    <w:left w:w="15" w:type="dxa"/>
                    <w:right w:w="15" w:type="dxa"/>
                  </w:tcMar>
                  <w:vAlign w:val="center"/>
                </w:tcPr>
                <w:p w14:paraId="4147DE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50</w:t>
                  </w:r>
                </w:p>
              </w:tc>
              <w:tc>
                <w:tcPr>
                  <w:tcW w:w="537" w:type="pct"/>
                  <w:tcBorders>
                    <w:tl2br w:val="nil"/>
                    <w:tr2bl w:val="nil"/>
                  </w:tcBorders>
                  <w:shd w:val="clear" w:color="auto" w:fill="auto"/>
                  <w:noWrap/>
                  <w:tcMar>
                    <w:top w:w="15" w:type="dxa"/>
                    <w:left w:w="15" w:type="dxa"/>
                    <w:right w:w="15" w:type="dxa"/>
                  </w:tcMar>
                  <w:vAlign w:val="center"/>
                </w:tcPr>
                <w:p w14:paraId="48E959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2400</w:t>
                  </w:r>
                </w:p>
              </w:tc>
              <w:tc>
                <w:tcPr>
                  <w:tcW w:w="665" w:type="pct"/>
                  <w:tcBorders>
                    <w:tl2br w:val="nil"/>
                    <w:tr2bl w:val="nil"/>
                  </w:tcBorders>
                  <w:shd w:val="clear" w:color="auto" w:fill="auto"/>
                  <w:noWrap/>
                  <w:tcMar>
                    <w:top w:w="15" w:type="dxa"/>
                    <w:left w:w="15" w:type="dxa"/>
                    <w:right w:w="15" w:type="dxa"/>
                  </w:tcMar>
                  <w:vAlign w:val="center"/>
                </w:tcPr>
                <w:p w14:paraId="033B7A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6</w:t>
                  </w:r>
                </w:p>
              </w:tc>
              <w:tc>
                <w:tcPr>
                  <w:tcW w:w="665" w:type="pct"/>
                  <w:tcBorders>
                    <w:tl2br w:val="nil"/>
                    <w:tr2bl w:val="nil"/>
                  </w:tcBorders>
                  <w:shd w:val="clear" w:color="auto" w:fill="auto"/>
                  <w:noWrap/>
                  <w:tcMar>
                    <w:top w:w="15" w:type="dxa"/>
                    <w:left w:w="15" w:type="dxa"/>
                    <w:right w:w="15" w:type="dxa"/>
                  </w:tcMar>
                  <w:vAlign w:val="center"/>
                </w:tcPr>
                <w:p w14:paraId="382CA8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w:t>
                  </w:r>
                </w:p>
              </w:tc>
              <w:tc>
                <w:tcPr>
                  <w:tcW w:w="510" w:type="pct"/>
                  <w:tcBorders>
                    <w:tl2br w:val="nil"/>
                    <w:tr2bl w:val="nil"/>
                  </w:tcBorders>
                  <w:shd w:val="clear" w:color="auto" w:fill="auto"/>
                  <w:noWrap/>
                  <w:tcMar>
                    <w:top w:w="15" w:type="dxa"/>
                    <w:left w:w="15" w:type="dxa"/>
                    <w:right w:w="15" w:type="dxa"/>
                  </w:tcMar>
                  <w:vAlign w:val="center"/>
                </w:tcPr>
                <w:p w14:paraId="403A8E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33.3</w:t>
                  </w:r>
                </w:p>
              </w:tc>
              <w:tc>
                <w:tcPr>
                  <w:tcW w:w="486" w:type="pct"/>
                  <w:tcBorders>
                    <w:tl2br w:val="nil"/>
                    <w:tr2bl w:val="nil"/>
                  </w:tcBorders>
                  <w:shd w:val="clear" w:color="auto" w:fill="auto"/>
                  <w:noWrap/>
                  <w:tcMar>
                    <w:top w:w="15" w:type="dxa"/>
                    <w:left w:w="15" w:type="dxa"/>
                    <w:right w:w="15" w:type="dxa"/>
                  </w:tcMar>
                  <w:vAlign w:val="center"/>
                </w:tcPr>
                <w:p w14:paraId="136890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是</w:t>
                  </w:r>
                </w:p>
              </w:tc>
            </w:tr>
            <w:tr w14:paraId="18A426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38" w:type="pct"/>
                  <w:vMerge w:val="continue"/>
                  <w:tcBorders>
                    <w:tl2br w:val="nil"/>
                    <w:tr2bl w:val="nil"/>
                  </w:tcBorders>
                  <w:noWrap/>
                  <w:tcMar>
                    <w:top w:w="15" w:type="dxa"/>
                    <w:left w:w="15" w:type="dxa"/>
                    <w:right w:w="15" w:type="dxa"/>
                  </w:tcMar>
                  <w:vAlign w:val="center"/>
                </w:tcPr>
                <w:p w14:paraId="7C0621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sz w:val="21"/>
                      <w:szCs w:val="21"/>
                      <w:highlight w:val="none"/>
                      <w:u w:val="none"/>
                      <w:lang w:val="en-US" w:eastAsia="zh-CN"/>
                    </w:rPr>
                  </w:pPr>
                </w:p>
              </w:tc>
              <w:tc>
                <w:tcPr>
                  <w:tcW w:w="501" w:type="pct"/>
                  <w:tcBorders>
                    <w:tl2br w:val="nil"/>
                    <w:tr2bl w:val="nil"/>
                  </w:tcBorders>
                  <w:shd w:val="clear" w:color="auto" w:fill="auto"/>
                  <w:noWrap/>
                  <w:tcMar>
                    <w:top w:w="15" w:type="dxa"/>
                    <w:left w:w="15" w:type="dxa"/>
                    <w:right w:w="15" w:type="dxa"/>
                  </w:tcMar>
                  <w:vAlign w:val="center"/>
                </w:tcPr>
                <w:p w14:paraId="744485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高压釜</w:t>
                  </w:r>
                </w:p>
              </w:tc>
              <w:tc>
                <w:tcPr>
                  <w:tcW w:w="519" w:type="pct"/>
                  <w:tcBorders>
                    <w:tl2br w:val="nil"/>
                    <w:tr2bl w:val="nil"/>
                  </w:tcBorders>
                  <w:shd w:val="clear" w:color="auto" w:fill="auto"/>
                  <w:noWrap/>
                  <w:tcMar>
                    <w:top w:w="15" w:type="dxa"/>
                    <w:left w:w="15" w:type="dxa"/>
                    <w:right w:w="15" w:type="dxa"/>
                  </w:tcMar>
                  <w:vAlign w:val="center"/>
                </w:tcPr>
                <w:p w14:paraId="57705C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color w:val="auto"/>
                      <w:kern w:val="2"/>
                      <w:sz w:val="21"/>
                      <w:szCs w:val="21"/>
                      <w:highlight w:val="none"/>
                      <w:u w:val="none"/>
                      <w:lang w:val="en-US" w:eastAsia="zh-CN" w:bidi="ar-SA"/>
                    </w:rPr>
                  </w:pPr>
                  <w:r>
                    <w:rPr>
                      <w:rFonts w:hint="default" w:ascii="Times New Roman" w:hAnsi="Times New Roman" w:cs="Times New Roman"/>
                      <w:b w:val="0"/>
                      <w:bCs w:val="0"/>
                      <w:i w:val="0"/>
                      <w:color w:val="auto"/>
                      <w:sz w:val="21"/>
                      <w:szCs w:val="21"/>
                      <w:highlight w:val="none"/>
                      <w:u w:val="none"/>
                      <w:lang w:val="en-US" w:eastAsia="zh-CN"/>
                    </w:rPr>
                    <w:t>1</w:t>
                  </w:r>
                  <w:r>
                    <w:rPr>
                      <w:rFonts w:hint="default" w:ascii="Times New Roman" w:hAnsi="Times New Roman" w:eastAsia="宋体" w:cs="Times New Roman"/>
                      <w:b w:val="0"/>
                      <w:bCs w:val="0"/>
                      <w:i w:val="0"/>
                      <w:color w:val="auto"/>
                      <w:kern w:val="0"/>
                      <w:sz w:val="21"/>
                      <w:szCs w:val="21"/>
                      <w:highlight w:val="none"/>
                      <w:u w:val="none"/>
                      <w:lang w:val="en-US" w:eastAsia="zh-CN" w:bidi="ar"/>
                    </w:rPr>
                    <w:t>台</w:t>
                  </w:r>
                </w:p>
              </w:tc>
              <w:tc>
                <w:tcPr>
                  <w:tcW w:w="674" w:type="pct"/>
                  <w:tcBorders>
                    <w:tl2br w:val="nil"/>
                    <w:tr2bl w:val="nil"/>
                  </w:tcBorders>
                  <w:shd w:val="clear" w:color="auto" w:fill="auto"/>
                  <w:noWrap/>
                  <w:tcMar>
                    <w:top w:w="15" w:type="dxa"/>
                    <w:left w:w="15" w:type="dxa"/>
                    <w:right w:w="15" w:type="dxa"/>
                  </w:tcMar>
                  <w:vAlign w:val="center"/>
                </w:tcPr>
                <w:p w14:paraId="36B21D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50</w:t>
                  </w:r>
                </w:p>
              </w:tc>
              <w:tc>
                <w:tcPr>
                  <w:tcW w:w="537" w:type="pct"/>
                  <w:tcBorders>
                    <w:tl2br w:val="nil"/>
                    <w:tr2bl w:val="nil"/>
                  </w:tcBorders>
                  <w:shd w:val="clear" w:color="auto" w:fill="auto"/>
                  <w:noWrap/>
                  <w:tcMar>
                    <w:top w:w="15" w:type="dxa"/>
                    <w:left w:w="15" w:type="dxa"/>
                    <w:right w:w="15" w:type="dxa"/>
                  </w:tcMar>
                  <w:vAlign w:val="center"/>
                </w:tcPr>
                <w:p w14:paraId="4DC8B6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1200</w:t>
                  </w:r>
                </w:p>
              </w:tc>
              <w:tc>
                <w:tcPr>
                  <w:tcW w:w="665" w:type="pct"/>
                  <w:tcBorders>
                    <w:tl2br w:val="nil"/>
                    <w:tr2bl w:val="nil"/>
                  </w:tcBorders>
                  <w:shd w:val="clear" w:color="auto" w:fill="auto"/>
                  <w:noWrap/>
                  <w:tcMar>
                    <w:top w:w="15" w:type="dxa"/>
                    <w:left w:w="15" w:type="dxa"/>
                    <w:right w:w="15" w:type="dxa"/>
                  </w:tcMar>
                  <w:vAlign w:val="center"/>
                </w:tcPr>
                <w:p w14:paraId="36C62F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6</w:t>
                  </w:r>
                </w:p>
              </w:tc>
              <w:tc>
                <w:tcPr>
                  <w:tcW w:w="665" w:type="pct"/>
                  <w:tcBorders>
                    <w:tl2br w:val="nil"/>
                    <w:tr2bl w:val="nil"/>
                  </w:tcBorders>
                  <w:shd w:val="clear" w:color="auto" w:fill="auto"/>
                  <w:noWrap/>
                  <w:tcMar>
                    <w:top w:w="15" w:type="dxa"/>
                    <w:left w:w="15" w:type="dxa"/>
                    <w:right w:w="15" w:type="dxa"/>
                  </w:tcMar>
                  <w:vAlign w:val="center"/>
                </w:tcPr>
                <w:p w14:paraId="525AB3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2</w:t>
                  </w:r>
                </w:p>
              </w:tc>
              <w:tc>
                <w:tcPr>
                  <w:tcW w:w="510" w:type="pct"/>
                  <w:tcBorders>
                    <w:tl2br w:val="nil"/>
                    <w:tr2bl w:val="nil"/>
                  </w:tcBorders>
                  <w:shd w:val="clear" w:color="auto" w:fill="auto"/>
                  <w:noWrap/>
                  <w:tcMar>
                    <w:top w:w="15" w:type="dxa"/>
                    <w:left w:w="15" w:type="dxa"/>
                    <w:right w:w="15" w:type="dxa"/>
                  </w:tcMar>
                  <w:vAlign w:val="center"/>
                </w:tcPr>
                <w:p w14:paraId="6981DD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33.3</w:t>
                  </w:r>
                </w:p>
              </w:tc>
              <w:tc>
                <w:tcPr>
                  <w:tcW w:w="486" w:type="pct"/>
                  <w:tcBorders>
                    <w:tl2br w:val="nil"/>
                    <w:tr2bl w:val="nil"/>
                  </w:tcBorders>
                  <w:shd w:val="clear" w:color="auto" w:fill="auto"/>
                  <w:noWrap/>
                  <w:tcMar>
                    <w:top w:w="15" w:type="dxa"/>
                    <w:left w:w="15" w:type="dxa"/>
                    <w:right w:w="15" w:type="dxa"/>
                  </w:tcMar>
                  <w:vAlign w:val="center"/>
                </w:tcPr>
                <w:p w14:paraId="163B6C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是</w:t>
                  </w:r>
                </w:p>
              </w:tc>
            </w:tr>
          </w:tbl>
          <w:p w14:paraId="772434B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highlight w:val="none"/>
                <w:lang w:val="en-US" w:eastAsia="zh-CN"/>
              </w:rPr>
              <w:t>七、</w:t>
            </w:r>
            <w:r>
              <w:rPr>
                <w:rFonts w:hint="default" w:ascii="Times New Roman" w:hAnsi="Times New Roman" w:eastAsia="宋体" w:cs="Times New Roman"/>
                <w:b/>
                <w:color w:val="auto"/>
                <w:sz w:val="24"/>
                <w:szCs w:val="24"/>
                <w:highlight w:val="none"/>
                <w:lang w:val="en-US" w:eastAsia="zh-CN"/>
              </w:rPr>
              <w:t>工作制度及劳动定员</w:t>
            </w:r>
          </w:p>
          <w:p w14:paraId="234B0886">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劳动定员及工作制度：</w:t>
            </w: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eastAsia="zh-CN"/>
              </w:rPr>
              <w:t>劳动定员</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人，每天工作时间</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h，全年工作</w:t>
            </w:r>
            <w:r>
              <w:rPr>
                <w:rFonts w:hint="default" w:ascii="Times New Roman" w:hAnsi="Times New Roman" w:cs="Times New Roman"/>
                <w:color w:val="auto"/>
                <w:sz w:val="24"/>
                <w:szCs w:val="24"/>
                <w:highlight w:val="none"/>
                <w:lang w:val="en-US" w:eastAsia="zh-CN"/>
              </w:rPr>
              <w:t>300</w:t>
            </w:r>
            <w:r>
              <w:rPr>
                <w:rFonts w:hint="default" w:ascii="Times New Roman" w:hAnsi="Times New Roman" w:cs="Times New Roman"/>
                <w:color w:val="auto"/>
                <w:sz w:val="24"/>
                <w:szCs w:val="24"/>
                <w:highlight w:val="none"/>
              </w:rPr>
              <w:t>天。</w:t>
            </w:r>
          </w:p>
          <w:p w14:paraId="2B210CDC">
            <w:pPr>
              <w:adjustRightInd w:val="0"/>
              <w:snapToGrid w:val="0"/>
              <w:spacing w:line="360" w:lineRule="auto"/>
              <w:ind w:firstLine="482" w:firstLineChars="200"/>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color w:val="auto"/>
                <w:sz w:val="24"/>
                <w:highlight w:val="none"/>
                <w:lang w:val="en-US" w:eastAsia="zh-CN"/>
              </w:rPr>
              <w:t>八</w:t>
            </w:r>
            <w:r>
              <w:rPr>
                <w:rFonts w:hint="default" w:ascii="Times New Roman" w:hAnsi="Times New Roman" w:cs="Times New Roman"/>
                <w:b/>
                <w:color w:val="auto"/>
                <w:sz w:val="24"/>
                <w:highlight w:val="none"/>
              </w:rPr>
              <w:t>、</w:t>
            </w:r>
            <w:r>
              <w:rPr>
                <w:rFonts w:hint="default" w:ascii="Times New Roman" w:hAnsi="Times New Roman" w:eastAsia="宋体" w:cs="Times New Roman"/>
                <w:b/>
                <w:bCs w:val="0"/>
                <w:color w:val="auto"/>
                <w:sz w:val="24"/>
                <w:szCs w:val="24"/>
                <w:highlight w:val="none"/>
                <w:lang w:val="en-US" w:eastAsia="zh-CN"/>
              </w:rPr>
              <w:t>给水</w:t>
            </w:r>
            <w:r>
              <w:rPr>
                <w:rFonts w:hint="default" w:ascii="Times New Roman" w:hAnsi="Times New Roman" w:cs="Times New Roman"/>
                <w:b/>
                <w:bCs w:val="0"/>
                <w:color w:val="auto"/>
                <w:sz w:val="24"/>
                <w:szCs w:val="24"/>
                <w:highlight w:val="none"/>
                <w:lang w:val="en-US" w:eastAsia="zh-CN"/>
              </w:rPr>
              <w:t>/排水</w:t>
            </w:r>
          </w:p>
          <w:p w14:paraId="2292372C">
            <w:pPr>
              <w:keepNext w:val="0"/>
              <w:keepLines w:val="0"/>
              <w:pageBreakBefore w:val="0"/>
              <w:suppressLineNumbers w:val="0"/>
              <w:tabs>
                <w:tab w:val="left" w:pos="3225"/>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本项目用水主要为员工生活用水</w:t>
            </w:r>
            <w:r>
              <w:rPr>
                <w:rFonts w:hint="default" w:ascii="Times New Roman" w:hAnsi="Times New Roman" w:cs="Times New Roman"/>
                <w:color w:val="auto"/>
                <w:kern w:val="2"/>
                <w:sz w:val="24"/>
                <w:szCs w:val="24"/>
                <w:highlight w:val="none"/>
                <w:lang w:val="en-US" w:eastAsia="zh-CN" w:bidi="ar-SA"/>
              </w:rPr>
              <w:t>和生产用水（磨边清洗用水、设备冷却水），</w:t>
            </w:r>
            <w:r>
              <w:rPr>
                <w:rFonts w:hint="default" w:ascii="Times New Roman" w:hAnsi="Times New Roman" w:eastAsia="宋体" w:cs="Times New Roman"/>
                <w:color w:val="auto"/>
                <w:kern w:val="2"/>
                <w:sz w:val="24"/>
                <w:szCs w:val="24"/>
                <w:highlight w:val="none"/>
                <w:lang w:val="en-US" w:eastAsia="zh-CN" w:bidi="ar-SA"/>
              </w:rPr>
              <w:t>供水来源为市政自来水管网，生产用水和生活用水总量共</w:t>
            </w:r>
            <w:r>
              <w:rPr>
                <w:rFonts w:hint="default" w:ascii="Times New Roman" w:hAnsi="Times New Roman" w:cs="Times New Roman"/>
                <w:color w:val="auto"/>
                <w:kern w:val="2"/>
                <w:sz w:val="24"/>
                <w:szCs w:val="24"/>
                <w:highlight w:val="none"/>
                <w:lang w:val="en-US" w:eastAsia="zh-CN" w:bidi="ar-SA"/>
              </w:rPr>
              <w:t>2.16</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default" w:ascii="Times New Roman" w:hAnsi="Times New Roman" w:cs="Times New Roman"/>
                <w:color w:val="auto"/>
                <w:sz w:val="24"/>
                <w:szCs w:val="24"/>
                <w:highlight w:val="none"/>
                <w:lang w:val="en-US" w:eastAsia="zh-CN"/>
              </w:rPr>
              <w:t>（648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w:t>
            </w:r>
          </w:p>
          <w:p w14:paraId="09F64B63">
            <w:pPr>
              <w:keepNext w:val="0"/>
              <w:keepLines w:val="0"/>
              <w:pageBreakBefore w:val="0"/>
              <w:widowControl w:val="0"/>
              <w:tabs>
                <w:tab w:val="left" w:pos="3225"/>
              </w:tabs>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生活用水</w:t>
            </w:r>
          </w:p>
          <w:p w14:paraId="3F44709D">
            <w:pPr>
              <w:keepNext w:val="0"/>
              <w:keepLines w:val="0"/>
              <w:pageBreakBefore w:val="0"/>
              <w:widowControl w:val="0"/>
              <w:tabs>
                <w:tab w:val="left" w:pos="3225"/>
              </w:tabs>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拟新增员工</w:t>
            </w: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人，300天工作时间，根据《安徽省行业用水定额》（DB34/T679-2019），并结合本项目实际情况，用水量按每人每天</w:t>
            </w:r>
            <w:r>
              <w:rPr>
                <w:rFonts w:hint="default"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0L计算，用水量为</w:t>
            </w:r>
            <w:r>
              <w:rPr>
                <w:rFonts w:hint="default"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排水系数按0.8计算，生活污水排放量为</w:t>
            </w:r>
            <w:r>
              <w:rPr>
                <w:rFonts w:hint="default"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/d(</w:t>
            </w:r>
            <w:r>
              <w:rPr>
                <w:rFonts w:hint="default" w:ascii="Times New Roman" w:hAnsi="Times New Roman" w:cs="Times New Roman"/>
                <w:color w:val="auto"/>
                <w:sz w:val="24"/>
                <w:szCs w:val="24"/>
                <w:highlight w:val="none"/>
                <w:lang w:val="en-US" w:eastAsia="zh-CN"/>
              </w:rPr>
              <w:t>288</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/a)。</w:t>
            </w:r>
          </w:p>
          <w:p w14:paraId="7FAA3BCD">
            <w:pPr>
              <w:keepNext w:val="0"/>
              <w:keepLines w:val="0"/>
              <w:pageBreakBefore w:val="0"/>
              <w:tabs>
                <w:tab w:val="left" w:pos="322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磨边清洗用水</w:t>
            </w:r>
          </w:p>
          <w:p w14:paraId="53A85980">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玻璃在磨边时会造成局部过热，需用水冲洗砂轮和玻璃接触部位，因此磨边工序在水中完成，清洗工序采用清水洗，作用为去除玻璃表面的杂质，在此过程中会产生磨边清洗废水。本项目磨边、清洗废水经沉淀池处理后，上清液循环使用，回用于磨边、清洗工序，不外排废水，需定期补充新鲜水。</w:t>
            </w:r>
          </w:p>
          <w:p w14:paraId="41E74219">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根据建设单位提供资料，沉淀池设计规格为长1</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m、宽3m、深</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水泵设计流量为4m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h</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每天运行8h</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则循环水量为32m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d(9600m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/a)。参考《工业循环冷却水处理设计规范》(GBT50050-2017)风吹损失水量占循环水量的1.5%~3.5%</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本项目日常损耗量按循环水量的2%计，则沉淀池补水量为0.64m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d(192m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14:paraId="15B56CBB">
            <w:pPr>
              <w:pStyle w:val="84"/>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②设备冷却用水</w:t>
            </w:r>
          </w:p>
          <w:p w14:paraId="3DB31D6B">
            <w:pPr>
              <w:pStyle w:val="84"/>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项目高压釜采用间接冷却处理，冷凝介质为水，不添加任何药剂，冷却水经冷却水池冷却后，循环利用，不外排。根据建设单位提供资料，冷却水池设计规格为长</w:t>
            </w:r>
            <w:r>
              <w:rPr>
                <w:rFonts w:hint="eastAsia" w:cs="Times New Roman"/>
                <w:b w:val="0"/>
                <w:bCs w:val="0"/>
                <w:color w:val="auto"/>
                <w:kern w:val="0"/>
                <w:sz w:val="24"/>
                <w:szCs w:val="24"/>
                <w:highlight w:val="none"/>
                <w:lang w:val="en-US" w:eastAsia="zh-CN" w:bidi="ar"/>
              </w:rPr>
              <w:t>6</w:t>
            </w:r>
            <w:r>
              <w:rPr>
                <w:rFonts w:hint="default" w:ascii="Times New Roman" w:hAnsi="Times New Roman" w:eastAsia="宋体" w:cs="Times New Roman"/>
                <w:b w:val="0"/>
                <w:bCs w:val="0"/>
                <w:color w:val="auto"/>
                <w:kern w:val="0"/>
                <w:sz w:val="24"/>
                <w:szCs w:val="24"/>
                <w:highlight w:val="none"/>
                <w:lang w:val="en-US" w:eastAsia="zh-CN" w:bidi="ar"/>
              </w:rPr>
              <w:t>m、宽</w:t>
            </w:r>
            <w:r>
              <w:rPr>
                <w:rFonts w:hint="eastAsia" w:cs="Times New Roman"/>
                <w:b w:val="0"/>
                <w:bCs w:val="0"/>
                <w:color w:val="auto"/>
                <w:kern w:val="0"/>
                <w:sz w:val="24"/>
                <w:szCs w:val="24"/>
                <w:highlight w:val="none"/>
                <w:lang w:val="en-US" w:eastAsia="zh-CN" w:bidi="ar"/>
              </w:rPr>
              <w:t>3</w:t>
            </w:r>
            <w:r>
              <w:rPr>
                <w:rFonts w:hint="default" w:ascii="Times New Roman" w:hAnsi="Times New Roman" w:eastAsia="宋体" w:cs="Times New Roman"/>
                <w:b w:val="0"/>
                <w:bCs w:val="0"/>
                <w:color w:val="auto"/>
                <w:kern w:val="0"/>
                <w:sz w:val="24"/>
                <w:szCs w:val="24"/>
                <w:highlight w:val="none"/>
                <w:lang w:val="en-US" w:eastAsia="zh-CN" w:bidi="ar"/>
              </w:rPr>
              <w:t>m、深</w:t>
            </w:r>
            <w:r>
              <w:rPr>
                <w:rFonts w:hint="eastAsia" w:cs="Times New Roman"/>
                <w:b w:val="0"/>
                <w:bCs w:val="0"/>
                <w:color w:val="auto"/>
                <w:kern w:val="0"/>
                <w:sz w:val="24"/>
                <w:szCs w:val="24"/>
                <w:highlight w:val="none"/>
                <w:lang w:val="en-US" w:eastAsia="zh-CN" w:bidi="ar"/>
              </w:rPr>
              <w:t>3</w:t>
            </w:r>
            <w:r>
              <w:rPr>
                <w:rFonts w:hint="default" w:ascii="Times New Roman" w:hAnsi="Times New Roman" w:eastAsia="宋体" w:cs="Times New Roman"/>
                <w:b w:val="0"/>
                <w:bCs w:val="0"/>
                <w:color w:val="auto"/>
                <w:kern w:val="0"/>
                <w:sz w:val="24"/>
                <w:szCs w:val="24"/>
                <w:highlight w:val="none"/>
                <w:lang w:val="en-US" w:eastAsia="zh-CN" w:bidi="ar"/>
              </w:rPr>
              <w:t>m</w:t>
            </w:r>
            <w:r>
              <w:rPr>
                <w:rFonts w:hint="default" w:ascii="Times New Roman" w:hAnsi="Times New Roman"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水泵设计流量为2m</w:t>
            </w:r>
            <w:r>
              <w:rPr>
                <w:rFonts w:hint="default" w:ascii="Times New Roman" w:hAnsi="Times New Roman" w:eastAsia="宋体" w:cs="Times New Roman"/>
                <w:b w:val="0"/>
                <w:bCs w:val="0"/>
                <w:color w:val="auto"/>
                <w:kern w:val="0"/>
                <w:sz w:val="24"/>
                <w:szCs w:val="24"/>
                <w:highlight w:val="none"/>
                <w:vertAlign w:val="superscript"/>
                <w:lang w:val="en-US" w:eastAsia="zh-CN" w:bidi="ar"/>
              </w:rPr>
              <w:t>3</w:t>
            </w:r>
            <w:r>
              <w:rPr>
                <w:rFonts w:hint="default" w:ascii="Times New Roman" w:hAnsi="Times New Roman"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h</w:t>
            </w:r>
            <w:r>
              <w:rPr>
                <w:rFonts w:hint="default" w:ascii="Times New Roman" w:hAnsi="Times New Roman"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每天运行8h</w:t>
            </w:r>
            <w:r>
              <w:rPr>
                <w:rFonts w:hint="default" w:ascii="Times New Roman" w:hAnsi="Times New Roman"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则循环水量为16m</w:t>
            </w:r>
            <w:r>
              <w:rPr>
                <w:rFonts w:hint="default" w:ascii="Times New Roman" w:hAnsi="Times New Roman" w:eastAsia="宋体" w:cs="Times New Roman"/>
                <w:b w:val="0"/>
                <w:bCs w:val="0"/>
                <w:color w:val="auto"/>
                <w:kern w:val="0"/>
                <w:sz w:val="24"/>
                <w:szCs w:val="24"/>
                <w:highlight w:val="none"/>
                <w:vertAlign w:val="superscript"/>
                <w:lang w:val="en-US" w:eastAsia="zh-CN" w:bidi="ar"/>
              </w:rPr>
              <w:t>3</w:t>
            </w:r>
            <w:r>
              <w:rPr>
                <w:rFonts w:hint="default" w:ascii="Times New Roman" w:hAnsi="Times New Roman"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d(4800m</w:t>
            </w:r>
            <w:r>
              <w:rPr>
                <w:rFonts w:hint="default" w:ascii="Times New Roman" w:hAnsi="Times New Roman" w:eastAsia="宋体" w:cs="Times New Roman"/>
                <w:b w:val="0"/>
                <w:bCs w:val="0"/>
                <w:color w:val="auto"/>
                <w:kern w:val="0"/>
                <w:sz w:val="24"/>
                <w:szCs w:val="24"/>
                <w:highlight w:val="none"/>
                <w:vertAlign w:val="superscript"/>
                <w:lang w:val="en-US" w:eastAsia="zh-CN" w:bidi="ar"/>
              </w:rPr>
              <w:t>3</w:t>
            </w:r>
            <w:r>
              <w:rPr>
                <w:rFonts w:hint="default" w:ascii="Times New Roman" w:hAnsi="Times New Roman" w:eastAsia="宋体" w:cs="Times New Roman"/>
                <w:b w:val="0"/>
                <w:bCs w:val="0"/>
                <w:color w:val="auto"/>
                <w:kern w:val="0"/>
                <w:sz w:val="24"/>
                <w:szCs w:val="24"/>
                <w:highlight w:val="none"/>
                <w:lang w:val="en-US" w:eastAsia="zh-CN" w:bidi="ar"/>
              </w:rPr>
              <w:t>/a)</w:t>
            </w:r>
            <w:r>
              <w:rPr>
                <w:rFonts w:hint="default" w:ascii="Times New Roman" w:hAnsi="Times New Roman"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参考《工业循环冷却水处理设计规范》(GB/T50050-2017)风吹损失水量占循环水量的1.5%</w:t>
            </w:r>
            <w:r>
              <w:rPr>
                <w:rFonts w:hint="default" w:ascii="Times New Roman" w:hAnsi="Times New Roman"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3.5%，本项目日常损耗量按循环水量的2%计，则冷却水池补水量为0.32m</w:t>
            </w:r>
            <w:r>
              <w:rPr>
                <w:rFonts w:hint="default" w:ascii="Times New Roman" w:hAnsi="Times New Roman" w:eastAsia="宋体" w:cs="Times New Roman"/>
                <w:b w:val="0"/>
                <w:bCs w:val="0"/>
                <w:color w:val="auto"/>
                <w:kern w:val="0"/>
                <w:sz w:val="24"/>
                <w:szCs w:val="24"/>
                <w:highlight w:val="none"/>
                <w:vertAlign w:val="superscript"/>
                <w:lang w:val="en-US" w:eastAsia="zh-CN" w:bidi="ar"/>
              </w:rPr>
              <w:t>3</w:t>
            </w:r>
            <w:r>
              <w:rPr>
                <w:rFonts w:hint="default" w:ascii="Times New Roman" w:hAnsi="Times New Roman" w:eastAsia="宋体" w:cs="Times New Roman"/>
                <w:b w:val="0"/>
                <w:bCs w:val="0"/>
                <w:color w:val="auto"/>
                <w:kern w:val="0"/>
                <w:sz w:val="24"/>
                <w:szCs w:val="24"/>
                <w:highlight w:val="none"/>
                <w:lang w:val="en-US" w:eastAsia="zh-CN" w:bidi="ar"/>
              </w:rPr>
              <w:t>/d(96m</w:t>
            </w:r>
            <w:r>
              <w:rPr>
                <w:rFonts w:hint="default" w:ascii="Times New Roman" w:hAnsi="Times New Roman" w:eastAsia="宋体" w:cs="Times New Roman"/>
                <w:b w:val="0"/>
                <w:bCs w:val="0"/>
                <w:color w:val="auto"/>
                <w:kern w:val="0"/>
                <w:sz w:val="24"/>
                <w:szCs w:val="24"/>
                <w:highlight w:val="none"/>
                <w:vertAlign w:val="superscript"/>
                <w:lang w:val="en-US" w:eastAsia="zh-CN" w:bidi="ar"/>
              </w:rPr>
              <w:t>3</w:t>
            </w:r>
            <w:r>
              <w:rPr>
                <w:rFonts w:hint="default" w:ascii="Times New Roman" w:hAnsi="Times New Roman" w:eastAsia="宋体" w:cs="Times New Roman"/>
                <w:b w:val="0"/>
                <w:bCs w:val="0"/>
                <w:color w:val="auto"/>
                <w:kern w:val="0"/>
                <w:sz w:val="24"/>
                <w:szCs w:val="24"/>
                <w:highlight w:val="none"/>
                <w:lang w:val="en-US" w:eastAsia="zh-CN" w:bidi="ar"/>
              </w:rPr>
              <w:t>/a)。</w:t>
            </w:r>
          </w:p>
          <w:p w14:paraId="12D41D35">
            <w:pPr>
              <w:pStyle w:val="84"/>
              <w:keepNext w:val="0"/>
              <w:keepLines w:val="0"/>
              <w:suppressLineNumbers w:val="0"/>
              <w:spacing w:before="0" w:beforeAutospacing="0" w:after="0" w:afterAutospacing="0" w:line="240" w:lineRule="auto"/>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6" o:spt="75" type="#_x0000_t75" style="height:182.35pt;width:357.95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p w14:paraId="649AD1F7">
            <w:pPr>
              <w:pStyle w:val="8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图</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 本项目水量平衡图   单位：m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p>
          <w:p w14:paraId="6ACF3EB9">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九</w:t>
            </w:r>
            <w:r>
              <w:rPr>
                <w:rFonts w:hint="default" w:ascii="Times New Roman" w:hAnsi="Times New Roman" w:cs="Times New Roman"/>
                <w:b/>
                <w:color w:val="auto"/>
                <w:sz w:val="24"/>
                <w:highlight w:val="none"/>
              </w:rPr>
              <w:t>、厂区平面布置</w:t>
            </w:r>
          </w:p>
          <w:p w14:paraId="39CA5478">
            <w:pPr>
              <w:adjustRightInd w:val="0"/>
              <w:snapToGrid w:val="0"/>
              <w:spacing w:line="360" w:lineRule="auto"/>
              <w:ind w:firstLine="480" w:firstLineChars="200"/>
              <w:rPr>
                <w:rFonts w:hint="default" w:ascii="Times New Roman" w:hAnsi="Times New Roman" w:cs="Times New Roman"/>
                <w:b/>
                <w:bCs/>
                <w:color w:val="auto"/>
                <w:highlight w:val="none"/>
              </w:rPr>
            </w:pPr>
            <w:r>
              <w:rPr>
                <w:rFonts w:hint="default" w:ascii="Times New Roman" w:hAnsi="Times New Roman" w:cs="Times New Roman"/>
                <w:bCs/>
                <w:color w:val="auto"/>
                <w:sz w:val="24"/>
                <w:highlight w:val="none"/>
              </w:rPr>
              <w:t>本项目位于</w:t>
            </w:r>
            <w:r>
              <w:rPr>
                <w:rFonts w:hint="eastAsia" w:cs="Times New Roman"/>
                <w:bCs/>
                <w:color w:val="auto"/>
                <w:sz w:val="24"/>
                <w:highlight w:val="none"/>
                <w:lang w:eastAsia="zh-CN"/>
              </w:rPr>
              <w:t>安徽省淮南市田家庵区淮南现代产业园南区智慧产业园C区B9厂房</w:t>
            </w:r>
            <w:r>
              <w:rPr>
                <w:rFonts w:hint="default" w:ascii="Times New Roman" w:hAnsi="Times New Roman" w:cs="Times New Roman"/>
                <w:bCs/>
                <w:color w:val="auto"/>
                <w:sz w:val="24"/>
                <w:highlight w:val="none"/>
              </w:rPr>
              <w:t>，租赁该厂房作为生产厂房。</w:t>
            </w:r>
            <w:r>
              <w:rPr>
                <w:rFonts w:hint="default" w:ascii="Times New Roman" w:hAnsi="Times New Roman" w:cs="Times New Roman"/>
                <w:bCs/>
                <w:color w:val="auto"/>
                <w:sz w:val="24"/>
                <w:highlight w:val="none"/>
                <w:lang w:val="en-US" w:eastAsia="zh-CN"/>
              </w:rPr>
              <w:t>厂区呈长方形；高压区位于厂房的东侧；钢化区位于厂区的东侧中部；夹胶区位于钢化区的南侧；中空区位于厂区的中部；切割、打磨、清洗区位于中空区的北侧；办公室位于厂房西南角；原片区位于厂区的西北侧；用于对玻璃原片的存放；成品区位于原料区的西南侧；一般固废暂存间暂存和危废库位于厂房东北角。车间内各个区域的布局均按照生产工艺流程进行布置，减少了物料在生产过程中的转运，不但节约成本和时间，而且也使得车间的布局紧凑，大大促进项目的生产效率。平面布置图详见</w:t>
            </w:r>
            <w:r>
              <w:rPr>
                <w:rFonts w:hint="default" w:ascii="Times New Roman" w:hAnsi="Times New Roman" w:cs="Times New Roman"/>
                <w:bCs/>
                <w:color w:val="auto"/>
                <w:sz w:val="24"/>
                <w:highlight w:val="none"/>
              </w:rPr>
              <w:t>附图</w:t>
            </w:r>
            <w:r>
              <w:rPr>
                <w:rFonts w:hint="default" w:ascii="Times New Roman" w:hAnsi="Times New Roman" w:cs="Times New Roman"/>
                <w:bCs/>
                <w:color w:val="auto"/>
                <w:sz w:val="24"/>
                <w:highlight w:val="none"/>
                <w:lang w:val="en-US" w:eastAsia="zh-CN"/>
              </w:rPr>
              <w:t>5</w:t>
            </w:r>
            <w:r>
              <w:rPr>
                <w:rFonts w:hint="eastAsia" w:ascii="Times New Roman" w:hAnsi="Times New Roman" w:cs="Times New Roman"/>
                <w:bCs/>
                <w:color w:val="auto"/>
                <w:sz w:val="24"/>
                <w:highlight w:val="none"/>
                <w:lang w:val="en-US" w:eastAsia="zh-CN"/>
              </w:rPr>
              <w:t>。</w:t>
            </w:r>
          </w:p>
        </w:tc>
      </w:tr>
      <w:tr w14:paraId="60213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4" w:hRule="atLeast"/>
          <w:jc w:val="center"/>
        </w:trPr>
        <w:tc>
          <w:tcPr>
            <w:tcW w:w="841" w:type="dxa"/>
            <w:vAlign w:val="center"/>
          </w:tcPr>
          <w:p w14:paraId="442BDF8B">
            <w:pPr>
              <w:pStyle w:val="23"/>
              <w:adjustRightInd w:val="0"/>
              <w:snapToGrid w:val="0"/>
              <w:spacing w:before="0" w:beforeAutospacing="0" w:after="0" w:afterAutospacing="0" w:line="360" w:lineRule="auto"/>
              <w:jc w:val="cente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工艺流程和产排污环节</w:t>
            </w:r>
          </w:p>
        </w:tc>
        <w:tc>
          <w:tcPr>
            <w:tcW w:w="8445" w:type="dxa"/>
          </w:tcPr>
          <w:p w14:paraId="622BB0C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w:t>
            </w:r>
            <w:r>
              <w:rPr>
                <w:rFonts w:hint="eastAsia" w:ascii="Times New Roman" w:hAnsi="Times New Roman" w:cs="Times New Roman"/>
                <w:b/>
                <w:color w:val="auto"/>
                <w:sz w:val="24"/>
                <w:highlight w:val="none"/>
                <w:lang w:val="en-US" w:eastAsia="zh-CN"/>
              </w:rPr>
              <w:t>生产</w:t>
            </w:r>
            <w:r>
              <w:rPr>
                <w:rFonts w:hint="default" w:ascii="Times New Roman" w:hAnsi="Times New Roman" w:cs="Times New Roman"/>
                <w:b/>
                <w:color w:val="auto"/>
                <w:sz w:val="24"/>
                <w:highlight w:val="none"/>
              </w:rPr>
              <w:t>工艺流程和产排污环节</w:t>
            </w:r>
          </w:p>
          <w:p w14:paraId="7054B898">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本次新建项目主要为钢化玻璃、中空玻璃以及夹胶玻璃产品，具体工艺如下。</w:t>
            </w:r>
          </w:p>
          <w:p w14:paraId="377851BB">
            <w:pPr>
              <w:pStyle w:val="6"/>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（1）钢化玻璃、防火玻璃</w:t>
            </w:r>
          </w:p>
          <w:p w14:paraId="747329C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object>
                <v:shape id="_x0000_i1027" o:spt="75" type="#_x0000_t75" style="height:95.75pt;width:409.25pt;" o:ole="t" filled="f" o:preferrelative="t" stroked="f" coordsize="21600,21600">
                  <v:path/>
                  <v:fill on="f" focussize="0,0"/>
                  <v:stroke on="f"/>
                  <v:imagedata r:id="rId16" o:title=""/>
                  <o:lock v:ext="edit" aspectratio="f"/>
                  <w10:wrap type="none"/>
                  <w10:anchorlock/>
                </v:shape>
                <o:OLEObject Type="Embed" ProgID="Visio.Drawing.15" ShapeID="_x0000_i1027" DrawAspect="Content" ObjectID="_1468075727" r:id="rId15">
                  <o:LockedField>false</o:LockedField>
                </o:OLEObject>
              </w:object>
            </w:r>
            <w:r>
              <w:rPr>
                <w:rFonts w:hint="default" w:ascii="Times New Roman" w:hAnsi="Times New Roman" w:cs="Times New Roman"/>
                <w:b/>
                <w:bCs/>
                <w:color w:val="auto"/>
                <w:sz w:val="24"/>
                <w:szCs w:val="32"/>
                <w:highlight w:val="none"/>
                <w:lang w:eastAsia="zh-CN"/>
              </w:rPr>
              <w:t>图</w:t>
            </w:r>
            <w:r>
              <w:rPr>
                <w:rFonts w:hint="default" w:ascii="Times New Roman" w:hAnsi="Times New Roman" w:cs="Times New Roman"/>
                <w:b/>
                <w:bCs/>
                <w:color w:val="auto"/>
                <w:sz w:val="24"/>
                <w:szCs w:val="32"/>
                <w:highlight w:val="none"/>
                <w:lang w:val="en-US" w:eastAsia="zh-CN"/>
              </w:rPr>
              <w:t>2-</w:t>
            </w:r>
            <w:r>
              <w:rPr>
                <w:rFonts w:hint="eastAsia" w:cs="Times New Roman"/>
                <w:b/>
                <w:bCs/>
                <w:color w:val="auto"/>
                <w:sz w:val="24"/>
                <w:szCs w:val="32"/>
                <w:highlight w:val="none"/>
                <w:lang w:val="en-US" w:eastAsia="zh-CN"/>
              </w:rPr>
              <w:t>3</w:t>
            </w:r>
            <w:r>
              <w:rPr>
                <w:rFonts w:hint="default" w:ascii="Times New Roman" w:hAnsi="Times New Roman" w:cs="Times New Roman"/>
                <w:b/>
                <w:bCs/>
                <w:color w:val="auto"/>
                <w:sz w:val="24"/>
                <w:szCs w:val="32"/>
                <w:highlight w:val="none"/>
                <w:lang w:eastAsia="zh-CN"/>
              </w:rPr>
              <w:t xml:space="preserve"> 钢化</w:t>
            </w:r>
            <w:r>
              <w:rPr>
                <w:rFonts w:hint="eastAsia" w:ascii="Times New Roman" w:hAnsi="Times New Roman" w:cs="Times New Roman"/>
                <w:b/>
                <w:bCs/>
                <w:color w:val="auto"/>
                <w:sz w:val="24"/>
                <w:szCs w:val="32"/>
                <w:highlight w:val="none"/>
                <w:lang w:val="en-US" w:eastAsia="zh-CN"/>
              </w:rPr>
              <w:t>/防火</w:t>
            </w:r>
            <w:r>
              <w:rPr>
                <w:rFonts w:hint="default" w:ascii="Times New Roman" w:hAnsi="Times New Roman" w:cs="Times New Roman"/>
                <w:b/>
                <w:bCs/>
                <w:color w:val="auto"/>
                <w:sz w:val="24"/>
                <w:szCs w:val="32"/>
                <w:highlight w:val="none"/>
                <w:lang w:eastAsia="zh-CN"/>
              </w:rPr>
              <w:t>玻璃</w:t>
            </w:r>
            <w:r>
              <w:rPr>
                <w:rFonts w:hint="eastAsia" w:ascii="Times New Roman" w:hAnsi="Times New Roman" w:cs="Times New Roman"/>
                <w:b/>
                <w:bCs/>
                <w:color w:val="auto"/>
                <w:sz w:val="24"/>
                <w:szCs w:val="32"/>
                <w:highlight w:val="none"/>
                <w:lang w:val="en-US" w:eastAsia="zh-CN"/>
              </w:rPr>
              <w:t>生产</w:t>
            </w:r>
            <w:r>
              <w:rPr>
                <w:rFonts w:hint="default" w:ascii="Times New Roman" w:hAnsi="Times New Roman" w:cs="Times New Roman"/>
                <w:b/>
                <w:bCs/>
                <w:color w:val="auto"/>
                <w:sz w:val="24"/>
                <w:szCs w:val="32"/>
                <w:highlight w:val="none"/>
                <w:lang w:eastAsia="zh-CN"/>
              </w:rPr>
              <w:t>工艺流程及污染节点图</w:t>
            </w:r>
          </w:p>
          <w:p w14:paraId="08F99D6C">
            <w:pPr>
              <w:pStyle w:val="6"/>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default" w:ascii="Times New Roman" w:hAnsi="Times New Roman"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生产</w:t>
            </w:r>
            <w:r>
              <w:rPr>
                <w:rFonts w:hint="default" w:ascii="Times New Roman" w:hAnsi="Times New Roman" w:cs="Times New Roman"/>
                <w:color w:val="auto"/>
                <w:sz w:val="24"/>
                <w:szCs w:val="32"/>
                <w:highlight w:val="none"/>
                <w:lang w:val="en-US" w:eastAsia="zh-CN"/>
              </w:rPr>
              <w:t>工艺简述：</w:t>
            </w:r>
          </w:p>
          <w:p w14:paraId="48B27E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钢化</w:t>
            </w:r>
            <w:r>
              <w:rPr>
                <w:rFonts w:hint="eastAsia" w:ascii="Times New Roman" w:hAnsi="Times New Roman" w:cs="Times New Roman"/>
                <w:color w:val="auto"/>
                <w:sz w:val="24"/>
                <w:szCs w:val="32"/>
                <w:highlight w:val="none"/>
                <w:lang w:val="en-US" w:eastAsia="zh-CN"/>
              </w:rPr>
              <w:t>/防火</w:t>
            </w:r>
            <w:r>
              <w:rPr>
                <w:rFonts w:hint="default" w:ascii="Times New Roman" w:hAnsi="Times New Roman" w:eastAsia="宋体" w:cs="Times New Roman"/>
                <w:color w:val="auto"/>
                <w:sz w:val="24"/>
                <w:szCs w:val="32"/>
                <w:highlight w:val="none"/>
              </w:rPr>
              <w:t>玻璃生产简介</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将普通玻璃原片在钢化炉中加热到接近玻璃的软化温度时，通过自身的形变消除内部应力，使其迅速且均匀地冷却至室温。使得其表面产生更大的压应力，即制得钢化玻璃</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当温度达到800~1000℃时即为防火玻璃</w:t>
            </w:r>
            <w:r>
              <w:rPr>
                <w:rFonts w:hint="default" w:ascii="Times New Roman" w:hAnsi="Times New Roman" w:eastAsia="宋体" w:cs="Times New Roman"/>
                <w:color w:val="auto"/>
                <w:sz w:val="24"/>
                <w:szCs w:val="32"/>
                <w:highlight w:val="none"/>
              </w:rPr>
              <w:t>。</w:t>
            </w:r>
          </w:p>
          <w:p w14:paraId="4FE8DE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切</w:t>
            </w:r>
            <w:r>
              <w:rPr>
                <w:rFonts w:hint="default" w:ascii="Times New Roman" w:hAnsi="Times New Roman" w:cs="Times New Roman"/>
                <w:color w:val="auto"/>
                <w:sz w:val="24"/>
                <w:szCs w:val="32"/>
                <w:highlight w:val="none"/>
                <w:lang w:val="en-US" w:eastAsia="zh-CN"/>
              </w:rPr>
              <w:t>割</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将平板玻璃原片放入钢化玻璃流水线上，先经玻璃切割机按要求切割成所需要的尺寸。玻璃切割原理是在一个工作平面上，用三轴控制切割头的动作，XY两向移动来确定机器的行走，用C轴旋转控制转刀角度，利用气压与弹簧并控制下刀。刀具为</w:t>
            </w:r>
            <w:r>
              <w:rPr>
                <w:rFonts w:hint="default" w:ascii="Times New Roman" w:hAnsi="Times New Roman" w:cs="Times New Roman"/>
                <w:color w:val="auto"/>
                <w:sz w:val="24"/>
                <w:szCs w:val="32"/>
                <w:highlight w:val="none"/>
                <w:lang w:eastAsia="zh-CN"/>
              </w:rPr>
              <w:t>钛金刀</w:t>
            </w:r>
            <w:r>
              <w:rPr>
                <w:rFonts w:hint="default" w:ascii="Times New Roman" w:hAnsi="Times New Roman" w:eastAsia="宋体" w:cs="Times New Roman"/>
                <w:color w:val="auto"/>
                <w:sz w:val="24"/>
                <w:szCs w:val="32"/>
                <w:highlight w:val="none"/>
              </w:rPr>
              <w:t>轮，在玻璃上切出划痕，然后由于玻璃是脆性材料，按刀纹施加压力可将玻璃顶开</w:t>
            </w:r>
            <w:r>
              <w:rPr>
                <w:rFonts w:hint="default" w:ascii="Times New Roman" w:hAnsi="Times New Roman" w:cs="Times New Roman"/>
                <w:color w:val="auto"/>
                <w:sz w:val="24"/>
                <w:szCs w:val="32"/>
                <w:highlight w:val="none"/>
                <w:lang w:eastAsia="zh-CN"/>
              </w:rPr>
              <w:t>；</w:t>
            </w:r>
            <w:r>
              <w:rPr>
                <w:rFonts w:hint="default" w:ascii="Times New Roman" w:hAnsi="Times New Roman" w:eastAsia="宋体" w:cs="Times New Roman"/>
                <w:b/>
                <w:bCs w:val="0"/>
                <w:color w:val="auto"/>
                <w:kern w:val="0"/>
                <w:sz w:val="24"/>
                <w:szCs w:val="24"/>
                <w:highlight w:val="none"/>
                <w:u w:val="single"/>
              </w:rPr>
              <w:t>该工序产生</w:t>
            </w:r>
            <w:r>
              <w:rPr>
                <w:rFonts w:hint="default" w:ascii="Times New Roman" w:hAnsi="Times New Roman" w:eastAsia="宋体" w:cs="Times New Roman"/>
                <w:b/>
                <w:bCs w:val="0"/>
                <w:color w:val="auto"/>
                <w:kern w:val="0"/>
                <w:sz w:val="24"/>
                <w:szCs w:val="24"/>
                <w:highlight w:val="none"/>
                <w:u w:val="single"/>
                <w:lang w:val="en-US" w:eastAsia="zh-CN"/>
              </w:rPr>
              <w:t>S</w:t>
            </w:r>
            <w:r>
              <w:rPr>
                <w:rFonts w:hint="default" w:ascii="Times New Roman" w:hAnsi="Times New Roman" w:eastAsia="宋体" w:cs="Times New Roman"/>
                <w:b/>
                <w:bCs w:val="0"/>
                <w:color w:val="auto"/>
                <w:kern w:val="0"/>
                <w:sz w:val="24"/>
                <w:szCs w:val="24"/>
                <w:highlight w:val="none"/>
                <w:u w:val="single"/>
                <w:vertAlign w:val="subscript"/>
                <w:lang w:val="en-US" w:eastAsia="zh-CN"/>
              </w:rPr>
              <w:t>1-1</w:t>
            </w:r>
            <w:r>
              <w:rPr>
                <w:rFonts w:hint="default" w:ascii="Times New Roman" w:hAnsi="Times New Roman" w:eastAsia="宋体" w:cs="Times New Roman"/>
                <w:b/>
                <w:bCs w:val="0"/>
                <w:color w:val="auto"/>
                <w:sz w:val="24"/>
                <w:szCs w:val="24"/>
                <w:highlight w:val="none"/>
                <w:u w:val="single"/>
              </w:rPr>
              <w:t>玻璃边角料。</w:t>
            </w:r>
          </w:p>
          <w:p w14:paraId="6731CF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所谓切割，并不是通常意义上的直接切割，而是制造划痕，造成应力集中，然后裂片。切割是玻璃生产和深加工过程中必不可少的基本工序，其质量要求为：尺寸准确、断面平整垂直、无崩边掉角，这对于保证玻璃后续的加工质量至关重要。</w:t>
            </w:r>
          </w:p>
          <w:p w14:paraId="4D8AA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玻璃是一种典型的脆性材料，根据脆性材料断裂的微裂纹理论，传统切割技术使用坚硬、锐利硬质材料刀头刻划玻璃表面，形成的划痕线可等效认为是由很多的微裂纹组成，每个微裂纹的长度沿着刀头刻划的方向，在划痕线的下方会形成一定深度的破坏区域，这一深度可认为是微裂纹的端面半径。由于微裂纹的端部是应力集中的地方，切割压力使微裂纹端部的应力增大，使得裂纹很快向玻璃厚度方向扩展，形成纵向微裂纹。在良好的切割状况下，连续的纵向微裂纹的末端几乎在同一条水平线上。在划痕完成后，就需要进行裂片，即对玻璃施加外力，增大纵向微裂纹端部的应力，使纵向微裂纹迅速扩展，贯穿到玻璃的底部，达到玻璃分离的目的。</w:t>
            </w:r>
            <w:r>
              <w:rPr>
                <w:rFonts w:hint="default" w:ascii="Times New Roman" w:hAnsi="Times New Roman" w:eastAsia="宋体" w:cs="Times New Roman"/>
                <w:b w:val="0"/>
                <w:bCs w:val="0"/>
                <w:i w:val="0"/>
                <w:iCs w:val="0"/>
                <w:color w:val="auto"/>
                <w:sz w:val="24"/>
                <w:szCs w:val="32"/>
                <w:highlight w:val="none"/>
                <w:u w:val="none"/>
              </w:rPr>
              <w:t>项目使用的自动玻璃切割机切割，原理同传统切割一致，该过程不会产生粉尘。</w:t>
            </w:r>
          </w:p>
          <w:p w14:paraId="6DBE9F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32"/>
                <w:highlight w:val="none"/>
                <w:u w:val="none"/>
                <w:lang w:eastAsia="zh-CN"/>
              </w:rPr>
            </w:pPr>
            <w:r>
              <w:rPr>
                <w:rFonts w:hint="default" w:ascii="Times New Roman" w:hAnsi="Times New Roman" w:eastAsia="宋体" w:cs="Times New Roman"/>
                <w:color w:val="auto"/>
                <w:sz w:val="24"/>
                <w:szCs w:val="32"/>
                <w:highlight w:val="none"/>
              </w:rPr>
              <w:t>磨边</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将裁切好的平板玻璃在磨边机的加工下去除玻璃切割后产生的锋利边沿和微裂纹磨削，并保证玻璃尺寸和边部质量符合标准。本项目采用水磨工艺</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b w:val="0"/>
                <w:bCs w:val="0"/>
                <w:color w:val="auto"/>
                <w:sz w:val="24"/>
                <w:szCs w:val="32"/>
                <w:highlight w:val="none"/>
                <w:u w:val="none"/>
              </w:rPr>
              <w:t>磨边过程无粉尘产生，产生水磨废水，废水通过沉淀池静置沉淀后</w:t>
            </w:r>
            <w:r>
              <w:rPr>
                <w:rFonts w:hint="default" w:ascii="Times New Roman" w:hAnsi="Times New Roman" w:eastAsia="宋体" w:cs="Times New Roman"/>
                <w:b w:val="0"/>
                <w:bCs w:val="0"/>
                <w:color w:val="auto"/>
                <w:sz w:val="24"/>
                <w:szCs w:val="32"/>
                <w:highlight w:val="none"/>
                <w:u w:val="none"/>
                <w:lang w:eastAsia="zh-CN"/>
              </w:rPr>
              <w:t>，</w:t>
            </w:r>
            <w:r>
              <w:rPr>
                <w:rFonts w:hint="default" w:ascii="Times New Roman" w:hAnsi="Times New Roman" w:eastAsia="宋体" w:cs="Times New Roman"/>
                <w:b w:val="0"/>
                <w:bCs w:val="0"/>
                <w:color w:val="auto"/>
                <w:sz w:val="24"/>
                <w:szCs w:val="32"/>
                <w:highlight w:val="none"/>
                <w:u w:val="none"/>
              </w:rPr>
              <w:t>上清循环使用，不外排</w:t>
            </w:r>
            <w:r>
              <w:rPr>
                <w:rFonts w:hint="eastAsia" w:ascii="Times New Roman" w:hAnsi="Times New Roman" w:cs="Times New Roman"/>
                <w:b w:val="0"/>
                <w:bCs w:val="0"/>
                <w:color w:val="auto"/>
                <w:sz w:val="24"/>
                <w:szCs w:val="32"/>
                <w:highlight w:val="none"/>
                <w:u w:val="none"/>
                <w:lang w:eastAsia="zh-CN"/>
              </w:rPr>
              <w:t>。</w:t>
            </w:r>
          </w:p>
          <w:p w14:paraId="547917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val="0"/>
                <w:color w:val="auto"/>
                <w:sz w:val="24"/>
                <w:szCs w:val="24"/>
                <w:highlight w:val="none"/>
                <w:u w:val="double"/>
              </w:rPr>
            </w:pPr>
            <w:r>
              <w:rPr>
                <w:rFonts w:hint="default" w:ascii="Times New Roman" w:hAnsi="Times New Roman" w:eastAsia="宋体" w:cs="Times New Roman"/>
                <w:color w:val="auto"/>
                <w:sz w:val="24"/>
                <w:szCs w:val="32"/>
                <w:highlight w:val="none"/>
                <w:lang w:val="en-US" w:eastAsia="zh-CN"/>
              </w:rPr>
              <w:t>清洗：</w:t>
            </w:r>
            <w:r>
              <w:rPr>
                <w:rFonts w:hint="eastAsia" w:ascii="Times New Roman" w:hAnsi="Times New Roman" w:cs="Times New Roman"/>
                <w:color w:val="auto"/>
                <w:sz w:val="24"/>
                <w:szCs w:val="32"/>
                <w:highlight w:val="none"/>
                <w:lang w:val="en-US" w:eastAsia="zh-CN"/>
              </w:rPr>
              <w:t>磨边</w:t>
            </w:r>
            <w:r>
              <w:rPr>
                <w:rFonts w:hint="default" w:ascii="Times New Roman" w:hAnsi="Times New Roman" w:eastAsia="宋体" w:cs="Times New Roman"/>
                <w:color w:val="auto"/>
                <w:sz w:val="24"/>
                <w:szCs w:val="32"/>
                <w:highlight w:val="none"/>
                <w:lang w:val="en-US" w:eastAsia="zh-CN"/>
              </w:rPr>
              <w:t>后的玻璃进行清洗（清水清洗），清洗机为一体化设备，清洗包括两个阶段，先用清水冲洗，冲去玻璃表面附着物</w:t>
            </w:r>
            <w:r>
              <w:rPr>
                <w:rFonts w:hint="eastAsia"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rPr>
              <w:t>清洗过程中不使用清洗剂，主要去除玻璃表面的灰尘</w:t>
            </w:r>
            <w:r>
              <w:rPr>
                <w:rFonts w:hint="eastAsia"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再由毛刷刷洗后，自然干燥。清洗废水自流到沉淀池（清洗水池）沉淀后循环使用，沉淀废渣主要为玻璃渣，</w:t>
            </w:r>
            <w:r>
              <w:rPr>
                <w:rFonts w:hint="default" w:ascii="Times New Roman" w:hAnsi="Times New Roman" w:eastAsia="宋体" w:cs="Times New Roman"/>
                <w:b/>
                <w:bCs w:val="0"/>
                <w:color w:val="auto"/>
                <w:kern w:val="0"/>
                <w:sz w:val="24"/>
                <w:szCs w:val="24"/>
                <w:highlight w:val="none"/>
                <w:u w:val="single"/>
              </w:rPr>
              <w:t>该工序产生</w:t>
            </w:r>
            <w:r>
              <w:rPr>
                <w:rFonts w:hint="default" w:ascii="Times New Roman" w:hAnsi="Times New Roman" w:eastAsia="宋体" w:cs="Times New Roman"/>
                <w:b/>
                <w:bCs w:val="0"/>
                <w:color w:val="auto"/>
                <w:kern w:val="0"/>
                <w:sz w:val="24"/>
                <w:szCs w:val="24"/>
                <w:highlight w:val="none"/>
                <w:u w:val="single"/>
                <w:lang w:val="en-US" w:eastAsia="zh-CN"/>
              </w:rPr>
              <w:t>S</w:t>
            </w:r>
            <w:r>
              <w:rPr>
                <w:rFonts w:hint="default" w:ascii="Times New Roman" w:hAnsi="Times New Roman" w:eastAsia="宋体" w:cs="Times New Roman"/>
                <w:b/>
                <w:bCs w:val="0"/>
                <w:color w:val="auto"/>
                <w:kern w:val="0"/>
                <w:sz w:val="24"/>
                <w:szCs w:val="24"/>
                <w:highlight w:val="none"/>
                <w:u w:val="single"/>
                <w:vertAlign w:val="subscript"/>
                <w:lang w:val="en-US" w:eastAsia="zh-CN"/>
              </w:rPr>
              <w:t>1-</w:t>
            </w:r>
            <w:r>
              <w:rPr>
                <w:rFonts w:hint="default" w:ascii="Times New Roman" w:hAnsi="Times New Roman" w:cs="Times New Roman"/>
                <w:b/>
                <w:bCs w:val="0"/>
                <w:color w:val="auto"/>
                <w:kern w:val="0"/>
                <w:sz w:val="24"/>
                <w:szCs w:val="24"/>
                <w:highlight w:val="none"/>
                <w:u w:val="single"/>
                <w:vertAlign w:val="subscript"/>
                <w:lang w:val="en-US" w:eastAsia="zh-CN"/>
              </w:rPr>
              <w:t>2</w:t>
            </w:r>
            <w:r>
              <w:rPr>
                <w:rFonts w:hint="default" w:ascii="Times New Roman" w:hAnsi="Times New Roman" w:eastAsia="宋体" w:cs="Times New Roman"/>
                <w:b/>
                <w:bCs w:val="0"/>
                <w:color w:val="auto"/>
                <w:sz w:val="24"/>
                <w:szCs w:val="24"/>
                <w:highlight w:val="none"/>
                <w:u w:val="single"/>
              </w:rPr>
              <w:t>玻璃</w:t>
            </w:r>
            <w:r>
              <w:rPr>
                <w:rFonts w:hint="default" w:ascii="Times New Roman" w:hAnsi="Times New Roman" w:eastAsia="宋体" w:cs="Times New Roman"/>
                <w:b/>
                <w:bCs w:val="0"/>
                <w:color w:val="auto"/>
                <w:sz w:val="24"/>
                <w:szCs w:val="24"/>
                <w:highlight w:val="none"/>
                <w:u w:val="single"/>
                <w:lang w:val="en-US" w:eastAsia="zh-CN"/>
              </w:rPr>
              <w:t>沉渣</w:t>
            </w:r>
            <w:r>
              <w:rPr>
                <w:rFonts w:hint="default" w:ascii="Times New Roman" w:hAnsi="Times New Roman" w:eastAsia="宋体" w:cs="Times New Roman"/>
                <w:b/>
                <w:bCs w:val="0"/>
                <w:color w:val="auto"/>
                <w:sz w:val="24"/>
                <w:szCs w:val="24"/>
                <w:highlight w:val="none"/>
                <w:u w:val="single"/>
              </w:rPr>
              <w:t>。</w:t>
            </w:r>
          </w:p>
          <w:p w14:paraId="4846F0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4"/>
                <w:szCs w:val="32"/>
                <w:highlight w:val="none"/>
                <w:lang w:val="en-US" w:eastAsia="zh-CN"/>
              </w:rPr>
              <w:t>钢化：清洗后的玻璃风干后迅速通过电加热钢化炉，根据玻璃厚度控制通过速度，一般加热时间在15</w:t>
            </w:r>
            <w:r>
              <w:rPr>
                <w:rFonts w:hint="default" w:ascii="Times New Roman" w:hAnsi="Times New Roman"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30min，加热温度600℃左右</w:t>
            </w:r>
            <w:r>
              <w:rPr>
                <w:rFonts w:hint="default" w:ascii="Times New Roman" w:hAnsi="Times New Roman" w:cs="Times New Roman"/>
                <w:color w:val="auto"/>
                <w:sz w:val="24"/>
                <w:szCs w:val="32"/>
                <w:highlight w:val="none"/>
                <w:lang w:val="en-US" w:eastAsia="zh-CN"/>
              </w:rPr>
              <w:t>（当加热温度</w:t>
            </w:r>
            <w:r>
              <w:rPr>
                <w:rFonts w:hint="default" w:ascii="Times New Roman" w:hAnsi="Times New Roman" w:eastAsia="宋体" w:cs="Times New Roman"/>
                <w:color w:val="auto"/>
                <w:sz w:val="24"/>
                <w:szCs w:val="32"/>
                <w:highlight w:val="none"/>
                <w:lang w:val="en-US" w:eastAsia="zh-CN"/>
              </w:rPr>
              <w:t>800℃</w:t>
            </w:r>
            <w:r>
              <w:rPr>
                <w:rFonts w:hint="default" w:ascii="Times New Roman" w:hAnsi="Times New Roman" w:cs="Times New Roman"/>
                <w:color w:val="auto"/>
                <w:sz w:val="24"/>
                <w:szCs w:val="32"/>
                <w:highlight w:val="none"/>
                <w:lang w:val="en-US" w:eastAsia="zh-CN"/>
              </w:rPr>
              <w:t>左右时，即为防火玻璃）</w:t>
            </w:r>
            <w:r>
              <w:rPr>
                <w:rFonts w:hint="default" w:ascii="Times New Roman" w:hAnsi="Times New Roman" w:eastAsia="宋体" w:cs="Times New Roman"/>
                <w:color w:val="auto"/>
                <w:sz w:val="24"/>
                <w:szCs w:val="32"/>
                <w:highlight w:val="none"/>
                <w:lang w:val="en-US" w:eastAsia="zh-CN"/>
              </w:rPr>
              <w:t>，刚好到玻璃软化点，然后在出炉处经多头喷嘴向两面吹喷空气，使玻片迅速、均匀的冷却，当冷却至室温时，就形成了高强度的钢化玻璃</w:t>
            </w:r>
            <w:r>
              <w:rPr>
                <w:rFonts w:hint="default" w:ascii="Times New Roman" w:hAnsi="Times New Roman"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该工序不产生污染物。</w:t>
            </w:r>
          </w:p>
          <w:p w14:paraId="061A06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32"/>
                <w:highlight w:val="none"/>
                <w:lang w:val="en-US" w:eastAsia="zh-CN"/>
              </w:rPr>
              <w:t>检验：主要对产品刚度和外观等进行抽检。</w:t>
            </w:r>
            <w:r>
              <w:rPr>
                <w:rFonts w:hint="default" w:ascii="Times New Roman" w:hAnsi="Times New Roman" w:eastAsia="宋体" w:cs="Times New Roman"/>
                <w:b/>
                <w:color w:val="auto"/>
                <w:kern w:val="0"/>
                <w:sz w:val="24"/>
                <w:szCs w:val="24"/>
                <w:highlight w:val="none"/>
                <w:u w:val="double"/>
              </w:rPr>
              <w:t>该工序产生少量</w:t>
            </w:r>
            <w:r>
              <w:rPr>
                <w:rFonts w:hint="default" w:ascii="Times New Roman" w:hAnsi="Times New Roman" w:eastAsia="宋体" w:cs="Times New Roman"/>
                <w:b/>
                <w:color w:val="auto"/>
                <w:kern w:val="0"/>
                <w:sz w:val="24"/>
                <w:szCs w:val="24"/>
                <w:highlight w:val="none"/>
                <w:u w:val="double"/>
                <w:lang w:val="en-US" w:eastAsia="zh-CN"/>
              </w:rPr>
              <w:t>S</w:t>
            </w:r>
            <w:r>
              <w:rPr>
                <w:rFonts w:hint="default" w:ascii="Times New Roman" w:hAnsi="Times New Roman" w:eastAsia="宋体" w:cs="Times New Roman"/>
                <w:b/>
                <w:color w:val="auto"/>
                <w:kern w:val="0"/>
                <w:sz w:val="24"/>
                <w:szCs w:val="24"/>
                <w:highlight w:val="none"/>
                <w:u w:val="double"/>
                <w:vertAlign w:val="subscript"/>
                <w:lang w:val="en-US" w:eastAsia="zh-CN"/>
              </w:rPr>
              <w:t>1-1</w:t>
            </w:r>
            <w:r>
              <w:rPr>
                <w:rFonts w:hint="default" w:ascii="Times New Roman" w:hAnsi="Times New Roman" w:eastAsia="宋体" w:cs="Times New Roman"/>
                <w:b/>
                <w:color w:val="auto"/>
                <w:kern w:val="0"/>
                <w:sz w:val="24"/>
                <w:szCs w:val="24"/>
                <w:highlight w:val="none"/>
                <w:u w:val="double"/>
                <w:vertAlign w:val="baseline"/>
                <w:lang w:val="en-US" w:eastAsia="zh-CN"/>
              </w:rPr>
              <w:t>不合格品（不合格率约为0.5%）</w:t>
            </w:r>
            <w:r>
              <w:rPr>
                <w:rFonts w:hint="default" w:ascii="Times New Roman" w:hAnsi="Times New Roman" w:eastAsia="宋体" w:cs="Times New Roman"/>
                <w:color w:val="auto"/>
                <w:sz w:val="24"/>
                <w:szCs w:val="24"/>
                <w:highlight w:val="none"/>
                <w:vertAlign w:val="baseline"/>
                <w:lang w:val="en-US" w:eastAsia="zh-CN"/>
              </w:rPr>
              <w:t>。</w:t>
            </w:r>
          </w:p>
          <w:p w14:paraId="315C59FA">
            <w:pPr>
              <w:pStyle w:val="6"/>
              <w:numPr>
                <w:ilvl w:val="0"/>
                <w:numId w:val="1"/>
              </w:numPr>
              <w:rPr>
                <w:rFonts w:hint="default" w:ascii="Times New Roman" w:hAnsi="Times New Roman" w:cs="Times New Roman"/>
                <w:color w:val="auto"/>
                <w:sz w:val="24"/>
                <w:szCs w:val="32"/>
                <w:highlight w:val="none"/>
                <w:lang w:val="en-US" w:eastAsia="zh-CN"/>
              </w:rPr>
            </w:pPr>
            <w:r>
              <w:rPr>
                <w:rFonts w:hint="default" w:ascii="Times New Roman" w:hAnsi="Times New Roman" w:cs="Times New Roman"/>
                <w:color w:val="auto"/>
                <w:sz w:val="24"/>
                <w:szCs w:val="32"/>
                <w:highlight w:val="none"/>
                <w:lang w:val="en-US" w:eastAsia="zh-CN"/>
              </w:rPr>
              <w:t>中空玻璃（普通、钢化）</w:t>
            </w:r>
          </w:p>
          <w:p w14:paraId="7D9E5917">
            <w:pPr>
              <w:numPr>
                <w:ilvl w:val="0"/>
                <w:numId w:val="0"/>
              </w:numPr>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object>
                <v:shape id="_x0000_i1028" o:spt="75" type="#_x0000_t75" style="height:168.1pt;width:368.9pt;" o:ole="t" filled="f" o:preferrelative="t" stroked="f" coordsize="21600,21600">
                  <v:path/>
                  <v:fill on="f" focussize="0,0"/>
                  <v:stroke on="f"/>
                  <v:imagedata r:id="rId18" o:title=""/>
                  <o:lock v:ext="edit" aspectratio="f"/>
                  <w10:wrap type="none"/>
                  <w10:anchorlock/>
                </v:shape>
                <o:OLEObject Type="Embed" ProgID="Visio.Drawing.15" ShapeID="_x0000_i1028" DrawAspect="Content" ObjectID="_1468075728" r:id="rId17">
                  <o:LockedField>false</o:LockedField>
                </o:OLEObject>
              </w:object>
            </w:r>
          </w:p>
          <w:p w14:paraId="1D34E93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highlight w:val="none"/>
                <w:lang w:eastAsia="zh-CN"/>
              </w:rPr>
            </w:pPr>
            <w:r>
              <w:rPr>
                <w:rFonts w:hint="default" w:ascii="Times New Roman" w:hAnsi="Times New Roman" w:cs="Times New Roman"/>
                <w:b/>
                <w:bCs/>
                <w:color w:val="auto"/>
                <w:sz w:val="24"/>
                <w:szCs w:val="32"/>
                <w:highlight w:val="none"/>
                <w:lang w:eastAsia="zh-CN"/>
              </w:rPr>
              <w:t>图</w:t>
            </w:r>
            <w:r>
              <w:rPr>
                <w:rFonts w:hint="default" w:ascii="Times New Roman" w:hAnsi="Times New Roman" w:cs="Times New Roman"/>
                <w:b/>
                <w:bCs/>
                <w:color w:val="auto"/>
                <w:sz w:val="24"/>
                <w:szCs w:val="32"/>
                <w:highlight w:val="none"/>
                <w:lang w:val="en-US" w:eastAsia="zh-CN"/>
              </w:rPr>
              <w:t>2-</w:t>
            </w:r>
            <w:r>
              <w:rPr>
                <w:rFonts w:hint="eastAsia" w:cs="Times New Roman"/>
                <w:b/>
                <w:bCs/>
                <w:color w:val="auto"/>
                <w:sz w:val="24"/>
                <w:szCs w:val="32"/>
                <w:highlight w:val="none"/>
                <w:lang w:val="en-US" w:eastAsia="zh-CN"/>
              </w:rPr>
              <w:t>4</w:t>
            </w:r>
            <w:r>
              <w:rPr>
                <w:rFonts w:hint="default" w:ascii="Times New Roman" w:hAnsi="Times New Roman" w:cs="Times New Roman"/>
                <w:b/>
                <w:bCs/>
                <w:color w:val="auto"/>
                <w:sz w:val="24"/>
                <w:szCs w:val="32"/>
                <w:highlight w:val="none"/>
                <w:lang w:eastAsia="zh-CN"/>
              </w:rPr>
              <w:t xml:space="preserve"> </w:t>
            </w:r>
            <w:r>
              <w:rPr>
                <w:rFonts w:hint="eastAsia" w:cs="Times New Roman"/>
                <w:b/>
                <w:bCs/>
                <w:color w:val="auto"/>
                <w:sz w:val="24"/>
                <w:szCs w:val="32"/>
                <w:highlight w:val="none"/>
                <w:lang w:val="en-US" w:eastAsia="zh-CN"/>
              </w:rPr>
              <w:t>中空</w:t>
            </w:r>
            <w:r>
              <w:rPr>
                <w:rFonts w:hint="default" w:ascii="Times New Roman" w:hAnsi="Times New Roman" w:cs="Times New Roman"/>
                <w:b/>
                <w:bCs/>
                <w:color w:val="auto"/>
                <w:sz w:val="24"/>
                <w:szCs w:val="32"/>
                <w:highlight w:val="none"/>
                <w:lang w:eastAsia="zh-CN"/>
              </w:rPr>
              <w:t>玻璃</w:t>
            </w:r>
            <w:r>
              <w:rPr>
                <w:rFonts w:hint="eastAsia" w:cs="Times New Roman"/>
                <w:b/>
                <w:bCs/>
                <w:color w:val="auto"/>
                <w:sz w:val="24"/>
                <w:szCs w:val="32"/>
                <w:highlight w:val="none"/>
                <w:lang w:val="en-US" w:eastAsia="zh-CN"/>
              </w:rPr>
              <w:t>生产</w:t>
            </w:r>
            <w:r>
              <w:rPr>
                <w:rFonts w:hint="default" w:ascii="Times New Roman" w:hAnsi="Times New Roman" w:cs="Times New Roman"/>
                <w:b/>
                <w:bCs/>
                <w:color w:val="auto"/>
                <w:sz w:val="24"/>
                <w:szCs w:val="32"/>
                <w:highlight w:val="none"/>
                <w:lang w:eastAsia="zh-CN"/>
              </w:rPr>
              <w:t>工艺流程及污染节点图</w:t>
            </w:r>
          </w:p>
          <w:p w14:paraId="7C77E0E6">
            <w:pPr>
              <w:pStyle w:val="6"/>
              <w:spacing w:line="360" w:lineRule="auto"/>
              <w:ind w:left="0" w:leftChars="0" w:firstLine="0" w:firstLineChars="0"/>
              <w:rPr>
                <w:rFonts w:hint="default" w:ascii="Times New Roman" w:hAnsi="Times New Roman"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生产</w:t>
            </w:r>
            <w:r>
              <w:rPr>
                <w:rFonts w:hint="default" w:ascii="Times New Roman" w:hAnsi="Times New Roman" w:cs="Times New Roman"/>
                <w:color w:val="auto"/>
                <w:sz w:val="24"/>
                <w:szCs w:val="32"/>
                <w:highlight w:val="none"/>
                <w:lang w:val="en-US" w:eastAsia="zh-CN"/>
              </w:rPr>
              <w:t>工艺简述：</w:t>
            </w:r>
          </w:p>
          <w:p w14:paraId="1C8397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中空玻璃生产简介</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本项目生产的中空玻璃是将两片的平行</w:t>
            </w:r>
            <w:r>
              <w:rPr>
                <w:rFonts w:hint="default" w:ascii="Times New Roman" w:hAnsi="Times New Roman"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钢化</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普通</w:t>
            </w:r>
            <w:r>
              <w:rPr>
                <w:rFonts w:hint="default" w:ascii="Times New Roman" w:hAnsi="Times New Roman"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玻璃周边用铝条框隔开</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四周用密封胶密封</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使玻璃层间形成由干燥空气填充中间腔体的玻璃产品。第</w:t>
            </w:r>
            <w:r>
              <w:rPr>
                <w:rFonts w:hint="default" w:ascii="Times New Roman" w:hAnsi="Times New Roman" w:eastAsia="宋体" w:cs="Times New Roman"/>
                <w:color w:val="auto"/>
                <w:sz w:val="24"/>
                <w:szCs w:val="32"/>
                <w:highlight w:val="none"/>
                <w:lang w:val="en-US" w:eastAsia="zh-CN"/>
              </w:rPr>
              <w:t>一</w:t>
            </w:r>
            <w:r>
              <w:rPr>
                <w:rFonts w:hint="default" w:ascii="Times New Roman" w:hAnsi="Times New Roman" w:eastAsia="宋体" w:cs="Times New Roman"/>
                <w:color w:val="auto"/>
                <w:sz w:val="24"/>
                <w:szCs w:val="32"/>
                <w:highlight w:val="none"/>
              </w:rPr>
              <w:t>道密封用丁基胶</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具有极低的水蒸气透过率</w:t>
            </w:r>
            <w:r>
              <w:rPr>
                <w:rFonts w:hint="eastAsia" w:ascii="Times New Roman" w:hAnsi="Times New Roman"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第二道密封胶主要是硅酮胶。</w:t>
            </w:r>
          </w:p>
          <w:p w14:paraId="3684B9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清洗</w:t>
            </w:r>
            <w:r>
              <w:rPr>
                <w:rFonts w:hint="eastAsia"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rPr>
              <w:t>玻璃原片用清洗机进行清洗，以去除玻璃表面灰尘等杂质，清洗机组主要由传动系统、刷洗、清水冲洗、热风烘干、电控系统等组成。清洗过程中不使用清洗剂，主要去除玻璃表面的灰尘，清洗废水</w:t>
            </w:r>
            <w:r>
              <w:rPr>
                <w:rFonts w:hint="default" w:ascii="Times New Roman" w:hAnsi="Times New Roman" w:eastAsia="宋体" w:cs="Times New Roman"/>
                <w:color w:val="auto"/>
                <w:sz w:val="24"/>
                <w:szCs w:val="32"/>
                <w:highlight w:val="none"/>
                <w:lang w:val="en-US" w:eastAsia="zh-CN"/>
              </w:rPr>
              <w:t>自流到沉淀池（清洗水池）沉淀后循环使用</w:t>
            </w:r>
            <w:r>
              <w:rPr>
                <w:rFonts w:hint="default" w:ascii="Times New Roman" w:hAnsi="Times New Roman" w:eastAsia="宋体" w:cs="Times New Roman"/>
                <w:color w:val="auto"/>
                <w:sz w:val="24"/>
                <w:szCs w:val="32"/>
                <w:highlight w:val="none"/>
              </w:rPr>
              <w:t>。</w:t>
            </w:r>
          </w:p>
          <w:p w14:paraId="2DC09C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kern w:val="0"/>
                <w:sz w:val="21"/>
                <w:szCs w:val="21"/>
                <w:highlight w:val="none"/>
                <w:u w:val="single"/>
              </w:rPr>
            </w:pPr>
            <w:r>
              <w:rPr>
                <w:rFonts w:hint="default" w:ascii="Times New Roman" w:hAnsi="Times New Roman" w:eastAsia="宋体" w:cs="Times New Roman"/>
                <w:color w:val="auto"/>
                <w:sz w:val="24"/>
                <w:szCs w:val="32"/>
                <w:highlight w:val="none"/>
              </w:rPr>
              <w:t>制框</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本项目按照产品需求购买已经切割好的铝条用于制框</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然后利用自动折</w:t>
            </w:r>
            <w:r>
              <w:rPr>
                <w:rFonts w:hint="default" w:ascii="Times New Roman" w:hAnsi="Times New Roman" w:eastAsia="宋体" w:cs="Times New Roman"/>
                <w:color w:val="auto"/>
                <w:sz w:val="24"/>
                <w:szCs w:val="24"/>
                <w:highlight w:val="none"/>
              </w:rPr>
              <w:t>弯机将铝条折成矩形或异形框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铝框两端由插件连接。</w:t>
            </w:r>
            <w:r>
              <w:rPr>
                <w:rFonts w:hint="default" w:ascii="Times New Roman" w:hAnsi="Times New Roman" w:eastAsia="宋体" w:cs="Times New Roman"/>
                <w:b/>
                <w:color w:val="auto"/>
                <w:kern w:val="0"/>
                <w:sz w:val="24"/>
                <w:szCs w:val="24"/>
                <w:highlight w:val="none"/>
                <w:u w:val="single"/>
              </w:rPr>
              <w:t>该工序产生少量</w:t>
            </w:r>
            <w:r>
              <w:rPr>
                <w:rFonts w:hint="default" w:ascii="Times New Roman" w:hAnsi="Times New Roman" w:eastAsia="宋体" w:cs="Times New Roman"/>
                <w:b/>
                <w:color w:val="auto"/>
                <w:kern w:val="0"/>
                <w:sz w:val="24"/>
                <w:szCs w:val="24"/>
                <w:highlight w:val="none"/>
                <w:u w:val="single"/>
                <w:lang w:val="en-US" w:eastAsia="zh-CN"/>
              </w:rPr>
              <w:t>S</w:t>
            </w:r>
            <w:r>
              <w:rPr>
                <w:rFonts w:hint="default" w:ascii="Times New Roman" w:hAnsi="Times New Roman" w:eastAsia="宋体" w:cs="Times New Roman"/>
                <w:b/>
                <w:color w:val="auto"/>
                <w:kern w:val="0"/>
                <w:sz w:val="24"/>
                <w:szCs w:val="24"/>
                <w:highlight w:val="none"/>
                <w:u w:val="single"/>
                <w:vertAlign w:val="subscript"/>
                <w:lang w:val="en-US" w:eastAsia="zh-CN"/>
              </w:rPr>
              <w:t>2-1</w:t>
            </w:r>
            <w:r>
              <w:rPr>
                <w:rFonts w:hint="default" w:ascii="Times New Roman" w:hAnsi="Times New Roman" w:eastAsia="宋体" w:cs="Times New Roman"/>
                <w:b/>
                <w:color w:val="auto"/>
                <w:kern w:val="0"/>
                <w:sz w:val="24"/>
                <w:szCs w:val="24"/>
                <w:highlight w:val="none"/>
                <w:u w:val="single"/>
                <w:vertAlign w:val="baseline"/>
                <w:lang w:val="en-US" w:eastAsia="zh-CN"/>
              </w:rPr>
              <w:t>铝条边角料</w:t>
            </w:r>
            <w:r>
              <w:rPr>
                <w:rFonts w:hint="default" w:ascii="Times New Roman" w:hAnsi="Times New Roman" w:eastAsia="宋体" w:cs="Times New Roman"/>
                <w:b/>
                <w:bCs/>
                <w:color w:val="auto"/>
                <w:sz w:val="24"/>
                <w:szCs w:val="32"/>
                <w:highlight w:val="none"/>
                <w:u w:val="single"/>
              </w:rPr>
              <w:t>、设备噪声N</w:t>
            </w:r>
            <w:r>
              <w:rPr>
                <w:rFonts w:hint="default" w:ascii="Times New Roman" w:hAnsi="Times New Roman" w:eastAsia="宋体" w:cs="Times New Roman"/>
                <w:b/>
                <w:color w:val="auto"/>
                <w:kern w:val="0"/>
                <w:sz w:val="24"/>
                <w:szCs w:val="24"/>
                <w:highlight w:val="none"/>
                <w:u w:val="single"/>
              </w:rPr>
              <w:t>。</w:t>
            </w:r>
          </w:p>
          <w:p w14:paraId="62A724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rPr>
              <w:t>装干燥剂</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分子筛灌装机先用钻头在铝框上钻孔</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然后灌注分子筛</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干燥剂</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钻孔处用少量的丁基胶密封</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该工序不产生污染物。</w:t>
            </w:r>
          </w:p>
          <w:p w14:paraId="182AB3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kern w:val="0"/>
                <w:sz w:val="21"/>
                <w:szCs w:val="21"/>
                <w:highlight w:val="none"/>
                <w:u w:val="double"/>
              </w:rPr>
            </w:pPr>
            <w:r>
              <w:rPr>
                <w:rFonts w:hint="default" w:ascii="Times New Roman" w:hAnsi="Times New Roman" w:eastAsia="宋体" w:cs="Times New Roman"/>
                <w:color w:val="auto"/>
                <w:sz w:val="24"/>
                <w:szCs w:val="32"/>
                <w:highlight w:val="none"/>
              </w:rPr>
              <w:t>涂布丁基胶</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加工好的铝框要进行丁基胶涂布</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涂布前应根据铝框尺寸对丁基胶涂布机</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丁基胶在丁基胶中用电加热软化使用</w:t>
            </w:r>
            <w:r>
              <w:rPr>
                <w:rFonts w:hint="default" w:ascii="Times New Roman" w:hAnsi="Times New Roman" w:cs="Times New Roman"/>
                <w:color w:val="auto"/>
                <w:sz w:val="24"/>
                <w:szCs w:val="32"/>
                <w:highlight w:val="none"/>
                <w:lang w:val="en-US" w:eastAsia="zh-CN"/>
              </w:rPr>
              <w:t>：将固态丁基胶放入丁基胶涂布机机缸钢预热到100℃，温控器保持恒温后，此时固体丁基胶融为液体，打出胶条均匀不断线时，然后将灌装好的铝框放到丁基胶机上，丁基胶耐温性范围：-4℃-123℃；最高耐热温度160℃，高温状态下不易分解，沸点为180℃-250℃</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出胶口尺寸进行调整保证丁基胶均匀</w:t>
            </w:r>
            <w:r>
              <w:rPr>
                <w:rFonts w:hint="default" w:ascii="Times New Roman" w:hAnsi="Times New Roman" w:cs="Times New Roman"/>
                <w:color w:val="auto"/>
                <w:sz w:val="24"/>
                <w:szCs w:val="32"/>
                <w:highlight w:val="none"/>
                <w:lang w:eastAsia="zh-CN"/>
              </w:rPr>
              <w:t>地</w:t>
            </w:r>
            <w:r>
              <w:rPr>
                <w:rFonts w:hint="default" w:ascii="Times New Roman" w:hAnsi="Times New Roman" w:eastAsia="宋体" w:cs="Times New Roman"/>
                <w:color w:val="auto"/>
                <w:sz w:val="24"/>
                <w:szCs w:val="32"/>
                <w:highlight w:val="none"/>
              </w:rPr>
              <w:t>涂布在铝框上。铝框的插件处也必须完全被丁基胶填塞</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以保证密封性。涂好丁基胶的铝框挂在铝框周转架上等待上框、合片</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color w:val="auto"/>
                <w:kern w:val="0"/>
                <w:sz w:val="24"/>
                <w:szCs w:val="24"/>
                <w:highlight w:val="none"/>
                <w:u w:val="single"/>
              </w:rPr>
              <w:t>该工序产生少量G</w:t>
            </w:r>
            <w:r>
              <w:rPr>
                <w:rFonts w:hint="default" w:ascii="Times New Roman" w:hAnsi="Times New Roman" w:eastAsia="宋体" w:cs="Times New Roman"/>
                <w:b/>
                <w:color w:val="auto"/>
                <w:kern w:val="0"/>
                <w:sz w:val="24"/>
                <w:szCs w:val="24"/>
                <w:highlight w:val="none"/>
                <w:u w:val="single"/>
                <w:vertAlign w:val="subscript"/>
                <w:lang w:val="en-US" w:eastAsia="zh-CN"/>
              </w:rPr>
              <w:t>2-1</w:t>
            </w:r>
            <w:r>
              <w:rPr>
                <w:rFonts w:hint="default" w:ascii="Times New Roman" w:hAnsi="Times New Roman" w:eastAsia="宋体" w:cs="Times New Roman"/>
                <w:b/>
                <w:color w:val="auto"/>
                <w:kern w:val="0"/>
                <w:sz w:val="24"/>
                <w:szCs w:val="24"/>
                <w:highlight w:val="none"/>
                <w:u w:val="single"/>
              </w:rPr>
              <w:t>废气。</w:t>
            </w:r>
          </w:p>
          <w:p w14:paraId="028823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rPr>
              <w:t>上框、合片</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将加工好的铝框和</w:t>
            </w:r>
            <w:r>
              <w:rPr>
                <w:rFonts w:hint="default" w:ascii="Times New Roman" w:hAnsi="Times New Roman" w:eastAsia="宋体" w:cs="Times New Roman"/>
                <w:color w:val="auto"/>
                <w:sz w:val="24"/>
                <w:szCs w:val="32"/>
                <w:highlight w:val="none"/>
                <w:lang w:val="en-US" w:eastAsia="zh-CN"/>
              </w:rPr>
              <w:t>钢化玻璃</w:t>
            </w:r>
            <w:r>
              <w:rPr>
                <w:rFonts w:hint="default" w:ascii="Times New Roman" w:hAnsi="Times New Roman" w:eastAsia="宋体" w:cs="Times New Roman"/>
                <w:color w:val="auto"/>
                <w:sz w:val="24"/>
                <w:szCs w:val="32"/>
                <w:highlight w:val="none"/>
              </w:rPr>
              <w:t>送入自动合片机内</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自动合片机通过定位系统将玻璃、铝框准确定位</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使铝框和玻璃均匀、紧密粘结</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该工序不产生污染物。</w:t>
            </w:r>
          </w:p>
          <w:p w14:paraId="442CFD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kern w:val="0"/>
                <w:sz w:val="21"/>
                <w:szCs w:val="21"/>
                <w:highlight w:val="none"/>
                <w:u w:val="double"/>
              </w:rPr>
            </w:pPr>
            <w:r>
              <w:rPr>
                <w:rFonts w:hint="default" w:ascii="Times New Roman" w:hAnsi="Times New Roman" w:cs="Times New Roman"/>
                <w:color w:val="auto"/>
                <w:sz w:val="24"/>
                <w:szCs w:val="32"/>
                <w:highlight w:val="none"/>
                <w:lang w:val="en-US" w:eastAsia="zh-CN"/>
              </w:rPr>
              <w:t>封胶</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合片后铝框外边部和玻璃边部应有5</w:t>
            </w:r>
            <w:r>
              <w:rPr>
                <w:rFonts w:hint="default" w:ascii="Times New Roman" w:hAnsi="Times New Roman"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7cm的距离</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用于涂第二道密封胶。本项目使用双组份涂胶机</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装有A</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B组分供胶压力指示表</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出胶压力连续可调</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可以使硅酮胶均匀注入玻璃封胶区</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完全填实铝框两侧。</w:t>
            </w:r>
            <w:r>
              <w:rPr>
                <w:rFonts w:hint="default" w:ascii="Times New Roman" w:hAnsi="Times New Roman" w:eastAsia="宋体" w:cs="Times New Roman"/>
                <w:b/>
                <w:color w:val="auto"/>
                <w:kern w:val="0"/>
                <w:sz w:val="24"/>
                <w:szCs w:val="24"/>
                <w:highlight w:val="none"/>
                <w:u w:val="single"/>
              </w:rPr>
              <w:t>该工序产生少量G</w:t>
            </w:r>
            <w:r>
              <w:rPr>
                <w:rFonts w:hint="default" w:ascii="Times New Roman" w:hAnsi="Times New Roman" w:eastAsia="宋体" w:cs="Times New Roman"/>
                <w:b/>
                <w:color w:val="auto"/>
                <w:kern w:val="0"/>
                <w:sz w:val="24"/>
                <w:szCs w:val="24"/>
                <w:highlight w:val="none"/>
                <w:u w:val="single"/>
                <w:vertAlign w:val="subscript"/>
                <w:lang w:val="en-US" w:eastAsia="zh-CN"/>
              </w:rPr>
              <w:t>2-2</w:t>
            </w:r>
            <w:r>
              <w:rPr>
                <w:rFonts w:hint="default" w:ascii="Times New Roman" w:hAnsi="Times New Roman" w:eastAsia="宋体" w:cs="Times New Roman"/>
                <w:b/>
                <w:color w:val="auto"/>
                <w:kern w:val="0"/>
                <w:sz w:val="24"/>
                <w:szCs w:val="24"/>
                <w:highlight w:val="none"/>
                <w:u w:val="single"/>
              </w:rPr>
              <w:t>废气。</w:t>
            </w:r>
          </w:p>
          <w:p w14:paraId="12499A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32"/>
                <w:highlight w:val="none"/>
              </w:rPr>
              <w:t>检验</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成品入库前要进行刚度和外观等进行抽检</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b/>
                <w:color w:val="auto"/>
                <w:kern w:val="0"/>
                <w:sz w:val="24"/>
                <w:szCs w:val="24"/>
                <w:highlight w:val="none"/>
                <w:u w:val="single"/>
              </w:rPr>
              <w:t>该工序产生少量</w:t>
            </w:r>
            <w:r>
              <w:rPr>
                <w:rFonts w:hint="default" w:ascii="Times New Roman" w:hAnsi="Times New Roman" w:eastAsia="宋体" w:cs="Times New Roman"/>
                <w:b/>
                <w:color w:val="auto"/>
                <w:kern w:val="0"/>
                <w:sz w:val="24"/>
                <w:szCs w:val="24"/>
                <w:highlight w:val="none"/>
                <w:u w:val="single"/>
                <w:lang w:val="en-US" w:eastAsia="zh-CN"/>
              </w:rPr>
              <w:t>S</w:t>
            </w:r>
            <w:r>
              <w:rPr>
                <w:rFonts w:hint="default" w:ascii="Times New Roman" w:hAnsi="Times New Roman" w:eastAsia="宋体" w:cs="Times New Roman"/>
                <w:b/>
                <w:color w:val="auto"/>
                <w:kern w:val="0"/>
                <w:sz w:val="24"/>
                <w:szCs w:val="24"/>
                <w:highlight w:val="none"/>
                <w:u w:val="single"/>
                <w:vertAlign w:val="subscript"/>
                <w:lang w:val="en-US" w:eastAsia="zh-CN"/>
              </w:rPr>
              <w:t>2-2</w:t>
            </w:r>
            <w:r>
              <w:rPr>
                <w:rFonts w:hint="default" w:ascii="Times New Roman" w:hAnsi="Times New Roman" w:eastAsia="宋体" w:cs="Times New Roman"/>
                <w:b/>
                <w:color w:val="auto"/>
                <w:kern w:val="0"/>
                <w:sz w:val="24"/>
                <w:szCs w:val="24"/>
                <w:highlight w:val="none"/>
                <w:u w:val="single"/>
                <w:vertAlign w:val="baseline"/>
                <w:lang w:val="en-US" w:eastAsia="zh-CN"/>
              </w:rPr>
              <w:t>不合格品（不合格率约为0.5%）</w:t>
            </w:r>
            <w:r>
              <w:rPr>
                <w:rFonts w:hint="default" w:ascii="Times New Roman" w:hAnsi="Times New Roman" w:eastAsia="宋体" w:cs="Times New Roman"/>
                <w:b/>
                <w:color w:val="auto"/>
                <w:kern w:val="0"/>
                <w:sz w:val="24"/>
                <w:szCs w:val="24"/>
                <w:highlight w:val="none"/>
                <w:u w:val="single"/>
              </w:rPr>
              <w:t>。</w:t>
            </w:r>
          </w:p>
          <w:p w14:paraId="03BBD9A9">
            <w:pPr>
              <w:pStyle w:val="6"/>
              <w:numPr>
                <w:ilvl w:val="0"/>
                <w:numId w:val="0"/>
              </w:numPr>
              <w:ind w:firstLine="482" w:firstLineChars="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b/>
                <w:bCs/>
                <w:color w:val="auto"/>
                <w:kern w:val="2"/>
                <w:sz w:val="24"/>
                <w:szCs w:val="32"/>
                <w:highlight w:val="none"/>
                <w:lang w:val="en-US" w:eastAsia="zh-CN" w:bidi="ar-SA"/>
              </w:rPr>
              <w:t>（3）</w:t>
            </w:r>
            <w:r>
              <w:rPr>
                <w:rFonts w:hint="default" w:ascii="Times New Roman" w:hAnsi="Times New Roman" w:eastAsia="宋体" w:cs="Times New Roman"/>
                <w:color w:val="auto"/>
                <w:sz w:val="24"/>
                <w:szCs w:val="32"/>
                <w:highlight w:val="none"/>
                <w:lang w:val="en-US" w:eastAsia="zh-CN"/>
              </w:rPr>
              <w:t>夹胶玻璃</w:t>
            </w:r>
          </w:p>
          <w:p w14:paraId="0EEBE219">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object>
                <v:shape id="_x0000_i1029" o:spt="75" type="#_x0000_t75" style="height:110.15pt;width:396.55pt;" o:ole="t" filled="f" o:preferrelative="t" stroked="f" coordsize="21600,21600">
                  <v:path/>
                  <v:fill on="f" focussize="0,0"/>
                  <v:stroke on="f"/>
                  <v:imagedata r:id="rId20" o:title=""/>
                  <o:lock v:ext="edit" aspectratio="f"/>
                  <w10:wrap type="none"/>
                  <w10:anchorlock/>
                </v:shape>
                <o:OLEObject Type="Embed" ProgID="Visio.Drawing.15" ShapeID="_x0000_i1029" DrawAspect="Content" ObjectID="_1468075729" r:id="rId19">
                  <o:LockedField>false</o:LockedField>
                </o:OLEObject>
              </w:object>
            </w:r>
          </w:p>
          <w:p w14:paraId="73F56135">
            <w:pPr>
              <w:pStyle w:val="6"/>
              <w:spacing w:line="360" w:lineRule="auto"/>
              <w:ind w:left="0" w:leftChars="0" w:firstLine="0" w:firstLineChars="0"/>
              <w:jc w:val="center"/>
              <w:rPr>
                <w:rFonts w:hint="eastAsia" w:ascii="Times New Roman" w:hAnsi="Times New Roman" w:cs="Times New Roman"/>
                <w:color w:val="auto"/>
                <w:sz w:val="24"/>
                <w:szCs w:val="32"/>
                <w:highlight w:val="none"/>
                <w:lang w:val="en-US" w:eastAsia="zh-CN"/>
              </w:rPr>
            </w:pPr>
            <w:r>
              <w:rPr>
                <w:rFonts w:hint="default" w:ascii="Times New Roman" w:hAnsi="Times New Roman" w:cs="Times New Roman"/>
                <w:b/>
                <w:bCs/>
                <w:color w:val="auto"/>
                <w:sz w:val="24"/>
                <w:szCs w:val="32"/>
                <w:highlight w:val="none"/>
                <w:lang w:eastAsia="zh-CN"/>
              </w:rPr>
              <w:t>图</w:t>
            </w:r>
            <w:r>
              <w:rPr>
                <w:rFonts w:hint="default" w:ascii="Times New Roman" w:hAnsi="Times New Roman" w:cs="Times New Roman"/>
                <w:b/>
                <w:bCs/>
                <w:color w:val="auto"/>
                <w:sz w:val="24"/>
                <w:szCs w:val="32"/>
                <w:highlight w:val="none"/>
                <w:lang w:val="en-US" w:eastAsia="zh-CN"/>
              </w:rPr>
              <w:t>2-</w:t>
            </w:r>
            <w:r>
              <w:rPr>
                <w:rFonts w:hint="eastAsia" w:cs="Times New Roman"/>
                <w:b/>
                <w:bCs/>
                <w:color w:val="auto"/>
                <w:sz w:val="24"/>
                <w:szCs w:val="32"/>
                <w:highlight w:val="none"/>
                <w:lang w:val="en-US" w:eastAsia="zh-CN"/>
              </w:rPr>
              <w:t>5</w:t>
            </w:r>
            <w:r>
              <w:rPr>
                <w:rFonts w:hint="default" w:ascii="Times New Roman" w:hAnsi="Times New Roman" w:cs="Times New Roman"/>
                <w:b/>
                <w:bCs/>
                <w:color w:val="auto"/>
                <w:sz w:val="24"/>
                <w:szCs w:val="32"/>
                <w:highlight w:val="none"/>
                <w:lang w:eastAsia="zh-CN"/>
              </w:rPr>
              <w:t xml:space="preserve"> </w:t>
            </w:r>
            <w:r>
              <w:rPr>
                <w:rFonts w:hint="eastAsia" w:cs="Times New Roman"/>
                <w:b/>
                <w:bCs/>
                <w:color w:val="auto"/>
                <w:sz w:val="24"/>
                <w:szCs w:val="32"/>
                <w:highlight w:val="none"/>
                <w:lang w:val="en-US" w:eastAsia="zh-CN"/>
              </w:rPr>
              <w:t>夹胶</w:t>
            </w:r>
            <w:r>
              <w:rPr>
                <w:rFonts w:hint="default" w:ascii="Times New Roman" w:hAnsi="Times New Roman" w:cs="Times New Roman"/>
                <w:b/>
                <w:bCs/>
                <w:color w:val="auto"/>
                <w:sz w:val="24"/>
                <w:szCs w:val="32"/>
                <w:highlight w:val="none"/>
                <w:lang w:eastAsia="zh-CN"/>
              </w:rPr>
              <w:t>玻璃</w:t>
            </w:r>
            <w:r>
              <w:rPr>
                <w:rFonts w:hint="eastAsia" w:cs="Times New Roman"/>
                <w:b/>
                <w:bCs/>
                <w:color w:val="auto"/>
                <w:sz w:val="24"/>
                <w:szCs w:val="32"/>
                <w:highlight w:val="none"/>
                <w:lang w:val="en-US" w:eastAsia="zh-CN"/>
              </w:rPr>
              <w:t>生产</w:t>
            </w:r>
            <w:r>
              <w:rPr>
                <w:rFonts w:hint="default" w:ascii="Times New Roman" w:hAnsi="Times New Roman" w:cs="Times New Roman"/>
                <w:b/>
                <w:bCs/>
                <w:color w:val="auto"/>
                <w:sz w:val="24"/>
                <w:szCs w:val="32"/>
                <w:highlight w:val="none"/>
                <w:lang w:eastAsia="zh-CN"/>
              </w:rPr>
              <w:t>工艺流程及污染节点图</w:t>
            </w:r>
          </w:p>
          <w:p w14:paraId="15726328">
            <w:pPr>
              <w:pStyle w:val="6"/>
              <w:spacing w:line="360" w:lineRule="auto"/>
              <w:ind w:left="0" w:leftChars="0" w:firstLine="0" w:firstLineChars="0"/>
              <w:rPr>
                <w:rFonts w:hint="default" w:ascii="Times New Roman" w:hAnsi="Times New Roman" w:eastAsia="宋体"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生产</w:t>
            </w:r>
            <w:r>
              <w:rPr>
                <w:rFonts w:hint="default" w:ascii="Times New Roman" w:hAnsi="Times New Roman" w:eastAsia="宋体" w:cs="Times New Roman"/>
                <w:color w:val="auto"/>
                <w:sz w:val="24"/>
                <w:szCs w:val="32"/>
                <w:highlight w:val="none"/>
                <w:lang w:val="en-US" w:eastAsia="zh-CN"/>
              </w:rPr>
              <w:t>工艺简述：</w:t>
            </w:r>
          </w:p>
          <w:p w14:paraId="714C82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多层夹胶玻璃生产简介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夹胶玻璃就是在两层玻璃间夹进一层PVB</w:t>
            </w:r>
            <w:r>
              <w:rPr>
                <w:rFonts w:hint="default" w:ascii="Times New Roman" w:hAnsi="Times New Roman" w:eastAsia="宋体" w:cs="Times New Roman"/>
                <w:color w:val="auto"/>
                <w:sz w:val="24"/>
                <w:szCs w:val="24"/>
                <w:highlight w:val="none"/>
                <w:lang w:val="en-US" w:eastAsia="zh-CN"/>
              </w:rPr>
              <w:t>胶</w:t>
            </w:r>
            <w:r>
              <w:rPr>
                <w:rFonts w:hint="default" w:ascii="Times New Roman" w:hAnsi="Times New Roman" w:eastAsia="宋体" w:cs="Times New Roman"/>
                <w:color w:val="auto"/>
                <w:sz w:val="24"/>
                <w:szCs w:val="24"/>
                <w:highlight w:val="none"/>
              </w:rPr>
              <w:t>。玻璃即使碎裂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碎片也会被粘在薄膜上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破碎的玻璃表面仍保持整洁光滑。</w:t>
            </w:r>
          </w:p>
          <w:p w14:paraId="674B03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清洗：钢化玻璃用清水冲去玻璃表面附着物，再</w:t>
            </w:r>
            <w:r>
              <w:rPr>
                <w:rFonts w:hint="default" w:ascii="Times New Roman" w:hAnsi="Times New Roman" w:cs="Times New Roman"/>
                <w:color w:val="auto"/>
                <w:sz w:val="24"/>
                <w:szCs w:val="24"/>
                <w:highlight w:val="none"/>
                <w:lang w:val="en-US" w:eastAsia="zh-CN"/>
              </w:rPr>
              <w:t>用</w:t>
            </w:r>
            <w:r>
              <w:rPr>
                <w:rFonts w:hint="default" w:ascii="Times New Roman" w:hAnsi="Times New Roman" w:eastAsia="宋体" w:cs="Times New Roman"/>
                <w:color w:val="auto"/>
                <w:sz w:val="24"/>
                <w:szCs w:val="24"/>
                <w:highlight w:val="none"/>
                <w:lang w:val="en-US" w:eastAsia="zh-CN"/>
              </w:rPr>
              <w:t>毛刷刷洗。清洗废水</w:t>
            </w:r>
            <w:r>
              <w:rPr>
                <w:rFonts w:hint="default" w:ascii="Times New Roman" w:hAnsi="Times New Roman" w:eastAsia="宋体" w:cs="Times New Roman"/>
                <w:color w:val="auto"/>
                <w:sz w:val="24"/>
                <w:szCs w:val="32"/>
                <w:highlight w:val="none"/>
                <w:lang w:val="en-US" w:eastAsia="zh-CN"/>
              </w:rPr>
              <w:t>自流到沉淀池（</w:t>
            </w:r>
            <w:r>
              <w:rPr>
                <w:rFonts w:hint="default" w:ascii="Times New Roman" w:hAnsi="Times New Roman" w:eastAsia="宋体" w:cs="Times New Roman"/>
                <w:color w:val="auto"/>
                <w:sz w:val="24"/>
                <w:szCs w:val="24"/>
                <w:highlight w:val="none"/>
                <w:lang w:val="en-US" w:eastAsia="zh-CN"/>
              </w:rPr>
              <w:t>清洗水池</w:t>
            </w:r>
            <w:r>
              <w:rPr>
                <w:rFonts w:hint="default" w:ascii="Times New Roman" w:hAnsi="Times New Roman" w:eastAsia="宋体" w:cs="Times New Roman"/>
                <w:color w:val="auto"/>
                <w:sz w:val="24"/>
                <w:szCs w:val="32"/>
                <w:highlight w:val="none"/>
                <w:lang w:val="en-US" w:eastAsia="zh-CN"/>
              </w:rPr>
              <w:t>）</w:t>
            </w:r>
            <w:r>
              <w:rPr>
                <w:rFonts w:hint="default" w:ascii="Times New Roman" w:hAnsi="Times New Roman" w:eastAsia="宋体" w:cs="Times New Roman"/>
                <w:color w:val="auto"/>
                <w:sz w:val="24"/>
                <w:szCs w:val="24"/>
                <w:highlight w:val="none"/>
                <w:lang w:val="en-US" w:eastAsia="zh-CN"/>
              </w:rPr>
              <w:t>沉淀后循环使用，不外排。</w:t>
            </w:r>
          </w:p>
          <w:p w14:paraId="3CB233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合胶片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在两层玻璃间放入切割好的PVB</w:t>
            </w:r>
            <w:r>
              <w:rPr>
                <w:rFonts w:hint="default" w:ascii="Times New Roman" w:hAnsi="Times New Roman" w:eastAsia="宋体" w:cs="Times New Roman"/>
                <w:color w:val="auto"/>
                <w:sz w:val="24"/>
                <w:szCs w:val="24"/>
                <w:highlight w:val="none"/>
                <w:lang w:val="en-US" w:eastAsia="zh-CN"/>
              </w:rPr>
              <w:t>胶，该工序不产生污染物</w:t>
            </w:r>
            <w:r>
              <w:rPr>
                <w:rFonts w:hint="default" w:ascii="Times New Roman" w:hAnsi="Times New Roman" w:eastAsia="宋体" w:cs="Times New Roman"/>
                <w:color w:val="auto"/>
                <w:sz w:val="24"/>
                <w:szCs w:val="24"/>
                <w:highlight w:val="none"/>
              </w:rPr>
              <w:t>。</w:t>
            </w:r>
          </w:p>
          <w:p w14:paraId="5D0EDB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预</w:t>
            </w:r>
            <w:r>
              <w:rPr>
                <w:rFonts w:hint="default" w:ascii="Times New Roman" w:hAnsi="Times New Roman" w:eastAsia="宋体" w:cs="Times New Roman"/>
                <w:color w:val="auto"/>
                <w:sz w:val="24"/>
                <w:szCs w:val="24"/>
                <w:highlight w:val="none"/>
              </w:rPr>
              <w:t>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夹胶后过平压机辊压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尽可能</w:t>
            </w:r>
            <w:r>
              <w:rPr>
                <w:rFonts w:hint="default" w:ascii="Times New Roman" w:hAnsi="Times New Roman" w:cs="Times New Roman"/>
                <w:color w:val="auto"/>
                <w:sz w:val="24"/>
                <w:szCs w:val="24"/>
                <w:highlight w:val="none"/>
                <w:lang w:eastAsia="zh-CN"/>
              </w:rPr>
              <w:t>地</w:t>
            </w:r>
            <w:r>
              <w:rPr>
                <w:rFonts w:hint="default" w:ascii="Times New Roman" w:hAnsi="Times New Roman" w:eastAsia="宋体" w:cs="Times New Roman"/>
                <w:color w:val="auto"/>
                <w:sz w:val="24"/>
                <w:szCs w:val="24"/>
                <w:highlight w:val="none"/>
              </w:rPr>
              <w:t>排出中间的空气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该工序不产生污染物。</w:t>
            </w:r>
          </w:p>
          <w:p w14:paraId="62096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kern w:val="0"/>
                <w:sz w:val="24"/>
                <w:szCs w:val="24"/>
                <w:highlight w:val="none"/>
                <w:u w:val="single"/>
              </w:rPr>
            </w:pPr>
            <w:r>
              <w:rPr>
                <w:rFonts w:hint="default" w:ascii="Times New Roman" w:hAnsi="Times New Roman" w:cs="Times New Roman"/>
                <w:color w:val="auto"/>
                <w:sz w:val="24"/>
                <w:szCs w:val="24"/>
                <w:highlight w:val="none"/>
                <w:lang w:val="en-US" w:eastAsia="zh-CN"/>
              </w:rPr>
              <w:t>高压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经过夹胶处理的玻片进入高压釜加热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施以较大的均匀的压力</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工作压力1.25MPa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和较高的温度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使胶片软化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以彻底排除气体和使玻片与PVB</w:t>
            </w:r>
            <w:r>
              <w:rPr>
                <w:rFonts w:hint="default" w:ascii="Times New Roman" w:hAnsi="Times New Roman" w:eastAsia="宋体" w:cs="Times New Roman"/>
                <w:color w:val="auto"/>
                <w:sz w:val="24"/>
                <w:szCs w:val="24"/>
                <w:highlight w:val="none"/>
                <w:lang w:val="en-US" w:eastAsia="zh-CN"/>
              </w:rPr>
              <w:t>胶</w:t>
            </w:r>
            <w:r>
              <w:rPr>
                <w:rFonts w:hint="default" w:ascii="Times New Roman" w:hAnsi="Times New Roman" w:eastAsia="宋体" w:cs="Times New Roman"/>
                <w:color w:val="auto"/>
                <w:sz w:val="24"/>
                <w:szCs w:val="24"/>
                <w:highlight w:val="none"/>
              </w:rPr>
              <w:t>完全</w:t>
            </w:r>
            <w:r>
              <w:rPr>
                <w:rFonts w:hint="default" w:ascii="Times New Roman" w:hAnsi="Times New Roman" w:cs="Times New Roman"/>
                <w:color w:val="auto"/>
                <w:sz w:val="24"/>
                <w:szCs w:val="24"/>
                <w:highlight w:val="none"/>
                <w:lang w:eastAsia="zh-CN"/>
              </w:rPr>
              <w:t>黏合</w:t>
            </w:r>
            <w:r>
              <w:rPr>
                <w:rFonts w:hint="default" w:ascii="Times New Roman" w:hAnsi="Times New Roman" w:eastAsia="宋体" w:cs="Times New Roman"/>
                <w:color w:val="auto"/>
                <w:sz w:val="24"/>
                <w:szCs w:val="24"/>
                <w:highlight w:val="none"/>
              </w:rPr>
              <w:t>、透明。本项目高压釜采用电加热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同时PVB</w:t>
            </w:r>
            <w:r>
              <w:rPr>
                <w:rFonts w:hint="default" w:ascii="Times New Roman" w:hAnsi="Times New Roman" w:eastAsia="宋体" w:cs="Times New Roman"/>
                <w:color w:val="auto"/>
                <w:sz w:val="24"/>
                <w:szCs w:val="24"/>
                <w:highlight w:val="none"/>
                <w:lang w:val="en-US" w:eastAsia="zh-CN"/>
              </w:rPr>
              <w:t>胶</w:t>
            </w:r>
            <w:r>
              <w:rPr>
                <w:rFonts w:hint="default" w:ascii="Times New Roman" w:hAnsi="Times New Roman" w:eastAsia="宋体" w:cs="Times New Roman"/>
                <w:color w:val="auto"/>
                <w:sz w:val="24"/>
                <w:szCs w:val="24"/>
                <w:highlight w:val="none"/>
              </w:rPr>
              <w:t>只加热到软化温度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60-</w:t>
            </w:r>
            <w:r>
              <w:rPr>
                <w:rFonts w:hint="eastAsia"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未达到其分解温度</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color w:val="auto"/>
                <w:kern w:val="0"/>
                <w:sz w:val="24"/>
                <w:szCs w:val="24"/>
                <w:highlight w:val="none"/>
                <w:u w:val="single"/>
              </w:rPr>
              <w:t>该工序产生少量G</w:t>
            </w:r>
            <w:r>
              <w:rPr>
                <w:rFonts w:hint="default" w:ascii="Times New Roman" w:hAnsi="Times New Roman" w:eastAsia="宋体" w:cs="Times New Roman"/>
                <w:b/>
                <w:color w:val="auto"/>
                <w:kern w:val="0"/>
                <w:sz w:val="24"/>
                <w:szCs w:val="24"/>
                <w:highlight w:val="none"/>
                <w:u w:val="single"/>
                <w:vertAlign w:val="subscript"/>
                <w:lang w:val="en-US" w:eastAsia="zh-CN"/>
              </w:rPr>
              <w:t>3-1</w:t>
            </w:r>
            <w:r>
              <w:rPr>
                <w:rFonts w:hint="default" w:ascii="Times New Roman" w:hAnsi="Times New Roman" w:eastAsia="宋体" w:cs="Times New Roman"/>
                <w:b/>
                <w:color w:val="auto"/>
                <w:kern w:val="0"/>
                <w:sz w:val="24"/>
                <w:szCs w:val="24"/>
                <w:highlight w:val="none"/>
                <w:u w:val="single"/>
              </w:rPr>
              <w:t>废气。</w:t>
            </w:r>
          </w:p>
          <w:p w14:paraId="0AFCCD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夹胶炉为一台一体化高压釜，物料在密封高压釜内升温升压加工完成后，通过夹胶炉下方预留的冷却水池经管道通入冷却水（采用间接冷却方式，冷却水循环使用不外排，定期补充新鲜水)。将釜内物料冷却至室温后，打开排气阀门，待内外压力相等时向夹胶炉内通入新鲜空气，使炉内剩余废气经风机负压抽至废气处理装置。待废气排放完成后，打开夹胶炉门，将成品取出。</w:t>
            </w:r>
            <w:r>
              <w:rPr>
                <w:rFonts w:hint="eastAsia" w:cs="Times New Roman"/>
                <w:color w:val="auto"/>
                <w:sz w:val="24"/>
                <w:szCs w:val="24"/>
                <w:highlight w:val="none"/>
                <w:lang w:val="en-US" w:eastAsia="zh-CN"/>
              </w:rPr>
              <w:t xml:space="preserve"> </w:t>
            </w:r>
          </w:p>
          <w:p w14:paraId="28D024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rPr>
              <w:t>检验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成品入库前要进行刚度和外观等进行抽检。</w:t>
            </w:r>
            <w:r>
              <w:rPr>
                <w:rFonts w:hint="default" w:ascii="Times New Roman" w:hAnsi="Times New Roman" w:eastAsia="宋体" w:cs="Times New Roman"/>
                <w:b/>
                <w:color w:val="auto"/>
                <w:kern w:val="0"/>
                <w:sz w:val="24"/>
                <w:szCs w:val="24"/>
                <w:highlight w:val="none"/>
                <w:u w:val="single"/>
              </w:rPr>
              <w:t>该工序产生少量</w:t>
            </w:r>
            <w:r>
              <w:rPr>
                <w:rFonts w:hint="default" w:ascii="Times New Roman" w:hAnsi="Times New Roman" w:eastAsia="宋体" w:cs="Times New Roman"/>
                <w:b/>
                <w:color w:val="auto"/>
                <w:kern w:val="0"/>
                <w:sz w:val="24"/>
                <w:szCs w:val="24"/>
                <w:highlight w:val="none"/>
                <w:u w:val="single"/>
                <w:lang w:val="en-US" w:eastAsia="zh-CN"/>
              </w:rPr>
              <w:t>S</w:t>
            </w:r>
            <w:r>
              <w:rPr>
                <w:rFonts w:hint="default" w:ascii="Times New Roman" w:hAnsi="Times New Roman" w:eastAsia="宋体" w:cs="Times New Roman"/>
                <w:b/>
                <w:color w:val="auto"/>
                <w:kern w:val="0"/>
                <w:sz w:val="24"/>
                <w:szCs w:val="24"/>
                <w:highlight w:val="none"/>
                <w:u w:val="single"/>
                <w:vertAlign w:val="subscript"/>
                <w:lang w:val="en-US" w:eastAsia="zh-CN"/>
              </w:rPr>
              <w:t>3-1</w:t>
            </w:r>
            <w:r>
              <w:rPr>
                <w:rFonts w:hint="default" w:ascii="Times New Roman" w:hAnsi="Times New Roman" w:eastAsia="宋体" w:cs="Times New Roman"/>
                <w:b/>
                <w:color w:val="auto"/>
                <w:kern w:val="0"/>
                <w:sz w:val="24"/>
                <w:szCs w:val="24"/>
                <w:highlight w:val="none"/>
                <w:u w:val="single"/>
                <w:vertAlign w:val="baseline"/>
                <w:lang w:val="en-US" w:eastAsia="zh-CN"/>
              </w:rPr>
              <w:t>不合格品（不合格率约为0.5%）</w:t>
            </w:r>
            <w:r>
              <w:rPr>
                <w:rFonts w:hint="default" w:ascii="Times New Roman" w:hAnsi="Times New Roman" w:eastAsia="宋体" w:cs="Times New Roman"/>
                <w:b/>
                <w:color w:val="auto"/>
                <w:kern w:val="0"/>
                <w:sz w:val="24"/>
                <w:szCs w:val="24"/>
                <w:highlight w:val="none"/>
                <w:u w:val="single"/>
              </w:rPr>
              <w:t>。</w:t>
            </w:r>
          </w:p>
          <w:p w14:paraId="1554B3A2">
            <w:pPr>
              <w:pStyle w:val="8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color w:val="auto"/>
                <w:kern w:val="0"/>
                <w:sz w:val="24"/>
                <w:szCs w:val="24"/>
                <w:highlight w:val="none"/>
                <w:lang w:val="zh-CN" w:eastAsia="zh-CN" w:bidi="ar-SA"/>
              </w:rPr>
              <w:t>表</w:t>
            </w:r>
            <w:r>
              <w:rPr>
                <w:rFonts w:hint="eastAsia" w:cs="Times New Roman"/>
                <w:color w:val="auto"/>
                <w:kern w:val="0"/>
                <w:sz w:val="24"/>
                <w:szCs w:val="24"/>
                <w:highlight w:val="none"/>
                <w:lang w:val="en-US" w:eastAsia="zh-CN" w:bidi="ar-SA"/>
              </w:rPr>
              <w:t>2-7</w:t>
            </w:r>
            <w:r>
              <w:rPr>
                <w:rFonts w:hint="default" w:ascii="Times New Roman" w:hAnsi="Times New Roman" w:eastAsia="宋体" w:cs="Times New Roman"/>
                <w:color w:val="auto"/>
                <w:kern w:val="0"/>
                <w:sz w:val="24"/>
                <w:szCs w:val="24"/>
                <w:highlight w:val="none"/>
                <w:lang w:val="en-US" w:eastAsia="zh-CN" w:bidi="ar-SA"/>
              </w:rPr>
              <w:t xml:space="preserve"> 本项目</w:t>
            </w:r>
            <w:r>
              <w:rPr>
                <w:rFonts w:hint="default" w:ascii="Times New Roman" w:hAnsi="Times New Roman" w:eastAsia="宋体" w:cs="Times New Roman"/>
                <w:color w:val="auto"/>
                <w:kern w:val="0"/>
                <w:sz w:val="24"/>
                <w:szCs w:val="24"/>
                <w:highlight w:val="none"/>
                <w:lang w:val="zh-CN" w:eastAsia="zh-CN" w:bidi="ar-SA"/>
              </w:rPr>
              <w:t>主要</w:t>
            </w:r>
            <w:r>
              <w:rPr>
                <w:rFonts w:hint="default" w:ascii="Times New Roman" w:hAnsi="Times New Roman" w:eastAsia="宋体" w:cs="Times New Roman"/>
                <w:color w:val="auto"/>
                <w:kern w:val="0"/>
                <w:sz w:val="24"/>
                <w:szCs w:val="24"/>
                <w:highlight w:val="none"/>
                <w:lang w:val="en-US" w:eastAsia="zh-CN" w:bidi="ar-SA"/>
              </w:rPr>
              <w:t>产污</w:t>
            </w:r>
            <w:r>
              <w:rPr>
                <w:rFonts w:hint="default" w:ascii="Times New Roman" w:hAnsi="Times New Roman" w:eastAsia="宋体" w:cs="Times New Roman"/>
                <w:color w:val="auto"/>
                <w:kern w:val="0"/>
                <w:sz w:val="24"/>
                <w:szCs w:val="24"/>
                <w:highlight w:val="none"/>
                <w:lang w:val="zh-CN" w:eastAsia="zh-CN" w:bidi="ar-SA"/>
              </w:rPr>
              <w:t>环节一览表</w:t>
            </w:r>
          </w:p>
          <w:tbl>
            <w:tblPr>
              <w:tblStyle w:val="26"/>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375"/>
              <w:gridCol w:w="1394"/>
              <w:gridCol w:w="1442"/>
              <w:gridCol w:w="2525"/>
            </w:tblGrid>
            <w:tr w14:paraId="21884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tcBorders>
                    <w:tl2br w:val="nil"/>
                    <w:tr2bl w:val="nil"/>
                  </w:tcBorders>
                  <w:noWrap w:val="0"/>
                  <w:vAlign w:val="center"/>
                </w:tcPr>
                <w:p w14:paraId="624CE065">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污染类型</w:t>
                  </w:r>
                </w:p>
              </w:tc>
              <w:tc>
                <w:tcPr>
                  <w:tcW w:w="836" w:type="pct"/>
                  <w:tcBorders>
                    <w:tl2br w:val="nil"/>
                    <w:tr2bl w:val="nil"/>
                  </w:tcBorders>
                  <w:noWrap w:val="0"/>
                  <w:vAlign w:val="center"/>
                </w:tcPr>
                <w:p w14:paraId="39C61819">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产污区域</w:t>
                  </w:r>
                </w:p>
              </w:tc>
              <w:tc>
                <w:tcPr>
                  <w:tcW w:w="848" w:type="pct"/>
                  <w:tcBorders>
                    <w:tl2br w:val="nil"/>
                    <w:tr2bl w:val="nil"/>
                  </w:tcBorders>
                  <w:noWrap w:val="0"/>
                  <w:vAlign w:val="center"/>
                </w:tcPr>
                <w:p w14:paraId="37DCEADB">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877" w:type="pct"/>
                  <w:tcBorders>
                    <w:tl2br w:val="nil"/>
                    <w:tr2bl w:val="nil"/>
                  </w:tcBorders>
                  <w:noWrap w:val="0"/>
                  <w:vAlign w:val="center"/>
                </w:tcPr>
                <w:p w14:paraId="39544B4F">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产污工序</w:t>
                  </w:r>
                </w:p>
              </w:tc>
              <w:tc>
                <w:tcPr>
                  <w:tcW w:w="1535" w:type="pct"/>
                  <w:tcBorders>
                    <w:tl2br w:val="nil"/>
                    <w:tr2bl w:val="nil"/>
                  </w:tcBorders>
                  <w:noWrap w:val="0"/>
                  <w:vAlign w:val="center"/>
                </w:tcPr>
                <w:p w14:paraId="62C17229">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rPr>
                    <w:t>污染物</w:t>
                  </w:r>
                </w:p>
              </w:tc>
            </w:tr>
            <w:tr w14:paraId="465B1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902" w:type="pct"/>
                  <w:vMerge w:val="restart"/>
                  <w:tcBorders>
                    <w:top w:val="single" w:color="000000" w:sz="4" w:space="0"/>
                    <w:tl2br w:val="nil"/>
                    <w:tr2bl w:val="nil"/>
                  </w:tcBorders>
                  <w:noWrap w:val="0"/>
                  <w:vAlign w:val="center"/>
                </w:tcPr>
                <w:p w14:paraId="2EE656F7">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废气</w:t>
                  </w:r>
                </w:p>
              </w:tc>
              <w:tc>
                <w:tcPr>
                  <w:tcW w:w="836" w:type="pct"/>
                  <w:vMerge w:val="restart"/>
                  <w:tcBorders>
                    <w:top w:val="single" w:color="000000" w:sz="4" w:space="0"/>
                    <w:tl2br w:val="nil"/>
                    <w:tr2bl w:val="nil"/>
                  </w:tcBorders>
                  <w:noWrap w:val="0"/>
                  <w:vAlign w:val="center"/>
                </w:tcPr>
                <w:p w14:paraId="5E1BB7CF">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中空区</w:t>
                  </w:r>
                </w:p>
              </w:tc>
              <w:tc>
                <w:tcPr>
                  <w:tcW w:w="848" w:type="pct"/>
                  <w:tcBorders>
                    <w:tl2br w:val="nil"/>
                    <w:tr2bl w:val="nil"/>
                  </w:tcBorders>
                  <w:noWrap w:val="0"/>
                  <w:vAlign w:val="center"/>
                </w:tcPr>
                <w:p w14:paraId="3103AE79">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lang w:val="en-US" w:eastAsia="zh-CN"/>
                    </w:rPr>
                    <w:t>G</w:t>
                  </w:r>
                  <w:r>
                    <w:rPr>
                      <w:rFonts w:hint="default" w:ascii="Times New Roman" w:hAnsi="Times New Roman" w:eastAsia="宋体" w:cs="Times New Roman"/>
                      <w:color w:val="auto"/>
                      <w:sz w:val="21"/>
                      <w:szCs w:val="21"/>
                      <w:highlight w:val="none"/>
                      <w:vertAlign w:val="subscript"/>
                      <w:lang w:val="en-US" w:eastAsia="zh-CN"/>
                    </w:rPr>
                    <w:t>2-1</w:t>
                  </w:r>
                </w:p>
              </w:tc>
              <w:tc>
                <w:tcPr>
                  <w:tcW w:w="877" w:type="pct"/>
                  <w:tcBorders>
                    <w:tl2br w:val="nil"/>
                    <w:tr2bl w:val="nil"/>
                  </w:tcBorders>
                  <w:noWrap w:val="0"/>
                  <w:vAlign w:val="center"/>
                </w:tcPr>
                <w:p w14:paraId="3EE53E42">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涂布丁基胶</w:t>
                  </w:r>
                </w:p>
              </w:tc>
              <w:tc>
                <w:tcPr>
                  <w:tcW w:w="1535" w:type="pct"/>
                  <w:tcBorders>
                    <w:tl2br w:val="nil"/>
                    <w:tr2bl w:val="nil"/>
                  </w:tcBorders>
                  <w:noWrap w:val="0"/>
                  <w:vAlign w:val="center"/>
                </w:tcPr>
                <w:p w14:paraId="26E5B49F">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r>
            <w:tr w14:paraId="43D09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2" w:type="pct"/>
                  <w:vMerge w:val="continue"/>
                  <w:tcBorders>
                    <w:tl2br w:val="nil"/>
                    <w:tr2bl w:val="nil"/>
                  </w:tcBorders>
                  <w:noWrap w:val="0"/>
                  <w:vAlign w:val="center"/>
                </w:tcPr>
                <w:p w14:paraId="00DFDB58">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36" w:type="pct"/>
                  <w:vMerge w:val="continue"/>
                  <w:tcBorders>
                    <w:tl2br w:val="nil"/>
                    <w:tr2bl w:val="nil"/>
                  </w:tcBorders>
                  <w:noWrap w:val="0"/>
                  <w:vAlign w:val="center"/>
                </w:tcPr>
                <w:p w14:paraId="66B4EA0D">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48" w:type="pct"/>
                  <w:tcBorders>
                    <w:tl2br w:val="nil"/>
                    <w:tr2bl w:val="nil"/>
                  </w:tcBorders>
                  <w:noWrap w:val="0"/>
                  <w:vAlign w:val="center"/>
                </w:tcPr>
                <w:p w14:paraId="4F8E7167">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lang w:val="en-US" w:eastAsia="zh-CN"/>
                    </w:rPr>
                    <w:t>G</w:t>
                  </w:r>
                  <w:r>
                    <w:rPr>
                      <w:rFonts w:hint="default" w:ascii="Times New Roman" w:hAnsi="Times New Roman" w:eastAsia="宋体" w:cs="Times New Roman"/>
                      <w:color w:val="auto"/>
                      <w:sz w:val="21"/>
                      <w:szCs w:val="21"/>
                      <w:highlight w:val="none"/>
                      <w:vertAlign w:val="subscript"/>
                      <w:lang w:val="en-US" w:eastAsia="zh-CN"/>
                    </w:rPr>
                    <w:t>2-2</w:t>
                  </w:r>
                </w:p>
              </w:tc>
              <w:tc>
                <w:tcPr>
                  <w:tcW w:w="877" w:type="pct"/>
                  <w:tcBorders>
                    <w:tl2br w:val="nil"/>
                    <w:tr2bl w:val="nil"/>
                  </w:tcBorders>
                  <w:noWrap w:val="0"/>
                  <w:vAlign w:val="center"/>
                </w:tcPr>
                <w:p w14:paraId="2C741A85">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封胶</w:t>
                  </w:r>
                </w:p>
              </w:tc>
              <w:tc>
                <w:tcPr>
                  <w:tcW w:w="1535" w:type="pct"/>
                  <w:tcBorders>
                    <w:tl2br w:val="nil"/>
                    <w:tr2bl w:val="nil"/>
                  </w:tcBorders>
                  <w:noWrap w:val="0"/>
                  <w:vAlign w:val="center"/>
                </w:tcPr>
                <w:p w14:paraId="1D2E5853">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r>
            <w:tr w14:paraId="2E7F1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2" w:type="pct"/>
                  <w:vMerge w:val="continue"/>
                  <w:tcBorders>
                    <w:tl2br w:val="nil"/>
                    <w:tr2bl w:val="nil"/>
                  </w:tcBorders>
                  <w:noWrap w:val="0"/>
                  <w:vAlign w:val="center"/>
                </w:tcPr>
                <w:p w14:paraId="6A0773B0">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36" w:type="pct"/>
                  <w:tcBorders>
                    <w:tl2br w:val="nil"/>
                    <w:tr2bl w:val="nil"/>
                  </w:tcBorders>
                  <w:noWrap w:val="0"/>
                  <w:vAlign w:val="center"/>
                </w:tcPr>
                <w:p w14:paraId="48E43ED3">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夹胶区</w:t>
                  </w:r>
                </w:p>
              </w:tc>
              <w:tc>
                <w:tcPr>
                  <w:tcW w:w="848" w:type="pct"/>
                  <w:tcBorders>
                    <w:tl2br w:val="nil"/>
                    <w:tr2bl w:val="nil"/>
                  </w:tcBorders>
                  <w:noWrap w:val="0"/>
                  <w:vAlign w:val="center"/>
                </w:tcPr>
                <w:p w14:paraId="00C671A6">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lang w:val="en-US" w:eastAsia="zh-CN"/>
                    </w:rPr>
                    <w:t>G</w:t>
                  </w:r>
                  <w:r>
                    <w:rPr>
                      <w:rFonts w:hint="default" w:ascii="Times New Roman" w:hAnsi="Times New Roman" w:eastAsia="宋体" w:cs="Times New Roman"/>
                      <w:color w:val="auto"/>
                      <w:sz w:val="21"/>
                      <w:szCs w:val="21"/>
                      <w:highlight w:val="none"/>
                      <w:vertAlign w:val="subscript"/>
                      <w:lang w:val="en-US" w:eastAsia="zh-CN"/>
                    </w:rPr>
                    <w:t>3-1</w:t>
                  </w:r>
                </w:p>
              </w:tc>
              <w:tc>
                <w:tcPr>
                  <w:tcW w:w="877" w:type="pct"/>
                  <w:tcBorders>
                    <w:tl2br w:val="nil"/>
                    <w:tr2bl w:val="nil"/>
                  </w:tcBorders>
                  <w:noWrap w:val="0"/>
                  <w:vAlign w:val="center"/>
                </w:tcPr>
                <w:p w14:paraId="05FF2D83">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固化</w:t>
                  </w:r>
                </w:p>
              </w:tc>
              <w:tc>
                <w:tcPr>
                  <w:tcW w:w="1535" w:type="pct"/>
                  <w:tcBorders>
                    <w:tl2br w:val="nil"/>
                    <w:tr2bl w:val="nil"/>
                  </w:tcBorders>
                  <w:noWrap w:val="0"/>
                  <w:vAlign w:val="center"/>
                </w:tcPr>
                <w:p w14:paraId="464DBC41">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r>
            <w:tr w14:paraId="34455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902" w:type="pct"/>
                  <w:vMerge w:val="restart"/>
                  <w:tcBorders>
                    <w:tl2br w:val="nil"/>
                    <w:tr2bl w:val="nil"/>
                  </w:tcBorders>
                  <w:noWrap w:val="0"/>
                  <w:vAlign w:val="center"/>
                </w:tcPr>
                <w:p w14:paraId="6BE5F986">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836" w:type="pct"/>
                  <w:tcBorders>
                    <w:tl2br w:val="nil"/>
                    <w:tr2bl w:val="nil"/>
                  </w:tcBorders>
                  <w:noWrap w:val="0"/>
                  <w:vAlign w:val="center"/>
                </w:tcPr>
                <w:p w14:paraId="26691E21">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钢化区</w:t>
                  </w:r>
                </w:p>
              </w:tc>
              <w:tc>
                <w:tcPr>
                  <w:tcW w:w="848" w:type="pct"/>
                  <w:tcBorders>
                    <w:tl2br w:val="nil"/>
                    <w:tr2bl w:val="nil"/>
                  </w:tcBorders>
                  <w:noWrap w:val="0"/>
                  <w:vAlign w:val="center"/>
                </w:tcPr>
                <w:p w14:paraId="523322F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default" w:ascii="Times New Roman" w:hAnsi="Times New Roman" w:eastAsia="宋体" w:cs="Times New Roman"/>
                      <w:color w:val="auto"/>
                      <w:sz w:val="21"/>
                      <w:szCs w:val="21"/>
                      <w:highlight w:val="none"/>
                      <w:vertAlign w:val="subscript"/>
                      <w:lang w:val="en-US" w:eastAsia="zh-CN"/>
                    </w:rPr>
                    <w:t>1-1</w:t>
                  </w:r>
                </w:p>
              </w:tc>
              <w:tc>
                <w:tcPr>
                  <w:tcW w:w="877" w:type="pct"/>
                  <w:tcBorders>
                    <w:tl2br w:val="nil"/>
                    <w:tr2bl w:val="nil"/>
                  </w:tcBorders>
                  <w:noWrap w:val="0"/>
                  <w:vAlign w:val="center"/>
                </w:tcPr>
                <w:p w14:paraId="6610C00E">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清洗干燥</w:t>
                  </w:r>
                </w:p>
              </w:tc>
              <w:tc>
                <w:tcPr>
                  <w:tcW w:w="1535" w:type="pct"/>
                  <w:tcBorders>
                    <w:tl2br w:val="nil"/>
                    <w:tr2bl w:val="nil"/>
                  </w:tcBorders>
                  <w:noWrap w:val="0"/>
                  <w:vAlign w:val="center"/>
                </w:tcPr>
                <w:p w14:paraId="235285AB">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SS（经过沉淀池回用）</w:t>
                  </w:r>
                </w:p>
              </w:tc>
            </w:tr>
            <w:tr w14:paraId="1EB73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02" w:type="pct"/>
                  <w:vMerge w:val="continue"/>
                  <w:tcBorders>
                    <w:tl2br w:val="nil"/>
                    <w:tr2bl w:val="nil"/>
                  </w:tcBorders>
                  <w:noWrap w:val="0"/>
                  <w:vAlign w:val="center"/>
                </w:tcPr>
                <w:p w14:paraId="31435833">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36" w:type="pct"/>
                  <w:tcBorders>
                    <w:tl2br w:val="nil"/>
                    <w:tr2bl w:val="nil"/>
                  </w:tcBorders>
                  <w:noWrap w:val="0"/>
                  <w:vAlign w:val="center"/>
                </w:tcPr>
                <w:p w14:paraId="2F607FC0">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夹胶区</w:t>
                  </w:r>
                </w:p>
              </w:tc>
              <w:tc>
                <w:tcPr>
                  <w:tcW w:w="848" w:type="pct"/>
                  <w:tcBorders>
                    <w:tl2br w:val="nil"/>
                    <w:tr2bl w:val="nil"/>
                  </w:tcBorders>
                  <w:noWrap w:val="0"/>
                  <w:vAlign w:val="center"/>
                </w:tcPr>
                <w:p w14:paraId="4B950E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default" w:ascii="Times New Roman" w:hAnsi="Times New Roman" w:eastAsia="宋体" w:cs="Times New Roman"/>
                      <w:color w:val="auto"/>
                      <w:sz w:val="21"/>
                      <w:szCs w:val="21"/>
                      <w:highlight w:val="none"/>
                      <w:vertAlign w:val="subscript"/>
                      <w:lang w:val="en-US" w:eastAsia="zh-CN"/>
                    </w:rPr>
                    <w:t>3-1</w:t>
                  </w:r>
                </w:p>
              </w:tc>
              <w:tc>
                <w:tcPr>
                  <w:tcW w:w="877" w:type="pct"/>
                  <w:tcBorders>
                    <w:tl2br w:val="nil"/>
                    <w:tr2bl w:val="nil"/>
                  </w:tcBorders>
                  <w:noWrap w:val="0"/>
                  <w:vAlign w:val="center"/>
                </w:tcPr>
                <w:p w14:paraId="681E2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清洗</w:t>
                  </w:r>
                </w:p>
              </w:tc>
              <w:tc>
                <w:tcPr>
                  <w:tcW w:w="1535" w:type="pct"/>
                  <w:tcBorders>
                    <w:tl2br w:val="nil"/>
                    <w:tr2bl w:val="nil"/>
                  </w:tcBorders>
                  <w:noWrap w:val="0"/>
                  <w:vAlign w:val="center"/>
                </w:tcPr>
                <w:p w14:paraId="3B435ABC">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SS（经过沉淀池回用）</w:t>
                  </w:r>
                </w:p>
              </w:tc>
            </w:tr>
            <w:tr w14:paraId="4FE86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2" w:type="pct"/>
                  <w:vMerge w:val="restart"/>
                  <w:tcBorders>
                    <w:tl2br w:val="nil"/>
                    <w:tr2bl w:val="nil"/>
                  </w:tcBorders>
                  <w:noWrap w:val="0"/>
                  <w:vAlign w:val="center"/>
                </w:tcPr>
                <w:p w14:paraId="3D00362C">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固废</w:t>
                  </w:r>
                </w:p>
              </w:tc>
              <w:tc>
                <w:tcPr>
                  <w:tcW w:w="836" w:type="pct"/>
                  <w:vMerge w:val="restart"/>
                  <w:tcBorders>
                    <w:tl2br w:val="nil"/>
                    <w:tr2bl w:val="nil"/>
                  </w:tcBorders>
                  <w:noWrap w:val="0"/>
                  <w:vAlign w:val="center"/>
                </w:tcPr>
                <w:p w14:paraId="151C865D">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钢化区</w:t>
                  </w:r>
                </w:p>
              </w:tc>
              <w:tc>
                <w:tcPr>
                  <w:tcW w:w="848" w:type="pct"/>
                  <w:tcBorders>
                    <w:tl2br w:val="nil"/>
                    <w:tr2bl w:val="nil"/>
                  </w:tcBorders>
                  <w:noWrap w:val="0"/>
                  <w:vAlign w:val="center"/>
                </w:tcPr>
                <w:p w14:paraId="5E9C8E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t>
                  </w:r>
                  <w:r>
                    <w:rPr>
                      <w:rFonts w:hint="default" w:ascii="Times New Roman" w:hAnsi="Times New Roman" w:eastAsia="宋体" w:cs="Times New Roman"/>
                      <w:color w:val="auto"/>
                      <w:sz w:val="21"/>
                      <w:szCs w:val="21"/>
                      <w:highlight w:val="none"/>
                      <w:vertAlign w:val="subscript"/>
                      <w:lang w:val="en-US" w:eastAsia="zh-CN"/>
                    </w:rPr>
                    <w:t>1-1</w:t>
                  </w:r>
                </w:p>
              </w:tc>
              <w:tc>
                <w:tcPr>
                  <w:tcW w:w="877" w:type="pct"/>
                  <w:tcBorders>
                    <w:tl2br w:val="nil"/>
                    <w:tr2bl w:val="nil"/>
                  </w:tcBorders>
                  <w:noWrap w:val="0"/>
                  <w:vAlign w:val="center"/>
                </w:tcPr>
                <w:p w14:paraId="15B704EC">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切片</w:t>
                  </w:r>
                </w:p>
              </w:tc>
              <w:tc>
                <w:tcPr>
                  <w:tcW w:w="1535" w:type="pct"/>
                  <w:tcBorders>
                    <w:tl2br w:val="nil"/>
                    <w:tr2bl w:val="nil"/>
                  </w:tcBorders>
                  <w:noWrap w:val="0"/>
                  <w:vAlign w:val="center"/>
                </w:tcPr>
                <w:p w14:paraId="0D780F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玻璃边角料</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不合格品</w:t>
                  </w:r>
                </w:p>
              </w:tc>
            </w:tr>
            <w:tr w14:paraId="1B880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02" w:type="pct"/>
                  <w:vMerge w:val="continue"/>
                  <w:tcBorders>
                    <w:tl2br w:val="nil"/>
                    <w:tr2bl w:val="nil"/>
                  </w:tcBorders>
                  <w:noWrap w:val="0"/>
                  <w:vAlign w:val="center"/>
                </w:tcPr>
                <w:p w14:paraId="0E7730AA">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36" w:type="pct"/>
                  <w:vMerge w:val="continue"/>
                  <w:tcBorders>
                    <w:tl2br w:val="nil"/>
                    <w:tr2bl w:val="nil"/>
                  </w:tcBorders>
                  <w:noWrap w:val="0"/>
                  <w:vAlign w:val="center"/>
                </w:tcPr>
                <w:p w14:paraId="04EDB8EC">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48" w:type="pct"/>
                  <w:tcBorders>
                    <w:tl2br w:val="nil"/>
                    <w:tr2bl w:val="nil"/>
                  </w:tcBorders>
                  <w:noWrap w:val="0"/>
                  <w:vAlign w:val="center"/>
                </w:tcPr>
                <w:p w14:paraId="68A325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t>
                  </w:r>
                  <w:r>
                    <w:rPr>
                      <w:rFonts w:hint="default" w:ascii="Times New Roman" w:hAnsi="Times New Roman" w:eastAsia="宋体" w:cs="Times New Roman"/>
                      <w:color w:val="auto"/>
                      <w:sz w:val="21"/>
                      <w:szCs w:val="21"/>
                      <w:highlight w:val="none"/>
                      <w:vertAlign w:val="subscript"/>
                      <w:lang w:val="en-US" w:eastAsia="zh-CN"/>
                    </w:rPr>
                    <w:t>1-2</w:t>
                  </w:r>
                </w:p>
              </w:tc>
              <w:tc>
                <w:tcPr>
                  <w:tcW w:w="877" w:type="pct"/>
                  <w:tcBorders>
                    <w:tl2br w:val="nil"/>
                    <w:tr2bl w:val="nil"/>
                  </w:tcBorders>
                  <w:shd w:val="clear" w:color="auto" w:fill="auto"/>
                  <w:noWrap w:val="0"/>
                  <w:vAlign w:val="center"/>
                </w:tcPr>
                <w:p w14:paraId="31F5339E">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清洗干燥</w:t>
                  </w:r>
                </w:p>
              </w:tc>
              <w:tc>
                <w:tcPr>
                  <w:tcW w:w="1535" w:type="pct"/>
                  <w:tcBorders>
                    <w:tl2br w:val="nil"/>
                    <w:tr2bl w:val="nil"/>
                  </w:tcBorders>
                  <w:shd w:val="clear" w:color="auto" w:fill="auto"/>
                  <w:noWrap w:val="0"/>
                  <w:vAlign w:val="center"/>
                </w:tcPr>
                <w:p w14:paraId="6E59D331">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玻璃沉渣</w:t>
                  </w:r>
                </w:p>
              </w:tc>
            </w:tr>
            <w:tr w14:paraId="7786F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02" w:type="pct"/>
                  <w:vMerge w:val="continue"/>
                  <w:tcBorders>
                    <w:tl2br w:val="nil"/>
                    <w:tr2bl w:val="nil"/>
                  </w:tcBorders>
                  <w:noWrap w:val="0"/>
                  <w:vAlign w:val="center"/>
                </w:tcPr>
                <w:p w14:paraId="6BC81075">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36" w:type="pct"/>
                  <w:vMerge w:val="restart"/>
                  <w:tcBorders>
                    <w:tl2br w:val="nil"/>
                    <w:tr2bl w:val="nil"/>
                  </w:tcBorders>
                  <w:noWrap w:val="0"/>
                  <w:vAlign w:val="center"/>
                </w:tcPr>
                <w:p w14:paraId="318D4FFF">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中空区</w:t>
                  </w:r>
                </w:p>
              </w:tc>
              <w:tc>
                <w:tcPr>
                  <w:tcW w:w="848" w:type="pct"/>
                  <w:tcBorders>
                    <w:tl2br w:val="nil"/>
                    <w:tr2bl w:val="nil"/>
                  </w:tcBorders>
                  <w:noWrap w:val="0"/>
                  <w:vAlign w:val="center"/>
                </w:tcPr>
                <w:p w14:paraId="0B4EC9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t>
                  </w:r>
                  <w:r>
                    <w:rPr>
                      <w:rFonts w:hint="default" w:ascii="Times New Roman" w:hAnsi="Times New Roman" w:eastAsia="宋体" w:cs="Times New Roman"/>
                      <w:color w:val="auto"/>
                      <w:sz w:val="21"/>
                      <w:szCs w:val="21"/>
                      <w:highlight w:val="none"/>
                      <w:vertAlign w:val="subscript"/>
                      <w:lang w:val="en-US" w:eastAsia="zh-CN"/>
                    </w:rPr>
                    <w:t>2-1</w:t>
                  </w:r>
                </w:p>
              </w:tc>
              <w:tc>
                <w:tcPr>
                  <w:tcW w:w="877" w:type="pct"/>
                  <w:tcBorders>
                    <w:tl2br w:val="nil"/>
                    <w:tr2bl w:val="nil"/>
                  </w:tcBorders>
                  <w:noWrap w:val="0"/>
                  <w:vAlign w:val="center"/>
                </w:tcPr>
                <w:p w14:paraId="682CA310">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制框</w:t>
                  </w:r>
                </w:p>
              </w:tc>
              <w:tc>
                <w:tcPr>
                  <w:tcW w:w="1535" w:type="pct"/>
                  <w:tcBorders>
                    <w:tl2br w:val="nil"/>
                    <w:tr2bl w:val="nil"/>
                  </w:tcBorders>
                  <w:noWrap w:val="0"/>
                  <w:vAlign w:val="center"/>
                </w:tcPr>
                <w:p w14:paraId="1AFCCC1F">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铝条边角料</w:t>
                  </w:r>
                </w:p>
              </w:tc>
            </w:tr>
            <w:tr w14:paraId="4F95D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2" w:type="pct"/>
                  <w:vMerge w:val="continue"/>
                  <w:tcBorders>
                    <w:tl2br w:val="nil"/>
                    <w:tr2bl w:val="nil"/>
                  </w:tcBorders>
                  <w:noWrap w:val="0"/>
                  <w:vAlign w:val="center"/>
                </w:tcPr>
                <w:p w14:paraId="238AC61B">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36" w:type="pct"/>
                  <w:vMerge w:val="continue"/>
                  <w:tcBorders>
                    <w:tl2br w:val="nil"/>
                    <w:tr2bl w:val="nil"/>
                  </w:tcBorders>
                  <w:noWrap w:val="0"/>
                  <w:vAlign w:val="center"/>
                </w:tcPr>
                <w:p w14:paraId="1596A272">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48" w:type="pct"/>
                  <w:tcBorders>
                    <w:tl2br w:val="nil"/>
                    <w:tr2bl w:val="nil"/>
                  </w:tcBorders>
                  <w:noWrap w:val="0"/>
                  <w:vAlign w:val="center"/>
                </w:tcPr>
                <w:p w14:paraId="428E09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t>
                  </w:r>
                  <w:r>
                    <w:rPr>
                      <w:rFonts w:hint="default" w:ascii="Times New Roman" w:hAnsi="Times New Roman" w:eastAsia="宋体" w:cs="Times New Roman"/>
                      <w:color w:val="auto"/>
                      <w:sz w:val="21"/>
                      <w:szCs w:val="21"/>
                      <w:highlight w:val="none"/>
                      <w:vertAlign w:val="subscript"/>
                      <w:lang w:val="en-US" w:eastAsia="zh-CN"/>
                    </w:rPr>
                    <w:t>2-2</w:t>
                  </w:r>
                </w:p>
              </w:tc>
              <w:tc>
                <w:tcPr>
                  <w:tcW w:w="877" w:type="pct"/>
                  <w:tcBorders>
                    <w:tl2br w:val="nil"/>
                    <w:tr2bl w:val="nil"/>
                  </w:tcBorders>
                  <w:noWrap w:val="0"/>
                  <w:vAlign w:val="center"/>
                </w:tcPr>
                <w:p w14:paraId="3D384E13">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检验</w:t>
                  </w:r>
                </w:p>
              </w:tc>
              <w:tc>
                <w:tcPr>
                  <w:tcW w:w="1535" w:type="pct"/>
                  <w:tcBorders>
                    <w:tl2br w:val="nil"/>
                    <w:tr2bl w:val="nil"/>
                  </w:tcBorders>
                  <w:noWrap w:val="0"/>
                  <w:vAlign w:val="center"/>
                </w:tcPr>
                <w:p w14:paraId="6D13B9B9">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不合格品</w:t>
                  </w:r>
                </w:p>
              </w:tc>
            </w:tr>
            <w:tr w14:paraId="1605A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vMerge w:val="continue"/>
                  <w:tcBorders>
                    <w:tl2br w:val="nil"/>
                    <w:tr2bl w:val="nil"/>
                  </w:tcBorders>
                  <w:noWrap w:val="0"/>
                  <w:vAlign w:val="center"/>
                </w:tcPr>
                <w:p w14:paraId="5F681778">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36" w:type="pct"/>
                  <w:tcBorders>
                    <w:tl2br w:val="nil"/>
                    <w:tr2bl w:val="nil"/>
                  </w:tcBorders>
                  <w:noWrap w:val="0"/>
                  <w:vAlign w:val="center"/>
                </w:tcPr>
                <w:p w14:paraId="2B7D1F97">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夹胶区</w:t>
                  </w:r>
                </w:p>
              </w:tc>
              <w:tc>
                <w:tcPr>
                  <w:tcW w:w="848" w:type="pct"/>
                  <w:tcBorders>
                    <w:tl2br w:val="nil"/>
                    <w:tr2bl w:val="nil"/>
                  </w:tcBorders>
                  <w:noWrap w:val="0"/>
                  <w:vAlign w:val="center"/>
                </w:tcPr>
                <w:p w14:paraId="2ABD9E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w:t>
                  </w:r>
                  <w:r>
                    <w:rPr>
                      <w:rFonts w:hint="default" w:ascii="Times New Roman" w:hAnsi="Times New Roman" w:eastAsia="宋体" w:cs="Times New Roman"/>
                      <w:color w:val="auto"/>
                      <w:sz w:val="21"/>
                      <w:szCs w:val="21"/>
                      <w:highlight w:val="none"/>
                      <w:vertAlign w:val="subscript"/>
                      <w:lang w:val="en-US" w:eastAsia="zh-CN"/>
                    </w:rPr>
                    <w:t>3-1</w:t>
                  </w:r>
                </w:p>
              </w:tc>
              <w:tc>
                <w:tcPr>
                  <w:tcW w:w="877" w:type="pct"/>
                  <w:tcBorders>
                    <w:tl2br w:val="nil"/>
                    <w:tr2bl w:val="nil"/>
                  </w:tcBorders>
                  <w:noWrap w:val="0"/>
                  <w:vAlign w:val="center"/>
                </w:tcPr>
                <w:p w14:paraId="4348DF85">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检验</w:t>
                  </w:r>
                </w:p>
              </w:tc>
              <w:tc>
                <w:tcPr>
                  <w:tcW w:w="1535" w:type="pct"/>
                  <w:tcBorders>
                    <w:tl2br w:val="nil"/>
                    <w:tr2bl w:val="nil"/>
                  </w:tcBorders>
                  <w:noWrap w:val="0"/>
                  <w:vAlign w:val="center"/>
                </w:tcPr>
                <w:p w14:paraId="11548F6B">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不合格品</w:t>
                  </w:r>
                </w:p>
              </w:tc>
            </w:tr>
            <w:tr w14:paraId="3539F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vMerge w:val="continue"/>
                  <w:tcBorders>
                    <w:tl2br w:val="nil"/>
                    <w:tr2bl w:val="nil"/>
                  </w:tcBorders>
                  <w:noWrap w:val="0"/>
                  <w:vAlign w:val="center"/>
                </w:tcPr>
                <w:p w14:paraId="201E6807">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36" w:type="pct"/>
                  <w:tcBorders>
                    <w:tl2br w:val="nil"/>
                    <w:tr2bl w:val="nil"/>
                  </w:tcBorders>
                  <w:noWrap w:val="0"/>
                  <w:vAlign w:val="center"/>
                </w:tcPr>
                <w:p w14:paraId="024D25D1">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废气治理</w:t>
                  </w:r>
                </w:p>
              </w:tc>
              <w:tc>
                <w:tcPr>
                  <w:tcW w:w="848" w:type="pct"/>
                  <w:tcBorders>
                    <w:tl2br w:val="nil"/>
                    <w:tr2bl w:val="nil"/>
                  </w:tcBorders>
                  <w:noWrap w:val="0"/>
                  <w:vAlign w:val="center"/>
                </w:tcPr>
                <w:p w14:paraId="622A1A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77" w:type="pct"/>
                  <w:tcBorders>
                    <w:tl2br w:val="nil"/>
                    <w:tr2bl w:val="nil"/>
                  </w:tcBorders>
                  <w:noWrap w:val="0"/>
                  <w:vAlign w:val="center"/>
                </w:tcPr>
                <w:p w14:paraId="3B072FFD">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废气治理</w:t>
                  </w:r>
                </w:p>
              </w:tc>
              <w:tc>
                <w:tcPr>
                  <w:tcW w:w="1535" w:type="pct"/>
                  <w:tcBorders>
                    <w:tl2br w:val="nil"/>
                    <w:tr2bl w:val="nil"/>
                  </w:tcBorders>
                  <w:noWrap w:val="0"/>
                  <w:vAlign w:val="center"/>
                </w:tcPr>
                <w:p w14:paraId="3E51D4EA">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废活性炭</w:t>
                  </w:r>
                </w:p>
              </w:tc>
            </w:tr>
            <w:tr w14:paraId="48162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vMerge w:val="continue"/>
                  <w:tcBorders>
                    <w:tl2br w:val="nil"/>
                    <w:tr2bl w:val="nil"/>
                  </w:tcBorders>
                  <w:noWrap w:val="0"/>
                  <w:vAlign w:val="center"/>
                </w:tcPr>
                <w:p w14:paraId="0541961F">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vertAlign w:val="baseline"/>
                    </w:rPr>
                  </w:pPr>
                </w:p>
              </w:tc>
              <w:tc>
                <w:tcPr>
                  <w:tcW w:w="836" w:type="pct"/>
                  <w:tcBorders>
                    <w:tl2br w:val="nil"/>
                    <w:tr2bl w:val="nil"/>
                  </w:tcBorders>
                  <w:noWrap w:val="0"/>
                  <w:vAlign w:val="center"/>
                </w:tcPr>
                <w:p w14:paraId="5D75628F">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包装</w:t>
                  </w:r>
                </w:p>
              </w:tc>
              <w:tc>
                <w:tcPr>
                  <w:tcW w:w="848" w:type="pct"/>
                  <w:tcBorders>
                    <w:tl2br w:val="nil"/>
                    <w:tr2bl w:val="nil"/>
                  </w:tcBorders>
                  <w:noWrap w:val="0"/>
                  <w:vAlign w:val="center"/>
                </w:tcPr>
                <w:p w14:paraId="20A45A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77" w:type="pct"/>
                  <w:tcBorders>
                    <w:tl2br w:val="nil"/>
                    <w:tr2bl w:val="nil"/>
                  </w:tcBorders>
                  <w:noWrap w:val="0"/>
                  <w:vAlign w:val="center"/>
                </w:tcPr>
                <w:p w14:paraId="069E2EC1">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包装</w:t>
                  </w:r>
                </w:p>
              </w:tc>
              <w:tc>
                <w:tcPr>
                  <w:tcW w:w="1535" w:type="pct"/>
                  <w:tcBorders>
                    <w:tl2br w:val="nil"/>
                    <w:tr2bl w:val="nil"/>
                  </w:tcBorders>
                  <w:noWrap w:val="0"/>
                  <w:vAlign w:val="center"/>
                </w:tcPr>
                <w:p w14:paraId="44ECC14D">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废包装材料</w:t>
                  </w:r>
                </w:p>
              </w:tc>
            </w:tr>
          </w:tbl>
          <w:p w14:paraId="5C9347A7">
            <w:pPr>
              <w:spacing w:line="360" w:lineRule="auto"/>
              <w:ind w:firstLine="480" w:firstLineChars="200"/>
              <w:rPr>
                <w:rFonts w:hint="default" w:ascii="Times New Roman" w:hAnsi="Times New Roman" w:eastAsia="宋体" w:cs="Times New Roman"/>
                <w:bCs/>
                <w:color w:val="auto"/>
                <w:sz w:val="24"/>
                <w:highlight w:val="none"/>
                <w:lang w:val="en-US" w:eastAsia="zh-CN"/>
              </w:rPr>
            </w:pPr>
          </w:p>
        </w:tc>
      </w:tr>
      <w:tr w14:paraId="08F48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41" w:type="dxa"/>
            <w:vAlign w:val="center"/>
          </w:tcPr>
          <w:p w14:paraId="7513A7E5">
            <w:pPr>
              <w:pStyle w:val="23"/>
              <w:adjustRightInd w:val="0"/>
              <w:snapToGrid w:val="0"/>
              <w:spacing w:before="0" w:beforeAutospacing="0" w:after="0" w:afterAutospacing="0" w:line="360" w:lineRule="auto"/>
              <w:jc w:val="center"/>
              <w:rPr>
                <w:rFonts w:hint="default" w:ascii="Times New Roman" w:hAnsi="Times New Roman" w:cs="Times New Roman"/>
                <w:color w:val="auto"/>
                <w:szCs w:val="24"/>
                <w:highlight w:val="none"/>
              </w:rPr>
            </w:pPr>
            <w:r>
              <w:rPr>
                <w:rFonts w:hint="default" w:ascii="Times New Roman" w:hAnsi="Times New Roman" w:cs="Times New Roman"/>
                <w:bCs/>
                <w:color w:val="auto"/>
                <w:kern w:val="2"/>
                <w:szCs w:val="24"/>
                <w:highlight w:val="none"/>
              </w:rPr>
              <w:t>与项目有关的原有环境污染问题</w:t>
            </w:r>
          </w:p>
        </w:tc>
        <w:tc>
          <w:tcPr>
            <w:tcW w:w="8445" w:type="dxa"/>
            <w:vAlign w:val="center"/>
          </w:tcPr>
          <w:p w14:paraId="0E1CFBCC">
            <w:pPr>
              <w:adjustRightInd w:val="0"/>
              <w:snapToGrid w:val="0"/>
              <w:spacing w:line="360" w:lineRule="auto"/>
              <w:ind w:firstLine="480" w:firstLineChars="200"/>
              <w:jc w:val="both"/>
              <w:rPr>
                <w:rFonts w:hint="default" w:ascii="Times New Roman" w:hAnsi="Times New Roman" w:cs="Times New Roman"/>
                <w:bCs/>
                <w:color w:val="auto"/>
                <w:szCs w:val="21"/>
                <w:highlight w:val="none"/>
              </w:rPr>
            </w:pPr>
            <w:r>
              <w:rPr>
                <w:rFonts w:hint="default" w:ascii="Times New Roman" w:hAnsi="Times New Roman" w:cs="Times New Roman"/>
                <w:bCs/>
                <w:color w:val="auto"/>
                <w:sz w:val="24"/>
                <w:highlight w:val="none"/>
              </w:rPr>
              <w:t>本项目为新建项目，租赁现有厂房进行生产，原厂房之前</w:t>
            </w:r>
            <w:r>
              <w:rPr>
                <w:rFonts w:hint="default" w:ascii="Times New Roman" w:hAnsi="Times New Roman" w:cs="Times New Roman"/>
                <w:bCs/>
                <w:color w:val="auto"/>
                <w:sz w:val="24"/>
                <w:highlight w:val="none"/>
                <w:lang w:eastAsia="zh-CN"/>
              </w:rPr>
              <w:t>没有</w:t>
            </w:r>
            <w:r>
              <w:rPr>
                <w:rFonts w:hint="default" w:ascii="Times New Roman" w:hAnsi="Times New Roman" w:cs="Times New Roman"/>
                <w:bCs/>
                <w:color w:val="auto"/>
                <w:sz w:val="24"/>
                <w:highlight w:val="none"/>
              </w:rPr>
              <w:t>工业生产活动，故不存在原有环境污染问题。</w:t>
            </w:r>
          </w:p>
        </w:tc>
      </w:tr>
    </w:tbl>
    <w:p w14:paraId="4851B506">
      <w:pPr>
        <w:pStyle w:val="23"/>
        <w:jc w:val="center"/>
        <w:rPr>
          <w:rFonts w:hint="default" w:ascii="Times New Roman" w:hAnsi="Times New Roman" w:cs="Times New Roman"/>
          <w:snapToGrid w:val="0"/>
          <w:color w:val="auto"/>
          <w:sz w:val="36"/>
          <w:szCs w:val="36"/>
          <w:highlight w:val="none"/>
        </w:rPr>
        <w:sectPr>
          <w:footerReference r:id="rId6" w:type="default"/>
          <w:pgSz w:w="11906" w:h="16838"/>
          <w:pgMar w:top="1440" w:right="1418" w:bottom="1440" w:left="1418"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590FF9D7">
      <w:pPr>
        <w:pStyle w:val="23"/>
        <w:jc w:val="center"/>
        <w:outlineLvl w:val="0"/>
        <w:rPr>
          <w:rFonts w:hint="default" w:ascii="Times New Roman" w:hAnsi="Times New Roman" w:cs="Times New Roman"/>
          <w:b/>
          <w:bCs/>
          <w:snapToGrid w:val="0"/>
          <w:color w:val="auto"/>
          <w:sz w:val="30"/>
          <w:szCs w:val="30"/>
          <w:highlight w:val="none"/>
        </w:rPr>
      </w:pPr>
      <w:r>
        <w:rPr>
          <w:rFonts w:hint="default" w:ascii="Times New Roman" w:hAnsi="Times New Roman" w:cs="Times New Roman"/>
          <w:b/>
          <w:bCs/>
          <w:snapToGrid w:val="0"/>
          <w:color w:val="auto"/>
          <w:sz w:val="30"/>
          <w:szCs w:val="30"/>
          <w:highlight w:val="none"/>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0DDAF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14:paraId="54F09568">
            <w:pPr>
              <w:adjustRightInd w:val="0"/>
              <w:snapToGrid w:val="0"/>
              <w:spacing w:line="36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区域环境质量现状</w:t>
            </w:r>
          </w:p>
        </w:tc>
        <w:tc>
          <w:tcPr>
            <w:tcW w:w="8190" w:type="dxa"/>
            <w:vAlign w:val="center"/>
          </w:tcPr>
          <w:p w14:paraId="2CA08AA1">
            <w:pPr>
              <w:pStyle w:val="53"/>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一</w:t>
            </w:r>
            <w:r>
              <w:rPr>
                <w:rFonts w:hint="default" w:ascii="Times New Roman" w:hAnsi="Times New Roman" w:cs="Times New Roman"/>
                <w:b/>
                <w:bCs/>
                <w:color w:val="auto"/>
                <w:highlight w:val="none"/>
              </w:rPr>
              <w:t>、空气环境质量现状</w:t>
            </w:r>
          </w:p>
          <w:p w14:paraId="2EC87448">
            <w:pPr>
              <w:pStyle w:val="53"/>
              <w:keepNext w:val="0"/>
              <w:keepLines w:val="0"/>
              <w:pageBreakBefore w:val="0"/>
              <w:widowControl w:val="0"/>
              <w:kinsoku/>
              <w:wordWrap/>
              <w:overflowPunct/>
              <w:topLinePunct w:val="0"/>
              <w:autoSpaceDE w:val="0"/>
              <w:autoSpaceDN/>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根据淮南市生态环境局公布的《202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年淮南市生态环境质量状况公报》数据可知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常规污染物区域环境质量现状如下表：</w:t>
            </w:r>
          </w:p>
          <w:p w14:paraId="5B21B88F">
            <w:pPr>
              <w:pStyle w:val="55"/>
              <w:keepNext w:val="0"/>
              <w:keepLines w:val="0"/>
              <w:pageBreakBefore w:val="0"/>
              <w:widowControl w:val="0"/>
              <w:kinsoku/>
              <w:wordWrap/>
              <w:overflowPunct/>
              <w:topLinePunct w:val="0"/>
              <w:autoSpaceDE w:val="0"/>
              <w:autoSpaceDN/>
              <w:bidi w:val="0"/>
              <w:adjustRightInd w:val="0"/>
              <w:snapToGrid w:val="0"/>
              <w:spacing w:beforeLines="0" w:line="240" w:lineRule="auto"/>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表3-1  区域环境空气质量现状评价（基本污染物）</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2161"/>
              <w:gridCol w:w="1090"/>
              <w:gridCol w:w="780"/>
              <w:gridCol w:w="780"/>
              <w:gridCol w:w="1090"/>
              <w:gridCol w:w="943"/>
            </w:tblGrid>
            <w:tr w14:paraId="2DF94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pct"/>
                  <w:tcBorders>
                    <w:tl2br w:val="nil"/>
                    <w:tr2bl w:val="nil"/>
                  </w:tcBorders>
                  <w:vAlign w:val="center"/>
                </w:tcPr>
                <w:p w14:paraId="37B22DF3">
                  <w:pPr>
                    <w:pStyle w:val="53"/>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354" w:type="pct"/>
                  <w:tcBorders>
                    <w:tl2br w:val="nil"/>
                    <w:tr2bl w:val="nil"/>
                  </w:tcBorders>
                  <w:vAlign w:val="center"/>
                </w:tcPr>
                <w:p w14:paraId="4999A19D">
                  <w:pPr>
                    <w:pStyle w:val="53"/>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评价指标</w:t>
                  </w:r>
                </w:p>
              </w:tc>
              <w:tc>
                <w:tcPr>
                  <w:tcW w:w="683" w:type="pct"/>
                  <w:tcBorders>
                    <w:tl2br w:val="nil"/>
                    <w:tr2bl w:val="nil"/>
                  </w:tcBorders>
                  <w:vAlign w:val="center"/>
                </w:tcPr>
                <w:p w14:paraId="25D9D1D0">
                  <w:pPr>
                    <w:pStyle w:val="53"/>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单位</w:t>
                  </w:r>
                </w:p>
              </w:tc>
              <w:tc>
                <w:tcPr>
                  <w:tcW w:w="489" w:type="pct"/>
                  <w:tcBorders>
                    <w:tl2br w:val="nil"/>
                    <w:tr2bl w:val="nil"/>
                  </w:tcBorders>
                  <w:vAlign w:val="center"/>
                </w:tcPr>
                <w:p w14:paraId="3052E0DF">
                  <w:pPr>
                    <w:pStyle w:val="53"/>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现状浓度</w:t>
                  </w:r>
                </w:p>
              </w:tc>
              <w:tc>
                <w:tcPr>
                  <w:tcW w:w="489" w:type="pct"/>
                  <w:tcBorders>
                    <w:tl2br w:val="nil"/>
                    <w:tr2bl w:val="nil"/>
                  </w:tcBorders>
                  <w:vAlign w:val="center"/>
                </w:tcPr>
                <w:p w14:paraId="76898959">
                  <w:pPr>
                    <w:pStyle w:val="53"/>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w:t>
                  </w:r>
                </w:p>
              </w:tc>
              <w:tc>
                <w:tcPr>
                  <w:tcW w:w="683" w:type="pct"/>
                  <w:tcBorders>
                    <w:tl2br w:val="nil"/>
                    <w:tr2bl w:val="nil"/>
                  </w:tcBorders>
                  <w:vAlign w:val="center"/>
                </w:tcPr>
                <w:p w14:paraId="15672055">
                  <w:pPr>
                    <w:pStyle w:val="53"/>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占标率</w:t>
                  </w:r>
                </w:p>
                <w:p w14:paraId="3050203E">
                  <w:pPr>
                    <w:pStyle w:val="53"/>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w:t>
                  </w:r>
                </w:p>
              </w:tc>
              <w:tc>
                <w:tcPr>
                  <w:tcW w:w="591" w:type="pct"/>
                  <w:tcBorders>
                    <w:tl2br w:val="nil"/>
                    <w:tr2bl w:val="nil"/>
                  </w:tcBorders>
                  <w:vAlign w:val="center"/>
                </w:tcPr>
                <w:p w14:paraId="0CF1A951">
                  <w:pPr>
                    <w:pStyle w:val="53"/>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达标情况</w:t>
                  </w:r>
                </w:p>
              </w:tc>
            </w:tr>
            <w:tr w14:paraId="6690F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pct"/>
                  <w:tcBorders>
                    <w:tl2br w:val="nil"/>
                    <w:tr2bl w:val="nil"/>
                  </w:tcBorders>
                  <w:vAlign w:val="center"/>
                </w:tcPr>
                <w:p w14:paraId="4EB8105D">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354" w:type="pct"/>
                  <w:tcBorders>
                    <w:tl2br w:val="nil"/>
                    <w:tr2bl w:val="nil"/>
                  </w:tcBorders>
                  <w:vAlign w:val="center"/>
                </w:tcPr>
                <w:p w14:paraId="0658A039">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683" w:type="pct"/>
                  <w:vMerge w:val="restart"/>
                  <w:tcBorders>
                    <w:tl2br w:val="nil"/>
                    <w:tr2bl w:val="nil"/>
                  </w:tcBorders>
                  <w:vAlign w:val="center"/>
                </w:tcPr>
                <w:p w14:paraId="1107556B">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489" w:type="pct"/>
                  <w:tcBorders>
                    <w:tl2br w:val="nil"/>
                    <w:tr2bl w:val="nil"/>
                  </w:tcBorders>
                  <w:vAlign w:val="center"/>
                </w:tcPr>
                <w:p w14:paraId="6164B1E0">
                  <w:pPr>
                    <w:pStyle w:val="53"/>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7</w:t>
                  </w:r>
                </w:p>
              </w:tc>
              <w:tc>
                <w:tcPr>
                  <w:tcW w:w="489" w:type="pct"/>
                  <w:tcBorders>
                    <w:tl2br w:val="nil"/>
                    <w:tr2bl w:val="nil"/>
                  </w:tcBorders>
                  <w:vAlign w:val="center"/>
                </w:tcPr>
                <w:p w14:paraId="6F08CD91">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683" w:type="pct"/>
                  <w:tcBorders>
                    <w:tl2br w:val="nil"/>
                    <w:tr2bl w:val="nil"/>
                  </w:tcBorders>
                  <w:vAlign w:val="center"/>
                </w:tcPr>
                <w:p w14:paraId="3FC322CB">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1.67</w:t>
                  </w:r>
                </w:p>
              </w:tc>
              <w:tc>
                <w:tcPr>
                  <w:tcW w:w="591" w:type="pct"/>
                  <w:tcBorders>
                    <w:tl2br w:val="nil"/>
                    <w:tr2bl w:val="nil"/>
                  </w:tcBorders>
                  <w:vAlign w:val="center"/>
                </w:tcPr>
                <w:p w14:paraId="3C1AADF9">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CAAA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pct"/>
                  <w:tcBorders>
                    <w:tl2br w:val="nil"/>
                    <w:tr2bl w:val="nil"/>
                  </w:tcBorders>
                  <w:vAlign w:val="center"/>
                </w:tcPr>
                <w:p w14:paraId="624702A7">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354" w:type="pct"/>
                  <w:tcBorders>
                    <w:tl2br w:val="nil"/>
                    <w:tr2bl w:val="nil"/>
                  </w:tcBorders>
                  <w:vAlign w:val="center"/>
                </w:tcPr>
                <w:p w14:paraId="593DB076">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683" w:type="pct"/>
                  <w:vMerge w:val="continue"/>
                  <w:tcBorders>
                    <w:tl2br w:val="nil"/>
                    <w:tr2bl w:val="nil"/>
                  </w:tcBorders>
                  <w:vAlign w:val="center"/>
                </w:tcPr>
                <w:p w14:paraId="2EA77902">
                  <w:pPr>
                    <w:pStyle w:val="53"/>
                    <w:spacing w:line="240" w:lineRule="auto"/>
                    <w:ind w:firstLine="0" w:firstLineChars="0"/>
                    <w:jc w:val="center"/>
                    <w:rPr>
                      <w:rFonts w:hint="default" w:ascii="Times New Roman" w:hAnsi="Times New Roman" w:cs="Times New Roman"/>
                      <w:color w:val="auto"/>
                      <w:sz w:val="21"/>
                      <w:szCs w:val="21"/>
                      <w:highlight w:val="none"/>
                    </w:rPr>
                  </w:pPr>
                </w:p>
              </w:tc>
              <w:tc>
                <w:tcPr>
                  <w:tcW w:w="489" w:type="pct"/>
                  <w:tcBorders>
                    <w:tl2br w:val="nil"/>
                    <w:tr2bl w:val="nil"/>
                  </w:tcBorders>
                  <w:vAlign w:val="center"/>
                </w:tcPr>
                <w:p w14:paraId="69DA08E8">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w:t>
                  </w:r>
                </w:p>
              </w:tc>
              <w:tc>
                <w:tcPr>
                  <w:tcW w:w="489" w:type="pct"/>
                  <w:tcBorders>
                    <w:tl2br w:val="nil"/>
                    <w:tr2bl w:val="nil"/>
                  </w:tcBorders>
                  <w:vAlign w:val="center"/>
                </w:tcPr>
                <w:p w14:paraId="6C949B8C">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683" w:type="pct"/>
                  <w:tcBorders>
                    <w:tl2br w:val="nil"/>
                    <w:tr2bl w:val="nil"/>
                  </w:tcBorders>
                  <w:vAlign w:val="center"/>
                </w:tcPr>
                <w:p w14:paraId="1C203FF3">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47.5</w:t>
                  </w:r>
                </w:p>
              </w:tc>
              <w:tc>
                <w:tcPr>
                  <w:tcW w:w="591" w:type="pct"/>
                  <w:tcBorders>
                    <w:tl2br w:val="nil"/>
                    <w:tr2bl w:val="nil"/>
                  </w:tcBorders>
                  <w:vAlign w:val="center"/>
                </w:tcPr>
                <w:p w14:paraId="1C420AF2">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37E15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pct"/>
                  <w:tcBorders>
                    <w:tl2br w:val="nil"/>
                    <w:tr2bl w:val="nil"/>
                  </w:tcBorders>
                  <w:vAlign w:val="center"/>
                </w:tcPr>
                <w:p w14:paraId="2A9CE28A">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354" w:type="pct"/>
                  <w:tcBorders>
                    <w:tl2br w:val="nil"/>
                    <w:tr2bl w:val="nil"/>
                  </w:tcBorders>
                  <w:vAlign w:val="center"/>
                </w:tcPr>
                <w:p w14:paraId="5FABA2F2">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683" w:type="pct"/>
                  <w:vMerge w:val="continue"/>
                  <w:tcBorders>
                    <w:tl2br w:val="nil"/>
                    <w:tr2bl w:val="nil"/>
                  </w:tcBorders>
                  <w:vAlign w:val="center"/>
                </w:tcPr>
                <w:p w14:paraId="5696FD72">
                  <w:pPr>
                    <w:pStyle w:val="53"/>
                    <w:spacing w:line="240" w:lineRule="auto"/>
                    <w:ind w:firstLine="0" w:firstLineChars="0"/>
                    <w:jc w:val="center"/>
                    <w:rPr>
                      <w:rFonts w:hint="default" w:ascii="Times New Roman" w:hAnsi="Times New Roman" w:cs="Times New Roman"/>
                      <w:color w:val="auto"/>
                      <w:sz w:val="21"/>
                      <w:szCs w:val="21"/>
                      <w:highlight w:val="none"/>
                    </w:rPr>
                  </w:pPr>
                </w:p>
              </w:tc>
              <w:tc>
                <w:tcPr>
                  <w:tcW w:w="489" w:type="pct"/>
                  <w:tcBorders>
                    <w:tl2br w:val="nil"/>
                    <w:tr2bl w:val="nil"/>
                  </w:tcBorders>
                  <w:vAlign w:val="center"/>
                </w:tcPr>
                <w:p w14:paraId="7985EEF4">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489" w:type="pct"/>
                  <w:tcBorders>
                    <w:tl2br w:val="nil"/>
                    <w:tr2bl w:val="nil"/>
                  </w:tcBorders>
                  <w:vAlign w:val="center"/>
                </w:tcPr>
                <w:p w14:paraId="222D001A">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683" w:type="pct"/>
                  <w:tcBorders>
                    <w:tl2br w:val="nil"/>
                    <w:tr2bl w:val="nil"/>
                  </w:tcBorders>
                  <w:vAlign w:val="center"/>
                </w:tcPr>
                <w:p w14:paraId="3369A9DB">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92.86</w:t>
                  </w:r>
                </w:p>
              </w:tc>
              <w:tc>
                <w:tcPr>
                  <w:tcW w:w="591" w:type="pct"/>
                  <w:tcBorders>
                    <w:tl2br w:val="nil"/>
                    <w:tr2bl w:val="nil"/>
                  </w:tcBorders>
                  <w:vAlign w:val="center"/>
                </w:tcPr>
                <w:p w14:paraId="77A60A2D">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59F4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pct"/>
                  <w:tcBorders>
                    <w:tl2br w:val="nil"/>
                    <w:tr2bl w:val="nil"/>
                  </w:tcBorders>
                  <w:vAlign w:val="center"/>
                </w:tcPr>
                <w:p w14:paraId="5A98661C">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1354" w:type="pct"/>
                  <w:tcBorders>
                    <w:tl2br w:val="nil"/>
                    <w:tr2bl w:val="nil"/>
                  </w:tcBorders>
                  <w:vAlign w:val="center"/>
                </w:tcPr>
                <w:p w14:paraId="23921CA3">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683" w:type="pct"/>
                  <w:vMerge w:val="continue"/>
                  <w:tcBorders>
                    <w:tl2br w:val="nil"/>
                    <w:tr2bl w:val="nil"/>
                  </w:tcBorders>
                  <w:vAlign w:val="center"/>
                </w:tcPr>
                <w:p w14:paraId="3761523C">
                  <w:pPr>
                    <w:pStyle w:val="53"/>
                    <w:spacing w:line="240" w:lineRule="auto"/>
                    <w:ind w:firstLine="0" w:firstLineChars="0"/>
                    <w:jc w:val="center"/>
                    <w:rPr>
                      <w:rFonts w:hint="default" w:ascii="Times New Roman" w:hAnsi="Times New Roman" w:cs="Times New Roman"/>
                      <w:color w:val="auto"/>
                      <w:sz w:val="21"/>
                      <w:szCs w:val="21"/>
                      <w:highlight w:val="none"/>
                    </w:rPr>
                  </w:pPr>
                </w:p>
              </w:tc>
              <w:tc>
                <w:tcPr>
                  <w:tcW w:w="489" w:type="pct"/>
                  <w:tcBorders>
                    <w:tl2br w:val="nil"/>
                    <w:tr2bl w:val="nil"/>
                  </w:tcBorders>
                  <w:vAlign w:val="center"/>
                </w:tcPr>
                <w:p w14:paraId="2B9CAA67">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489" w:type="pct"/>
                  <w:tcBorders>
                    <w:tl2br w:val="nil"/>
                    <w:tr2bl w:val="nil"/>
                  </w:tcBorders>
                  <w:vAlign w:val="center"/>
                </w:tcPr>
                <w:p w14:paraId="34420CC2">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683" w:type="pct"/>
                  <w:tcBorders>
                    <w:tl2br w:val="nil"/>
                    <w:tr2bl w:val="nil"/>
                  </w:tcBorders>
                  <w:vAlign w:val="center"/>
                </w:tcPr>
                <w:p w14:paraId="64F0320F">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114.29</w:t>
                  </w:r>
                </w:p>
              </w:tc>
              <w:tc>
                <w:tcPr>
                  <w:tcW w:w="591" w:type="pct"/>
                  <w:tcBorders>
                    <w:tl2br w:val="nil"/>
                    <w:tr2bl w:val="nil"/>
                  </w:tcBorders>
                  <w:vAlign w:val="center"/>
                </w:tcPr>
                <w:p w14:paraId="6DBD6381">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不达标</w:t>
                  </w:r>
                </w:p>
              </w:tc>
            </w:tr>
            <w:tr w14:paraId="345B9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pct"/>
                  <w:tcBorders>
                    <w:tl2br w:val="nil"/>
                    <w:tr2bl w:val="nil"/>
                  </w:tcBorders>
                  <w:vAlign w:val="center"/>
                </w:tcPr>
                <w:p w14:paraId="1A97E0F7">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1354" w:type="pct"/>
                  <w:tcBorders>
                    <w:tl2br w:val="nil"/>
                    <w:tr2bl w:val="nil"/>
                  </w:tcBorders>
                  <w:vAlign w:val="center"/>
                </w:tcPr>
                <w:p w14:paraId="4F9E133C">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24h平均年浓度第95百分位数</w:t>
                  </w:r>
                </w:p>
              </w:tc>
              <w:tc>
                <w:tcPr>
                  <w:tcW w:w="683" w:type="pct"/>
                  <w:tcBorders>
                    <w:tl2br w:val="nil"/>
                    <w:tr2bl w:val="nil"/>
                  </w:tcBorders>
                  <w:vAlign w:val="center"/>
                </w:tcPr>
                <w:p w14:paraId="7E54C4C7">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489" w:type="pct"/>
                  <w:tcBorders>
                    <w:tl2br w:val="nil"/>
                    <w:tr2bl w:val="nil"/>
                  </w:tcBorders>
                  <w:vAlign w:val="center"/>
                </w:tcPr>
                <w:p w14:paraId="150DFA49">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w:t>
                  </w:r>
                </w:p>
              </w:tc>
              <w:tc>
                <w:tcPr>
                  <w:tcW w:w="489" w:type="pct"/>
                  <w:tcBorders>
                    <w:tl2br w:val="nil"/>
                    <w:tr2bl w:val="nil"/>
                  </w:tcBorders>
                  <w:vAlign w:val="center"/>
                </w:tcPr>
                <w:p w14:paraId="54477CE3">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683" w:type="pct"/>
                  <w:tcBorders>
                    <w:tl2br w:val="nil"/>
                    <w:tr2bl w:val="nil"/>
                  </w:tcBorders>
                  <w:vAlign w:val="center"/>
                </w:tcPr>
                <w:p w14:paraId="558EFD69">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591" w:type="pct"/>
                  <w:tcBorders>
                    <w:tl2br w:val="nil"/>
                    <w:tr2bl w:val="nil"/>
                  </w:tcBorders>
                  <w:vAlign w:val="center"/>
                </w:tcPr>
                <w:p w14:paraId="699C8307">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91F1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pct"/>
                  <w:tcBorders>
                    <w:tl2br w:val="nil"/>
                    <w:tr2bl w:val="nil"/>
                  </w:tcBorders>
                  <w:vAlign w:val="center"/>
                </w:tcPr>
                <w:p w14:paraId="3852A2D4">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1354" w:type="pct"/>
                  <w:tcBorders>
                    <w:tl2br w:val="nil"/>
                    <w:tr2bl w:val="nil"/>
                  </w:tcBorders>
                  <w:vAlign w:val="center"/>
                </w:tcPr>
                <w:p w14:paraId="553D8178">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最大8h平均浓度第90百分位数</w:t>
                  </w:r>
                </w:p>
              </w:tc>
              <w:tc>
                <w:tcPr>
                  <w:tcW w:w="683" w:type="pct"/>
                  <w:tcBorders>
                    <w:tl2br w:val="nil"/>
                    <w:tr2bl w:val="nil"/>
                  </w:tcBorders>
                  <w:vAlign w:val="center"/>
                </w:tcPr>
                <w:p w14:paraId="339CCC5C">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489" w:type="pct"/>
                  <w:tcBorders>
                    <w:tl2br w:val="nil"/>
                    <w:tr2bl w:val="nil"/>
                  </w:tcBorders>
                  <w:vAlign w:val="center"/>
                </w:tcPr>
                <w:p w14:paraId="2158B140">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160</w:t>
                  </w:r>
                </w:p>
              </w:tc>
              <w:tc>
                <w:tcPr>
                  <w:tcW w:w="489" w:type="pct"/>
                  <w:tcBorders>
                    <w:tl2br w:val="nil"/>
                    <w:tr2bl w:val="nil"/>
                  </w:tcBorders>
                  <w:vAlign w:val="center"/>
                </w:tcPr>
                <w:p w14:paraId="6294B732">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tc>
              <w:tc>
                <w:tcPr>
                  <w:tcW w:w="683" w:type="pct"/>
                  <w:tcBorders>
                    <w:tl2br w:val="nil"/>
                    <w:tr2bl w:val="nil"/>
                  </w:tcBorders>
                  <w:vAlign w:val="center"/>
                </w:tcPr>
                <w:p w14:paraId="7E44D5EC">
                  <w:pPr>
                    <w:pStyle w:val="5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591" w:type="pct"/>
                  <w:tcBorders>
                    <w:tl2br w:val="nil"/>
                    <w:tr2bl w:val="nil"/>
                  </w:tcBorders>
                  <w:vAlign w:val="center"/>
                </w:tcPr>
                <w:p w14:paraId="31CFB9FE">
                  <w:pPr>
                    <w:pStyle w:val="5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08D43A67">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本项目所在区域环境空气中SO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年平均浓度值、CO日均值第95百分位数浓度值、PM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年平均浓度值、NO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年平均浓度以及O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8小时平均值第90百分位数浓度值均满足《环境空气质量标准》(GB3095-2012)中二级标准，PM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年平均浓度值不达标。因此，判定淮南市为环境空气质量不达标区，项目所在区域PM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超标。</w:t>
            </w:r>
          </w:p>
          <w:p w14:paraId="50D132CC">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rPr>
              <w:t>为加强大气污染防治工作，持续改善环境空气质量，淮南市通过集中专项整治“小散乱污”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w:t>
            </w:r>
          </w:p>
          <w:p w14:paraId="111E8FCE">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二</w:t>
            </w:r>
            <w:r>
              <w:rPr>
                <w:rFonts w:hint="default" w:ascii="Times New Roman" w:hAnsi="Times New Roman" w:cs="Times New Roman"/>
                <w:b/>
                <w:bCs/>
                <w:color w:val="auto"/>
                <w:kern w:val="0"/>
                <w:sz w:val="24"/>
                <w:highlight w:val="none"/>
              </w:rPr>
              <w:t>、水环境质量现状</w:t>
            </w:r>
          </w:p>
          <w:p w14:paraId="5C7F8DDA">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本评价引用淮南市生态环境局网站202</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年0</w:t>
            </w:r>
            <w:r>
              <w:rPr>
                <w:rFonts w:hint="default"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月</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日公布的《202</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年淮南市环境质量状况公报》，具体如下：</w:t>
            </w:r>
          </w:p>
          <w:p w14:paraId="50F67534">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2024年，全市地表水24个监测断面中优良水质比例为91.7%，比上年下降了4.1个百分点，Ⅳ类水质比例8.3%，总体水质状况优。</w:t>
            </w:r>
          </w:p>
          <w:p w14:paraId="61980B8D">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8个国控断面中优良水质比例为87.5%，Ⅳ类水质比例12.5%，水质总体状况良好；11个省控断面中优良水质比例为90.9%，水质总体状况优。</w:t>
            </w:r>
          </w:p>
          <w:p w14:paraId="46AEEA57">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w:t>
            </w:r>
            <w:r>
              <w:rPr>
                <w:rFonts w:hint="default" w:ascii="Times New Roman" w:hAnsi="Times New Roman" w:cs="Times New Roman"/>
                <w:color w:val="auto"/>
                <w:kern w:val="0"/>
                <w:sz w:val="24"/>
                <w:highlight w:val="none"/>
                <w:lang w:eastAsia="zh-CN"/>
              </w:rPr>
              <w:t>Ⅱ类</w:t>
            </w:r>
            <w:r>
              <w:rPr>
                <w:rFonts w:hint="default" w:ascii="Times New Roman" w:hAnsi="Times New Roman" w:cs="Times New Roman"/>
                <w:color w:val="auto"/>
                <w:kern w:val="0"/>
                <w:sz w:val="24"/>
                <w:highlight w:val="none"/>
              </w:rPr>
              <w:t>→Ⅲ类）和西淝河闸下（</w:t>
            </w:r>
            <w:r>
              <w:rPr>
                <w:rFonts w:hint="default" w:ascii="Times New Roman" w:hAnsi="Times New Roman" w:cs="Times New Roman"/>
                <w:color w:val="auto"/>
                <w:kern w:val="0"/>
                <w:sz w:val="24"/>
                <w:highlight w:val="none"/>
                <w:lang w:eastAsia="zh-CN"/>
              </w:rPr>
              <w:t>Ⅱ类</w:t>
            </w:r>
            <w:r>
              <w:rPr>
                <w:rFonts w:hint="default" w:ascii="Times New Roman" w:hAnsi="Times New Roman" w:cs="Times New Roman"/>
                <w:color w:val="auto"/>
                <w:kern w:val="0"/>
                <w:sz w:val="24"/>
                <w:highlight w:val="none"/>
              </w:rPr>
              <w:t>→Ⅲ类）水质均有所下降，其他断面水质保持稳定。</w:t>
            </w:r>
          </w:p>
          <w:p w14:paraId="5DBD0D47">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湖库：瓦埠湖和焦岗湖点位水质年均值符合Ⅲ类标准，水质状况为良好；高塘湖和安丰塘点位水质年均值符合Ⅳ类标准，水质轻度污染，主要污染指标为总磷。安丰塘营养状态为中营养，焦岗湖、高塘湖和瓦埠湖营养状态均为轻度富营养。与上年相比，安丰塘点位水质类别由Ⅲ类下降为Ⅳ类，瓦埠湖、高塘湖和焦岗湖点位水质类别保持稳定。</w:t>
            </w:r>
          </w:p>
          <w:p w14:paraId="38B33D14">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三</w:t>
            </w:r>
            <w:r>
              <w:rPr>
                <w:rFonts w:hint="default" w:ascii="Times New Roman" w:hAnsi="Times New Roman" w:cs="Times New Roman"/>
                <w:b/>
                <w:bCs/>
                <w:color w:val="auto"/>
                <w:kern w:val="0"/>
                <w:sz w:val="24"/>
                <w:highlight w:val="none"/>
              </w:rPr>
              <w:t>、声环境质量现状</w:t>
            </w:r>
          </w:p>
          <w:p w14:paraId="781F0D52">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2024年，全市区域环境噪声昼间平均等效声级为51.6分贝，与上年相比上升0.4分贝，噪声总体水平稳定保持二级，声环境质量较好。</w:t>
            </w:r>
          </w:p>
          <w:p w14:paraId="6889F4E8">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城市道路交通噪声昼间平均等效声级为66.6分贝，与上年相比上升0.4分贝，噪声强度等级稳定保持为一级，声环境质量级别为好。</w:t>
            </w:r>
          </w:p>
          <w:p w14:paraId="4F3AEB67">
            <w:pPr>
              <w:adjustRightInd w:val="0"/>
              <w:snapToGrid w:val="0"/>
              <w:spacing w:line="360" w:lineRule="auto"/>
              <w:ind w:firstLine="480" w:firstLineChars="200"/>
              <w:rPr>
                <w:rFonts w:hint="default" w:ascii="Times New Roman" w:hAnsi="Times New Roman" w:cs="Times New Roman"/>
                <w:color w:val="auto"/>
                <w:kern w:val="0"/>
                <w:sz w:val="24"/>
                <w:highlight w:val="yellow"/>
              </w:rPr>
            </w:pPr>
            <w:r>
              <w:rPr>
                <w:rFonts w:hint="default" w:ascii="Times New Roman" w:hAnsi="Times New Roman" w:cs="Times New Roman"/>
                <w:color w:val="auto"/>
                <w:kern w:val="0"/>
                <w:sz w:val="24"/>
                <w:highlight w:val="none"/>
              </w:rPr>
              <w:t>各功能区噪声平均等效声级达标率为70.8%，昼间达标率为83.3%，夜间达标率为58.3%。与上年相比，昼间达标率减少0.5个百分点，夜间达标率减少6.7个百分点，平均等效声级达标率减少了3.5个百分点。项目所在地50米内</w:t>
            </w:r>
            <w:r>
              <w:rPr>
                <w:rFonts w:hint="default" w:ascii="Times New Roman" w:hAnsi="Times New Roman" w:cs="Times New Roman"/>
                <w:color w:val="auto"/>
                <w:kern w:val="0"/>
                <w:sz w:val="24"/>
                <w:highlight w:val="none"/>
                <w:lang w:val="en-US" w:eastAsia="zh-CN"/>
              </w:rPr>
              <w:t>居民已搬迁，</w:t>
            </w:r>
            <w:r>
              <w:rPr>
                <w:rFonts w:hint="default" w:ascii="Times New Roman" w:hAnsi="Times New Roman" w:cs="Times New Roman"/>
                <w:color w:val="auto"/>
                <w:kern w:val="0"/>
                <w:sz w:val="24"/>
                <w:highlight w:val="none"/>
              </w:rPr>
              <w:t>无敏感目标，故不需要进行现状监测。</w:t>
            </w:r>
          </w:p>
          <w:p w14:paraId="2F84CE34">
            <w:pPr>
              <w:tabs>
                <w:tab w:val="right" w:pos="7494"/>
              </w:tabs>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四</w:t>
            </w:r>
            <w:r>
              <w:rPr>
                <w:rFonts w:hint="default" w:ascii="Times New Roman" w:hAnsi="Times New Roman" w:cs="Times New Roman"/>
                <w:b/>
                <w:bCs/>
                <w:color w:val="auto"/>
                <w:kern w:val="0"/>
                <w:sz w:val="24"/>
                <w:highlight w:val="none"/>
              </w:rPr>
              <w:t>、土壤、地下水环境</w:t>
            </w:r>
          </w:p>
          <w:p w14:paraId="14E770B1">
            <w:pPr>
              <w:tabs>
                <w:tab w:val="right" w:pos="7494"/>
              </w:tabs>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根据《建设项目环境影响报告表编制技术指南（污染影响类）》（试行），原则上对地下水和土壤不开展环境质量现状调查，本项目</w:t>
            </w:r>
            <w:r>
              <w:rPr>
                <w:rFonts w:hint="eastAsia" w:cs="Times New Roman"/>
                <w:color w:val="auto"/>
                <w:kern w:val="0"/>
                <w:sz w:val="24"/>
                <w:highlight w:val="none"/>
                <w:lang w:val="en-US" w:eastAsia="zh-CN"/>
              </w:rPr>
              <w:t>一般固体废物暂存间</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rPr>
              <w:t>危废暂存间为重点防渗区，</w:t>
            </w:r>
            <w:r>
              <w:rPr>
                <w:rFonts w:hint="default" w:ascii="Times New Roman" w:hAnsi="Times New Roman" w:cs="Times New Roman"/>
                <w:color w:val="auto"/>
                <w:kern w:val="0"/>
                <w:sz w:val="24"/>
                <w:highlight w:val="none"/>
                <w:lang w:val="en-US" w:eastAsia="zh-CN"/>
              </w:rPr>
              <w:t>原片区、成品区、</w:t>
            </w:r>
            <w:r>
              <w:rPr>
                <w:rFonts w:hint="default" w:ascii="Times New Roman" w:hAnsi="Times New Roman" w:cs="Times New Roman"/>
                <w:color w:val="auto"/>
                <w:kern w:val="0"/>
                <w:sz w:val="24"/>
                <w:highlight w:val="none"/>
              </w:rPr>
              <w:t>办公室为一般防渗区，正常情况下不存在地下水和土壤污染途径。因此，本次不开展地下水和土壤环境现状监测。</w:t>
            </w:r>
          </w:p>
        </w:tc>
      </w:tr>
      <w:tr w14:paraId="4487CB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24D98B5A">
            <w:pPr>
              <w:adjustRightInd w:val="0"/>
              <w:snapToGrid w:val="0"/>
              <w:spacing w:line="36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环境保护目标</w:t>
            </w:r>
          </w:p>
        </w:tc>
        <w:tc>
          <w:tcPr>
            <w:tcW w:w="8190" w:type="dxa"/>
            <w:vAlign w:val="center"/>
          </w:tcPr>
          <w:p w14:paraId="48C3BE15">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一</w:t>
            </w:r>
            <w:r>
              <w:rPr>
                <w:rFonts w:hint="default" w:ascii="Times New Roman" w:hAnsi="Times New Roman" w:cs="Times New Roman"/>
                <w:b/>
                <w:bCs/>
                <w:color w:val="auto"/>
                <w:kern w:val="0"/>
                <w:sz w:val="24"/>
                <w:highlight w:val="none"/>
              </w:rPr>
              <w:t>、大气环境保护目标</w:t>
            </w:r>
          </w:p>
          <w:p w14:paraId="186002EC">
            <w:pPr>
              <w:adjustRightInd w:val="0"/>
              <w:snapToGrid w:val="0"/>
              <w:spacing w:line="240" w:lineRule="auto"/>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表3-</w:t>
            </w:r>
            <w:r>
              <w:rPr>
                <w:rFonts w:hint="default" w:ascii="Times New Roman" w:hAnsi="Times New Roman" w:cs="Times New Roman"/>
                <w:b/>
                <w:bCs/>
                <w:color w:val="auto"/>
                <w:kern w:val="0"/>
                <w:sz w:val="24"/>
                <w:szCs w:val="24"/>
                <w:highlight w:val="none"/>
                <w:lang w:val="en-US" w:eastAsia="zh-CN"/>
              </w:rPr>
              <w:t>2</w:t>
            </w:r>
            <w:r>
              <w:rPr>
                <w:rFonts w:hint="default" w:ascii="Times New Roman" w:hAnsi="Times New Roman" w:cs="Times New Roman"/>
                <w:b/>
                <w:bCs/>
                <w:color w:val="auto"/>
                <w:kern w:val="0"/>
                <w:sz w:val="24"/>
                <w:szCs w:val="24"/>
                <w:highlight w:val="none"/>
              </w:rPr>
              <w:t>环境保护一览表</w:t>
            </w:r>
          </w:p>
          <w:tbl>
            <w:tblPr>
              <w:tblStyle w:val="2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057"/>
              <w:gridCol w:w="643"/>
              <w:gridCol w:w="1757"/>
              <w:gridCol w:w="742"/>
              <w:gridCol w:w="825"/>
              <w:gridCol w:w="2229"/>
            </w:tblGrid>
            <w:tr w14:paraId="776BB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365CE2AA">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环境要素</w:t>
                  </w:r>
                </w:p>
              </w:tc>
              <w:tc>
                <w:tcPr>
                  <w:tcW w:w="662" w:type="pct"/>
                  <w:tcBorders>
                    <w:tl2br w:val="nil"/>
                    <w:tr2bl w:val="nil"/>
                  </w:tcBorders>
                  <w:vAlign w:val="center"/>
                </w:tcPr>
                <w:p w14:paraId="24705FD0">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保护对象名称</w:t>
                  </w:r>
                </w:p>
              </w:tc>
              <w:tc>
                <w:tcPr>
                  <w:tcW w:w="403" w:type="pct"/>
                  <w:tcBorders>
                    <w:tl2br w:val="nil"/>
                    <w:tr2bl w:val="nil"/>
                  </w:tcBorders>
                  <w:vAlign w:val="center"/>
                </w:tcPr>
                <w:p w14:paraId="0618700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方位</w:t>
                  </w:r>
                </w:p>
              </w:tc>
              <w:tc>
                <w:tcPr>
                  <w:tcW w:w="1101" w:type="pct"/>
                  <w:tcBorders>
                    <w:tl2br w:val="nil"/>
                    <w:tr2bl w:val="nil"/>
                  </w:tcBorders>
                  <w:vAlign w:val="center"/>
                </w:tcPr>
                <w:p w14:paraId="728F731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距厂界距离（m）</w:t>
                  </w:r>
                </w:p>
              </w:tc>
              <w:tc>
                <w:tcPr>
                  <w:tcW w:w="465" w:type="pct"/>
                  <w:tcBorders>
                    <w:tl2br w:val="nil"/>
                    <w:tr2bl w:val="nil"/>
                  </w:tcBorders>
                  <w:vAlign w:val="center"/>
                </w:tcPr>
                <w:p w14:paraId="0926FA64">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保护内容</w:t>
                  </w:r>
                </w:p>
              </w:tc>
              <w:tc>
                <w:tcPr>
                  <w:tcW w:w="517" w:type="pct"/>
                  <w:tcBorders>
                    <w:tl2br w:val="nil"/>
                    <w:tr2bl w:val="nil"/>
                  </w:tcBorders>
                  <w:vAlign w:val="center"/>
                </w:tcPr>
                <w:p w14:paraId="0440424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规模</w:t>
                  </w:r>
                </w:p>
              </w:tc>
              <w:tc>
                <w:tcPr>
                  <w:tcW w:w="1396" w:type="pct"/>
                  <w:tcBorders>
                    <w:tl2br w:val="nil"/>
                    <w:tr2bl w:val="nil"/>
                  </w:tcBorders>
                  <w:vAlign w:val="center"/>
                </w:tcPr>
                <w:p w14:paraId="303B8BB7">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环境功能</w:t>
                  </w:r>
                </w:p>
              </w:tc>
            </w:tr>
            <w:tr w14:paraId="75FB5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796CEFC4">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大气环境</w:t>
                  </w:r>
                </w:p>
              </w:tc>
              <w:tc>
                <w:tcPr>
                  <w:tcW w:w="662" w:type="pct"/>
                  <w:tcBorders>
                    <w:tl2br w:val="nil"/>
                    <w:tr2bl w:val="nil"/>
                  </w:tcBorders>
                  <w:vAlign w:val="center"/>
                </w:tcPr>
                <w:p w14:paraId="6337182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王郢村</w:t>
                  </w:r>
                </w:p>
              </w:tc>
              <w:tc>
                <w:tcPr>
                  <w:tcW w:w="403" w:type="pct"/>
                  <w:tcBorders>
                    <w:tl2br w:val="nil"/>
                    <w:tr2bl w:val="nil"/>
                  </w:tcBorders>
                  <w:vAlign w:val="center"/>
                </w:tcPr>
                <w:p w14:paraId="53A77EC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1101" w:type="pct"/>
                  <w:tcBorders>
                    <w:tl2br w:val="nil"/>
                    <w:tr2bl w:val="nil"/>
                  </w:tcBorders>
                  <w:vAlign w:val="center"/>
                </w:tcPr>
                <w:p w14:paraId="5BB802AB">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125</w:t>
                  </w:r>
                </w:p>
              </w:tc>
              <w:tc>
                <w:tcPr>
                  <w:tcW w:w="465" w:type="pct"/>
                  <w:tcBorders>
                    <w:tl2br w:val="nil"/>
                    <w:tr2bl w:val="nil"/>
                  </w:tcBorders>
                  <w:vAlign w:val="center"/>
                </w:tcPr>
                <w:p w14:paraId="31155785">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居民</w:t>
                  </w:r>
                </w:p>
              </w:tc>
              <w:tc>
                <w:tcPr>
                  <w:tcW w:w="517" w:type="pct"/>
                  <w:tcBorders>
                    <w:tl2br w:val="nil"/>
                    <w:tr2bl w:val="nil"/>
                  </w:tcBorders>
                  <w:vAlign w:val="center"/>
                </w:tcPr>
                <w:p w14:paraId="3D4B3A8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约2</w:t>
                  </w:r>
                  <w:r>
                    <w:rPr>
                      <w:rFonts w:hint="default" w:ascii="Times New Roman" w:hAnsi="Times New Roman" w:cs="Times New Roman"/>
                      <w:color w:val="auto"/>
                      <w:kern w:val="0"/>
                      <w:szCs w:val="21"/>
                      <w:highlight w:val="none"/>
                      <w:lang w:val="en-US" w:eastAsia="zh-CN"/>
                    </w:rPr>
                    <w:t>8</w:t>
                  </w:r>
                  <w:r>
                    <w:rPr>
                      <w:rFonts w:hint="default" w:ascii="Times New Roman" w:hAnsi="Times New Roman" w:cs="Times New Roman"/>
                      <w:color w:val="auto"/>
                      <w:kern w:val="0"/>
                      <w:szCs w:val="21"/>
                      <w:highlight w:val="none"/>
                    </w:rPr>
                    <w:t>5人</w:t>
                  </w:r>
                </w:p>
              </w:tc>
              <w:tc>
                <w:tcPr>
                  <w:tcW w:w="1396" w:type="pct"/>
                  <w:tcBorders>
                    <w:tl2br w:val="nil"/>
                    <w:tr2bl w:val="nil"/>
                  </w:tcBorders>
                  <w:vAlign w:val="center"/>
                </w:tcPr>
                <w:p w14:paraId="0A122AA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《环境空气质量标准》（GB3095-2012）二类区</w:t>
                  </w:r>
                </w:p>
              </w:tc>
            </w:tr>
            <w:tr w14:paraId="622DC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416D104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大气环境</w:t>
                  </w:r>
                </w:p>
              </w:tc>
              <w:tc>
                <w:tcPr>
                  <w:tcW w:w="662" w:type="pct"/>
                  <w:tcBorders>
                    <w:tl2br w:val="nil"/>
                    <w:tr2bl w:val="nil"/>
                  </w:tcBorders>
                  <w:vAlign w:val="center"/>
                </w:tcPr>
                <w:p w14:paraId="1015BC46">
                  <w:pPr>
                    <w:adjustRightInd w:val="0"/>
                    <w:snapToGrid w:val="0"/>
                    <w:jc w:val="center"/>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kern w:val="0"/>
                      <w:szCs w:val="21"/>
                      <w:highlight w:val="none"/>
                      <w:lang w:val="en-US" w:eastAsia="zh-CN"/>
                    </w:rPr>
                    <w:t>宋王新村幼儿园</w:t>
                  </w:r>
                </w:p>
              </w:tc>
              <w:tc>
                <w:tcPr>
                  <w:tcW w:w="403" w:type="pct"/>
                  <w:tcBorders>
                    <w:tl2br w:val="nil"/>
                    <w:tr2bl w:val="nil"/>
                  </w:tcBorders>
                  <w:vAlign w:val="center"/>
                </w:tcPr>
                <w:p w14:paraId="2CE48C6B">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W</w:t>
                  </w:r>
                </w:p>
              </w:tc>
              <w:tc>
                <w:tcPr>
                  <w:tcW w:w="1101" w:type="pct"/>
                  <w:tcBorders>
                    <w:tl2br w:val="nil"/>
                    <w:tr2bl w:val="nil"/>
                  </w:tcBorders>
                  <w:vAlign w:val="center"/>
                </w:tcPr>
                <w:p w14:paraId="56EBA72E">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200</w:t>
                  </w:r>
                </w:p>
              </w:tc>
              <w:tc>
                <w:tcPr>
                  <w:tcW w:w="465" w:type="pct"/>
                  <w:tcBorders>
                    <w:tl2br w:val="nil"/>
                    <w:tr2bl w:val="nil"/>
                  </w:tcBorders>
                  <w:vAlign w:val="center"/>
                </w:tcPr>
                <w:p w14:paraId="054F023C">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在校师生</w:t>
                  </w:r>
                </w:p>
              </w:tc>
              <w:tc>
                <w:tcPr>
                  <w:tcW w:w="517" w:type="pct"/>
                  <w:tcBorders>
                    <w:tl2br w:val="nil"/>
                    <w:tr2bl w:val="nil"/>
                  </w:tcBorders>
                  <w:vAlign w:val="center"/>
                </w:tcPr>
                <w:p w14:paraId="2979866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w:t>
                  </w:r>
                  <w:r>
                    <w:rPr>
                      <w:rFonts w:hint="default" w:ascii="Times New Roman" w:hAnsi="Times New Roman" w:cs="Times New Roman"/>
                      <w:color w:val="auto"/>
                      <w:kern w:val="0"/>
                      <w:szCs w:val="21"/>
                      <w:highlight w:val="none"/>
                      <w:lang w:val="en-US" w:eastAsia="zh-CN"/>
                    </w:rPr>
                    <w:t>12</w:t>
                  </w:r>
                  <w:r>
                    <w:rPr>
                      <w:rFonts w:hint="default" w:ascii="Times New Roman" w:hAnsi="Times New Roman" w:cs="Times New Roman"/>
                      <w:color w:val="auto"/>
                      <w:kern w:val="0"/>
                      <w:szCs w:val="21"/>
                      <w:highlight w:val="none"/>
                    </w:rPr>
                    <w:t>0人</w:t>
                  </w:r>
                </w:p>
              </w:tc>
              <w:tc>
                <w:tcPr>
                  <w:tcW w:w="1396" w:type="pct"/>
                  <w:tcBorders>
                    <w:tl2br w:val="nil"/>
                    <w:tr2bl w:val="nil"/>
                  </w:tcBorders>
                  <w:vAlign w:val="center"/>
                </w:tcPr>
                <w:p w14:paraId="3625C61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《环境空气质量标准》（GB3095-2012）二类区</w:t>
                  </w:r>
                </w:p>
              </w:tc>
            </w:tr>
            <w:tr w14:paraId="6A8BE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56017E5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大气环境</w:t>
                  </w:r>
                </w:p>
              </w:tc>
              <w:tc>
                <w:tcPr>
                  <w:tcW w:w="662" w:type="pct"/>
                  <w:tcBorders>
                    <w:tl2br w:val="nil"/>
                    <w:tr2bl w:val="nil"/>
                  </w:tcBorders>
                  <w:vAlign w:val="center"/>
                </w:tcPr>
                <w:p w14:paraId="125988E2">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宋王村</w:t>
                  </w:r>
                </w:p>
              </w:tc>
              <w:tc>
                <w:tcPr>
                  <w:tcW w:w="403" w:type="pct"/>
                  <w:tcBorders>
                    <w:tl2br w:val="nil"/>
                    <w:tr2bl w:val="nil"/>
                  </w:tcBorders>
                  <w:vAlign w:val="center"/>
                </w:tcPr>
                <w:p w14:paraId="0FE50A70">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s</w:t>
                  </w:r>
                </w:p>
              </w:tc>
              <w:tc>
                <w:tcPr>
                  <w:tcW w:w="1101" w:type="pct"/>
                  <w:tcBorders>
                    <w:tl2br w:val="nil"/>
                    <w:tr2bl w:val="nil"/>
                  </w:tcBorders>
                  <w:vAlign w:val="center"/>
                </w:tcPr>
                <w:p w14:paraId="60CE3756">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120</w:t>
                  </w:r>
                </w:p>
              </w:tc>
              <w:tc>
                <w:tcPr>
                  <w:tcW w:w="465" w:type="pct"/>
                  <w:tcBorders>
                    <w:tl2br w:val="nil"/>
                    <w:tr2bl w:val="nil"/>
                  </w:tcBorders>
                  <w:vAlign w:val="center"/>
                </w:tcPr>
                <w:p w14:paraId="2A47F101">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居民</w:t>
                  </w:r>
                </w:p>
              </w:tc>
              <w:tc>
                <w:tcPr>
                  <w:tcW w:w="517" w:type="pct"/>
                  <w:tcBorders>
                    <w:tl2br w:val="nil"/>
                    <w:tr2bl w:val="nil"/>
                  </w:tcBorders>
                  <w:vAlign w:val="center"/>
                </w:tcPr>
                <w:p w14:paraId="622DD77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w:t>
                  </w:r>
                  <w:r>
                    <w:rPr>
                      <w:rFonts w:hint="default" w:ascii="Times New Roman" w:hAnsi="Times New Roman"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60人</w:t>
                  </w:r>
                </w:p>
              </w:tc>
              <w:tc>
                <w:tcPr>
                  <w:tcW w:w="1396" w:type="pct"/>
                  <w:tcBorders>
                    <w:tl2br w:val="nil"/>
                    <w:tr2bl w:val="nil"/>
                  </w:tcBorders>
                  <w:vAlign w:val="center"/>
                </w:tcPr>
                <w:p w14:paraId="13B0391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《环境空气质量标准》（GB3095-2012）二类区</w:t>
                  </w:r>
                </w:p>
              </w:tc>
            </w:tr>
            <w:tr w14:paraId="6C586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1A245A21">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大气环境</w:t>
                  </w:r>
                </w:p>
              </w:tc>
              <w:tc>
                <w:tcPr>
                  <w:tcW w:w="662" w:type="pct"/>
                  <w:tcBorders>
                    <w:tl2br w:val="nil"/>
                    <w:tr2bl w:val="nil"/>
                  </w:tcBorders>
                  <w:vAlign w:val="center"/>
                </w:tcPr>
                <w:p w14:paraId="7FA26805">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徐大郢</w:t>
                  </w:r>
                </w:p>
              </w:tc>
              <w:tc>
                <w:tcPr>
                  <w:tcW w:w="403" w:type="pct"/>
                  <w:tcBorders>
                    <w:tl2br w:val="nil"/>
                    <w:tr2bl w:val="nil"/>
                  </w:tcBorders>
                  <w:vAlign w:val="center"/>
                </w:tcPr>
                <w:p w14:paraId="147D8553">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NE</w:t>
                  </w:r>
                </w:p>
              </w:tc>
              <w:tc>
                <w:tcPr>
                  <w:tcW w:w="1101" w:type="pct"/>
                  <w:tcBorders>
                    <w:tl2br w:val="nil"/>
                    <w:tr2bl w:val="nil"/>
                  </w:tcBorders>
                  <w:vAlign w:val="center"/>
                </w:tcPr>
                <w:p w14:paraId="2E707E38">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350</w:t>
                  </w:r>
                </w:p>
              </w:tc>
              <w:tc>
                <w:tcPr>
                  <w:tcW w:w="465" w:type="pct"/>
                  <w:tcBorders>
                    <w:tl2br w:val="nil"/>
                    <w:tr2bl w:val="nil"/>
                  </w:tcBorders>
                  <w:vAlign w:val="center"/>
                </w:tcPr>
                <w:p w14:paraId="7A2B819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居民</w:t>
                  </w:r>
                </w:p>
              </w:tc>
              <w:tc>
                <w:tcPr>
                  <w:tcW w:w="517" w:type="pct"/>
                  <w:tcBorders>
                    <w:tl2br w:val="nil"/>
                    <w:tr2bl w:val="nil"/>
                  </w:tcBorders>
                  <w:vAlign w:val="center"/>
                </w:tcPr>
                <w:p w14:paraId="2CA7059C">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约</w:t>
                  </w:r>
                  <w:r>
                    <w:rPr>
                      <w:rFonts w:hint="default" w:ascii="Times New Roman" w:hAnsi="Times New Roman" w:cs="Times New Roman"/>
                      <w:color w:val="auto"/>
                      <w:kern w:val="0"/>
                      <w:szCs w:val="21"/>
                      <w:highlight w:val="none"/>
                      <w:lang w:val="en-US" w:eastAsia="zh-CN"/>
                    </w:rPr>
                    <w:t>200</w:t>
                  </w:r>
                  <w:r>
                    <w:rPr>
                      <w:rFonts w:hint="default" w:ascii="Times New Roman" w:hAnsi="Times New Roman" w:cs="Times New Roman"/>
                      <w:color w:val="auto"/>
                      <w:kern w:val="0"/>
                      <w:szCs w:val="21"/>
                      <w:highlight w:val="none"/>
                    </w:rPr>
                    <w:t>人</w:t>
                  </w:r>
                </w:p>
              </w:tc>
              <w:tc>
                <w:tcPr>
                  <w:tcW w:w="1396" w:type="pct"/>
                  <w:tcBorders>
                    <w:tl2br w:val="nil"/>
                    <w:tr2bl w:val="nil"/>
                  </w:tcBorders>
                  <w:vAlign w:val="center"/>
                </w:tcPr>
                <w:p w14:paraId="1E8EEE4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《环境空气质量标准》（GB3095-2012）二类区</w:t>
                  </w:r>
                </w:p>
              </w:tc>
            </w:tr>
          </w:tbl>
          <w:p w14:paraId="473B0140">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二</w:t>
            </w:r>
            <w:r>
              <w:rPr>
                <w:rFonts w:hint="default" w:ascii="Times New Roman" w:hAnsi="Times New Roman" w:cs="Times New Roman"/>
                <w:b/>
                <w:bCs/>
                <w:color w:val="auto"/>
                <w:kern w:val="0"/>
                <w:sz w:val="24"/>
                <w:highlight w:val="none"/>
              </w:rPr>
              <w:t>、声环境保护目标</w:t>
            </w:r>
          </w:p>
          <w:p w14:paraId="3DABBD01">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本项目厂界外50m范围内无声环境保护目标。</w:t>
            </w:r>
          </w:p>
          <w:p w14:paraId="007EB785">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三</w:t>
            </w:r>
            <w:r>
              <w:rPr>
                <w:rFonts w:hint="default" w:ascii="Times New Roman" w:hAnsi="Times New Roman" w:cs="Times New Roman"/>
                <w:b/>
                <w:bCs/>
                <w:color w:val="auto"/>
                <w:kern w:val="0"/>
                <w:sz w:val="24"/>
                <w:highlight w:val="none"/>
              </w:rPr>
              <w:t>、地下水环境保护目标</w:t>
            </w:r>
          </w:p>
          <w:p w14:paraId="6AC3602D">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本项目厂界外500m范围内无集中式饮用水水源和热水、矿泉水、温泉等特殊地下水资源环境保护目标。</w:t>
            </w:r>
          </w:p>
          <w:p w14:paraId="66CFB333">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四</w:t>
            </w:r>
            <w:r>
              <w:rPr>
                <w:rFonts w:hint="default" w:ascii="Times New Roman" w:hAnsi="Times New Roman" w:cs="Times New Roman"/>
                <w:b/>
                <w:bCs/>
                <w:color w:val="auto"/>
                <w:kern w:val="0"/>
                <w:sz w:val="24"/>
                <w:highlight w:val="none"/>
              </w:rPr>
              <w:t>、生态环境保护目标</w:t>
            </w:r>
          </w:p>
          <w:p w14:paraId="185308DD">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本项目位于淮南现代产业园，且用地范围内不含有生态环境保护目标。</w:t>
            </w:r>
          </w:p>
        </w:tc>
      </w:tr>
      <w:tr w14:paraId="29CB3F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14:paraId="28A30BD9">
            <w:pPr>
              <w:adjustRightInd w:val="0"/>
              <w:snapToGrid w:val="0"/>
              <w:spacing w:line="36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污染物排放控制标准</w:t>
            </w:r>
          </w:p>
        </w:tc>
        <w:tc>
          <w:tcPr>
            <w:tcW w:w="8190" w:type="dxa"/>
            <w:vAlign w:val="center"/>
          </w:tcPr>
          <w:p w14:paraId="120A49D1">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一</w:t>
            </w:r>
            <w:r>
              <w:rPr>
                <w:rFonts w:hint="default" w:ascii="Times New Roman" w:hAnsi="Times New Roman" w:cs="Times New Roman"/>
                <w:b/>
                <w:bCs/>
                <w:color w:val="auto"/>
                <w:kern w:val="0"/>
                <w:sz w:val="24"/>
                <w:highlight w:val="none"/>
              </w:rPr>
              <w:t>、水污染物排放控制标准</w:t>
            </w:r>
          </w:p>
          <w:p w14:paraId="3F9077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废水排放执行淮南现代产业园园区污水处理厂</w:t>
            </w:r>
            <w:r>
              <w:rPr>
                <w:rFonts w:hint="default" w:ascii="Times New Roman" w:hAnsi="Times New Roman" w:cs="Times New Roman"/>
                <w:color w:val="auto"/>
                <w:kern w:val="0"/>
                <w:sz w:val="24"/>
                <w:highlight w:val="none"/>
                <w:lang w:val="en-US" w:eastAsia="zh-CN"/>
              </w:rPr>
              <w:t>接管限值以及</w:t>
            </w:r>
            <w:r>
              <w:rPr>
                <w:rFonts w:hint="default" w:ascii="Times New Roman" w:hAnsi="Times New Roman" w:cs="Times New Roman"/>
                <w:color w:val="auto"/>
                <w:kern w:val="0"/>
                <w:sz w:val="24"/>
                <w:highlight w:val="none"/>
              </w:rPr>
              <w:t>《污水综合排放标准》（GB8978-1996）表4中三级标准。污水处理厂尾水执行《城镇污水处理厂污染物排放标准》（GB18918-2002）中的一级A标准，尾水排入林桥涧沟，最终汇入瓦埠湖。具体指标见表3-</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w:t>
            </w:r>
          </w:p>
          <w:p w14:paraId="24546A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表3-</w:t>
            </w:r>
            <w:r>
              <w:rPr>
                <w:rFonts w:hint="default" w:ascii="Times New Roman" w:hAnsi="Times New Roman" w:cs="Times New Roman"/>
                <w:b/>
                <w:bCs/>
                <w:color w:val="auto"/>
                <w:kern w:val="0"/>
                <w:sz w:val="24"/>
                <w:szCs w:val="24"/>
                <w:highlight w:val="none"/>
                <w:lang w:val="en-US" w:eastAsia="zh-CN"/>
              </w:rPr>
              <w:t>3</w:t>
            </w:r>
            <w:r>
              <w:rPr>
                <w:rFonts w:hint="default" w:ascii="Times New Roman" w:hAnsi="Times New Roman" w:cs="Times New Roman"/>
                <w:b/>
                <w:bCs/>
                <w:color w:val="auto"/>
                <w:kern w:val="0"/>
                <w:sz w:val="24"/>
                <w:szCs w:val="24"/>
                <w:highlight w:val="none"/>
              </w:rPr>
              <w:t xml:space="preserve">  建设项目污水排放标准</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21"/>
              <w:gridCol w:w="792"/>
              <w:gridCol w:w="793"/>
              <w:gridCol w:w="793"/>
              <w:gridCol w:w="887"/>
              <w:gridCol w:w="698"/>
              <w:gridCol w:w="793"/>
              <w:gridCol w:w="794"/>
            </w:tblGrid>
            <w:tr w14:paraId="14E4B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9" w:type="pct"/>
                  <w:tcBorders>
                    <w:tl2br w:val="nil"/>
                    <w:tr2bl w:val="nil"/>
                  </w:tcBorders>
                  <w:vAlign w:val="center"/>
                </w:tcPr>
                <w:p w14:paraId="35039496">
                  <w:pPr>
                    <w:pStyle w:val="7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水质指标</w:t>
                  </w:r>
                </w:p>
              </w:tc>
              <w:tc>
                <w:tcPr>
                  <w:tcW w:w="497" w:type="pct"/>
                  <w:tcBorders>
                    <w:tl2br w:val="nil"/>
                    <w:tr2bl w:val="nil"/>
                  </w:tcBorders>
                  <w:vAlign w:val="center"/>
                </w:tcPr>
                <w:p w14:paraId="656812B6">
                  <w:pPr>
                    <w:pStyle w:val="7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pH</w:t>
                  </w:r>
                </w:p>
              </w:tc>
              <w:tc>
                <w:tcPr>
                  <w:tcW w:w="497" w:type="pct"/>
                  <w:tcBorders>
                    <w:tl2br w:val="nil"/>
                    <w:tr2bl w:val="nil"/>
                  </w:tcBorders>
                  <w:vAlign w:val="center"/>
                </w:tcPr>
                <w:p w14:paraId="64A2B040">
                  <w:pPr>
                    <w:pStyle w:val="7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COD</w:t>
                  </w:r>
                </w:p>
              </w:tc>
              <w:tc>
                <w:tcPr>
                  <w:tcW w:w="497" w:type="pct"/>
                  <w:tcBorders>
                    <w:tl2br w:val="nil"/>
                    <w:tr2bl w:val="nil"/>
                  </w:tcBorders>
                  <w:vAlign w:val="center"/>
                </w:tcPr>
                <w:p w14:paraId="505062D0">
                  <w:pPr>
                    <w:pStyle w:val="7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BOD</w:t>
                  </w:r>
                  <w:r>
                    <w:rPr>
                      <w:rFonts w:hint="default" w:ascii="Times New Roman" w:hAnsi="Times New Roman" w:cs="Times New Roman"/>
                      <w:b/>
                      <w:bCs/>
                      <w:color w:val="auto"/>
                      <w:highlight w:val="none"/>
                      <w:vertAlign w:val="subscript"/>
                    </w:rPr>
                    <w:t>5</w:t>
                  </w:r>
                </w:p>
              </w:tc>
              <w:tc>
                <w:tcPr>
                  <w:tcW w:w="556" w:type="pct"/>
                  <w:tcBorders>
                    <w:tl2br w:val="nil"/>
                    <w:tr2bl w:val="nil"/>
                  </w:tcBorders>
                  <w:vAlign w:val="center"/>
                </w:tcPr>
                <w:p w14:paraId="36EB9E0E">
                  <w:pPr>
                    <w:pStyle w:val="7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NH</w:t>
                  </w:r>
                  <w:r>
                    <w:rPr>
                      <w:rFonts w:hint="default" w:ascii="Times New Roman" w:hAnsi="Times New Roman" w:cs="Times New Roman"/>
                      <w:b/>
                      <w:bCs/>
                      <w:color w:val="auto"/>
                      <w:highlight w:val="none"/>
                      <w:vertAlign w:val="subscript"/>
                    </w:rPr>
                    <w:t>3</w:t>
                  </w:r>
                  <w:r>
                    <w:rPr>
                      <w:rFonts w:hint="default" w:ascii="Times New Roman" w:hAnsi="Times New Roman" w:cs="Times New Roman"/>
                      <w:b/>
                      <w:bCs/>
                      <w:color w:val="auto"/>
                      <w:highlight w:val="none"/>
                    </w:rPr>
                    <w:t>-N</w:t>
                  </w:r>
                </w:p>
              </w:tc>
              <w:tc>
                <w:tcPr>
                  <w:tcW w:w="438" w:type="pct"/>
                  <w:tcBorders>
                    <w:tl2br w:val="nil"/>
                    <w:tr2bl w:val="nil"/>
                  </w:tcBorders>
                  <w:vAlign w:val="center"/>
                </w:tcPr>
                <w:p w14:paraId="081B466C">
                  <w:pPr>
                    <w:pStyle w:val="7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SS</w:t>
                  </w:r>
                </w:p>
              </w:tc>
              <w:tc>
                <w:tcPr>
                  <w:tcW w:w="497" w:type="pct"/>
                  <w:tcBorders>
                    <w:tl2br w:val="nil"/>
                    <w:tr2bl w:val="nil"/>
                  </w:tcBorders>
                  <w:vAlign w:val="center"/>
                </w:tcPr>
                <w:p w14:paraId="19694DB7">
                  <w:pPr>
                    <w:pStyle w:val="7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TP</w:t>
                  </w:r>
                </w:p>
              </w:tc>
              <w:tc>
                <w:tcPr>
                  <w:tcW w:w="498" w:type="pct"/>
                  <w:tcBorders>
                    <w:tl2br w:val="nil"/>
                    <w:tr2bl w:val="nil"/>
                  </w:tcBorders>
                  <w:vAlign w:val="center"/>
                </w:tcPr>
                <w:p w14:paraId="77D72CF5">
                  <w:pPr>
                    <w:pStyle w:val="7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TN</w:t>
                  </w:r>
                </w:p>
              </w:tc>
            </w:tr>
            <w:tr w14:paraId="65960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9" w:type="pct"/>
                  <w:tcBorders>
                    <w:tl2br w:val="nil"/>
                    <w:tr2bl w:val="nil"/>
                  </w:tcBorders>
                  <w:vAlign w:val="center"/>
                </w:tcPr>
                <w:p w14:paraId="3769A665">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《污水综合排放标准》（GB8978-1996）三级标准</w:t>
                  </w:r>
                </w:p>
              </w:tc>
              <w:tc>
                <w:tcPr>
                  <w:tcW w:w="497" w:type="pct"/>
                  <w:tcBorders>
                    <w:tl2br w:val="nil"/>
                    <w:tr2bl w:val="nil"/>
                  </w:tcBorders>
                  <w:vAlign w:val="center"/>
                </w:tcPr>
                <w:p w14:paraId="6B214B21">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497" w:type="pct"/>
                  <w:tcBorders>
                    <w:tl2br w:val="nil"/>
                    <w:tr2bl w:val="nil"/>
                  </w:tcBorders>
                  <w:vAlign w:val="center"/>
                </w:tcPr>
                <w:p w14:paraId="774C140A">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500</w:t>
                  </w:r>
                </w:p>
              </w:tc>
              <w:tc>
                <w:tcPr>
                  <w:tcW w:w="497" w:type="pct"/>
                  <w:tcBorders>
                    <w:tl2br w:val="nil"/>
                    <w:tr2bl w:val="nil"/>
                  </w:tcBorders>
                  <w:vAlign w:val="center"/>
                </w:tcPr>
                <w:p w14:paraId="3CA9C8EE">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c>
                <w:tcPr>
                  <w:tcW w:w="556" w:type="pct"/>
                  <w:tcBorders>
                    <w:tl2br w:val="nil"/>
                    <w:tr2bl w:val="nil"/>
                  </w:tcBorders>
                  <w:vAlign w:val="center"/>
                </w:tcPr>
                <w:p w14:paraId="588E31B2">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38" w:type="pct"/>
                  <w:tcBorders>
                    <w:tl2br w:val="nil"/>
                    <w:tr2bl w:val="nil"/>
                  </w:tcBorders>
                  <w:vAlign w:val="center"/>
                </w:tcPr>
                <w:p w14:paraId="62154E55">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400</w:t>
                  </w:r>
                </w:p>
              </w:tc>
              <w:tc>
                <w:tcPr>
                  <w:tcW w:w="497" w:type="pct"/>
                  <w:tcBorders>
                    <w:tl2br w:val="nil"/>
                    <w:tr2bl w:val="nil"/>
                  </w:tcBorders>
                  <w:vAlign w:val="center"/>
                </w:tcPr>
                <w:p w14:paraId="666AF675">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498" w:type="pct"/>
                  <w:tcBorders>
                    <w:tl2br w:val="nil"/>
                    <w:tr2bl w:val="nil"/>
                  </w:tcBorders>
                  <w:vAlign w:val="center"/>
                </w:tcPr>
                <w:p w14:paraId="307DCFB4">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1E291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9" w:type="pct"/>
                  <w:tcBorders>
                    <w:tl2br w:val="nil"/>
                    <w:tr2bl w:val="nil"/>
                  </w:tcBorders>
                  <w:vAlign w:val="center"/>
                </w:tcPr>
                <w:p w14:paraId="479C558E">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淮南现代产业园园区污水处理厂接管标准</w:t>
                  </w:r>
                </w:p>
              </w:tc>
              <w:tc>
                <w:tcPr>
                  <w:tcW w:w="497" w:type="pct"/>
                  <w:tcBorders>
                    <w:tl2br w:val="nil"/>
                    <w:tr2bl w:val="nil"/>
                  </w:tcBorders>
                  <w:vAlign w:val="center"/>
                </w:tcPr>
                <w:p w14:paraId="538AF6E3">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497" w:type="pct"/>
                  <w:tcBorders>
                    <w:tl2br w:val="nil"/>
                    <w:tr2bl w:val="nil"/>
                  </w:tcBorders>
                  <w:vAlign w:val="center"/>
                </w:tcPr>
                <w:p w14:paraId="152E3530">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350</w:t>
                  </w:r>
                </w:p>
              </w:tc>
              <w:tc>
                <w:tcPr>
                  <w:tcW w:w="497" w:type="pct"/>
                  <w:tcBorders>
                    <w:tl2br w:val="nil"/>
                    <w:tr2bl w:val="nil"/>
                  </w:tcBorders>
                  <w:vAlign w:val="center"/>
                </w:tcPr>
                <w:p w14:paraId="28BB3A4C">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556" w:type="pct"/>
                  <w:tcBorders>
                    <w:tl2br w:val="nil"/>
                    <w:tr2bl w:val="nil"/>
                  </w:tcBorders>
                  <w:vAlign w:val="center"/>
                </w:tcPr>
                <w:p w14:paraId="31B83081">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438" w:type="pct"/>
                  <w:tcBorders>
                    <w:tl2br w:val="nil"/>
                    <w:tr2bl w:val="nil"/>
                  </w:tcBorders>
                  <w:vAlign w:val="center"/>
                </w:tcPr>
                <w:p w14:paraId="022995DD">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280</w:t>
                  </w:r>
                </w:p>
              </w:tc>
              <w:tc>
                <w:tcPr>
                  <w:tcW w:w="497" w:type="pct"/>
                  <w:tcBorders>
                    <w:tl2br w:val="nil"/>
                    <w:tr2bl w:val="nil"/>
                  </w:tcBorders>
                  <w:vAlign w:val="center"/>
                </w:tcPr>
                <w:p w14:paraId="10670053">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498" w:type="pct"/>
                  <w:tcBorders>
                    <w:tl2br w:val="nil"/>
                    <w:tr2bl w:val="nil"/>
                  </w:tcBorders>
                  <w:vAlign w:val="center"/>
                </w:tcPr>
                <w:p w14:paraId="5A843D1B">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r>
            <w:tr w14:paraId="28517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9" w:type="pct"/>
                  <w:tcBorders>
                    <w:tl2br w:val="nil"/>
                    <w:tr2bl w:val="nil"/>
                  </w:tcBorders>
                  <w:vAlign w:val="center"/>
                </w:tcPr>
                <w:p w14:paraId="28F87E68">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本项目执行标准</w:t>
                  </w:r>
                </w:p>
              </w:tc>
              <w:tc>
                <w:tcPr>
                  <w:tcW w:w="497" w:type="pct"/>
                  <w:tcBorders>
                    <w:tl2br w:val="nil"/>
                    <w:tr2bl w:val="nil"/>
                  </w:tcBorders>
                  <w:vAlign w:val="center"/>
                </w:tcPr>
                <w:p w14:paraId="6016371E">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497" w:type="pct"/>
                  <w:tcBorders>
                    <w:tl2br w:val="nil"/>
                    <w:tr2bl w:val="nil"/>
                  </w:tcBorders>
                  <w:vAlign w:val="center"/>
                </w:tcPr>
                <w:p w14:paraId="4F4D63D9">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350</w:t>
                  </w:r>
                </w:p>
              </w:tc>
              <w:tc>
                <w:tcPr>
                  <w:tcW w:w="497" w:type="pct"/>
                  <w:tcBorders>
                    <w:tl2br w:val="nil"/>
                    <w:tr2bl w:val="nil"/>
                  </w:tcBorders>
                  <w:vAlign w:val="center"/>
                </w:tcPr>
                <w:p w14:paraId="66FC4F86">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556" w:type="pct"/>
                  <w:tcBorders>
                    <w:tl2br w:val="nil"/>
                    <w:tr2bl w:val="nil"/>
                  </w:tcBorders>
                  <w:vAlign w:val="center"/>
                </w:tcPr>
                <w:p w14:paraId="7883C3C2">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438" w:type="pct"/>
                  <w:tcBorders>
                    <w:tl2br w:val="nil"/>
                    <w:tr2bl w:val="nil"/>
                  </w:tcBorders>
                  <w:vAlign w:val="center"/>
                </w:tcPr>
                <w:p w14:paraId="71F9E1E2">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280</w:t>
                  </w:r>
                </w:p>
              </w:tc>
              <w:tc>
                <w:tcPr>
                  <w:tcW w:w="497" w:type="pct"/>
                  <w:tcBorders>
                    <w:tl2br w:val="nil"/>
                    <w:tr2bl w:val="nil"/>
                  </w:tcBorders>
                  <w:vAlign w:val="center"/>
                </w:tcPr>
                <w:p w14:paraId="1A5B9769">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498" w:type="pct"/>
                  <w:tcBorders>
                    <w:tl2br w:val="nil"/>
                    <w:tr2bl w:val="nil"/>
                  </w:tcBorders>
                  <w:vAlign w:val="center"/>
                </w:tcPr>
                <w:p w14:paraId="46CC57CF">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r>
            <w:tr w14:paraId="3BF80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9" w:type="pct"/>
                  <w:tcBorders>
                    <w:tl2br w:val="nil"/>
                    <w:tr2bl w:val="nil"/>
                  </w:tcBorders>
                  <w:vAlign w:val="center"/>
                </w:tcPr>
                <w:p w14:paraId="575C5378">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GB18918-2002一级A标准</w:t>
                  </w:r>
                </w:p>
              </w:tc>
              <w:tc>
                <w:tcPr>
                  <w:tcW w:w="497" w:type="pct"/>
                  <w:tcBorders>
                    <w:tl2br w:val="nil"/>
                    <w:tr2bl w:val="nil"/>
                  </w:tcBorders>
                  <w:vAlign w:val="center"/>
                </w:tcPr>
                <w:p w14:paraId="0BFB0C65">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497" w:type="pct"/>
                  <w:tcBorders>
                    <w:tl2br w:val="nil"/>
                    <w:tr2bl w:val="nil"/>
                  </w:tcBorders>
                  <w:vAlign w:val="center"/>
                </w:tcPr>
                <w:p w14:paraId="39174473">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497" w:type="pct"/>
                  <w:tcBorders>
                    <w:tl2br w:val="nil"/>
                    <w:tr2bl w:val="nil"/>
                  </w:tcBorders>
                  <w:vAlign w:val="center"/>
                </w:tcPr>
                <w:p w14:paraId="4CA9CDBD">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556" w:type="pct"/>
                  <w:tcBorders>
                    <w:tl2br w:val="nil"/>
                    <w:tr2bl w:val="nil"/>
                  </w:tcBorders>
                  <w:vAlign w:val="center"/>
                </w:tcPr>
                <w:p w14:paraId="29469CF6">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5(8)</w:t>
                  </w:r>
                </w:p>
              </w:tc>
              <w:tc>
                <w:tcPr>
                  <w:tcW w:w="438" w:type="pct"/>
                  <w:tcBorders>
                    <w:tl2br w:val="nil"/>
                    <w:tr2bl w:val="nil"/>
                  </w:tcBorders>
                  <w:vAlign w:val="center"/>
                </w:tcPr>
                <w:p w14:paraId="15003FEB">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497" w:type="pct"/>
                  <w:tcBorders>
                    <w:tl2br w:val="nil"/>
                    <w:tr2bl w:val="nil"/>
                  </w:tcBorders>
                  <w:vAlign w:val="center"/>
                </w:tcPr>
                <w:p w14:paraId="45A0D6D7">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c>
                <w:tcPr>
                  <w:tcW w:w="498" w:type="pct"/>
                  <w:tcBorders>
                    <w:tl2br w:val="nil"/>
                    <w:tr2bl w:val="nil"/>
                  </w:tcBorders>
                  <w:vAlign w:val="center"/>
                </w:tcPr>
                <w:p w14:paraId="465EBFFC">
                  <w:pPr>
                    <w:pStyle w:val="74"/>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bl>
          <w:p w14:paraId="40D67E16">
            <w:pPr>
              <w:adjustRightInd w:val="0"/>
              <w:snapToGrid w:val="0"/>
              <w:spacing w:line="360" w:lineRule="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注：括号外数值为水温＞12℃时的控制指标，括号内数值为水温≤12℃时的控制指标。</w:t>
            </w:r>
          </w:p>
          <w:p w14:paraId="7FAFF68B">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二</w:t>
            </w:r>
            <w:r>
              <w:rPr>
                <w:rFonts w:hint="default" w:ascii="Times New Roman" w:hAnsi="Times New Roman" w:cs="Times New Roman"/>
                <w:b/>
                <w:bCs/>
                <w:color w:val="auto"/>
                <w:kern w:val="0"/>
                <w:sz w:val="24"/>
                <w:highlight w:val="none"/>
              </w:rPr>
              <w:t>、废气污染物排放控制标准</w:t>
            </w:r>
          </w:p>
          <w:p w14:paraId="63C4C9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生产废气非甲烷总烃执行《玻璃工业大气污染物排放标准》(GB26453-2022)中大气污染物特别排放限值：非甲烷总烃无组织排放执行《挥发性有机物无组织排放控制标准》(GB37822-2019)附录A中表A1非甲烷总烃无组织排放限值。</w:t>
            </w:r>
          </w:p>
          <w:p w14:paraId="2E511E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表3-</w:t>
            </w:r>
            <w:r>
              <w:rPr>
                <w:rFonts w:hint="default" w:ascii="Times New Roman" w:hAnsi="Times New Roman" w:cs="Times New Roman"/>
                <w:b/>
                <w:bCs/>
                <w:color w:val="auto"/>
                <w:kern w:val="0"/>
                <w:sz w:val="24"/>
                <w:szCs w:val="24"/>
                <w:highlight w:val="none"/>
                <w:lang w:val="en-US" w:eastAsia="zh-CN"/>
              </w:rPr>
              <w:t>4</w:t>
            </w:r>
            <w:r>
              <w:rPr>
                <w:rFonts w:hint="default" w:ascii="Times New Roman" w:hAnsi="Times New Roman" w:cs="Times New Roman"/>
                <w:b/>
                <w:bCs/>
                <w:color w:val="auto"/>
                <w:kern w:val="0"/>
                <w:sz w:val="24"/>
                <w:szCs w:val="24"/>
                <w:highlight w:val="none"/>
              </w:rPr>
              <w:t xml:space="preserve"> 项目大气污染物排放标准</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1614"/>
              <w:gridCol w:w="1686"/>
              <w:gridCol w:w="3642"/>
            </w:tblGrid>
            <w:tr w14:paraId="0CFC3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tcBorders>
                    <w:tl2br w:val="nil"/>
                    <w:tr2bl w:val="nil"/>
                  </w:tcBorders>
                  <w:vAlign w:val="center"/>
                </w:tcPr>
                <w:p w14:paraId="790DEBA0">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污染物</w:t>
                  </w:r>
                </w:p>
              </w:tc>
              <w:tc>
                <w:tcPr>
                  <w:tcW w:w="1012" w:type="pct"/>
                  <w:tcBorders>
                    <w:tl2br w:val="nil"/>
                    <w:tr2bl w:val="nil"/>
                  </w:tcBorders>
                  <w:vAlign w:val="center"/>
                </w:tcPr>
                <w:p w14:paraId="26154240">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最高允许排放浓度(mg</w:t>
                  </w:r>
                  <w:r>
                    <w:rPr>
                      <w:rFonts w:hint="default" w:ascii="Times New Roman" w:hAnsi="Times New Roman" w:cs="Times New Roman"/>
                      <w:b/>
                      <w:bCs/>
                      <w:color w:val="auto"/>
                      <w:kern w:val="0"/>
                      <w:szCs w:val="21"/>
                      <w:highlight w:val="none"/>
                      <w:lang w:val="en-US" w:eastAsia="zh-CN"/>
                    </w:rPr>
                    <w:t>/</w:t>
                  </w:r>
                  <w:r>
                    <w:rPr>
                      <w:rFonts w:hint="default" w:ascii="Times New Roman" w:hAnsi="Times New Roman" w:cs="Times New Roman"/>
                      <w:b/>
                      <w:bCs/>
                      <w:color w:val="auto"/>
                      <w:kern w:val="0"/>
                      <w:szCs w:val="21"/>
                      <w:highlight w:val="none"/>
                    </w:rPr>
                    <w:t>m</w:t>
                  </w:r>
                  <w:r>
                    <w:rPr>
                      <w:rFonts w:hint="default" w:ascii="Times New Roman" w:hAnsi="Times New Roman" w:cs="Times New Roman"/>
                      <w:b/>
                      <w:bCs/>
                      <w:color w:val="auto"/>
                      <w:kern w:val="0"/>
                      <w:szCs w:val="21"/>
                      <w:highlight w:val="none"/>
                      <w:vertAlign w:val="superscript"/>
                    </w:rPr>
                    <w:t>3</w:t>
                  </w:r>
                  <w:r>
                    <w:rPr>
                      <w:rFonts w:hint="default" w:ascii="Times New Roman" w:hAnsi="Times New Roman" w:cs="Times New Roman"/>
                      <w:b/>
                      <w:bCs/>
                      <w:color w:val="auto"/>
                      <w:kern w:val="0"/>
                      <w:szCs w:val="21"/>
                      <w:highlight w:val="none"/>
                    </w:rPr>
                    <w:t>)</w:t>
                  </w:r>
                </w:p>
              </w:tc>
              <w:tc>
                <w:tcPr>
                  <w:tcW w:w="1057" w:type="pct"/>
                  <w:tcBorders>
                    <w:tl2br w:val="nil"/>
                    <w:tr2bl w:val="nil"/>
                  </w:tcBorders>
                  <w:vAlign w:val="center"/>
                </w:tcPr>
                <w:p w14:paraId="189B6519">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厂界监控点浓度限值（mg/m</w:t>
                  </w:r>
                  <w:r>
                    <w:rPr>
                      <w:rFonts w:hint="default" w:ascii="Times New Roman" w:hAnsi="Times New Roman" w:cs="Times New Roman"/>
                      <w:b/>
                      <w:bCs/>
                      <w:color w:val="auto"/>
                      <w:kern w:val="0"/>
                      <w:szCs w:val="21"/>
                      <w:highlight w:val="none"/>
                      <w:vertAlign w:val="superscript"/>
                    </w:rPr>
                    <w:t>3</w:t>
                  </w:r>
                  <w:r>
                    <w:rPr>
                      <w:rFonts w:hint="default" w:ascii="Times New Roman" w:hAnsi="Times New Roman" w:cs="Times New Roman"/>
                      <w:b/>
                      <w:bCs/>
                      <w:color w:val="auto"/>
                      <w:kern w:val="0"/>
                      <w:szCs w:val="21"/>
                      <w:highlight w:val="none"/>
                    </w:rPr>
                    <w:t>）</w:t>
                  </w:r>
                </w:p>
              </w:tc>
              <w:tc>
                <w:tcPr>
                  <w:tcW w:w="2283" w:type="pct"/>
                  <w:tcBorders>
                    <w:tl2br w:val="nil"/>
                    <w:tr2bl w:val="nil"/>
                  </w:tcBorders>
                  <w:vAlign w:val="center"/>
                </w:tcPr>
                <w:p w14:paraId="491385AE">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标准来源</w:t>
                  </w:r>
                </w:p>
              </w:tc>
            </w:tr>
            <w:tr w14:paraId="4F246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tcBorders>
                    <w:tl2br w:val="nil"/>
                    <w:tr2bl w:val="nil"/>
                  </w:tcBorders>
                  <w:vAlign w:val="center"/>
                </w:tcPr>
                <w:p w14:paraId="4369AFF5">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非甲烷总烃</w:t>
                  </w:r>
                </w:p>
              </w:tc>
              <w:tc>
                <w:tcPr>
                  <w:tcW w:w="1012" w:type="pct"/>
                  <w:tcBorders>
                    <w:tl2br w:val="nil"/>
                    <w:tr2bl w:val="nil"/>
                  </w:tcBorders>
                  <w:vAlign w:val="center"/>
                </w:tcPr>
                <w:p w14:paraId="489014C8">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80</w:t>
                  </w:r>
                </w:p>
              </w:tc>
              <w:tc>
                <w:tcPr>
                  <w:tcW w:w="1057" w:type="pct"/>
                  <w:tcBorders>
                    <w:tl2br w:val="nil"/>
                    <w:tr2bl w:val="nil"/>
                  </w:tcBorders>
                  <w:vAlign w:val="center"/>
                </w:tcPr>
                <w:p w14:paraId="5A7A2122">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4.0</w:t>
                  </w:r>
                </w:p>
              </w:tc>
              <w:tc>
                <w:tcPr>
                  <w:tcW w:w="2283" w:type="pct"/>
                  <w:tcBorders>
                    <w:tl2br w:val="nil"/>
                    <w:tr2bl w:val="nil"/>
                  </w:tcBorders>
                  <w:vAlign w:val="center"/>
                </w:tcPr>
                <w:p w14:paraId="711BB60F">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《玻璃工业大气污染物排放标准》（GB26453-2022）</w:t>
                  </w:r>
                </w:p>
              </w:tc>
            </w:tr>
          </w:tbl>
          <w:p w14:paraId="21EDA50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w:t>
            </w:r>
            <w:r>
              <w:rPr>
                <w:rFonts w:hint="default" w:ascii="Times New Roman" w:hAnsi="Times New Roman" w:cs="Times New Roman"/>
                <w:b/>
                <w:bCs/>
                <w:color w:val="auto"/>
                <w:kern w:val="0"/>
                <w:sz w:val="24"/>
                <w:szCs w:val="24"/>
                <w:highlight w:val="none"/>
                <w:lang w:val="en-US" w:eastAsia="zh-CN" w:bidi="ar-SA"/>
              </w:rPr>
              <w:t>3-5</w:t>
            </w:r>
            <w:r>
              <w:rPr>
                <w:rFonts w:hint="default" w:ascii="Times New Roman" w:hAnsi="Times New Roman" w:eastAsia="宋体" w:cs="Times New Roman"/>
                <w:b/>
                <w:bCs/>
                <w:color w:val="auto"/>
                <w:kern w:val="0"/>
                <w:sz w:val="24"/>
                <w:szCs w:val="24"/>
                <w:highlight w:val="none"/>
                <w:lang w:val="en-US" w:eastAsia="zh-CN" w:bidi="ar-SA"/>
              </w:rPr>
              <w:t xml:space="preserve"> 大气污染物无组织排放标准一览表  单位：mg/m</w:t>
            </w:r>
            <w:r>
              <w:rPr>
                <w:rFonts w:hint="default" w:ascii="Times New Roman" w:hAnsi="Times New Roman" w:eastAsia="宋体" w:cs="Times New Roman"/>
                <w:b/>
                <w:bCs/>
                <w:color w:val="auto"/>
                <w:kern w:val="0"/>
                <w:sz w:val="24"/>
                <w:szCs w:val="24"/>
                <w:highlight w:val="none"/>
                <w:vertAlign w:val="superscript"/>
                <w:lang w:val="en-US" w:eastAsia="zh-CN" w:bidi="ar-SA"/>
              </w:rPr>
              <w:t>3</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021"/>
              <w:gridCol w:w="1530"/>
              <w:gridCol w:w="2053"/>
              <w:gridCol w:w="2061"/>
            </w:tblGrid>
            <w:tr w14:paraId="709B4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pct"/>
                  <w:tcBorders>
                    <w:tl2br w:val="nil"/>
                    <w:tr2bl w:val="nil"/>
                  </w:tcBorders>
                  <w:noWrap w:val="0"/>
                  <w:vAlign w:val="center"/>
                </w:tcPr>
                <w:p w14:paraId="56510CF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污染物名称</w:t>
                  </w:r>
                </w:p>
              </w:tc>
              <w:tc>
                <w:tcPr>
                  <w:tcW w:w="640" w:type="pct"/>
                  <w:tcBorders>
                    <w:tl2br w:val="nil"/>
                    <w:tr2bl w:val="nil"/>
                  </w:tcBorders>
                  <w:noWrap w:val="0"/>
                  <w:vAlign w:val="center"/>
                </w:tcPr>
                <w:p w14:paraId="0617754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排放限值</w:t>
                  </w:r>
                </w:p>
              </w:tc>
              <w:tc>
                <w:tcPr>
                  <w:tcW w:w="959" w:type="pct"/>
                  <w:tcBorders>
                    <w:tl2br w:val="nil"/>
                    <w:tr2bl w:val="nil"/>
                  </w:tcBorders>
                  <w:noWrap w:val="0"/>
                  <w:vAlign w:val="center"/>
                </w:tcPr>
                <w:p w14:paraId="4534B36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特别排放限值</w:t>
                  </w:r>
                </w:p>
              </w:tc>
              <w:tc>
                <w:tcPr>
                  <w:tcW w:w="1287" w:type="pct"/>
                  <w:tcBorders>
                    <w:tl2br w:val="nil"/>
                    <w:tr2bl w:val="nil"/>
                  </w:tcBorders>
                  <w:noWrap w:val="0"/>
                  <w:vAlign w:val="center"/>
                </w:tcPr>
                <w:p w14:paraId="7A92265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限值含义</w:t>
                  </w:r>
                </w:p>
              </w:tc>
              <w:tc>
                <w:tcPr>
                  <w:tcW w:w="1292" w:type="pct"/>
                  <w:tcBorders>
                    <w:tl2br w:val="nil"/>
                    <w:tr2bl w:val="nil"/>
                  </w:tcBorders>
                  <w:noWrap w:val="0"/>
                  <w:vAlign w:val="center"/>
                </w:tcPr>
                <w:p w14:paraId="397DBD4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z w:val="21"/>
                      <w:szCs w:val="21"/>
                      <w:highlight w:val="none"/>
                    </w:rPr>
                    <w:t>执行标准</w:t>
                  </w:r>
                </w:p>
              </w:tc>
            </w:tr>
            <w:tr w14:paraId="7517D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pct"/>
                  <w:vMerge w:val="restart"/>
                  <w:tcBorders>
                    <w:tl2br w:val="nil"/>
                    <w:tr2bl w:val="nil"/>
                  </w:tcBorders>
                  <w:noWrap w:val="0"/>
                  <w:vAlign w:val="center"/>
                </w:tcPr>
                <w:p w14:paraId="3F8F241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非甲烷总烃</w:t>
                  </w:r>
                </w:p>
              </w:tc>
              <w:tc>
                <w:tcPr>
                  <w:tcW w:w="640" w:type="pct"/>
                  <w:tcBorders>
                    <w:tl2br w:val="nil"/>
                    <w:tr2bl w:val="nil"/>
                  </w:tcBorders>
                  <w:noWrap w:val="0"/>
                  <w:vAlign w:val="center"/>
                </w:tcPr>
                <w:p w14:paraId="64381C4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10</w:t>
                  </w:r>
                </w:p>
              </w:tc>
              <w:tc>
                <w:tcPr>
                  <w:tcW w:w="959" w:type="pct"/>
                  <w:tcBorders>
                    <w:tl2br w:val="nil"/>
                    <w:tr2bl w:val="nil"/>
                  </w:tcBorders>
                  <w:noWrap w:val="0"/>
                  <w:vAlign w:val="center"/>
                </w:tcPr>
                <w:p w14:paraId="18658F2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287" w:type="pct"/>
                  <w:tcBorders>
                    <w:tl2br w:val="nil"/>
                    <w:tr2bl w:val="nil"/>
                  </w:tcBorders>
                  <w:noWrap w:val="0"/>
                  <w:vAlign w:val="center"/>
                </w:tcPr>
                <w:p w14:paraId="6D041F6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监控点处1h平均浓度值</w:t>
                  </w:r>
                </w:p>
              </w:tc>
              <w:tc>
                <w:tcPr>
                  <w:tcW w:w="1292" w:type="pct"/>
                  <w:vMerge w:val="restart"/>
                  <w:tcBorders>
                    <w:tl2br w:val="nil"/>
                    <w:tr2bl w:val="nil"/>
                  </w:tcBorders>
                  <w:noWrap w:val="0"/>
                  <w:vAlign w:val="center"/>
                </w:tcPr>
                <w:p w14:paraId="3B067B0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《挥发性有机物无组织排放控制标准》（GB 37822-2019）</w:t>
                  </w:r>
                </w:p>
              </w:tc>
            </w:tr>
            <w:tr w14:paraId="5FBD9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pct"/>
                  <w:vMerge w:val="continue"/>
                  <w:tcBorders>
                    <w:tl2br w:val="nil"/>
                    <w:tr2bl w:val="nil"/>
                  </w:tcBorders>
                  <w:noWrap w:val="0"/>
                  <w:vAlign w:val="center"/>
                </w:tcPr>
                <w:p w14:paraId="05055F0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6"/>
                      <w:sz w:val="21"/>
                      <w:szCs w:val="21"/>
                      <w:highlight w:val="none"/>
                      <w:lang w:val="en-US" w:eastAsia="zh-CN"/>
                    </w:rPr>
                  </w:pPr>
                </w:p>
              </w:tc>
              <w:tc>
                <w:tcPr>
                  <w:tcW w:w="640" w:type="pct"/>
                  <w:tcBorders>
                    <w:tl2br w:val="nil"/>
                    <w:tr2bl w:val="nil"/>
                  </w:tcBorders>
                  <w:noWrap w:val="0"/>
                  <w:vAlign w:val="center"/>
                </w:tcPr>
                <w:p w14:paraId="091C5AB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30</w:t>
                  </w:r>
                </w:p>
              </w:tc>
              <w:tc>
                <w:tcPr>
                  <w:tcW w:w="959" w:type="pct"/>
                  <w:tcBorders>
                    <w:tl2br w:val="nil"/>
                    <w:tr2bl w:val="nil"/>
                  </w:tcBorders>
                  <w:noWrap w:val="0"/>
                  <w:vAlign w:val="center"/>
                </w:tcPr>
                <w:p w14:paraId="1BB6127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287" w:type="pct"/>
                  <w:tcBorders>
                    <w:tl2br w:val="nil"/>
                    <w:tr2bl w:val="nil"/>
                  </w:tcBorders>
                  <w:noWrap w:val="0"/>
                  <w:vAlign w:val="center"/>
                </w:tcPr>
                <w:p w14:paraId="2FC7936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监控点处任意一次浓度值</w:t>
                  </w:r>
                </w:p>
              </w:tc>
              <w:tc>
                <w:tcPr>
                  <w:tcW w:w="1292" w:type="pct"/>
                  <w:vMerge w:val="continue"/>
                  <w:tcBorders>
                    <w:tl2br w:val="nil"/>
                    <w:tr2bl w:val="nil"/>
                  </w:tcBorders>
                  <w:noWrap w:val="0"/>
                  <w:vAlign w:val="center"/>
                </w:tcPr>
                <w:p w14:paraId="2B8E13D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spacing w:val="-6"/>
                      <w:sz w:val="21"/>
                      <w:szCs w:val="21"/>
                      <w:highlight w:val="none"/>
                      <w:lang w:val="en-US" w:eastAsia="zh-CN"/>
                    </w:rPr>
                  </w:pPr>
                </w:p>
              </w:tc>
            </w:tr>
          </w:tbl>
          <w:p w14:paraId="799B489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三</w:t>
            </w:r>
            <w:r>
              <w:rPr>
                <w:rFonts w:hint="default" w:ascii="Times New Roman" w:hAnsi="Times New Roman" w:cs="Times New Roman"/>
                <w:b/>
                <w:bCs/>
                <w:color w:val="auto"/>
                <w:kern w:val="0"/>
                <w:sz w:val="24"/>
                <w:highlight w:val="none"/>
              </w:rPr>
              <w:t>、噪声排放控制标准</w:t>
            </w:r>
          </w:p>
          <w:p w14:paraId="553DB0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建设项目运营期厂界噪声应执行《工业企业厂界环境噪声排放标准》（GB12348-2008）中3类区标准，具体标准值见表3-</w:t>
            </w:r>
            <w:r>
              <w:rPr>
                <w:rFonts w:hint="default"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w:t>
            </w:r>
          </w:p>
          <w:p w14:paraId="3A9B0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表3-</w:t>
            </w:r>
            <w:r>
              <w:rPr>
                <w:rFonts w:hint="default" w:ascii="Times New Roman" w:hAnsi="Times New Roman" w:cs="Times New Roman"/>
                <w:b/>
                <w:bCs/>
                <w:color w:val="auto"/>
                <w:kern w:val="0"/>
                <w:sz w:val="24"/>
                <w:szCs w:val="24"/>
                <w:highlight w:val="none"/>
                <w:lang w:val="en-US" w:eastAsia="zh-CN"/>
              </w:rPr>
              <w:t>6</w:t>
            </w:r>
            <w:r>
              <w:rPr>
                <w:rFonts w:hint="default" w:ascii="Times New Roman" w:hAnsi="Times New Roman" w:cs="Times New Roman"/>
                <w:b/>
                <w:bCs/>
                <w:color w:val="auto"/>
                <w:kern w:val="0"/>
                <w:sz w:val="24"/>
                <w:szCs w:val="24"/>
                <w:highlight w:val="none"/>
              </w:rPr>
              <w:t xml:space="preserve">  工业企业厂界环境噪声排放标准（dB（A））</w:t>
            </w:r>
          </w:p>
          <w:tbl>
            <w:tblPr>
              <w:tblStyle w:val="2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1440"/>
              <w:gridCol w:w="1540"/>
              <w:gridCol w:w="3416"/>
            </w:tblGrid>
            <w:tr w14:paraId="1809F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68" w:type="dxa"/>
                  <w:vMerge w:val="restart"/>
                  <w:tcBorders>
                    <w:tl2br w:val="nil"/>
                    <w:tr2bl w:val="nil"/>
                  </w:tcBorders>
                  <w:vAlign w:val="center"/>
                </w:tcPr>
                <w:p w14:paraId="68760353">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类别</w:t>
                  </w:r>
                </w:p>
              </w:tc>
              <w:tc>
                <w:tcPr>
                  <w:tcW w:w="2980" w:type="dxa"/>
                  <w:gridSpan w:val="2"/>
                  <w:tcBorders>
                    <w:tl2br w:val="nil"/>
                    <w:tr2bl w:val="nil"/>
                  </w:tcBorders>
                  <w:vAlign w:val="center"/>
                </w:tcPr>
                <w:p w14:paraId="126A7C1E">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标准值</w:t>
                  </w:r>
                </w:p>
              </w:tc>
              <w:tc>
                <w:tcPr>
                  <w:tcW w:w="3416" w:type="dxa"/>
                  <w:vMerge w:val="restart"/>
                  <w:tcBorders>
                    <w:tl2br w:val="nil"/>
                    <w:tr2bl w:val="nil"/>
                  </w:tcBorders>
                  <w:vAlign w:val="center"/>
                </w:tcPr>
                <w:p w14:paraId="1A285322">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标准来源</w:t>
                  </w:r>
                </w:p>
              </w:tc>
            </w:tr>
            <w:tr w14:paraId="01C30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68" w:type="dxa"/>
                  <w:vMerge w:val="continue"/>
                  <w:tcBorders>
                    <w:tl2br w:val="nil"/>
                    <w:tr2bl w:val="nil"/>
                  </w:tcBorders>
                  <w:vAlign w:val="center"/>
                </w:tcPr>
                <w:p w14:paraId="514AF9F6">
                  <w:pPr>
                    <w:adjustRightInd w:val="0"/>
                    <w:snapToGrid w:val="0"/>
                    <w:jc w:val="center"/>
                    <w:rPr>
                      <w:rFonts w:hint="default" w:ascii="Times New Roman" w:hAnsi="Times New Roman" w:cs="Times New Roman"/>
                      <w:color w:val="auto"/>
                      <w:kern w:val="0"/>
                      <w:szCs w:val="21"/>
                      <w:highlight w:val="none"/>
                    </w:rPr>
                  </w:pPr>
                </w:p>
              </w:tc>
              <w:tc>
                <w:tcPr>
                  <w:tcW w:w="1440" w:type="dxa"/>
                  <w:tcBorders>
                    <w:tl2br w:val="nil"/>
                    <w:tr2bl w:val="nil"/>
                  </w:tcBorders>
                  <w:vAlign w:val="center"/>
                </w:tcPr>
                <w:p w14:paraId="44643BA4">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昼间</w:t>
                  </w:r>
                </w:p>
              </w:tc>
              <w:tc>
                <w:tcPr>
                  <w:tcW w:w="1540" w:type="dxa"/>
                  <w:tcBorders>
                    <w:tl2br w:val="nil"/>
                    <w:tr2bl w:val="nil"/>
                  </w:tcBorders>
                  <w:vAlign w:val="center"/>
                </w:tcPr>
                <w:p w14:paraId="5450E449">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夜间</w:t>
                  </w:r>
                </w:p>
              </w:tc>
              <w:tc>
                <w:tcPr>
                  <w:tcW w:w="3416" w:type="dxa"/>
                  <w:vMerge w:val="continue"/>
                  <w:tcBorders>
                    <w:tl2br w:val="nil"/>
                    <w:tr2bl w:val="nil"/>
                  </w:tcBorders>
                  <w:vAlign w:val="center"/>
                </w:tcPr>
                <w:p w14:paraId="3E5298F7">
                  <w:pPr>
                    <w:adjustRightInd w:val="0"/>
                    <w:snapToGrid w:val="0"/>
                    <w:jc w:val="center"/>
                    <w:rPr>
                      <w:rFonts w:hint="default" w:ascii="Times New Roman" w:hAnsi="Times New Roman" w:cs="Times New Roman"/>
                      <w:color w:val="auto"/>
                      <w:kern w:val="0"/>
                      <w:szCs w:val="21"/>
                      <w:highlight w:val="none"/>
                    </w:rPr>
                  </w:pPr>
                </w:p>
              </w:tc>
            </w:tr>
            <w:tr w14:paraId="18F64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68" w:type="dxa"/>
                  <w:tcBorders>
                    <w:tl2br w:val="nil"/>
                    <w:tr2bl w:val="nil"/>
                  </w:tcBorders>
                  <w:vAlign w:val="center"/>
                </w:tcPr>
                <w:p w14:paraId="327306F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项目厂界噪声</w:t>
                  </w:r>
                </w:p>
              </w:tc>
              <w:tc>
                <w:tcPr>
                  <w:tcW w:w="1440" w:type="dxa"/>
                  <w:tcBorders>
                    <w:tl2br w:val="nil"/>
                    <w:tr2bl w:val="nil"/>
                  </w:tcBorders>
                  <w:vAlign w:val="center"/>
                </w:tcPr>
                <w:p w14:paraId="01DFA4C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65</w:t>
                  </w:r>
                </w:p>
              </w:tc>
              <w:tc>
                <w:tcPr>
                  <w:tcW w:w="1540" w:type="dxa"/>
                  <w:tcBorders>
                    <w:tl2br w:val="nil"/>
                    <w:tr2bl w:val="nil"/>
                  </w:tcBorders>
                  <w:vAlign w:val="center"/>
                </w:tcPr>
                <w:p w14:paraId="7BC2203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55</w:t>
                  </w:r>
                </w:p>
              </w:tc>
              <w:tc>
                <w:tcPr>
                  <w:tcW w:w="3416" w:type="dxa"/>
                  <w:tcBorders>
                    <w:tl2br w:val="nil"/>
                    <w:tr2bl w:val="nil"/>
                  </w:tcBorders>
                  <w:vAlign w:val="center"/>
                </w:tcPr>
                <w:p w14:paraId="615BC736">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《工业企业厂界环境噪声排放标准》（GB12348-2008）3类</w:t>
                  </w:r>
                </w:p>
              </w:tc>
            </w:tr>
          </w:tbl>
          <w:p w14:paraId="3B239309">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四</w:t>
            </w:r>
            <w:r>
              <w:rPr>
                <w:rFonts w:hint="default" w:ascii="Times New Roman" w:hAnsi="Times New Roman" w:cs="Times New Roman"/>
                <w:b/>
                <w:bCs/>
                <w:color w:val="auto"/>
                <w:kern w:val="0"/>
                <w:sz w:val="24"/>
                <w:highlight w:val="none"/>
              </w:rPr>
              <w:t>、固废排放控制标准</w:t>
            </w:r>
          </w:p>
          <w:p w14:paraId="5ECC9D8E">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rPr>
              <w:t>一般固废执行《中华人民共和国固体废物污染环境防治法》（中华人民共和国主席令（第四十三号）），参照执行《一般工业固体废物贮存和填埋污染控制标准》（GB18599-2020）。</w:t>
            </w:r>
          </w:p>
          <w:p w14:paraId="6AC52FE4">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危险固废执行《危险废物贮存污染控制标准》（</w:t>
            </w:r>
            <w:bookmarkStart w:id="20" w:name="_Hlk150518580"/>
            <w:r>
              <w:rPr>
                <w:rFonts w:hint="default" w:ascii="Times New Roman" w:hAnsi="Times New Roman" w:cs="Times New Roman"/>
                <w:color w:val="auto"/>
                <w:kern w:val="0"/>
                <w:sz w:val="24"/>
                <w:highlight w:val="none"/>
              </w:rPr>
              <w:t>GB18597-2023</w:t>
            </w:r>
            <w:bookmarkEnd w:id="20"/>
            <w:r>
              <w:rPr>
                <w:rFonts w:hint="default" w:ascii="Times New Roman" w:hAnsi="Times New Roman" w:cs="Times New Roman"/>
                <w:color w:val="auto"/>
                <w:kern w:val="0"/>
                <w:sz w:val="24"/>
                <w:highlight w:val="none"/>
              </w:rPr>
              <w:t>）。</w:t>
            </w:r>
          </w:p>
        </w:tc>
      </w:tr>
      <w:tr w14:paraId="6F103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755C878C">
            <w:pPr>
              <w:adjustRightInd w:val="0"/>
              <w:snapToGrid w:val="0"/>
              <w:spacing w:line="360" w:lineRule="auto"/>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总量控制指标</w:t>
            </w:r>
          </w:p>
        </w:tc>
        <w:tc>
          <w:tcPr>
            <w:tcW w:w="8190" w:type="dxa"/>
            <w:vAlign w:val="center"/>
          </w:tcPr>
          <w:p w14:paraId="79C8F666">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根据国家“十</w:t>
            </w:r>
            <w:r>
              <w:rPr>
                <w:rFonts w:hint="default" w:ascii="Times New Roman" w:hAnsi="Times New Roman" w:cs="Times New Roman"/>
                <w:color w:val="auto"/>
                <w:kern w:val="0"/>
                <w:sz w:val="24"/>
                <w:highlight w:val="none"/>
                <w:lang w:val="en-US" w:eastAsia="zh-CN"/>
              </w:rPr>
              <w:t>四</w:t>
            </w:r>
            <w:r>
              <w:rPr>
                <w:rFonts w:hint="default" w:ascii="Times New Roman" w:hAnsi="Times New Roman" w:cs="Times New Roman"/>
                <w:color w:val="auto"/>
                <w:kern w:val="0"/>
                <w:sz w:val="24"/>
                <w:highlight w:val="none"/>
              </w:rPr>
              <w:t>五”期间对污染物排放总量控制指标和《安徽省环保厅关于进一步加强建设项目新增大气主要污染物总量指标管理工作的通知》（皖环发﹝2017﹞19号）的要求，规定总量控制因子为COD、氨氮、二氧化硫、氮氧化物、烟（粉）尘和挥发性有机物（VOCs）。</w:t>
            </w:r>
          </w:p>
          <w:p w14:paraId="2DA1A0AA">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根据生态环境部和安徽省生态环境厅要求对建设项目排放污染物实施总量控制的要求，针对本项目的具体排污情况，结合本项目排污特征，确定总量控制因子为：</w:t>
            </w:r>
          </w:p>
          <w:p w14:paraId="2C9D6C1B">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废水污染物指标：COD、氨氮。</w:t>
            </w:r>
          </w:p>
          <w:p w14:paraId="2E491330">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废气污染物指标：</w:t>
            </w:r>
            <w:r>
              <w:rPr>
                <w:rFonts w:hint="default" w:ascii="Times New Roman" w:hAnsi="Times New Roman" w:cs="Times New Roman"/>
                <w:color w:val="auto"/>
                <w:kern w:val="0"/>
                <w:sz w:val="24"/>
                <w:highlight w:val="none"/>
                <w:lang w:val="en-US" w:eastAsia="zh-CN"/>
              </w:rPr>
              <w:t>VOCs</w:t>
            </w:r>
            <w:r>
              <w:rPr>
                <w:rFonts w:hint="default" w:ascii="Times New Roman" w:hAnsi="Times New Roman" w:cs="Times New Roman"/>
                <w:color w:val="auto"/>
                <w:kern w:val="0"/>
                <w:sz w:val="24"/>
                <w:highlight w:val="none"/>
              </w:rPr>
              <w:t>。</w:t>
            </w:r>
          </w:p>
          <w:p w14:paraId="4471E7F0">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（1）废水</w:t>
            </w:r>
          </w:p>
          <w:p w14:paraId="60DBB14F">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本项目生活污水经预处理后经厂区污水处理站处理后的生产废水达到</w:t>
            </w:r>
            <w:r>
              <w:rPr>
                <w:rFonts w:hint="eastAsia" w:cs="Times New Roman"/>
                <w:color w:val="auto"/>
                <w:kern w:val="0"/>
                <w:sz w:val="24"/>
                <w:highlight w:val="none"/>
                <w:lang w:eastAsia="zh-CN"/>
              </w:rPr>
              <w:t>淮南现代产业园污水处理站</w:t>
            </w:r>
            <w:r>
              <w:rPr>
                <w:rFonts w:hint="default" w:ascii="Times New Roman" w:hAnsi="Times New Roman" w:cs="Times New Roman"/>
                <w:color w:val="auto"/>
                <w:kern w:val="0"/>
                <w:sz w:val="24"/>
                <w:highlight w:val="none"/>
              </w:rPr>
              <w:t>接管标准后进入</w:t>
            </w:r>
            <w:r>
              <w:rPr>
                <w:rFonts w:hint="eastAsia" w:cs="Times New Roman"/>
                <w:color w:val="auto"/>
                <w:kern w:val="0"/>
                <w:sz w:val="24"/>
                <w:highlight w:val="none"/>
                <w:lang w:eastAsia="zh-CN"/>
              </w:rPr>
              <w:t>淮南现代产业园污水处理站</w:t>
            </w:r>
            <w:r>
              <w:rPr>
                <w:rFonts w:hint="default" w:ascii="Times New Roman" w:hAnsi="Times New Roman" w:cs="Times New Roman"/>
                <w:color w:val="auto"/>
                <w:kern w:val="0"/>
                <w:sz w:val="24"/>
                <w:highlight w:val="none"/>
              </w:rPr>
              <w:t>处理，处理后尾水全部排入林桥涧沟，最终汇入瓦埠湖</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磨边清洗废水经沉淀池沉淀后回用，设备冷却水循环使用，不外排</w:t>
            </w:r>
            <w:r>
              <w:rPr>
                <w:rFonts w:hint="default" w:ascii="Times New Roman" w:hAnsi="Times New Roman" w:cs="Times New Roman"/>
                <w:color w:val="auto"/>
                <w:kern w:val="0"/>
                <w:sz w:val="24"/>
                <w:highlight w:val="none"/>
              </w:rPr>
              <w:t>。本项目废水污染物排放总量计入</w:t>
            </w:r>
            <w:r>
              <w:rPr>
                <w:rFonts w:hint="eastAsia" w:cs="Times New Roman"/>
                <w:color w:val="auto"/>
                <w:kern w:val="0"/>
                <w:sz w:val="24"/>
                <w:highlight w:val="none"/>
                <w:lang w:eastAsia="zh-CN"/>
              </w:rPr>
              <w:t>淮南现代产业园污水处理站</w:t>
            </w:r>
            <w:r>
              <w:rPr>
                <w:rFonts w:hint="default" w:ascii="Times New Roman" w:hAnsi="Times New Roman" w:cs="Times New Roman"/>
                <w:color w:val="auto"/>
                <w:kern w:val="0"/>
                <w:sz w:val="24"/>
                <w:highlight w:val="none"/>
              </w:rPr>
              <w:t>总量指标内，废水量为</w:t>
            </w:r>
            <w:r>
              <w:rPr>
                <w:rFonts w:hint="default" w:ascii="Times New Roman" w:hAnsi="Times New Roman" w:cs="Times New Roman"/>
                <w:color w:val="auto"/>
                <w:kern w:val="0"/>
                <w:sz w:val="24"/>
                <w:highlight w:val="none"/>
                <w:lang w:val="en-US" w:eastAsia="zh-CN"/>
              </w:rPr>
              <w:t>288</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/a，COD年</w:t>
            </w:r>
            <w:r>
              <w:rPr>
                <w:rFonts w:hint="default" w:ascii="Times New Roman" w:hAnsi="Times New Roman" w:cs="Times New Roman"/>
                <w:color w:val="auto"/>
                <w:kern w:val="0"/>
                <w:sz w:val="24"/>
                <w:highlight w:val="none"/>
                <w:lang w:val="en-US" w:eastAsia="zh-CN"/>
              </w:rPr>
              <w:t>接管</w:t>
            </w:r>
            <w:r>
              <w:rPr>
                <w:rFonts w:hint="default" w:ascii="Times New Roman" w:hAnsi="Times New Roman" w:cs="Times New Roman"/>
                <w:color w:val="auto"/>
                <w:kern w:val="0"/>
                <w:sz w:val="24"/>
                <w:highlight w:val="none"/>
              </w:rPr>
              <w:t>量为</w:t>
            </w:r>
            <w:r>
              <w:rPr>
                <w:rFonts w:hint="default" w:ascii="Times New Roman" w:hAnsi="Times New Roman" w:cs="Times New Roman"/>
                <w:color w:val="auto"/>
                <w:kern w:val="0"/>
                <w:sz w:val="24"/>
                <w:highlight w:val="none"/>
                <w:lang w:val="en-US" w:eastAsia="zh-CN"/>
              </w:rPr>
              <w:t>0.078</w:t>
            </w:r>
            <w:r>
              <w:rPr>
                <w:rFonts w:hint="default" w:ascii="Times New Roman" w:hAnsi="Times New Roman" w:cs="Times New Roman"/>
                <w:color w:val="auto"/>
                <w:kern w:val="0"/>
                <w:sz w:val="24"/>
                <w:highlight w:val="none"/>
              </w:rPr>
              <w:t>t/a，氨氮年</w:t>
            </w:r>
            <w:r>
              <w:rPr>
                <w:rFonts w:hint="default" w:ascii="Times New Roman" w:hAnsi="Times New Roman" w:cs="Times New Roman"/>
                <w:color w:val="auto"/>
                <w:kern w:val="0"/>
                <w:sz w:val="24"/>
                <w:highlight w:val="none"/>
                <w:lang w:val="en-US" w:eastAsia="zh-CN"/>
              </w:rPr>
              <w:t>接管</w:t>
            </w:r>
            <w:r>
              <w:rPr>
                <w:rFonts w:hint="default" w:ascii="Times New Roman" w:hAnsi="Times New Roman" w:cs="Times New Roman"/>
                <w:color w:val="auto"/>
                <w:kern w:val="0"/>
                <w:sz w:val="24"/>
                <w:highlight w:val="none"/>
              </w:rPr>
              <w:t>量为</w:t>
            </w:r>
            <w:r>
              <w:rPr>
                <w:rFonts w:hint="default" w:ascii="Times New Roman" w:hAnsi="Times New Roman" w:cs="Times New Roman"/>
                <w:color w:val="auto"/>
                <w:kern w:val="0"/>
                <w:sz w:val="24"/>
                <w:highlight w:val="none"/>
                <w:lang w:val="en-US" w:eastAsia="zh-CN"/>
              </w:rPr>
              <w:t>0.0082</w:t>
            </w:r>
            <w:r>
              <w:rPr>
                <w:rFonts w:hint="default" w:ascii="Times New Roman" w:hAnsi="Times New Roman" w:cs="Times New Roman"/>
                <w:color w:val="auto"/>
                <w:kern w:val="0"/>
                <w:sz w:val="24"/>
                <w:highlight w:val="none"/>
              </w:rPr>
              <w:t>t/a，COD年排放量为</w:t>
            </w:r>
            <w:r>
              <w:rPr>
                <w:rFonts w:hint="default" w:ascii="Times New Roman" w:hAnsi="Times New Roman" w:cs="Times New Roman"/>
                <w:color w:val="auto"/>
                <w:kern w:val="0"/>
                <w:sz w:val="24"/>
                <w:highlight w:val="none"/>
                <w:lang w:val="en-US" w:eastAsia="zh-CN"/>
              </w:rPr>
              <w:t>0.014</w:t>
            </w:r>
            <w:r>
              <w:rPr>
                <w:rFonts w:hint="default" w:ascii="Times New Roman" w:hAnsi="Times New Roman" w:cs="Times New Roman"/>
                <w:color w:val="auto"/>
                <w:kern w:val="0"/>
                <w:sz w:val="24"/>
                <w:highlight w:val="none"/>
              </w:rPr>
              <w:t>t/a，氨氮年排放量为0.0</w:t>
            </w:r>
            <w:r>
              <w:rPr>
                <w:rFonts w:hint="default" w:ascii="Times New Roman" w:hAnsi="Times New Roman" w:cs="Times New Roman"/>
                <w:color w:val="auto"/>
                <w:kern w:val="0"/>
                <w:sz w:val="24"/>
                <w:highlight w:val="none"/>
                <w:lang w:val="en-US" w:eastAsia="zh-CN"/>
              </w:rPr>
              <w:t>01</w:t>
            </w:r>
            <w:r>
              <w:rPr>
                <w:rFonts w:hint="default" w:ascii="Times New Roman" w:hAnsi="Times New Roman" w:cs="Times New Roman"/>
                <w:color w:val="auto"/>
                <w:kern w:val="0"/>
                <w:sz w:val="24"/>
                <w:highlight w:val="none"/>
              </w:rPr>
              <w:t>t/a，不另行申请总量。</w:t>
            </w:r>
          </w:p>
          <w:p w14:paraId="672E1CB5">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（2）VOCs：本项目实施后，VOCs排放量为0.</w:t>
            </w:r>
            <w:r>
              <w:rPr>
                <w:rFonts w:hint="eastAsia" w:cs="Times New Roman"/>
                <w:color w:val="auto"/>
                <w:kern w:val="0"/>
                <w:sz w:val="24"/>
                <w:highlight w:val="none"/>
                <w:lang w:val="en-US" w:eastAsia="zh-CN"/>
              </w:rPr>
              <w:t>138</w:t>
            </w:r>
            <w:r>
              <w:rPr>
                <w:rFonts w:hint="default" w:ascii="Times New Roman" w:hAnsi="Times New Roman" w:cs="Times New Roman"/>
                <w:color w:val="auto"/>
                <w:kern w:val="0"/>
                <w:sz w:val="24"/>
                <w:highlight w:val="none"/>
              </w:rPr>
              <w:t>t/a</w:t>
            </w:r>
          </w:p>
        </w:tc>
      </w:tr>
    </w:tbl>
    <w:p w14:paraId="5B8192BD">
      <w:pPr>
        <w:pStyle w:val="23"/>
        <w:jc w:val="center"/>
        <w:outlineLvl w:val="0"/>
        <w:rPr>
          <w:rFonts w:hint="default" w:ascii="Times New Roman" w:hAnsi="Times New Roman" w:cs="Times New Roman"/>
          <w:b/>
          <w:bCs/>
          <w:snapToGrid w:val="0"/>
          <w:color w:val="auto"/>
          <w:sz w:val="30"/>
          <w:szCs w:val="30"/>
          <w:highlight w:val="none"/>
        </w:rPr>
      </w:pPr>
      <w:r>
        <w:rPr>
          <w:rFonts w:hint="default" w:ascii="Times New Roman" w:hAnsi="Times New Roman" w:cs="Times New Roman"/>
          <w:snapToGrid w:val="0"/>
          <w:color w:val="auto"/>
          <w:sz w:val="36"/>
          <w:szCs w:val="36"/>
          <w:highlight w:val="none"/>
        </w:rPr>
        <w:br w:type="page"/>
      </w:r>
      <w:r>
        <w:rPr>
          <w:rFonts w:hint="default" w:ascii="Times New Roman" w:hAnsi="Times New Roman" w:cs="Times New Roman"/>
          <w:b/>
          <w:bCs/>
          <w:snapToGrid w:val="0"/>
          <w:color w:val="auto"/>
          <w:sz w:val="30"/>
          <w:szCs w:val="30"/>
          <w:highlight w:val="none"/>
        </w:rPr>
        <w:t>四、主要环境影响和保护措施</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39762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46" w:type="dxa"/>
            <w:tcMar>
              <w:left w:w="28" w:type="dxa"/>
              <w:right w:w="28" w:type="dxa"/>
            </w:tcMar>
            <w:vAlign w:val="center"/>
          </w:tcPr>
          <w:p w14:paraId="14E753B9">
            <w:pPr>
              <w:pStyle w:val="23"/>
              <w:adjustRightInd w:val="0"/>
              <w:snapToGrid w:val="0"/>
              <w:spacing w:before="0" w:beforeAutospacing="0" w:after="0" w:afterAutospacing="0" w:line="360" w:lineRule="auto"/>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施工期环境保护措施</w:t>
            </w:r>
          </w:p>
        </w:tc>
        <w:tc>
          <w:tcPr>
            <w:tcW w:w="8162" w:type="dxa"/>
            <w:vAlign w:val="center"/>
          </w:tcPr>
          <w:p w14:paraId="0983ABBD">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本项目为新建项目，依托现有厂房，无土建施工，仅装修布局、设备安装等室内施工。</w:t>
            </w:r>
          </w:p>
          <w:p w14:paraId="1B6028BC">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施工期主要产生施工人员生活污水、装修废气、施工噪声、各种建筑垃圾和施工人员生活垃圾。</w:t>
            </w:r>
          </w:p>
          <w:p w14:paraId="53077B2E">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施工期废水：主要是施工现场工人的生活污水，生活污水主要含SS、COD。该阶段废水排放量较小，纳入区域污水处理厂，对地表水环境影响较小。</w:t>
            </w:r>
          </w:p>
          <w:p w14:paraId="610D671B">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施工期废气：装修所产生的废气通过要求装修施工单位选用环保型涂料，减少装修废气的产生，对环境影响较小。室内装修阶段装修材料必须满足相关国家及地方标准的要求，尽可能</w:t>
            </w:r>
            <w:r>
              <w:rPr>
                <w:rFonts w:hint="default" w:ascii="Times New Roman" w:hAnsi="Times New Roman" w:cs="Times New Roman"/>
                <w:bCs/>
                <w:color w:val="auto"/>
                <w:sz w:val="24"/>
                <w:highlight w:val="none"/>
                <w:lang w:eastAsia="zh-CN"/>
              </w:rPr>
              <w:t>地</w:t>
            </w:r>
            <w:r>
              <w:rPr>
                <w:rFonts w:hint="default" w:ascii="Times New Roman" w:hAnsi="Times New Roman" w:cs="Times New Roman"/>
                <w:bCs/>
                <w:color w:val="auto"/>
                <w:sz w:val="24"/>
                <w:highlight w:val="none"/>
              </w:rPr>
              <w:t>采用环保水性涂料等装饰材料，可以减少或避免装修废气的产生。</w:t>
            </w:r>
          </w:p>
          <w:p w14:paraId="5A395704">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施工期噪声：施工期装卸材料和设备安装过程中易产生机械噪声。此阶段为室内施工，噪声源主要集中在室内，对周围环境声环境影响较小。</w:t>
            </w:r>
          </w:p>
          <w:p w14:paraId="64CC16FB">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施工期固体废弃物：主要为废弃的装修材料等建筑垃圾以及各类装修材料的包装箱、袋和生活垃圾等。包装物基本上回收利用或销售给废品收购站，建筑垃圾将由环卫统一拉走处理。因此，上述废弃物不会对周围环境产生较大影响。</w:t>
            </w:r>
          </w:p>
          <w:p w14:paraId="049A95EC">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bCs/>
                <w:color w:val="auto"/>
                <w:sz w:val="24"/>
                <w:highlight w:val="none"/>
              </w:rPr>
              <w:t>综上，项目施工期注意采取各项污染防治措施，随着施工期的结束，这些影响因素都随之消失。</w:t>
            </w:r>
          </w:p>
        </w:tc>
      </w:tr>
    </w:tbl>
    <w:p w14:paraId="0361DFB9">
      <w:pPr>
        <w:pStyle w:val="23"/>
        <w:jc w:val="center"/>
        <w:outlineLvl w:val="0"/>
        <w:rPr>
          <w:rFonts w:hint="default" w:ascii="Times New Roman" w:hAnsi="Times New Roman" w:cs="Times New Roman"/>
          <w:snapToGrid w:val="0"/>
          <w:color w:val="auto"/>
          <w:sz w:val="30"/>
          <w:szCs w:val="30"/>
          <w:highlight w:val="none"/>
        </w:rPr>
        <w:sectPr>
          <w:pgSz w:w="11907" w:h="16840"/>
          <w:pgMar w:top="1440" w:right="1418" w:bottom="1440" w:left="1418"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2915"/>
      </w:tblGrid>
      <w:tr w14:paraId="3ADDD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19" w:type="pct"/>
            <w:tcMar>
              <w:left w:w="28" w:type="dxa"/>
              <w:right w:w="28" w:type="dxa"/>
            </w:tcMar>
            <w:vAlign w:val="center"/>
          </w:tcPr>
          <w:p w14:paraId="7C6DBDBA">
            <w:pPr>
              <w:adjustRightInd w:val="0"/>
              <w:snapToGrid w:val="0"/>
              <w:spacing w:line="360" w:lineRule="auto"/>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运营期环境影响和保护措施</w:t>
            </w:r>
          </w:p>
        </w:tc>
        <w:tc>
          <w:tcPr>
            <w:tcW w:w="4581" w:type="pct"/>
            <w:vAlign w:val="center"/>
          </w:tcPr>
          <w:p w14:paraId="19149597">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一</w:t>
            </w:r>
            <w:r>
              <w:rPr>
                <w:rFonts w:hint="default" w:ascii="Times New Roman" w:hAnsi="Times New Roman" w:cs="Times New Roman"/>
                <w:b/>
                <w:bCs/>
                <w:color w:val="auto"/>
                <w:kern w:val="0"/>
                <w:sz w:val="24"/>
                <w:highlight w:val="none"/>
              </w:rPr>
              <w:t>、大气环境影响及保护措施</w:t>
            </w:r>
          </w:p>
          <w:p w14:paraId="321E7163">
            <w:pPr>
              <w:adjustRightInd w:val="0"/>
              <w:snapToGrid w:val="0"/>
              <w:spacing w:before="120" w:beforeLines="5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表4-1 项目有组织废气产排情况一览表</w:t>
            </w:r>
          </w:p>
          <w:tbl>
            <w:tblPr>
              <w:tblStyle w:val="25"/>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840"/>
              <w:gridCol w:w="930"/>
              <w:gridCol w:w="990"/>
              <w:gridCol w:w="870"/>
              <w:gridCol w:w="1005"/>
              <w:gridCol w:w="1155"/>
              <w:gridCol w:w="1335"/>
              <w:gridCol w:w="872"/>
              <w:gridCol w:w="1039"/>
              <w:gridCol w:w="985"/>
              <w:gridCol w:w="1051"/>
              <w:gridCol w:w="778"/>
            </w:tblGrid>
            <w:tr w14:paraId="6CF4C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30" w:type="pct"/>
                  <w:vMerge w:val="restart"/>
                  <w:tcBorders>
                    <w:tl2br w:val="nil"/>
                    <w:tr2bl w:val="nil"/>
                  </w:tcBorders>
                  <w:noWrap w:val="0"/>
                  <w:vAlign w:val="center"/>
                </w:tcPr>
                <w:p w14:paraId="5D2AE480">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工序</w:t>
                  </w:r>
                </w:p>
              </w:tc>
              <w:tc>
                <w:tcPr>
                  <w:tcW w:w="330" w:type="pct"/>
                  <w:vMerge w:val="restart"/>
                  <w:tcBorders>
                    <w:tl2br w:val="nil"/>
                    <w:tr2bl w:val="nil"/>
                  </w:tcBorders>
                  <w:noWrap w:val="0"/>
                  <w:vAlign w:val="center"/>
                </w:tcPr>
                <w:p w14:paraId="023D534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w:t>
                  </w:r>
                </w:p>
              </w:tc>
              <w:tc>
                <w:tcPr>
                  <w:tcW w:w="366" w:type="pct"/>
                  <w:vMerge w:val="restart"/>
                  <w:tcBorders>
                    <w:tl2br w:val="nil"/>
                    <w:tr2bl w:val="nil"/>
                  </w:tcBorders>
                  <w:noWrap w:val="0"/>
                  <w:vAlign w:val="center"/>
                </w:tcPr>
                <w:p w14:paraId="331D53AF">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1584" w:type="pct"/>
                  <w:gridSpan w:val="4"/>
                  <w:tcBorders>
                    <w:tl2br w:val="nil"/>
                    <w:tr2bl w:val="nil"/>
                  </w:tcBorders>
                  <w:noWrap w:val="0"/>
                  <w:vAlign w:val="center"/>
                </w:tcPr>
                <w:p w14:paraId="680CC5E0">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污染物产生</w:t>
                  </w:r>
                </w:p>
              </w:tc>
              <w:tc>
                <w:tcPr>
                  <w:tcW w:w="869" w:type="pct"/>
                  <w:gridSpan w:val="2"/>
                  <w:tcBorders>
                    <w:tl2br w:val="nil"/>
                    <w:tr2bl w:val="nil"/>
                  </w:tcBorders>
                  <w:noWrap w:val="0"/>
                  <w:vAlign w:val="center"/>
                </w:tcPr>
                <w:p w14:paraId="1EA33D6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治理措施</w:t>
                  </w:r>
                </w:p>
              </w:tc>
              <w:tc>
                <w:tcPr>
                  <w:tcW w:w="1211" w:type="pct"/>
                  <w:gridSpan w:val="3"/>
                  <w:tcBorders>
                    <w:tl2br w:val="nil"/>
                    <w:tr2bl w:val="nil"/>
                  </w:tcBorders>
                  <w:noWrap w:val="0"/>
                  <w:vAlign w:val="center"/>
                </w:tcPr>
                <w:p w14:paraId="687995A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污染物排放</w:t>
                  </w:r>
                </w:p>
              </w:tc>
              <w:tc>
                <w:tcPr>
                  <w:tcW w:w="306" w:type="pct"/>
                  <w:vMerge w:val="restart"/>
                  <w:tcBorders>
                    <w:tl2br w:val="nil"/>
                    <w:tr2bl w:val="nil"/>
                  </w:tcBorders>
                  <w:noWrap w:val="0"/>
                  <w:vAlign w:val="center"/>
                </w:tcPr>
                <w:p w14:paraId="35474A9D">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排放时间/h</w:t>
                  </w:r>
                </w:p>
              </w:tc>
            </w:tr>
            <w:tr w14:paraId="17F9B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0" w:type="pct"/>
                  <w:vMerge w:val="continue"/>
                  <w:tcBorders>
                    <w:tl2br w:val="nil"/>
                    <w:tr2bl w:val="nil"/>
                  </w:tcBorders>
                  <w:noWrap w:val="0"/>
                  <w:vAlign w:val="center"/>
                </w:tcPr>
                <w:p w14:paraId="36C0FECB">
                  <w:pPr>
                    <w:jc w:val="center"/>
                    <w:rPr>
                      <w:rFonts w:hint="default" w:ascii="Times New Roman" w:hAnsi="Times New Roman" w:cs="Times New Roman"/>
                      <w:color w:val="auto"/>
                      <w:szCs w:val="21"/>
                      <w:highlight w:val="none"/>
                    </w:rPr>
                  </w:pPr>
                </w:p>
              </w:tc>
              <w:tc>
                <w:tcPr>
                  <w:tcW w:w="330" w:type="pct"/>
                  <w:vMerge w:val="continue"/>
                  <w:tcBorders>
                    <w:tl2br w:val="nil"/>
                    <w:tr2bl w:val="nil"/>
                  </w:tcBorders>
                  <w:noWrap w:val="0"/>
                  <w:vAlign w:val="center"/>
                </w:tcPr>
                <w:p w14:paraId="1B18433A">
                  <w:pPr>
                    <w:jc w:val="center"/>
                    <w:rPr>
                      <w:rFonts w:hint="default" w:ascii="Times New Roman" w:hAnsi="Times New Roman" w:cs="Times New Roman"/>
                      <w:color w:val="auto"/>
                      <w:szCs w:val="21"/>
                      <w:highlight w:val="none"/>
                    </w:rPr>
                  </w:pPr>
                </w:p>
              </w:tc>
              <w:tc>
                <w:tcPr>
                  <w:tcW w:w="366" w:type="pct"/>
                  <w:vMerge w:val="continue"/>
                  <w:tcBorders>
                    <w:tl2br w:val="nil"/>
                    <w:tr2bl w:val="nil"/>
                  </w:tcBorders>
                  <w:noWrap w:val="0"/>
                  <w:vAlign w:val="center"/>
                </w:tcPr>
                <w:p w14:paraId="5939A7E0">
                  <w:pPr>
                    <w:jc w:val="center"/>
                    <w:rPr>
                      <w:rFonts w:hint="default" w:ascii="Times New Roman" w:hAnsi="Times New Roman" w:cs="Times New Roman"/>
                      <w:color w:val="auto"/>
                      <w:szCs w:val="21"/>
                      <w:highlight w:val="none"/>
                    </w:rPr>
                  </w:pPr>
                </w:p>
              </w:tc>
              <w:tc>
                <w:tcPr>
                  <w:tcW w:w="390" w:type="pct"/>
                  <w:tcBorders>
                    <w:tl2br w:val="nil"/>
                    <w:tr2bl w:val="nil"/>
                  </w:tcBorders>
                  <w:noWrap w:val="0"/>
                  <w:vAlign w:val="center"/>
                </w:tcPr>
                <w:p w14:paraId="38EFA18D">
                  <w:pPr>
                    <w:pStyle w:val="92"/>
                    <w:spacing w:line="240" w:lineRule="auto"/>
                    <w:ind w:left="-105" w:leftChars="-50" w:right="-105" w:rightChars="-5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废气产生量/（m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/h）</w:t>
                  </w:r>
                </w:p>
              </w:tc>
              <w:tc>
                <w:tcPr>
                  <w:tcW w:w="342" w:type="pct"/>
                  <w:tcBorders>
                    <w:tl2br w:val="nil"/>
                    <w:tr2bl w:val="nil"/>
                  </w:tcBorders>
                  <w:noWrap w:val="0"/>
                  <w:vAlign w:val="center"/>
                </w:tcPr>
                <w:p w14:paraId="410BC7BF">
                  <w:pPr>
                    <w:pStyle w:val="92"/>
                    <w:spacing w:line="240" w:lineRule="auto"/>
                    <w:ind w:left="-105" w:leftChars="-50" w:right="-105" w:rightChars="-5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r>
                    <w:rPr>
                      <w:rFonts w:hint="default"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rPr>
                    <w:t>（t/a）</w:t>
                  </w:r>
                </w:p>
              </w:tc>
              <w:tc>
                <w:tcPr>
                  <w:tcW w:w="396" w:type="pct"/>
                  <w:tcBorders>
                    <w:tl2br w:val="nil"/>
                    <w:tr2bl w:val="nil"/>
                  </w:tcBorders>
                  <w:noWrap w:val="0"/>
                  <w:vAlign w:val="center"/>
                </w:tcPr>
                <w:p w14:paraId="714DE17E">
                  <w:pPr>
                    <w:pStyle w:val="92"/>
                    <w:spacing w:line="240" w:lineRule="auto"/>
                    <w:ind w:left="-105" w:leftChars="-50" w:right="-105" w:rightChars="-5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产生浓度(mg/m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455" w:type="pct"/>
                  <w:tcBorders>
                    <w:tl2br w:val="nil"/>
                    <w:tr2bl w:val="nil"/>
                  </w:tcBorders>
                  <w:noWrap w:val="0"/>
                  <w:vAlign w:val="center"/>
                </w:tcPr>
                <w:p w14:paraId="655751C5">
                  <w:pPr>
                    <w:pStyle w:val="92"/>
                    <w:spacing w:line="240" w:lineRule="auto"/>
                    <w:ind w:left="-105" w:leftChars="-50" w:right="-105" w:rightChars="-5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产生速率（kg/h）</w:t>
                  </w:r>
                </w:p>
              </w:tc>
              <w:tc>
                <w:tcPr>
                  <w:tcW w:w="526" w:type="pct"/>
                  <w:tcBorders>
                    <w:tl2br w:val="nil"/>
                    <w:tr2bl w:val="nil"/>
                  </w:tcBorders>
                  <w:noWrap w:val="0"/>
                  <w:vAlign w:val="center"/>
                </w:tcPr>
                <w:p w14:paraId="1856D2D8">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工艺</w:t>
                  </w:r>
                </w:p>
              </w:tc>
              <w:tc>
                <w:tcPr>
                  <w:tcW w:w="343" w:type="pct"/>
                  <w:tcBorders>
                    <w:tl2br w:val="nil"/>
                    <w:tr2bl w:val="nil"/>
                  </w:tcBorders>
                  <w:noWrap w:val="0"/>
                  <w:vAlign w:val="center"/>
                </w:tcPr>
                <w:p w14:paraId="44DEEDAD">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去除效率</w:t>
                  </w:r>
                </w:p>
              </w:tc>
              <w:tc>
                <w:tcPr>
                  <w:tcW w:w="409" w:type="pct"/>
                  <w:tcBorders>
                    <w:tl2br w:val="nil"/>
                    <w:tr2bl w:val="nil"/>
                  </w:tcBorders>
                  <w:noWrap w:val="0"/>
                  <w:vAlign w:val="center"/>
                </w:tcPr>
                <w:p w14:paraId="235702C8">
                  <w:pPr>
                    <w:pStyle w:val="92"/>
                    <w:spacing w:line="240" w:lineRule="auto"/>
                    <w:ind w:left="-105" w:leftChars="-50" w:right="-105" w:rightChars="-5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排放量/（t/a）</w:t>
                  </w:r>
                </w:p>
              </w:tc>
              <w:tc>
                <w:tcPr>
                  <w:tcW w:w="388" w:type="pct"/>
                  <w:tcBorders>
                    <w:tl2br w:val="nil"/>
                    <w:tr2bl w:val="nil"/>
                  </w:tcBorders>
                  <w:noWrap w:val="0"/>
                  <w:vAlign w:val="center"/>
                </w:tcPr>
                <w:p w14:paraId="4296F251">
                  <w:pPr>
                    <w:pStyle w:val="92"/>
                    <w:spacing w:line="240" w:lineRule="auto"/>
                    <w:ind w:left="-105" w:leftChars="-50" w:right="-105" w:rightChars="-5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414" w:type="pct"/>
                  <w:tcBorders>
                    <w:tl2br w:val="nil"/>
                    <w:tr2bl w:val="nil"/>
                  </w:tcBorders>
                  <w:noWrap w:val="0"/>
                  <w:vAlign w:val="center"/>
                </w:tcPr>
                <w:p w14:paraId="4DBFA8E4">
                  <w:pPr>
                    <w:pStyle w:val="92"/>
                    <w:spacing w:line="240" w:lineRule="auto"/>
                    <w:ind w:left="-105" w:leftChars="-50" w:right="-105" w:rightChars="-5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排放速率（kg/h）</w:t>
                  </w:r>
                </w:p>
              </w:tc>
              <w:tc>
                <w:tcPr>
                  <w:tcW w:w="306" w:type="pct"/>
                  <w:vMerge w:val="continue"/>
                  <w:tcBorders>
                    <w:tl2br w:val="nil"/>
                    <w:tr2bl w:val="nil"/>
                  </w:tcBorders>
                  <w:noWrap w:val="0"/>
                  <w:vAlign w:val="center"/>
                </w:tcPr>
                <w:p w14:paraId="55819CC6">
                  <w:pPr>
                    <w:jc w:val="center"/>
                    <w:rPr>
                      <w:rFonts w:hint="default" w:ascii="Times New Roman" w:hAnsi="Times New Roman" w:cs="Times New Roman"/>
                      <w:color w:val="auto"/>
                      <w:szCs w:val="21"/>
                      <w:highlight w:val="none"/>
                    </w:rPr>
                  </w:pPr>
                </w:p>
              </w:tc>
            </w:tr>
            <w:tr w14:paraId="6A8E1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30" w:type="pct"/>
                  <w:tcBorders>
                    <w:tl2br w:val="nil"/>
                    <w:tr2bl w:val="nil"/>
                  </w:tcBorders>
                  <w:noWrap w:val="0"/>
                  <w:vAlign w:val="center"/>
                </w:tcPr>
                <w:p w14:paraId="1239A60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涂布、封胶、高压</w:t>
                  </w:r>
                </w:p>
              </w:tc>
              <w:tc>
                <w:tcPr>
                  <w:tcW w:w="330" w:type="pct"/>
                  <w:tcBorders>
                    <w:tl2br w:val="nil"/>
                    <w:tr2bl w:val="nil"/>
                  </w:tcBorders>
                  <w:noWrap w:val="0"/>
                  <w:vAlign w:val="center"/>
                </w:tcPr>
                <w:p w14:paraId="130D874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DA001</w:t>
                  </w:r>
                </w:p>
              </w:tc>
              <w:tc>
                <w:tcPr>
                  <w:tcW w:w="366" w:type="pct"/>
                  <w:tcBorders>
                    <w:tl2br w:val="nil"/>
                    <w:tr2bl w:val="nil"/>
                  </w:tcBorders>
                  <w:noWrap w:val="0"/>
                  <w:vAlign w:val="center"/>
                </w:tcPr>
                <w:p w14:paraId="54B2D0F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w:t>
                  </w:r>
                </w:p>
                <w:p w14:paraId="2D4560A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总烃</w:t>
                  </w:r>
                </w:p>
              </w:tc>
              <w:tc>
                <w:tcPr>
                  <w:tcW w:w="390" w:type="pct"/>
                  <w:tcBorders>
                    <w:tl2br w:val="nil"/>
                    <w:tr2bl w:val="nil"/>
                  </w:tcBorders>
                  <w:noWrap w:val="0"/>
                  <w:vAlign w:val="center"/>
                </w:tcPr>
                <w:p w14:paraId="69F2B826">
                  <w:pPr>
                    <w:pStyle w:val="92"/>
                    <w:spacing w:line="240" w:lineRule="auto"/>
                    <w:ind w:left="-105" w:leftChars="-50" w:right="-105" w:rightChars="-5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c>
                <w:tcPr>
                  <w:tcW w:w="342" w:type="pct"/>
                  <w:tcBorders>
                    <w:tl2br w:val="nil"/>
                    <w:tr2bl w:val="nil"/>
                  </w:tcBorders>
                  <w:noWrap w:val="0"/>
                  <w:vAlign w:val="center"/>
                </w:tcPr>
                <w:p w14:paraId="3D6A7EF3">
                  <w:pPr>
                    <w:pStyle w:val="92"/>
                    <w:spacing w:line="240" w:lineRule="auto"/>
                    <w:ind w:left="-105" w:leftChars="-50" w:right="-105" w:rightChars="-5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1.382</w:t>
                  </w:r>
                </w:p>
              </w:tc>
              <w:tc>
                <w:tcPr>
                  <w:tcW w:w="396" w:type="pct"/>
                  <w:tcBorders>
                    <w:tl2br w:val="nil"/>
                    <w:tr2bl w:val="nil"/>
                  </w:tcBorders>
                  <w:noWrap w:val="0"/>
                  <w:vAlign w:val="center"/>
                </w:tcPr>
                <w:p w14:paraId="6BAD6D71">
                  <w:pPr>
                    <w:pStyle w:val="92"/>
                    <w:spacing w:line="240" w:lineRule="auto"/>
                    <w:ind w:left="-105" w:leftChars="-50" w:right="-105" w:rightChars="-5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57.563</w:t>
                  </w:r>
                </w:p>
              </w:tc>
              <w:tc>
                <w:tcPr>
                  <w:tcW w:w="455" w:type="pct"/>
                  <w:tcBorders>
                    <w:tl2br w:val="nil"/>
                    <w:tr2bl w:val="nil"/>
                  </w:tcBorders>
                  <w:noWrap w:val="0"/>
                  <w:vAlign w:val="center"/>
                </w:tcPr>
                <w:p w14:paraId="0CA33264">
                  <w:pPr>
                    <w:pStyle w:val="92"/>
                    <w:spacing w:line="240" w:lineRule="auto"/>
                    <w:ind w:left="-105" w:leftChars="-50" w:right="-105" w:rightChars="-5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0.576</w:t>
                  </w:r>
                </w:p>
              </w:tc>
              <w:tc>
                <w:tcPr>
                  <w:tcW w:w="526" w:type="pct"/>
                  <w:tcBorders>
                    <w:tl2br w:val="nil"/>
                    <w:tr2bl w:val="nil"/>
                  </w:tcBorders>
                  <w:noWrap w:val="0"/>
                  <w:vAlign w:val="center"/>
                </w:tcPr>
                <w:p w14:paraId="4727359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二级活性炭吸附装置</w:t>
                  </w:r>
                </w:p>
              </w:tc>
              <w:tc>
                <w:tcPr>
                  <w:tcW w:w="343" w:type="pct"/>
                  <w:tcBorders>
                    <w:tl2br w:val="nil"/>
                    <w:tr2bl w:val="nil"/>
                  </w:tcBorders>
                  <w:noWrap w:val="0"/>
                  <w:vAlign w:val="center"/>
                </w:tcPr>
                <w:p w14:paraId="0F61C8D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p>
              </w:tc>
              <w:tc>
                <w:tcPr>
                  <w:tcW w:w="1039" w:type="dxa"/>
                  <w:tcBorders>
                    <w:tl2br w:val="nil"/>
                    <w:tr2bl w:val="nil"/>
                  </w:tcBorders>
                  <w:noWrap w:val="0"/>
                  <w:vAlign w:val="center"/>
                </w:tcPr>
                <w:p w14:paraId="7EBCD23B">
                  <w:pPr>
                    <w:pStyle w:val="92"/>
                    <w:spacing w:line="240" w:lineRule="auto"/>
                    <w:ind w:left="-105" w:leftChars="-50" w:right="-105" w:rightChars="-50"/>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0.138</w:t>
                  </w:r>
                </w:p>
              </w:tc>
              <w:tc>
                <w:tcPr>
                  <w:tcW w:w="985" w:type="dxa"/>
                  <w:tcBorders>
                    <w:tl2br w:val="nil"/>
                    <w:tr2bl w:val="nil"/>
                  </w:tcBorders>
                  <w:noWrap w:val="0"/>
                  <w:vAlign w:val="center"/>
                </w:tcPr>
                <w:p w14:paraId="1FEC3B64">
                  <w:pPr>
                    <w:pStyle w:val="92"/>
                    <w:spacing w:line="240" w:lineRule="auto"/>
                    <w:ind w:left="-105" w:leftChars="-50" w:right="-105" w:rightChars="-50"/>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5.756</w:t>
                  </w:r>
                </w:p>
              </w:tc>
              <w:tc>
                <w:tcPr>
                  <w:tcW w:w="1051" w:type="dxa"/>
                  <w:tcBorders>
                    <w:tl2br w:val="nil"/>
                    <w:tr2bl w:val="nil"/>
                  </w:tcBorders>
                  <w:noWrap w:val="0"/>
                  <w:vAlign w:val="center"/>
                </w:tcPr>
                <w:p w14:paraId="416BC987">
                  <w:pPr>
                    <w:pStyle w:val="92"/>
                    <w:spacing w:line="240" w:lineRule="auto"/>
                    <w:ind w:left="-105" w:leftChars="-50" w:right="-105" w:rightChars="-50"/>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0.058</w:t>
                  </w:r>
                </w:p>
              </w:tc>
              <w:tc>
                <w:tcPr>
                  <w:tcW w:w="306" w:type="pct"/>
                  <w:tcBorders>
                    <w:tl2br w:val="nil"/>
                    <w:tr2bl w:val="nil"/>
                  </w:tcBorders>
                  <w:noWrap w:val="0"/>
                  <w:vAlign w:val="center"/>
                </w:tcPr>
                <w:p w14:paraId="0161562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2400</w:t>
                  </w:r>
                </w:p>
              </w:tc>
            </w:tr>
          </w:tbl>
          <w:p w14:paraId="3FFC7A3F">
            <w:pPr>
              <w:adjustRightInd w:val="0"/>
              <w:snapToGrid w:val="0"/>
              <w:spacing w:before="120" w:beforeLines="50"/>
              <w:jc w:val="center"/>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表4-2 项目无组织废气产排情况一览表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9"/>
              <w:gridCol w:w="2723"/>
              <w:gridCol w:w="2114"/>
              <w:gridCol w:w="2385"/>
              <w:gridCol w:w="2703"/>
            </w:tblGrid>
            <w:tr w14:paraId="758BB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0" w:type="pct"/>
                  <w:vAlign w:val="center"/>
                </w:tcPr>
                <w:p w14:paraId="6AEFF8B7">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产排污环节</w:t>
                  </w:r>
                </w:p>
              </w:tc>
              <w:tc>
                <w:tcPr>
                  <w:tcW w:w="1072" w:type="pct"/>
                  <w:vAlign w:val="center"/>
                </w:tcPr>
                <w:p w14:paraId="13256717">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污染物种类</w:t>
                  </w:r>
                </w:p>
              </w:tc>
              <w:tc>
                <w:tcPr>
                  <w:tcW w:w="832" w:type="pct"/>
                  <w:vAlign w:val="center"/>
                </w:tcPr>
                <w:p w14:paraId="1CF09255">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污染物产生量t/a</w:t>
                  </w:r>
                </w:p>
              </w:tc>
              <w:tc>
                <w:tcPr>
                  <w:tcW w:w="939" w:type="pct"/>
                  <w:vAlign w:val="center"/>
                </w:tcPr>
                <w:p w14:paraId="542A8A77">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污染物排放速率kg/h</w:t>
                  </w:r>
                </w:p>
              </w:tc>
              <w:tc>
                <w:tcPr>
                  <w:tcW w:w="1064" w:type="pct"/>
                </w:tcPr>
                <w:p w14:paraId="7F0ECAEC">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污染源排放参数</w:t>
                  </w:r>
                </w:p>
              </w:tc>
            </w:tr>
            <w:tr w14:paraId="3A417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0" w:type="pct"/>
                  <w:vAlign w:val="center"/>
                </w:tcPr>
                <w:p w14:paraId="78939AF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涂布、封胶、高压</w:t>
                  </w:r>
                </w:p>
              </w:tc>
              <w:tc>
                <w:tcPr>
                  <w:tcW w:w="1072" w:type="pct"/>
                  <w:vAlign w:val="center"/>
                </w:tcPr>
                <w:p w14:paraId="51AC6000">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非甲烷总烃</w:t>
                  </w:r>
                </w:p>
              </w:tc>
              <w:tc>
                <w:tcPr>
                  <w:tcW w:w="832" w:type="pct"/>
                  <w:vAlign w:val="center"/>
                </w:tcPr>
                <w:p w14:paraId="5CEBC66D">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0.154</w:t>
                  </w:r>
                </w:p>
              </w:tc>
              <w:tc>
                <w:tcPr>
                  <w:tcW w:w="939" w:type="pct"/>
                  <w:vAlign w:val="center"/>
                </w:tcPr>
                <w:p w14:paraId="5C28290D">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0.064</w:t>
                  </w:r>
                </w:p>
              </w:tc>
              <w:tc>
                <w:tcPr>
                  <w:tcW w:w="1064" w:type="pct"/>
                  <w:vAlign w:val="center"/>
                </w:tcPr>
                <w:p w14:paraId="0BBBAF51">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139.35</w:t>
                  </w: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lang w:val="en-US" w:eastAsia="zh-CN"/>
                    </w:rPr>
                    <w:t>35.86</w:t>
                  </w:r>
                  <w:r>
                    <w:rPr>
                      <w:rFonts w:hint="default" w:ascii="Times New Roman" w:hAnsi="Times New Roman" w:cs="Times New Roman"/>
                      <w:color w:val="auto"/>
                      <w:kern w:val="0"/>
                      <w:szCs w:val="21"/>
                      <w:highlight w:val="none"/>
                    </w:rPr>
                    <w:t>m×</w:t>
                  </w:r>
                  <w:r>
                    <w:rPr>
                      <w:rFonts w:hint="eastAsia" w:cs="Times New Roman"/>
                      <w:color w:val="auto"/>
                      <w:kern w:val="0"/>
                      <w:szCs w:val="21"/>
                      <w:highlight w:val="none"/>
                      <w:lang w:val="en-US" w:eastAsia="zh-CN"/>
                    </w:rPr>
                    <w:t>3</w:t>
                  </w:r>
                  <w:r>
                    <w:rPr>
                      <w:rFonts w:hint="default" w:ascii="Times New Roman" w:hAnsi="Times New Roman" w:cs="Times New Roman"/>
                      <w:color w:val="auto"/>
                      <w:kern w:val="0"/>
                      <w:szCs w:val="21"/>
                      <w:highlight w:val="none"/>
                    </w:rPr>
                    <w:t>m</w:t>
                  </w:r>
                </w:p>
              </w:tc>
            </w:tr>
          </w:tbl>
          <w:p w14:paraId="4DE890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建设项目有组织废气排放口基本情况详见表。</w:t>
            </w:r>
          </w:p>
          <w:p w14:paraId="6E0919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表4-3建设项目有组织废气排放口基本情况一览表</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906"/>
              <w:gridCol w:w="1670"/>
              <w:gridCol w:w="1586"/>
              <w:gridCol w:w="1149"/>
              <w:gridCol w:w="1149"/>
              <w:gridCol w:w="1144"/>
              <w:gridCol w:w="1441"/>
              <w:gridCol w:w="1510"/>
              <w:gridCol w:w="1017"/>
            </w:tblGrid>
            <w:tr w14:paraId="244CA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restart"/>
                  <w:tcBorders>
                    <w:tl2br w:val="nil"/>
                    <w:tr2bl w:val="nil"/>
                  </w:tcBorders>
                  <w:vAlign w:val="center"/>
                </w:tcPr>
                <w:p w14:paraId="6E23AFA4">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位置</w:t>
                  </w:r>
                </w:p>
              </w:tc>
              <w:tc>
                <w:tcPr>
                  <w:tcW w:w="357" w:type="pct"/>
                  <w:vMerge w:val="restart"/>
                  <w:tcBorders>
                    <w:tl2br w:val="nil"/>
                    <w:tr2bl w:val="nil"/>
                  </w:tcBorders>
                  <w:vAlign w:val="center"/>
                </w:tcPr>
                <w:p w14:paraId="6A1621AF">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编号</w:t>
                  </w:r>
                </w:p>
              </w:tc>
              <w:tc>
                <w:tcPr>
                  <w:tcW w:w="1281" w:type="pct"/>
                  <w:gridSpan w:val="2"/>
                  <w:tcBorders>
                    <w:tl2br w:val="nil"/>
                    <w:tr2bl w:val="nil"/>
                  </w:tcBorders>
                  <w:vAlign w:val="center"/>
                </w:tcPr>
                <w:p w14:paraId="6E172132">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排气筒坐标</w:t>
                  </w:r>
                </w:p>
              </w:tc>
              <w:tc>
                <w:tcPr>
                  <w:tcW w:w="1921" w:type="pct"/>
                  <w:gridSpan w:val="4"/>
                  <w:tcBorders>
                    <w:tl2br w:val="nil"/>
                    <w:tr2bl w:val="nil"/>
                  </w:tcBorders>
                  <w:vAlign w:val="center"/>
                </w:tcPr>
                <w:p w14:paraId="08616737">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排气筒参数</w:t>
                  </w:r>
                </w:p>
              </w:tc>
              <w:tc>
                <w:tcPr>
                  <w:tcW w:w="594" w:type="pct"/>
                  <w:vMerge w:val="restart"/>
                  <w:tcBorders>
                    <w:tl2br w:val="nil"/>
                    <w:tr2bl w:val="nil"/>
                  </w:tcBorders>
                  <w:vAlign w:val="center"/>
                </w:tcPr>
                <w:p w14:paraId="1BC159C3">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污染物名称</w:t>
                  </w:r>
                </w:p>
              </w:tc>
              <w:tc>
                <w:tcPr>
                  <w:tcW w:w="400" w:type="pct"/>
                  <w:vMerge w:val="restart"/>
                  <w:tcBorders>
                    <w:tl2br w:val="nil"/>
                    <w:tr2bl w:val="nil"/>
                  </w:tcBorders>
                  <w:vAlign w:val="center"/>
                </w:tcPr>
                <w:p w14:paraId="639D4AD4">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年排放时间h</w:t>
                  </w:r>
                </w:p>
              </w:tc>
            </w:tr>
            <w:tr w14:paraId="24E3A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4" w:type="pct"/>
                  <w:vMerge w:val="continue"/>
                  <w:tcBorders>
                    <w:tl2br w:val="nil"/>
                    <w:tr2bl w:val="nil"/>
                  </w:tcBorders>
                  <w:vAlign w:val="center"/>
                </w:tcPr>
                <w:p w14:paraId="2AE32A96">
                  <w:pPr>
                    <w:adjustRightInd w:val="0"/>
                    <w:snapToGrid w:val="0"/>
                    <w:jc w:val="center"/>
                    <w:rPr>
                      <w:rFonts w:hint="default" w:ascii="Times New Roman" w:hAnsi="Times New Roman" w:cs="Times New Roman"/>
                      <w:color w:val="auto"/>
                      <w:kern w:val="0"/>
                      <w:szCs w:val="21"/>
                      <w:highlight w:val="none"/>
                    </w:rPr>
                  </w:pPr>
                </w:p>
              </w:tc>
              <w:tc>
                <w:tcPr>
                  <w:tcW w:w="357" w:type="pct"/>
                  <w:vMerge w:val="continue"/>
                  <w:tcBorders>
                    <w:tl2br w:val="nil"/>
                    <w:tr2bl w:val="nil"/>
                  </w:tcBorders>
                  <w:vAlign w:val="center"/>
                </w:tcPr>
                <w:p w14:paraId="67E593EE">
                  <w:pPr>
                    <w:adjustRightInd w:val="0"/>
                    <w:snapToGrid w:val="0"/>
                    <w:jc w:val="center"/>
                    <w:rPr>
                      <w:rFonts w:hint="default" w:ascii="Times New Roman" w:hAnsi="Times New Roman" w:cs="Times New Roman"/>
                      <w:color w:val="auto"/>
                      <w:kern w:val="0"/>
                      <w:szCs w:val="21"/>
                      <w:highlight w:val="none"/>
                    </w:rPr>
                  </w:pPr>
                </w:p>
              </w:tc>
              <w:tc>
                <w:tcPr>
                  <w:tcW w:w="657" w:type="pct"/>
                  <w:tcBorders>
                    <w:tl2br w:val="nil"/>
                    <w:tr2bl w:val="nil"/>
                  </w:tcBorders>
                  <w:vAlign w:val="center"/>
                </w:tcPr>
                <w:p w14:paraId="6D6910B0">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经度</w:t>
                  </w:r>
                </w:p>
              </w:tc>
              <w:tc>
                <w:tcPr>
                  <w:tcW w:w="624" w:type="pct"/>
                  <w:tcBorders>
                    <w:tl2br w:val="nil"/>
                    <w:tr2bl w:val="nil"/>
                  </w:tcBorders>
                  <w:vAlign w:val="center"/>
                </w:tcPr>
                <w:p w14:paraId="72B21A1C">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纬度</w:t>
                  </w:r>
                </w:p>
              </w:tc>
              <w:tc>
                <w:tcPr>
                  <w:tcW w:w="452" w:type="pct"/>
                  <w:tcBorders>
                    <w:tl2br w:val="nil"/>
                    <w:tr2bl w:val="nil"/>
                  </w:tcBorders>
                  <w:vAlign w:val="center"/>
                </w:tcPr>
                <w:p w14:paraId="35A08CD9">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高度m</w:t>
                  </w:r>
                </w:p>
              </w:tc>
              <w:tc>
                <w:tcPr>
                  <w:tcW w:w="452" w:type="pct"/>
                  <w:tcBorders>
                    <w:tl2br w:val="nil"/>
                    <w:tr2bl w:val="nil"/>
                  </w:tcBorders>
                  <w:vAlign w:val="center"/>
                </w:tcPr>
                <w:p w14:paraId="6B48313A">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直径m</w:t>
                  </w:r>
                </w:p>
              </w:tc>
              <w:tc>
                <w:tcPr>
                  <w:tcW w:w="450" w:type="pct"/>
                  <w:tcBorders>
                    <w:tl2br w:val="nil"/>
                    <w:tr2bl w:val="nil"/>
                  </w:tcBorders>
                  <w:vAlign w:val="center"/>
                </w:tcPr>
                <w:p w14:paraId="4B957A73">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温度℃</w:t>
                  </w:r>
                </w:p>
              </w:tc>
              <w:tc>
                <w:tcPr>
                  <w:tcW w:w="566" w:type="pct"/>
                  <w:tcBorders>
                    <w:tl2br w:val="nil"/>
                    <w:tr2bl w:val="nil"/>
                  </w:tcBorders>
                  <w:vAlign w:val="center"/>
                </w:tcPr>
                <w:p w14:paraId="40877BB3">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排气量m</w:t>
                  </w:r>
                  <w:r>
                    <w:rPr>
                      <w:rFonts w:hint="default" w:ascii="Times New Roman" w:hAnsi="Times New Roman" w:cs="Times New Roman"/>
                      <w:b/>
                      <w:bCs/>
                      <w:color w:val="auto"/>
                      <w:kern w:val="0"/>
                      <w:szCs w:val="21"/>
                      <w:highlight w:val="none"/>
                      <w:vertAlign w:val="superscript"/>
                    </w:rPr>
                    <w:t>3</w:t>
                  </w:r>
                  <w:r>
                    <w:rPr>
                      <w:rFonts w:hint="default" w:ascii="Times New Roman" w:hAnsi="Times New Roman" w:cs="Times New Roman"/>
                      <w:b/>
                      <w:bCs/>
                      <w:color w:val="auto"/>
                      <w:kern w:val="0"/>
                      <w:szCs w:val="21"/>
                      <w:highlight w:val="none"/>
                    </w:rPr>
                    <w:t>/h</w:t>
                  </w:r>
                </w:p>
              </w:tc>
              <w:tc>
                <w:tcPr>
                  <w:tcW w:w="594" w:type="pct"/>
                  <w:vMerge w:val="continue"/>
                  <w:tcBorders>
                    <w:tl2br w:val="nil"/>
                    <w:tr2bl w:val="nil"/>
                  </w:tcBorders>
                  <w:vAlign w:val="center"/>
                </w:tcPr>
                <w:p w14:paraId="28A1476A">
                  <w:pPr>
                    <w:adjustRightInd w:val="0"/>
                    <w:snapToGrid w:val="0"/>
                    <w:jc w:val="center"/>
                    <w:rPr>
                      <w:rFonts w:hint="default" w:ascii="Times New Roman" w:hAnsi="Times New Roman" w:cs="Times New Roman"/>
                      <w:color w:val="auto"/>
                      <w:kern w:val="0"/>
                      <w:szCs w:val="21"/>
                      <w:highlight w:val="none"/>
                    </w:rPr>
                  </w:pPr>
                </w:p>
              </w:tc>
              <w:tc>
                <w:tcPr>
                  <w:tcW w:w="400" w:type="pct"/>
                  <w:vMerge w:val="continue"/>
                  <w:tcBorders>
                    <w:tl2br w:val="nil"/>
                    <w:tr2bl w:val="nil"/>
                  </w:tcBorders>
                  <w:vAlign w:val="center"/>
                </w:tcPr>
                <w:p w14:paraId="4E3D68A0">
                  <w:pPr>
                    <w:adjustRightInd w:val="0"/>
                    <w:snapToGrid w:val="0"/>
                    <w:jc w:val="center"/>
                    <w:rPr>
                      <w:rFonts w:hint="default" w:ascii="Times New Roman" w:hAnsi="Times New Roman" w:cs="Times New Roman"/>
                      <w:color w:val="auto"/>
                      <w:kern w:val="0"/>
                      <w:szCs w:val="21"/>
                      <w:highlight w:val="none"/>
                    </w:rPr>
                  </w:pPr>
                </w:p>
              </w:tc>
            </w:tr>
            <w:tr w14:paraId="52D8A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44" w:type="pct"/>
                  <w:tcBorders>
                    <w:tl2br w:val="nil"/>
                    <w:tr2bl w:val="nil"/>
                  </w:tcBorders>
                  <w:vAlign w:val="center"/>
                </w:tcPr>
                <w:p w14:paraId="4CB1EF95">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生产厂房</w:t>
                  </w:r>
                </w:p>
              </w:tc>
              <w:tc>
                <w:tcPr>
                  <w:tcW w:w="357" w:type="pct"/>
                  <w:tcBorders>
                    <w:tl2br w:val="nil"/>
                    <w:tr2bl w:val="nil"/>
                  </w:tcBorders>
                  <w:vAlign w:val="center"/>
                </w:tcPr>
                <w:p w14:paraId="6140F534">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DA001</w:t>
                  </w:r>
                </w:p>
              </w:tc>
              <w:tc>
                <w:tcPr>
                  <w:tcW w:w="657" w:type="pct"/>
                  <w:tcBorders>
                    <w:tl2br w:val="nil"/>
                    <w:tr2bl w:val="nil"/>
                  </w:tcBorders>
                  <w:vAlign w:val="center"/>
                </w:tcPr>
                <w:p w14:paraId="140BB013">
                  <w:pPr>
                    <w:adjustRightInd w:val="0"/>
                    <w:snapToGrid w:val="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117°00'50.241"</w:t>
                  </w:r>
                </w:p>
              </w:tc>
              <w:tc>
                <w:tcPr>
                  <w:tcW w:w="624" w:type="pct"/>
                  <w:tcBorders>
                    <w:tl2br w:val="nil"/>
                    <w:tr2bl w:val="nil"/>
                  </w:tcBorders>
                  <w:vAlign w:val="center"/>
                </w:tcPr>
                <w:p w14:paraId="1F6E76C3">
                  <w:pPr>
                    <w:adjustRightInd w:val="0"/>
                    <w:snapToGrid w:val="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32°31'16.041"</w:t>
                  </w:r>
                </w:p>
              </w:tc>
              <w:tc>
                <w:tcPr>
                  <w:tcW w:w="452" w:type="pct"/>
                  <w:tcBorders>
                    <w:tl2br w:val="nil"/>
                    <w:tr2bl w:val="nil"/>
                  </w:tcBorders>
                  <w:vAlign w:val="center"/>
                </w:tcPr>
                <w:p w14:paraId="6BCED09B">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15</w:t>
                  </w:r>
                </w:p>
              </w:tc>
              <w:tc>
                <w:tcPr>
                  <w:tcW w:w="452" w:type="pct"/>
                  <w:tcBorders>
                    <w:tl2br w:val="nil"/>
                    <w:tr2bl w:val="nil"/>
                  </w:tcBorders>
                  <w:vAlign w:val="center"/>
                </w:tcPr>
                <w:p w14:paraId="7825CC3B">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0.5</w:t>
                  </w:r>
                </w:p>
              </w:tc>
              <w:tc>
                <w:tcPr>
                  <w:tcW w:w="450" w:type="pct"/>
                  <w:tcBorders>
                    <w:tl2br w:val="nil"/>
                    <w:tr2bl w:val="nil"/>
                  </w:tcBorders>
                  <w:vAlign w:val="center"/>
                </w:tcPr>
                <w:p w14:paraId="5D18F270">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25</w:t>
                  </w:r>
                </w:p>
              </w:tc>
              <w:tc>
                <w:tcPr>
                  <w:tcW w:w="566" w:type="pct"/>
                  <w:tcBorders>
                    <w:tl2br w:val="nil"/>
                    <w:tr2bl w:val="nil"/>
                  </w:tcBorders>
                  <w:vAlign w:val="center"/>
                </w:tcPr>
                <w:p w14:paraId="21198808">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10000</w:t>
                  </w:r>
                </w:p>
              </w:tc>
              <w:tc>
                <w:tcPr>
                  <w:tcW w:w="594" w:type="pct"/>
                  <w:tcBorders>
                    <w:tl2br w:val="nil"/>
                    <w:tr2bl w:val="nil"/>
                  </w:tcBorders>
                  <w:vAlign w:val="center"/>
                </w:tcPr>
                <w:p w14:paraId="6B847079">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VOCs</w:t>
                  </w:r>
                </w:p>
              </w:tc>
              <w:tc>
                <w:tcPr>
                  <w:tcW w:w="400" w:type="pct"/>
                  <w:tcBorders>
                    <w:tl2br w:val="nil"/>
                    <w:tr2bl w:val="nil"/>
                  </w:tcBorders>
                  <w:vAlign w:val="center"/>
                </w:tcPr>
                <w:p w14:paraId="52DBBC6E">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2400</w:t>
                  </w:r>
                </w:p>
              </w:tc>
            </w:tr>
          </w:tbl>
          <w:p w14:paraId="5C6ABF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建设项目废气污染源监测计划详见表。</w:t>
            </w:r>
          </w:p>
          <w:p w14:paraId="0646ED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表4-4建设项目废气污染源监测计划一览表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533"/>
              <w:gridCol w:w="1543"/>
              <w:gridCol w:w="1790"/>
              <w:gridCol w:w="5317"/>
              <w:gridCol w:w="1426"/>
            </w:tblGrid>
            <w:tr w14:paraId="3B644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pct"/>
                  <w:gridSpan w:val="2"/>
                  <w:tcBorders>
                    <w:tl2br w:val="nil"/>
                    <w:tr2bl w:val="nil"/>
                  </w:tcBorders>
                  <w:noWrap w:val="0"/>
                  <w:vAlign w:val="center"/>
                </w:tcPr>
                <w:p w14:paraId="13FF1811">
                  <w:pPr>
                    <w:widowControl/>
                    <w:spacing w:line="3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监测点位</w:t>
                  </w:r>
                </w:p>
              </w:tc>
              <w:tc>
                <w:tcPr>
                  <w:tcW w:w="607" w:type="pct"/>
                  <w:tcBorders>
                    <w:tl2br w:val="nil"/>
                    <w:tr2bl w:val="nil"/>
                  </w:tcBorders>
                  <w:noWrap w:val="0"/>
                  <w:vAlign w:val="center"/>
                </w:tcPr>
                <w:p w14:paraId="46092D0D">
                  <w:pPr>
                    <w:widowControl/>
                    <w:spacing w:line="3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监测因子</w:t>
                  </w:r>
                </w:p>
              </w:tc>
              <w:tc>
                <w:tcPr>
                  <w:tcW w:w="705" w:type="pct"/>
                  <w:tcBorders>
                    <w:tl2br w:val="nil"/>
                    <w:tr2bl w:val="nil"/>
                  </w:tcBorders>
                  <w:noWrap w:val="0"/>
                  <w:vAlign w:val="center"/>
                </w:tcPr>
                <w:p w14:paraId="11A06D8E">
                  <w:pPr>
                    <w:widowControl/>
                    <w:spacing w:line="3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监测频次</w:t>
                  </w:r>
                </w:p>
              </w:tc>
              <w:tc>
                <w:tcPr>
                  <w:tcW w:w="2094" w:type="pct"/>
                  <w:tcBorders>
                    <w:tl2br w:val="nil"/>
                    <w:tr2bl w:val="nil"/>
                  </w:tcBorders>
                  <w:noWrap w:val="0"/>
                  <w:vAlign w:val="center"/>
                </w:tcPr>
                <w:p w14:paraId="3A3B41F8">
                  <w:pPr>
                    <w:widowControl/>
                    <w:spacing w:line="3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执行排放标准</w:t>
                  </w:r>
                </w:p>
              </w:tc>
              <w:tc>
                <w:tcPr>
                  <w:tcW w:w="561" w:type="pct"/>
                  <w:tcBorders>
                    <w:tl2br w:val="nil"/>
                    <w:tr2bl w:val="nil"/>
                  </w:tcBorders>
                  <w:noWrap w:val="0"/>
                  <w:vAlign w:val="center"/>
                </w:tcPr>
                <w:p w14:paraId="6100F22F">
                  <w:pPr>
                    <w:widowControl/>
                    <w:spacing w:line="3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废气来源</w:t>
                  </w:r>
                </w:p>
              </w:tc>
            </w:tr>
            <w:tr w14:paraId="1584D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27" w:type="pct"/>
                  <w:tcBorders>
                    <w:tl2br w:val="nil"/>
                    <w:tr2bl w:val="nil"/>
                  </w:tcBorders>
                  <w:noWrap w:val="0"/>
                  <w:vAlign w:val="center"/>
                </w:tcPr>
                <w:p w14:paraId="303BEBAC">
                  <w:pPr>
                    <w:widowControl/>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有组织</w:t>
                  </w:r>
                </w:p>
              </w:tc>
              <w:tc>
                <w:tcPr>
                  <w:tcW w:w="603" w:type="pct"/>
                  <w:tcBorders>
                    <w:tl2br w:val="nil"/>
                    <w:tr2bl w:val="nil"/>
                  </w:tcBorders>
                  <w:noWrap w:val="0"/>
                  <w:vAlign w:val="center"/>
                </w:tcPr>
                <w:p w14:paraId="72706996">
                  <w:pPr>
                    <w:widowControl/>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DA001</w:t>
                  </w:r>
                  <w:r>
                    <w:rPr>
                      <w:rFonts w:hint="default" w:ascii="Times New Roman" w:hAnsi="Times New Roman" w:cs="Times New Roman"/>
                      <w:color w:val="auto"/>
                      <w:kern w:val="0"/>
                      <w:sz w:val="21"/>
                      <w:szCs w:val="21"/>
                      <w:highlight w:val="none"/>
                      <w:lang w:bidi="ar"/>
                    </w:rPr>
                    <w:t>排气筒</w:t>
                  </w:r>
                </w:p>
              </w:tc>
              <w:tc>
                <w:tcPr>
                  <w:tcW w:w="607" w:type="pct"/>
                  <w:tcBorders>
                    <w:tl2br w:val="nil"/>
                    <w:tr2bl w:val="nil"/>
                  </w:tcBorders>
                  <w:noWrap w:val="0"/>
                  <w:vAlign w:val="center"/>
                </w:tcPr>
                <w:p w14:paraId="0430353A">
                  <w:pPr>
                    <w:widowControl/>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非甲烷总烃</w:t>
                  </w:r>
                </w:p>
              </w:tc>
              <w:tc>
                <w:tcPr>
                  <w:tcW w:w="705" w:type="pct"/>
                  <w:tcBorders>
                    <w:tl2br w:val="nil"/>
                    <w:tr2bl w:val="nil"/>
                  </w:tcBorders>
                  <w:noWrap w:val="0"/>
                  <w:vAlign w:val="center"/>
                </w:tcPr>
                <w:p w14:paraId="4651A2D5">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1次/年</w:t>
                  </w:r>
                </w:p>
              </w:tc>
              <w:tc>
                <w:tcPr>
                  <w:tcW w:w="2094" w:type="pct"/>
                  <w:tcBorders>
                    <w:tl2br w:val="nil"/>
                    <w:tr2bl w:val="nil"/>
                  </w:tcBorders>
                  <w:noWrap w:val="0"/>
                  <w:vAlign w:val="center"/>
                </w:tcPr>
                <w:p w14:paraId="0B31B178">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《玻璃工业大气污染物排放标准》（GB26453-2022）</w:t>
                  </w:r>
                </w:p>
              </w:tc>
              <w:tc>
                <w:tcPr>
                  <w:tcW w:w="561" w:type="pct"/>
                  <w:vMerge w:val="restart"/>
                  <w:tcBorders>
                    <w:tl2br w:val="nil"/>
                    <w:tr2bl w:val="nil"/>
                  </w:tcBorders>
                  <w:noWrap w:val="0"/>
                  <w:vAlign w:val="center"/>
                </w:tcPr>
                <w:p w14:paraId="4113C4A0">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钢化</w:t>
                  </w:r>
                </w:p>
              </w:tc>
            </w:tr>
            <w:tr w14:paraId="35B15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restart"/>
                  <w:tcBorders>
                    <w:tl2br w:val="nil"/>
                    <w:tr2bl w:val="nil"/>
                  </w:tcBorders>
                  <w:noWrap w:val="0"/>
                  <w:vAlign w:val="center"/>
                </w:tcPr>
                <w:p w14:paraId="1DA1AB03">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603" w:type="pct"/>
                  <w:tcBorders>
                    <w:tl2br w:val="nil"/>
                    <w:tr2bl w:val="nil"/>
                  </w:tcBorders>
                  <w:noWrap w:val="0"/>
                  <w:vAlign w:val="center"/>
                </w:tcPr>
                <w:p w14:paraId="508C1E61">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厂界四周</w:t>
                  </w:r>
                </w:p>
              </w:tc>
              <w:tc>
                <w:tcPr>
                  <w:tcW w:w="607" w:type="pct"/>
                  <w:tcBorders>
                    <w:tl2br w:val="nil"/>
                    <w:tr2bl w:val="nil"/>
                  </w:tcBorders>
                  <w:noWrap w:val="0"/>
                  <w:vAlign w:val="center"/>
                </w:tcPr>
                <w:p w14:paraId="6D39F86D">
                  <w:pPr>
                    <w:widowControl/>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非甲烷总烃</w:t>
                  </w:r>
                </w:p>
              </w:tc>
              <w:tc>
                <w:tcPr>
                  <w:tcW w:w="705" w:type="pct"/>
                  <w:tcBorders>
                    <w:tl2br w:val="nil"/>
                    <w:tr2bl w:val="nil"/>
                  </w:tcBorders>
                  <w:noWrap w:val="0"/>
                  <w:vAlign w:val="center"/>
                </w:tcPr>
                <w:p w14:paraId="4A065CE1">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1次/年</w:t>
                  </w:r>
                </w:p>
              </w:tc>
              <w:tc>
                <w:tcPr>
                  <w:tcW w:w="2094" w:type="pct"/>
                  <w:tcBorders>
                    <w:tl2br w:val="nil"/>
                    <w:tr2bl w:val="nil"/>
                  </w:tcBorders>
                  <w:noWrap w:val="0"/>
                  <w:vAlign w:val="center"/>
                </w:tcPr>
                <w:p w14:paraId="248D5DD0">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《玻璃工业大气污染物排放标准》（GB26453-2022）</w:t>
                  </w:r>
                </w:p>
              </w:tc>
              <w:tc>
                <w:tcPr>
                  <w:tcW w:w="561" w:type="pct"/>
                  <w:vMerge w:val="continue"/>
                  <w:tcBorders>
                    <w:tl2br w:val="nil"/>
                    <w:tr2bl w:val="nil"/>
                  </w:tcBorders>
                  <w:noWrap w:val="0"/>
                  <w:vAlign w:val="center"/>
                </w:tcPr>
                <w:p w14:paraId="5EACA298">
                  <w:pPr>
                    <w:spacing w:line="300" w:lineRule="exact"/>
                    <w:jc w:val="center"/>
                    <w:rPr>
                      <w:rFonts w:hint="default" w:ascii="Times New Roman" w:hAnsi="Times New Roman" w:cs="Times New Roman"/>
                      <w:color w:val="auto"/>
                      <w:sz w:val="21"/>
                      <w:szCs w:val="21"/>
                      <w:highlight w:val="none"/>
                    </w:rPr>
                  </w:pPr>
                </w:p>
              </w:tc>
            </w:tr>
            <w:tr w14:paraId="39054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27" w:type="pct"/>
                  <w:vMerge w:val="continue"/>
                  <w:tcBorders>
                    <w:tl2br w:val="nil"/>
                    <w:tr2bl w:val="nil"/>
                  </w:tcBorders>
                  <w:noWrap w:val="0"/>
                  <w:vAlign w:val="center"/>
                </w:tcPr>
                <w:p w14:paraId="3211BAFF">
                  <w:pPr>
                    <w:spacing w:line="300" w:lineRule="exact"/>
                    <w:jc w:val="center"/>
                    <w:rPr>
                      <w:rFonts w:hint="default" w:ascii="Times New Roman" w:hAnsi="Times New Roman" w:cs="Times New Roman"/>
                      <w:color w:val="auto"/>
                      <w:sz w:val="21"/>
                      <w:szCs w:val="21"/>
                      <w:highlight w:val="none"/>
                    </w:rPr>
                  </w:pPr>
                </w:p>
              </w:tc>
              <w:tc>
                <w:tcPr>
                  <w:tcW w:w="603" w:type="pct"/>
                  <w:tcBorders>
                    <w:tl2br w:val="nil"/>
                    <w:tr2bl w:val="nil"/>
                  </w:tcBorders>
                  <w:noWrap w:val="0"/>
                  <w:vAlign w:val="center"/>
                </w:tcPr>
                <w:p w14:paraId="3D6D889F">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厂界内</w:t>
                  </w:r>
                  <w:r>
                    <w:rPr>
                      <w:rFonts w:hint="default" w:ascii="Times New Roman" w:hAnsi="Times New Roman" w:cs="Times New Roman"/>
                      <w:color w:val="auto"/>
                      <w:sz w:val="21"/>
                      <w:szCs w:val="21"/>
                      <w:highlight w:val="none"/>
                    </w:rPr>
                    <w:t>车间</w:t>
                  </w:r>
                  <w:r>
                    <w:rPr>
                      <w:rFonts w:hint="default" w:ascii="Times New Roman" w:hAnsi="Times New Roman" w:cs="Times New Roman"/>
                      <w:color w:val="auto"/>
                      <w:sz w:val="21"/>
                      <w:szCs w:val="21"/>
                      <w:highlight w:val="none"/>
                      <w:lang w:val="en-US" w:eastAsia="zh-CN"/>
                    </w:rPr>
                    <w:t>外</w:t>
                  </w:r>
                </w:p>
              </w:tc>
              <w:tc>
                <w:tcPr>
                  <w:tcW w:w="607" w:type="pct"/>
                  <w:tcBorders>
                    <w:tl2br w:val="nil"/>
                    <w:tr2bl w:val="nil"/>
                  </w:tcBorders>
                  <w:noWrap w:val="0"/>
                  <w:vAlign w:val="center"/>
                </w:tcPr>
                <w:p w14:paraId="12D89755">
                  <w:pPr>
                    <w:widowControl/>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非甲烷总烃</w:t>
                  </w:r>
                </w:p>
              </w:tc>
              <w:tc>
                <w:tcPr>
                  <w:tcW w:w="705" w:type="pct"/>
                  <w:tcBorders>
                    <w:tl2br w:val="nil"/>
                    <w:tr2bl w:val="nil"/>
                  </w:tcBorders>
                  <w:noWrap w:val="0"/>
                  <w:vAlign w:val="center"/>
                </w:tcPr>
                <w:p w14:paraId="1EF120F1">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1次/年</w:t>
                  </w:r>
                </w:p>
              </w:tc>
              <w:tc>
                <w:tcPr>
                  <w:tcW w:w="2094" w:type="pct"/>
                  <w:tcBorders>
                    <w:tl2br w:val="nil"/>
                    <w:tr2bl w:val="nil"/>
                  </w:tcBorders>
                  <w:noWrap w:val="0"/>
                  <w:vAlign w:val="center"/>
                </w:tcPr>
                <w:p w14:paraId="1D8BCF29">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《挥发性有机物无组织排放控制标准》（GB37822-2019）</w:t>
                  </w:r>
                </w:p>
              </w:tc>
              <w:tc>
                <w:tcPr>
                  <w:tcW w:w="561" w:type="pct"/>
                  <w:vMerge w:val="continue"/>
                  <w:tcBorders>
                    <w:tl2br w:val="nil"/>
                    <w:tr2bl w:val="nil"/>
                  </w:tcBorders>
                  <w:noWrap w:val="0"/>
                  <w:vAlign w:val="center"/>
                </w:tcPr>
                <w:p w14:paraId="24FD88A5">
                  <w:pPr>
                    <w:spacing w:line="300" w:lineRule="exact"/>
                    <w:jc w:val="center"/>
                    <w:rPr>
                      <w:rFonts w:hint="default" w:ascii="Times New Roman" w:hAnsi="Times New Roman" w:cs="Times New Roman"/>
                      <w:color w:val="auto"/>
                      <w:sz w:val="21"/>
                      <w:szCs w:val="21"/>
                      <w:highlight w:val="none"/>
                    </w:rPr>
                  </w:pPr>
                </w:p>
              </w:tc>
            </w:tr>
            <w:tr w14:paraId="40352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noWrap w:val="0"/>
                  <w:vAlign w:val="center"/>
                </w:tcPr>
                <w:p w14:paraId="32A6DA8F">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依据：《排污单位自行监测技术指南总则》（HJ819-2017）、《排污许可证申请与核发技术规范总则》（HJ942-2018）等监测指标要求</w:t>
                  </w:r>
                </w:p>
              </w:tc>
            </w:tr>
          </w:tbl>
          <w:p w14:paraId="5CD9781A">
            <w:pPr>
              <w:adjustRightInd w:val="0"/>
              <w:snapToGrid w:val="0"/>
              <w:spacing w:line="360" w:lineRule="auto"/>
              <w:rPr>
                <w:rFonts w:hint="default" w:ascii="Times New Roman" w:hAnsi="Times New Roman" w:cs="Times New Roman"/>
                <w:color w:val="auto"/>
                <w:kern w:val="0"/>
                <w:szCs w:val="21"/>
                <w:highlight w:val="none"/>
              </w:rPr>
            </w:pPr>
          </w:p>
        </w:tc>
      </w:tr>
    </w:tbl>
    <w:p w14:paraId="5D63FEFA">
      <w:pPr>
        <w:adjustRightInd w:val="0"/>
        <w:snapToGrid w:val="0"/>
        <w:spacing w:line="360" w:lineRule="auto"/>
        <w:rPr>
          <w:rFonts w:hint="default" w:ascii="Times New Roman" w:hAnsi="Times New Roman" w:cs="Times New Roman"/>
          <w:b/>
          <w:color w:val="auto"/>
          <w:kern w:val="0"/>
          <w:sz w:val="28"/>
          <w:szCs w:val="28"/>
          <w:highlight w:val="none"/>
        </w:rPr>
        <w:sectPr>
          <w:pgSz w:w="16840" w:h="11907" w:orient="landscape"/>
          <w:pgMar w:top="1418" w:right="1440" w:bottom="1418" w:left="1440"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6"/>
      </w:tblGrid>
      <w:tr w14:paraId="26AE7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14:paraId="53DAE3C3">
            <w:pPr>
              <w:adjustRightInd w:val="0"/>
              <w:snapToGrid w:val="0"/>
              <w:spacing w:line="360" w:lineRule="auto"/>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运营期环境影响和保护措施</w:t>
            </w:r>
          </w:p>
        </w:tc>
        <w:tc>
          <w:tcPr>
            <w:tcW w:w="8166" w:type="dxa"/>
            <w:vAlign w:val="center"/>
          </w:tcPr>
          <w:p w14:paraId="6F48D280">
            <w:pPr>
              <w:numPr>
                <w:ilvl w:val="0"/>
                <w:numId w:val="0"/>
              </w:num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szCs w:val="24"/>
                <w:highlight w:val="none"/>
                <w:lang w:val="en-US" w:eastAsia="zh-CN" w:bidi="ar-SA"/>
              </w:rPr>
              <w:t>1</w:t>
            </w:r>
            <w:r>
              <w:rPr>
                <w:rFonts w:hint="default" w:ascii="Times New Roman" w:hAnsi="Times New Roman" w:eastAsia="宋体" w:cs="Times New Roman"/>
                <w:b/>
                <w:bCs/>
                <w:color w:val="auto"/>
                <w:kern w:val="0"/>
                <w:sz w:val="24"/>
                <w:szCs w:val="24"/>
                <w:highlight w:val="none"/>
                <w:lang w:val="en-US" w:eastAsia="zh-CN" w:bidi="ar-SA"/>
              </w:rPr>
              <w:t>、</w:t>
            </w:r>
            <w:r>
              <w:rPr>
                <w:rFonts w:hint="default" w:ascii="Times New Roman" w:hAnsi="Times New Roman" w:cs="Times New Roman"/>
                <w:b/>
                <w:bCs/>
                <w:color w:val="auto"/>
                <w:kern w:val="0"/>
                <w:sz w:val="24"/>
                <w:highlight w:val="none"/>
              </w:rPr>
              <w:t>废气源强分析</w:t>
            </w:r>
          </w:p>
          <w:p w14:paraId="5E6A9108">
            <w:pPr>
              <w:numPr>
                <w:ilvl w:val="0"/>
                <w:numId w:val="0"/>
              </w:numPr>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kern w:val="0"/>
                <w:sz w:val="24"/>
                <w:highlight w:val="none"/>
              </w:rPr>
              <w:t>本项目废气主要是涂布、封胶、高压过程中产生的有机废气。</w:t>
            </w:r>
          </w:p>
          <w:p w14:paraId="03223DEB">
            <w:pPr>
              <w:numPr>
                <w:ilvl w:val="0"/>
                <w:numId w:val="0"/>
              </w:numPr>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kern w:val="0"/>
                <w:sz w:val="24"/>
                <w:highlight w:val="none"/>
              </w:rPr>
              <w:t>涂布、封胶、高压废气</w:t>
            </w:r>
          </w:p>
          <w:p w14:paraId="5EA218A8">
            <w:pPr>
              <w:numPr>
                <w:ilvl w:val="0"/>
                <w:numId w:val="0"/>
              </w:numPr>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kern w:val="0"/>
                <w:sz w:val="24"/>
                <w:highlight w:val="none"/>
                <w:lang w:val="en-US" w:eastAsia="zh-CN"/>
              </w:rPr>
              <w:t>（1）</w:t>
            </w:r>
            <w:r>
              <w:rPr>
                <w:rFonts w:hint="default" w:ascii="Times New Roman" w:hAnsi="Times New Roman" w:cs="Times New Roman"/>
                <w:b w:val="0"/>
                <w:bCs w:val="0"/>
                <w:color w:val="auto"/>
                <w:kern w:val="0"/>
                <w:sz w:val="24"/>
                <w:highlight w:val="none"/>
              </w:rPr>
              <w:t>G2-1涂布丁基胶废气</w:t>
            </w:r>
          </w:p>
          <w:p w14:paraId="7358B21F">
            <w:pPr>
              <w:numPr>
                <w:ilvl w:val="0"/>
                <w:numId w:val="0"/>
              </w:numPr>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kern w:val="0"/>
                <w:sz w:val="24"/>
                <w:highlight w:val="none"/>
              </w:rPr>
              <w:t>中空玻璃生产过程中涂布工序使用丁基胶。本项目丁基胶年用量为</w:t>
            </w:r>
            <w:r>
              <w:rPr>
                <w:rFonts w:hint="default" w:ascii="Times New Roman" w:hAnsi="Times New Roman" w:cs="Times New Roman"/>
                <w:b w:val="0"/>
                <w:bCs w:val="0"/>
                <w:color w:val="auto"/>
                <w:kern w:val="0"/>
                <w:sz w:val="24"/>
                <w:highlight w:val="none"/>
                <w:lang w:val="en-US" w:eastAsia="zh-CN"/>
              </w:rPr>
              <w:t>3.8</w:t>
            </w:r>
            <w:r>
              <w:rPr>
                <w:rFonts w:hint="default" w:ascii="Times New Roman" w:hAnsi="Times New Roman" w:cs="Times New Roman"/>
                <w:b w:val="0"/>
                <w:bCs w:val="0"/>
                <w:color w:val="auto"/>
                <w:kern w:val="0"/>
                <w:sz w:val="24"/>
                <w:highlight w:val="none"/>
              </w:rPr>
              <w:t>t/a,根据建设单位提供的检测报告，丁基胶的</w:t>
            </w:r>
            <w:r>
              <w:rPr>
                <w:rFonts w:hint="eastAsia" w:cs="Times New Roman"/>
                <w:b w:val="0"/>
                <w:bCs w:val="0"/>
                <w:color w:val="auto"/>
                <w:kern w:val="0"/>
                <w:sz w:val="24"/>
                <w:highlight w:val="none"/>
                <w:lang w:val="en-US" w:eastAsia="zh-CN"/>
              </w:rPr>
              <w:t>挥发性有机物含量</w:t>
            </w:r>
            <w:r>
              <w:rPr>
                <w:rFonts w:hint="default" w:ascii="Times New Roman" w:hAnsi="Times New Roman" w:cs="Times New Roman"/>
                <w:b w:val="0"/>
                <w:bCs w:val="0"/>
                <w:color w:val="auto"/>
                <w:kern w:val="0"/>
                <w:sz w:val="24"/>
                <w:highlight w:val="none"/>
              </w:rPr>
              <w:t>为</w:t>
            </w:r>
            <w:r>
              <w:rPr>
                <w:rFonts w:hint="eastAsia" w:cs="Times New Roman"/>
                <w:b w:val="0"/>
                <w:bCs w:val="0"/>
                <w:color w:val="auto"/>
                <w:kern w:val="0"/>
                <w:sz w:val="24"/>
                <w:highlight w:val="none"/>
                <w:lang w:val="en-US" w:eastAsia="zh-CN"/>
              </w:rPr>
              <w:t>10g/kg</w:t>
            </w:r>
            <w:r>
              <w:rPr>
                <w:rFonts w:hint="default" w:ascii="Times New Roman" w:hAnsi="Times New Roman" w:cs="Times New Roman"/>
                <w:b w:val="0"/>
                <w:bCs w:val="0"/>
                <w:color w:val="auto"/>
                <w:kern w:val="0"/>
                <w:sz w:val="24"/>
                <w:highlight w:val="none"/>
              </w:rPr>
              <w:t>，本项目按最不利情况考虑，则涂布工序产生的有机废气为</w:t>
            </w:r>
            <w:r>
              <w:rPr>
                <w:rFonts w:hint="eastAsia" w:cs="Times New Roman"/>
                <w:b w:val="0"/>
                <w:bCs w:val="0"/>
                <w:color w:val="auto"/>
                <w:kern w:val="0"/>
                <w:sz w:val="24"/>
                <w:highlight w:val="none"/>
                <w:lang w:val="en-US" w:eastAsia="zh-CN"/>
              </w:rPr>
              <w:t>0.038</w:t>
            </w:r>
            <w:r>
              <w:rPr>
                <w:rFonts w:hint="default" w:ascii="Times New Roman" w:hAnsi="Times New Roman" w:cs="Times New Roman"/>
                <w:b w:val="0"/>
                <w:bCs w:val="0"/>
                <w:color w:val="auto"/>
                <w:kern w:val="0"/>
                <w:sz w:val="24"/>
                <w:highlight w:val="none"/>
                <w:lang w:val="en-US" w:eastAsia="zh-CN"/>
              </w:rPr>
              <w:t>t</w:t>
            </w:r>
            <w:r>
              <w:rPr>
                <w:rFonts w:hint="default" w:ascii="Times New Roman" w:hAnsi="Times New Roman" w:cs="Times New Roman"/>
                <w:b w:val="0"/>
                <w:bCs w:val="0"/>
                <w:color w:val="auto"/>
                <w:kern w:val="0"/>
                <w:sz w:val="24"/>
                <w:highlight w:val="none"/>
              </w:rPr>
              <w:t>/a。</w:t>
            </w:r>
          </w:p>
          <w:p w14:paraId="2696C142">
            <w:pPr>
              <w:numPr>
                <w:ilvl w:val="0"/>
                <w:numId w:val="0"/>
              </w:numPr>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kern w:val="0"/>
                <w:sz w:val="24"/>
                <w:highlight w:val="none"/>
                <w:lang w:val="en-US" w:eastAsia="zh-CN"/>
              </w:rPr>
              <w:t>（2）G2-2</w:t>
            </w:r>
            <w:r>
              <w:rPr>
                <w:rFonts w:hint="default" w:ascii="Times New Roman" w:hAnsi="Times New Roman" w:cs="Times New Roman"/>
                <w:b w:val="0"/>
                <w:bCs w:val="0"/>
                <w:color w:val="auto"/>
                <w:kern w:val="0"/>
                <w:sz w:val="24"/>
                <w:highlight w:val="none"/>
              </w:rPr>
              <w:t>封胶废气</w:t>
            </w:r>
          </w:p>
          <w:p w14:paraId="7BC02350">
            <w:pPr>
              <w:numPr>
                <w:ilvl w:val="0"/>
                <w:numId w:val="0"/>
              </w:numPr>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kern w:val="0"/>
                <w:sz w:val="24"/>
                <w:highlight w:val="none"/>
              </w:rPr>
              <w:t>中空玻璃生产过程中封胶工序使用双组份密封胶，在加热过程中会产生有机废气，以非甲烷总烃计。本项目双组份密封胶年用量为</w:t>
            </w:r>
            <w:r>
              <w:rPr>
                <w:rFonts w:hint="default" w:ascii="Times New Roman" w:hAnsi="Times New Roman" w:cs="Times New Roman"/>
                <w:b w:val="0"/>
                <w:bCs w:val="0"/>
                <w:color w:val="auto"/>
                <w:kern w:val="0"/>
                <w:sz w:val="24"/>
                <w:highlight w:val="none"/>
                <w:lang w:val="en-US" w:eastAsia="zh-CN"/>
              </w:rPr>
              <w:t>86t/</w:t>
            </w:r>
            <w:r>
              <w:rPr>
                <w:rFonts w:hint="default" w:ascii="Times New Roman" w:hAnsi="Times New Roman" w:cs="Times New Roman"/>
                <w:b w:val="0"/>
                <w:bCs w:val="0"/>
                <w:color w:val="auto"/>
                <w:kern w:val="0"/>
                <w:sz w:val="24"/>
                <w:highlight w:val="none"/>
              </w:rPr>
              <w:t>a</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rPr>
              <w:t>根据建设单位提供的检测报告，双组份密封胶中挥发性有机化合物含量为</w:t>
            </w:r>
            <w:r>
              <w:rPr>
                <w:rFonts w:hint="eastAsia" w:cs="Times New Roman"/>
                <w:b w:val="0"/>
                <w:bCs w:val="0"/>
                <w:color w:val="auto"/>
                <w:kern w:val="0"/>
                <w:sz w:val="24"/>
                <w:highlight w:val="none"/>
                <w:lang w:val="en-US" w:eastAsia="zh-CN"/>
              </w:rPr>
              <w:t>16</w:t>
            </w:r>
            <w:r>
              <w:rPr>
                <w:rFonts w:hint="default" w:ascii="Times New Roman" w:hAnsi="Times New Roman" w:cs="Times New Roman"/>
                <w:b w:val="0"/>
                <w:bCs w:val="0"/>
                <w:color w:val="auto"/>
                <w:kern w:val="0"/>
                <w:sz w:val="24"/>
                <w:highlight w:val="none"/>
              </w:rPr>
              <w:t>g/kg</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rPr>
              <w:t>则封胶工序产生的有机废气为</w:t>
            </w:r>
            <w:r>
              <w:rPr>
                <w:rFonts w:hint="eastAsia" w:ascii="Times New Roman" w:hAnsi="Times New Roman" w:cs="Times New Roman"/>
                <w:b w:val="0"/>
                <w:bCs w:val="0"/>
                <w:color w:val="auto"/>
                <w:kern w:val="0"/>
                <w:sz w:val="24"/>
                <w:highlight w:val="none"/>
                <w:lang w:val="en-US" w:eastAsia="zh-CN"/>
              </w:rPr>
              <w:t>1.376</w:t>
            </w:r>
            <w:r>
              <w:rPr>
                <w:rFonts w:hint="default" w:ascii="Times New Roman" w:hAnsi="Times New Roman" w:cs="Times New Roman"/>
                <w:b w:val="0"/>
                <w:bCs w:val="0"/>
                <w:color w:val="auto"/>
                <w:kern w:val="0"/>
                <w:sz w:val="24"/>
                <w:highlight w:val="none"/>
                <w:lang w:val="en-US" w:eastAsia="zh-CN"/>
              </w:rPr>
              <w:t>t</w:t>
            </w:r>
            <w:r>
              <w:rPr>
                <w:rFonts w:hint="default" w:ascii="Times New Roman" w:hAnsi="Times New Roman" w:cs="Times New Roman"/>
                <w:b w:val="0"/>
                <w:bCs w:val="0"/>
                <w:color w:val="auto"/>
                <w:kern w:val="0"/>
                <w:sz w:val="24"/>
                <w:highlight w:val="none"/>
              </w:rPr>
              <w:t>/a。</w:t>
            </w:r>
          </w:p>
          <w:p w14:paraId="7F434C05">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cs="Times New Roman"/>
                <w:b w:val="0"/>
                <w:bCs w:val="0"/>
                <w:color w:val="auto"/>
                <w:kern w:val="0"/>
                <w:sz w:val="24"/>
                <w:highlight w:val="none"/>
                <w:lang w:val="en-US" w:eastAsia="zh-CN"/>
              </w:rPr>
              <w:t>（3）G3-1</w:t>
            </w:r>
            <w:r>
              <w:rPr>
                <w:rFonts w:hint="default" w:ascii="Times New Roman" w:hAnsi="Times New Roman" w:cs="Times New Roman"/>
                <w:b w:val="0"/>
                <w:bCs w:val="0"/>
                <w:color w:val="auto"/>
                <w:kern w:val="0"/>
                <w:sz w:val="24"/>
                <w:highlight w:val="none"/>
              </w:rPr>
              <w:t>高压废气</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lang w:val="en-US" w:eastAsia="zh-CN"/>
              </w:rPr>
              <w:t>固化</w:t>
            </w:r>
            <w:r>
              <w:rPr>
                <w:rFonts w:hint="default" w:ascii="Times New Roman" w:hAnsi="Times New Roman" w:cs="Times New Roman"/>
                <w:b w:val="0"/>
                <w:bCs w:val="0"/>
                <w:color w:val="auto"/>
                <w:kern w:val="0"/>
                <w:sz w:val="24"/>
                <w:highlight w:val="none"/>
                <w:lang w:eastAsia="zh-CN"/>
              </w:rPr>
              <w:t>）</w:t>
            </w:r>
          </w:p>
          <w:p w14:paraId="788A5A99">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cs="Times New Roman"/>
                <w:b w:val="0"/>
                <w:bCs w:val="0"/>
                <w:color w:val="auto"/>
                <w:kern w:val="0"/>
                <w:sz w:val="24"/>
                <w:highlight w:val="none"/>
              </w:rPr>
              <w:t>夹胶玻璃生产过程中使用PVB胶片，PVB胶片加热温度约为120℃~140℃，分解温度200℃，因此，本项目加热温度不会导致原料分解，不会产生聚乙烯醇和丁醛废气。PVB胶片原料为片状，生产搬运过程无粉尘产生，仅在高压加热过程有少量有机废气产生，以非甲烷总烃计。本项目PVB胶片年用量为</w:t>
            </w:r>
            <w:r>
              <w:rPr>
                <w:rFonts w:hint="default" w:ascii="Times New Roman" w:hAnsi="Times New Roman" w:cs="Times New Roman"/>
                <w:b w:val="0"/>
                <w:bCs w:val="0"/>
                <w:color w:val="auto"/>
                <w:kern w:val="0"/>
                <w:sz w:val="24"/>
                <w:highlight w:val="none"/>
                <w:lang w:val="en-US" w:eastAsia="zh-CN"/>
              </w:rPr>
              <w:t>2.8万m</w:t>
            </w:r>
            <w:r>
              <w:rPr>
                <w:rFonts w:hint="default" w:ascii="Times New Roman" w:hAnsi="Times New Roman" w:cs="Times New Roman"/>
                <w:b w:val="0"/>
                <w:bCs w:val="0"/>
                <w:color w:val="auto"/>
                <w:kern w:val="0"/>
                <w:sz w:val="24"/>
                <w:highlight w:val="none"/>
                <w:vertAlign w:val="superscript"/>
                <w:lang w:val="en-US" w:eastAsia="zh-CN"/>
              </w:rPr>
              <w:t>2</w:t>
            </w:r>
            <w:r>
              <w:rPr>
                <w:rFonts w:hint="default" w:ascii="Times New Roman" w:hAnsi="Times New Roman" w:cs="Times New Roman"/>
                <w:b w:val="0"/>
                <w:bCs w:val="0"/>
                <w:color w:val="auto"/>
                <w:kern w:val="0"/>
                <w:sz w:val="24"/>
                <w:highlight w:val="none"/>
              </w:rPr>
              <w:t>，根据建设单位提供的检测报告，考虑PVB胶片的延展性，取PVB平均厚度0.7mm</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rPr>
              <w:t>PVB胶片密度为1.08g/cm</w:t>
            </w:r>
            <w:r>
              <w:rPr>
                <w:rFonts w:hint="default" w:ascii="Times New Roman" w:hAnsi="Times New Roman" w:cs="Times New Roman"/>
                <w:b w:val="0"/>
                <w:bCs w:val="0"/>
                <w:color w:val="auto"/>
                <w:kern w:val="0"/>
                <w:sz w:val="24"/>
                <w:highlight w:val="none"/>
                <w:vertAlign w:val="superscript"/>
              </w:rPr>
              <w:t>3</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rPr>
              <w:t>则理论PVB胶片用量为</w:t>
            </w:r>
            <w:r>
              <w:rPr>
                <w:rFonts w:hint="default" w:ascii="Times New Roman" w:hAnsi="Times New Roman" w:cs="Times New Roman"/>
                <w:b w:val="0"/>
                <w:bCs w:val="0"/>
                <w:color w:val="auto"/>
                <w:kern w:val="0"/>
                <w:sz w:val="24"/>
                <w:highlight w:val="none"/>
                <w:lang w:val="en-US" w:eastAsia="zh-CN"/>
              </w:rPr>
              <w:t>21.168</w:t>
            </w:r>
            <w:r>
              <w:rPr>
                <w:rFonts w:hint="default" w:ascii="Times New Roman" w:hAnsi="Times New Roman" w:cs="Times New Roman"/>
                <w:b w:val="0"/>
                <w:bCs w:val="0"/>
                <w:color w:val="auto"/>
                <w:kern w:val="0"/>
                <w:sz w:val="24"/>
                <w:highlight w:val="none"/>
              </w:rPr>
              <w:t>t/a</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rPr>
              <w:t>同时考虑实际生产中可能增加5%-10%的损耗余量，故PVB胶片用量</w:t>
            </w:r>
            <w:r>
              <w:rPr>
                <w:rFonts w:hint="default" w:ascii="Times New Roman" w:hAnsi="Times New Roman" w:cs="Times New Roman"/>
                <w:b w:val="0"/>
                <w:bCs w:val="0"/>
                <w:color w:val="auto"/>
                <w:kern w:val="0"/>
                <w:sz w:val="24"/>
                <w:highlight w:val="none"/>
                <w:lang w:val="en-US" w:eastAsia="zh-CN"/>
              </w:rPr>
              <w:t>22.86</w:t>
            </w:r>
            <w:r>
              <w:rPr>
                <w:rFonts w:hint="default" w:ascii="Times New Roman" w:hAnsi="Times New Roman" w:cs="Times New Roman"/>
                <w:b w:val="0"/>
                <w:bCs w:val="0"/>
                <w:color w:val="auto"/>
                <w:kern w:val="0"/>
                <w:sz w:val="24"/>
                <w:highlight w:val="none"/>
              </w:rPr>
              <w:t>t/a合理。PVB胶片中挥发性质量分数为0.53%，本项目按最不利</w:t>
            </w:r>
            <w:r>
              <w:rPr>
                <w:rFonts w:hint="default" w:ascii="Times New Roman" w:hAnsi="Times New Roman" w:cs="Times New Roman"/>
                <w:b w:val="0"/>
                <w:bCs w:val="0"/>
                <w:color w:val="auto"/>
                <w:kern w:val="0"/>
                <w:sz w:val="24"/>
                <w:highlight w:val="none"/>
                <w:lang w:eastAsia="zh-CN"/>
              </w:rPr>
              <w:t>情况</w:t>
            </w:r>
            <w:r>
              <w:rPr>
                <w:rFonts w:hint="default" w:ascii="Times New Roman" w:hAnsi="Times New Roman" w:cs="Times New Roman"/>
                <w:b w:val="0"/>
                <w:bCs w:val="0"/>
                <w:color w:val="auto"/>
                <w:kern w:val="0"/>
                <w:sz w:val="24"/>
                <w:highlight w:val="none"/>
              </w:rPr>
              <w:t>考虑，即PVB胶片中有机成分全部挥发，则高压工序产生的有机废气为</w:t>
            </w:r>
            <w:r>
              <w:rPr>
                <w:rFonts w:hint="default" w:ascii="Times New Roman" w:hAnsi="Times New Roman" w:cs="Times New Roman"/>
                <w:b w:val="0"/>
                <w:bCs w:val="0"/>
                <w:color w:val="auto"/>
                <w:kern w:val="0"/>
                <w:sz w:val="24"/>
                <w:highlight w:val="none"/>
                <w:lang w:val="en-US" w:eastAsia="zh-CN"/>
              </w:rPr>
              <w:t>0.121</w:t>
            </w:r>
            <w:r>
              <w:rPr>
                <w:rFonts w:hint="default" w:ascii="Times New Roman" w:hAnsi="Times New Roman" w:cs="Times New Roman"/>
                <w:b w:val="0"/>
                <w:bCs w:val="0"/>
                <w:color w:val="auto"/>
                <w:kern w:val="0"/>
                <w:sz w:val="24"/>
                <w:highlight w:val="none"/>
              </w:rPr>
              <w:t>t/a</w:t>
            </w:r>
            <w:r>
              <w:rPr>
                <w:rFonts w:hint="default" w:ascii="Times New Roman" w:hAnsi="Times New Roman" w:cs="Times New Roman"/>
                <w:b w:val="0"/>
                <w:bCs w:val="0"/>
                <w:color w:val="auto"/>
                <w:kern w:val="0"/>
                <w:sz w:val="24"/>
                <w:highlight w:val="none"/>
                <w:lang w:eastAsia="zh-CN"/>
              </w:rPr>
              <w:t>。</w:t>
            </w:r>
          </w:p>
          <w:p w14:paraId="09C224FB">
            <w:pPr>
              <w:numPr>
                <w:ilvl w:val="0"/>
                <w:numId w:val="0"/>
              </w:num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2、</w:t>
            </w:r>
            <w:r>
              <w:rPr>
                <w:rFonts w:hint="default" w:ascii="Times New Roman" w:hAnsi="Times New Roman" w:cs="Times New Roman"/>
                <w:b/>
                <w:bCs/>
                <w:color w:val="auto"/>
                <w:kern w:val="0"/>
                <w:sz w:val="24"/>
                <w:highlight w:val="none"/>
              </w:rPr>
              <w:t>防治措施</w:t>
            </w:r>
          </w:p>
          <w:p w14:paraId="0C605EF6">
            <w:pPr>
              <w:numPr>
                <w:ilvl w:val="0"/>
                <w:numId w:val="0"/>
              </w:numPr>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kern w:val="0"/>
                <w:sz w:val="24"/>
                <w:highlight w:val="none"/>
              </w:rPr>
              <w:t>本项目拟在中空玻璃生产线中自动封胶线、涂胶机</w:t>
            </w:r>
            <w:r>
              <w:rPr>
                <w:rFonts w:hint="default" w:ascii="Times New Roman" w:hAnsi="Times New Roman" w:cs="Times New Roman"/>
                <w:b w:val="0"/>
                <w:bCs w:val="0"/>
                <w:color w:val="auto"/>
                <w:kern w:val="0"/>
                <w:sz w:val="24"/>
                <w:highlight w:val="none"/>
                <w:lang w:eastAsia="zh-CN"/>
              </w:rPr>
              <w:t>的</w:t>
            </w:r>
            <w:r>
              <w:rPr>
                <w:rFonts w:hint="default" w:ascii="Times New Roman" w:hAnsi="Times New Roman" w:cs="Times New Roman"/>
                <w:b w:val="0"/>
                <w:bCs w:val="0"/>
                <w:color w:val="auto"/>
                <w:kern w:val="0"/>
                <w:sz w:val="24"/>
                <w:highlight w:val="none"/>
              </w:rPr>
              <w:t>产污节点处设置集气罩，集气效率90%，另在高压釜的排气口设置封闭管道收集废气，集气效率9</w:t>
            </w:r>
            <w:r>
              <w:rPr>
                <w:rFonts w:hint="default" w:ascii="Times New Roman" w:hAnsi="Times New Roman" w:cs="Times New Roman"/>
                <w:b w:val="0"/>
                <w:bCs w:val="0"/>
                <w:color w:val="auto"/>
                <w:kern w:val="0"/>
                <w:sz w:val="24"/>
                <w:highlight w:val="none"/>
                <w:lang w:val="en-US" w:eastAsia="zh-CN"/>
              </w:rPr>
              <w:t>0</w:t>
            </w:r>
            <w:r>
              <w:rPr>
                <w:rFonts w:hint="default" w:ascii="Times New Roman" w:hAnsi="Times New Roman" w:cs="Times New Roman"/>
                <w:b w:val="0"/>
                <w:bCs w:val="0"/>
                <w:color w:val="auto"/>
                <w:kern w:val="0"/>
                <w:sz w:val="24"/>
                <w:highlight w:val="none"/>
              </w:rPr>
              <w:t>%。有机废气经收集后采用二级活性炭吸附装置处理，处理效率90%，</w:t>
            </w:r>
            <w:r>
              <w:rPr>
                <w:rFonts w:hint="default" w:ascii="Times New Roman" w:hAnsi="Times New Roman" w:cs="Times New Roman"/>
                <w:b w:val="0"/>
                <w:bCs w:val="0"/>
                <w:color w:val="auto"/>
                <w:kern w:val="0"/>
                <w:sz w:val="24"/>
                <w:highlight w:val="none"/>
                <w:lang w:val="en-US" w:eastAsia="zh-CN"/>
              </w:rPr>
              <w:t>设计</w:t>
            </w:r>
            <w:r>
              <w:rPr>
                <w:rFonts w:hint="default" w:ascii="Times New Roman" w:hAnsi="Times New Roman" w:cs="Times New Roman"/>
                <w:b w:val="0"/>
                <w:bCs w:val="0"/>
                <w:color w:val="auto"/>
                <w:kern w:val="0"/>
                <w:sz w:val="24"/>
                <w:highlight w:val="none"/>
              </w:rPr>
              <w:t>风机风量</w:t>
            </w:r>
            <w:r>
              <w:rPr>
                <w:rFonts w:hint="default" w:ascii="Times New Roman" w:hAnsi="Times New Roman" w:cs="Times New Roman"/>
                <w:b w:val="0"/>
                <w:bCs w:val="0"/>
                <w:color w:val="auto"/>
                <w:kern w:val="0"/>
                <w:sz w:val="24"/>
                <w:highlight w:val="none"/>
                <w:lang w:val="en-US" w:eastAsia="zh-CN"/>
              </w:rPr>
              <w:t>10</w:t>
            </w:r>
            <w:r>
              <w:rPr>
                <w:rFonts w:hint="default" w:ascii="Times New Roman" w:hAnsi="Times New Roman" w:cs="Times New Roman"/>
                <w:b w:val="0"/>
                <w:bCs w:val="0"/>
                <w:color w:val="auto"/>
                <w:kern w:val="0"/>
                <w:sz w:val="24"/>
                <w:highlight w:val="none"/>
              </w:rPr>
              <w:t>000m</w:t>
            </w:r>
            <w:r>
              <w:rPr>
                <w:rFonts w:hint="default" w:ascii="Times New Roman" w:hAnsi="Times New Roman" w:cs="Times New Roman"/>
                <w:b w:val="0"/>
                <w:bCs w:val="0"/>
                <w:color w:val="auto"/>
                <w:kern w:val="0"/>
                <w:sz w:val="24"/>
                <w:highlight w:val="none"/>
                <w:vertAlign w:val="superscript"/>
              </w:rPr>
              <w:t>3</w:t>
            </w:r>
            <w:r>
              <w:rPr>
                <w:rFonts w:hint="default" w:ascii="Times New Roman" w:hAnsi="Times New Roman" w:cs="Times New Roman"/>
                <w:b w:val="0"/>
                <w:bCs w:val="0"/>
                <w:color w:val="auto"/>
                <w:kern w:val="0"/>
                <w:sz w:val="24"/>
                <w:highlight w:val="none"/>
                <w:lang w:val="en-US" w:eastAsia="zh-CN"/>
              </w:rPr>
              <w:t>/</w:t>
            </w:r>
            <w:r>
              <w:rPr>
                <w:rFonts w:hint="default" w:ascii="Times New Roman" w:hAnsi="Times New Roman" w:cs="Times New Roman"/>
                <w:b w:val="0"/>
                <w:bCs w:val="0"/>
                <w:color w:val="auto"/>
                <w:kern w:val="0"/>
                <w:sz w:val="24"/>
                <w:highlight w:val="none"/>
              </w:rPr>
              <w:t>h</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rPr>
              <w:t>则有机废气中非甲烷总烃</w:t>
            </w:r>
            <w:r>
              <w:rPr>
                <w:rFonts w:hint="default" w:ascii="Times New Roman" w:hAnsi="Times New Roman" w:cs="Times New Roman"/>
                <w:b w:val="0"/>
                <w:bCs w:val="0"/>
                <w:color w:val="auto"/>
                <w:kern w:val="0"/>
                <w:sz w:val="24"/>
                <w:highlight w:val="none"/>
                <w:lang w:val="en-US" w:eastAsia="zh-CN"/>
              </w:rPr>
              <w:t>产生量</w:t>
            </w:r>
            <w:r>
              <w:rPr>
                <w:rFonts w:hint="default" w:ascii="Times New Roman" w:hAnsi="Times New Roman" w:cs="Times New Roman"/>
                <w:b w:val="0"/>
                <w:bCs w:val="0"/>
                <w:color w:val="auto"/>
                <w:kern w:val="0"/>
                <w:sz w:val="24"/>
                <w:highlight w:val="none"/>
              </w:rPr>
              <w:t>约为</w:t>
            </w:r>
            <w:r>
              <w:rPr>
                <w:rFonts w:hint="eastAsia" w:cs="Times New Roman"/>
                <w:b w:val="0"/>
                <w:bCs w:val="0"/>
                <w:color w:val="auto"/>
                <w:kern w:val="0"/>
                <w:sz w:val="24"/>
                <w:highlight w:val="none"/>
                <w:lang w:val="en-US" w:eastAsia="zh-CN"/>
              </w:rPr>
              <w:t>1.535</w:t>
            </w:r>
            <w:r>
              <w:rPr>
                <w:rFonts w:hint="default" w:ascii="Times New Roman" w:hAnsi="Times New Roman" w:cs="Times New Roman"/>
                <w:b w:val="0"/>
                <w:bCs w:val="0"/>
                <w:color w:val="auto"/>
                <w:kern w:val="0"/>
                <w:sz w:val="24"/>
                <w:highlight w:val="none"/>
              </w:rPr>
              <w:t>t/a</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lang w:val="en-US" w:eastAsia="zh-CN"/>
              </w:rPr>
              <w:t>有组织的产生量为</w:t>
            </w:r>
            <w:r>
              <w:rPr>
                <w:rFonts w:hint="eastAsia" w:cs="Times New Roman"/>
                <w:b w:val="0"/>
                <w:bCs w:val="0"/>
                <w:color w:val="auto"/>
                <w:kern w:val="0"/>
                <w:sz w:val="24"/>
                <w:highlight w:val="none"/>
                <w:lang w:val="en-US" w:eastAsia="zh-CN"/>
              </w:rPr>
              <w:t>1.382</w:t>
            </w:r>
            <w:r>
              <w:rPr>
                <w:rFonts w:hint="default" w:ascii="Times New Roman" w:hAnsi="Times New Roman" w:cs="Times New Roman"/>
                <w:b w:val="0"/>
                <w:bCs w:val="0"/>
                <w:color w:val="auto"/>
                <w:kern w:val="0"/>
                <w:sz w:val="24"/>
                <w:highlight w:val="none"/>
                <w:lang w:val="en-US" w:eastAsia="zh-CN"/>
              </w:rPr>
              <w:t>t/a，产生</w:t>
            </w:r>
            <w:r>
              <w:rPr>
                <w:rFonts w:hint="default" w:ascii="Times New Roman" w:hAnsi="Times New Roman" w:cs="Times New Roman"/>
                <w:b w:val="0"/>
                <w:bCs w:val="0"/>
                <w:color w:val="auto"/>
                <w:kern w:val="0"/>
                <w:sz w:val="24"/>
                <w:highlight w:val="none"/>
              </w:rPr>
              <w:t>速率为</w:t>
            </w:r>
            <w:r>
              <w:rPr>
                <w:rFonts w:hint="eastAsia" w:cs="Times New Roman"/>
                <w:b w:val="0"/>
                <w:bCs w:val="0"/>
                <w:color w:val="auto"/>
                <w:kern w:val="0"/>
                <w:sz w:val="24"/>
                <w:highlight w:val="none"/>
                <w:lang w:val="en-US" w:eastAsia="zh-CN"/>
              </w:rPr>
              <w:t>0.576</w:t>
            </w:r>
            <w:r>
              <w:rPr>
                <w:rFonts w:hint="default" w:ascii="Times New Roman" w:hAnsi="Times New Roman" w:cs="Times New Roman"/>
                <w:b w:val="0"/>
                <w:bCs w:val="0"/>
                <w:color w:val="auto"/>
                <w:kern w:val="0"/>
                <w:sz w:val="24"/>
                <w:highlight w:val="none"/>
              </w:rPr>
              <w:t>kg/h</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lang w:val="en-US" w:eastAsia="zh-CN"/>
              </w:rPr>
              <w:t>产生</w:t>
            </w:r>
            <w:r>
              <w:rPr>
                <w:rFonts w:hint="default" w:ascii="Times New Roman" w:hAnsi="Times New Roman" w:cs="Times New Roman"/>
                <w:b w:val="0"/>
                <w:bCs w:val="0"/>
                <w:color w:val="auto"/>
                <w:kern w:val="0"/>
                <w:sz w:val="24"/>
                <w:highlight w:val="none"/>
              </w:rPr>
              <w:t>浓度</w:t>
            </w:r>
            <w:r>
              <w:rPr>
                <w:rFonts w:hint="eastAsia" w:cs="Times New Roman"/>
                <w:b w:val="0"/>
                <w:bCs w:val="0"/>
                <w:color w:val="auto"/>
                <w:kern w:val="0"/>
                <w:sz w:val="24"/>
                <w:highlight w:val="none"/>
                <w:lang w:val="en-US" w:eastAsia="zh-CN"/>
              </w:rPr>
              <w:t>57.56</w:t>
            </w:r>
            <w:r>
              <w:rPr>
                <w:rFonts w:hint="default" w:ascii="Times New Roman" w:hAnsi="Times New Roman" w:cs="Times New Roman"/>
                <w:b w:val="0"/>
                <w:bCs w:val="0"/>
                <w:color w:val="auto"/>
                <w:kern w:val="0"/>
                <w:sz w:val="24"/>
                <w:highlight w:val="none"/>
              </w:rPr>
              <w:t>mg</w:t>
            </w:r>
            <w:r>
              <w:rPr>
                <w:rFonts w:hint="default" w:ascii="Times New Roman" w:hAnsi="Times New Roman" w:cs="Times New Roman"/>
                <w:b w:val="0"/>
                <w:bCs w:val="0"/>
                <w:color w:val="auto"/>
                <w:kern w:val="0"/>
                <w:sz w:val="24"/>
                <w:highlight w:val="none"/>
                <w:lang w:val="en-US" w:eastAsia="zh-CN"/>
              </w:rPr>
              <w:t>/</w:t>
            </w:r>
            <w:r>
              <w:rPr>
                <w:rFonts w:hint="default" w:ascii="Times New Roman" w:hAnsi="Times New Roman" w:cs="Times New Roman"/>
                <w:b w:val="0"/>
                <w:bCs w:val="0"/>
                <w:color w:val="auto"/>
                <w:kern w:val="0"/>
                <w:sz w:val="24"/>
                <w:highlight w:val="none"/>
              </w:rPr>
              <w:t>m</w:t>
            </w:r>
            <w:r>
              <w:rPr>
                <w:rFonts w:hint="default" w:ascii="Times New Roman" w:hAnsi="Times New Roman" w:cs="Times New Roman"/>
                <w:b w:val="0"/>
                <w:bCs w:val="0"/>
                <w:color w:val="auto"/>
                <w:kern w:val="0"/>
                <w:sz w:val="24"/>
                <w:highlight w:val="none"/>
                <w:vertAlign w:val="superscript"/>
              </w:rPr>
              <w:t>3</w:t>
            </w:r>
            <w:r>
              <w:rPr>
                <w:rFonts w:hint="default" w:ascii="Times New Roman" w:hAnsi="Times New Roman" w:cs="Times New Roman"/>
                <w:b w:val="0"/>
                <w:bCs w:val="0"/>
                <w:color w:val="auto"/>
                <w:kern w:val="0"/>
                <w:sz w:val="24"/>
                <w:highlight w:val="none"/>
                <w:vertAlign w:val="baseline"/>
                <w:lang w:eastAsia="zh-CN"/>
              </w:rPr>
              <w:t>，</w:t>
            </w:r>
            <w:r>
              <w:rPr>
                <w:rFonts w:hint="default" w:ascii="Times New Roman" w:hAnsi="Times New Roman" w:cs="Times New Roman"/>
                <w:b w:val="0"/>
                <w:bCs w:val="0"/>
                <w:color w:val="auto"/>
                <w:kern w:val="0"/>
                <w:sz w:val="24"/>
                <w:highlight w:val="none"/>
                <w:lang w:val="en-US" w:eastAsia="zh-CN"/>
              </w:rPr>
              <w:t>有组织的排放量为</w:t>
            </w:r>
            <w:r>
              <w:rPr>
                <w:rFonts w:hint="eastAsia" w:cs="Times New Roman"/>
                <w:b w:val="0"/>
                <w:bCs w:val="0"/>
                <w:color w:val="auto"/>
                <w:kern w:val="0"/>
                <w:sz w:val="24"/>
                <w:highlight w:val="none"/>
                <w:lang w:val="en-US" w:eastAsia="zh-CN"/>
              </w:rPr>
              <w:t>0.138</w:t>
            </w:r>
            <w:r>
              <w:rPr>
                <w:rFonts w:hint="default" w:ascii="Times New Roman" w:hAnsi="Times New Roman" w:cs="Times New Roman"/>
                <w:b w:val="0"/>
                <w:bCs w:val="0"/>
                <w:color w:val="auto"/>
                <w:kern w:val="0"/>
                <w:sz w:val="24"/>
                <w:highlight w:val="none"/>
                <w:lang w:val="en-US" w:eastAsia="zh-CN"/>
              </w:rPr>
              <w:t>t/a，</w:t>
            </w:r>
            <w:r>
              <w:rPr>
                <w:rFonts w:hint="default" w:ascii="Times New Roman" w:hAnsi="Times New Roman" w:cs="Times New Roman"/>
                <w:b w:val="0"/>
                <w:bCs w:val="0"/>
                <w:color w:val="auto"/>
                <w:kern w:val="0"/>
                <w:sz w:val="24"/>
                <w:highlight w:val="none"/>
              </w:rPr>
              <w:t>排放速率为</w:t>
            </w:r>
            <w:r>
              <w:rPr>
                <w:rFonts w:hint="eastAsia" w:cs="Times New Roman"/>
                <w:b w:val="0"/>
                <w:bCs w:val="0"/>
                <w:color w:val="auto"/>
                <w:kern w:val="0"/>
                <w:sz w:val="24"/>
                <w:highlight w:val="none"/>
                <w:lang w:val="en-US" w:eastAsia="zh-CN"/>
              </w:rPr>
              <w:t>0.058</w:t>
            </w:r>
            <w:r>
              <w:rPr>
                <w:rFonts w:hint="default" w:ascii="Times New Roman" w:hAnsi="Times New Roman" w:cs="Times New Roman"/>
                <w:b w:val="0"/>
                <w:bCs w:val="0"/>
                <w:color w:val="auto"/>
                <w:kern w:val="0"/>
                <w:sz w:val="24"/>
                <w:highlight w:val="none"/>
              </w:rPr>
              <w:t>kg/h</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rPr>
              <w:t>排放浓度</w:t>
            </w:r>
            <w:r>
              <w:rPr>
                <w:rFonts w:hint="eastAsia" w:cs="Times New Roman"/>
                <w:b w:val="0"/>
                <w:bCs w:val="0"/>
                <w:color w:val="auto"/>
                <w:kern w:val="0"/>
                <w:sz w:val="24"/>
                <w:highlight w:val="none"/>
                <w:lang w:val="en-US" w:eastAsia="zh-CN"/>
              </w:rPr>
              <w:t>5.756</w:t>
            </w:r>
            <w:r>
              <w:rPr>
                <w:rFonts w:hint="default" w:ascii="Times New Roman" w:hAnsi="Times New Roman" w:cs="Times New Roman"/>
                <w:b w:val="0"/>
                <w:bCs w:val="0"/>
                <w:color w:val="auto"/>
                <w:kern w:val="0"/>
                <w:sz w:val="24"/>
                <w:highlight w:val="none"/>
              </w:rPr>
              <w:t>mg</w:t>
            </w:r>
            <w:r>
              <w:rPr>
                <w:rFonts w:hint="default" w:ascii="Times New Roman" w:hAnsi="Times New Roman" w:cs="Times New Roman"/>
                <w:b w:val="0"/>
                <w:bCs w:val="0"/>
                <w:color w:val="auto"/>
                <w:kern w:val="0"/>
                <w:sz w:val="24"/>
                <w:highlight w:val="none"/>
                <w:lang w:val="en-US" w:eastAsia="zh-CN"/>
              </w:rPr>
              <w:t>/</w:t>
            </w:r>
            <w:r>
              <w:rPr>
                <w:rFonts w:hint="default" w:ascii="Times New Roman" w:hAnsi="Times New Roman" w:cs="Times New Roman"/>
                <w:b w:val="0"/>
                <w:bCs w:val="0"/>
                <w:color w:val="auto"/>
                <w:kern w:val="0"/>
                <w:sz w:val="24"/>
                <w:highlight w:val="none"/>
              </w:rPr>
              <w:t>m</w:t>
            </w:r>
            <w:r>
              <w:rPr>
                <w:rFonts w:hint="default" w:ascii="Times New Roman" w:hAnsi="Times New Roman" w:cs="Times New Roman"/>
                <w:b w:val="0"/>
                <w:bCs w:val="0"/>
                <w:color w:val="auto"/>
                <w:kern w:val="0"/>
                <w:sz w:val="24"/>
                <w:highlight w:val="none"/>
                <w:vertAlign w:val="superscript"/>
              </w:rPr>
              <w:t>3</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rPr>
              <w:t>通过1根15m高</w:t>
            </w:r>
            <w:r>
              <w:rPr>
                <w:rFonts w:hint="default" w:ascii="Times New Roman" w:hAnsi="Times New Roman" w:cs="Times New Roman"/>
                <w:b w:val="0"/>
                <w:bCs w:val="0"/>
                <w:color w:val="auto"/>
                <w:kern w:val="0"/>
                <w:sz w:val="24"/>
                <w:highlight w:val="none"/>
                <w:lang w:eastAsia="zh-CN"/>
              </w:rPr>
              <w:t>排气筒</w:t>
            </w:r>
            <w:r>
              <w:rPr>
                <w:rFonts w:hint="default" w:ascii="Times New Roman" w:hAnsi="Times New Roman" w:cs="Times New Roman"/>
                <w:b w:val="0"/>
                <w:bCs w:val="0"/>
                <w:color w:val="auto"/>
                <w:kern w:val="0"/>
                <w:sz w:val="24"/>
                <w:highlight w:val="none"/>
              </w:rPr>
              <w:t>(DA001)排放。</w:t>
            </w:r>
          </w:p>
          <w:p w14:paraId="240884E7">
            <w:pPr>
              <w:numPr>
                <w:ilvl w:val="0"/>
                <w:numId w:val="0"/>
              </w:numPr>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rPr>
            </w:pPr>
            <w:r>
              <w:rPr>
                <w:rFonts w:hint="default" w:ascii="Times New Roman" w:hAnsi="Times New Roman" w:cs="Times New Roman"/>
                <w:b w:val="0"/>
                <w:bCs w:val="0"/>
                <w:color w:val="auto"/>
                <w:kern w:val="0"/>
                <w:sz w:val="24"/>
                <w:highlight w:val="none"/>
              </w:rPr>
              <w:t>另有10%的废气呈无组织排放，非甲烷总烃无组织排放量为</w:t>
            </w:r>
            <w:r>
              <w:rPr>
                <w:rFonts w:hint="eastAsia" w:cs="Times New Roman"/>
                <w:b w:val="0"/>
                <w:bCs w:val="0"/>
                <w:color w:val="auto"/>
                <w:kern w:val="0"/>
                <w:sz w:val="24"/>
                <w:highlight w:val="none"/>
                <w:lang w:val="en-US" w:eastAsia="zh-CN"/>
              </w:rPr>
              <w:t>0.154</w:t>
            </w:r>
            <w:r>
              <w:rPr>
                <w:rFonts w:hint="default" w:ascii="Times New Roman" w:hAnsi="Times New Roman" w:cs="Times New Roman"/>
                <w:b w:val="0"/>
                <w:bCs w:val="0"/>
                <w:color w:val="auto"/>
                <w:kern w:val="0"/>
                <w:sz w:val="24"/>
                <w:highlight w:val="none"/>
              </w:rPr>
              <w:t>/a</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rPr>
              <w:t>排放速率为</w:t>
            </w:r>
            <w:r>
              <w:rPr>
                <w:rFonts w:hint="eastAsia" w:cs="Times New Roman"/>
                <w:b w:val="0"/>
                <w:bCs w:val="0"/>
                <w:color w:val="auto"/>
                <w:kern w:val="0"/>
                <w:sz w:val="24"/>
                <w:highlight w:val="none"/>
                <w:lang w:val="en-US" w:eastAsia="zh-CN"/>
              </w:rPr>
              <w:t>0.064</w:t>
            </w:r>
            <w:r>
              <w:rPr>
                <w:rFonts w:hint="default" w:ascii="Times New Roman" w:hAnsi="Times New Roman" w:cs="Times New Roman"/>
                <w:b w:val="0"/>
                <w:bCs w:val="0"/>
                <w:color w:val="auto"/>
                <w:kern w:val="0"/>
                <w:sz w:val="24"/>
                <w:highlight w:val="none"/>
              </w:rPr>
              <w:t>kg</w:t>
            </w:r>
            <w:r>
              <w:rPr>
                <w:rFonts w:hint="default" w:ascii="Times New Roman" w:hAnsi="Times New Roman" w:cs="Times New Roman"/>
                <w:b w:val="0"/>
                <w:bCs w:val="0"/>
                <w:color w:val="auto"/>
                <w:kern w:val="0"/>
                <w:sz w:val="24"/>
                <w:highlight w:val="none"/>
                <w:lang w:val="en-US" w:eastAsia="zh-CN"/>
              </w:rPr>
              <w:t>/</w:t>
            </w:r>
            <w:r>
              <w:rPr>
                <w:rFonts w:hint="default" w:ascii="Times New Roman" w:hAnsi="Times New Roman" w:cs="Times New Roman"/>
                <w:b w:val="0"/>
                <w:bCs w:val="0"/>
                <w:color w:val="auto"/>
                <w:kern w:val="0"/>
                <w:sz w:val="24"/>
                <w:highlight w:val="none"/>
              </w:rPr>
              <w:t>h。</w:t>
            </w:r>
          </w:p>
          <w:p w14:paraId="5AC5C5D5">
            <w:pPr>
              <w:keepLines w:val="0"/>
              <w:pageBreakBefore w:val="0"/>
              <w:widowControl/>
              <w:kinsoku/>
              <w:topLinePunct w:val="0"/>
              <w:bidi w:val="0"/>
              <w:adjustRightInd w:val="0"/>
              <w:snapToGrid w:val="0"/>
              <w:spacing w:line="360" w:lineRule="auto"/>
              <w:ind w:firstLine="480" w:firstLineChars="200"/>
              <w:rPr>
                <w:rFonts w:hint="eastAsia" w:cs="Times New Roman"/>
                <w:b w:val="0"/>
                <w:bCs w:val="0"/>
                <w:color w:val="auto"/>
                <w:kern w:val="0"/>
                <w:sz w:val="24"/>
                <w:highlight w:val="none"/>
                <w:lang w:val="en-US" w:eastAsia="zh-CN"/>
              </w:rPr>
            </w:pPr>
            <w:r>
              <w:rPr>
                <w:rFonts w:hint="eastAsia" w:cs="Times New Roman"/>
                <w:b w:val="0"/>
                <w:bCs w:val="0"/>
                <w:color w:val="auto"/>
                <w:kern w:val="0"/>
                <w:sz w:val="24"/>
                <w:highlight w:val="none"/>
                <w:lang w:val="en-US" w:eastAsia="zh-CN"/>
              </w:rPr>
              <w:t>风机风量计算：</w:t>
            </w:r>
          </w:p>
          <w:p w14:paraId="1504B08D">
            <w:pPr>
              <w:keepLines w:val="0"/>
              <w:pageBreakBefore w:val="0"/>
              <w:widowControl/>
              <w:kinsoku/>
              <w:topLinePunct w:val="0"/>
              <w:bidi w:val="0"/>
              <w:adjustRightInd w:val="0"/>
              <w:snapToGrid w:val="0"/>
              <w:spacing w:line="360" w:lineRule="auto"/>
              <w:ind w:firstLine="480" w:firstLineChars="200"/>
              <w:rPr>
                <w:rFonts w:hint="default" w:ascii="Times New Roman" w:hAnsi="Times New Roman" w:cs="Times New Roman"/>
                <w:bCs/>
                <w:color w:val="000000"/>
                <w:spacing w:val="-4"/>
                <w:kern w:val="0"/>
                <w:sz w:val="24"/>
                <w:highlight w:val="none"/>
                <w:lang w:val="en-US" w:eastAsia="zh-CN"/>
              </w:rPr>
            </w:pPr>
            <w:r>
              <w:rPr>
                <w:rFonts w:hint="eastAsia" w:cs="Times New Roman"/>
                <w:b w:val="0"/>
                <w:bCs w:val="0"/>
                <w:color w:val="auto"/>
                <w:kern w:val="0"/>
                <w:sz w:val="24"/>
                <w:highlight w:val="none"/>
                <w:lang w:val="en-US" w:eastAsia="zh-CN"/>
              </w:rPr>
              <w:t>自动封胶线、涂胶机处的集气罩尺寸取1.5m×1m，</w:t>
            </w:r>
            <w:r>
              <w:rPr>
                <w:sz w:val="24"/>
              </w:rPr>
              <w:t>罩口距离废气产生点按</w:t>
            </w:r>
            <w:r>
              <w:rPr>
                <w:rFonts w:hint="eastAsia"/>
                <w:sz w:val="24"/>
                <w:lang w:val="en-US" w:eastAsia="zh-CN"/>
              </w:rPr>
              <w:t>0.2m</w:t>
            </w:r>
            <w:r>
              <w:rPr>
                <w:sz w:val="24"/>
              </w:rPr>
              <w:t>计，作业点控制风速为0.</w:t>
            </w:r>
            <w:r>
              <w:rPr>
                <w:rFonts w:hint="eastAsia"/>
                <w:sz w:val="24"/>
              </w:rPr>
              <w:t>3</w:t>
            </w:r>
            <w:r>
              <w:rPr>
                <w:sz w:val="24"/>
              </w:rPr>
              <w:t>m/s，</w:t>
            </w:r>
            <w:r>
              <w:rPr>
                <w:rFonts w:hint="default" w:ascii="Times New Roman" w:hAnsi="Times New Roman" w:cs="Times New Roman"/>
                <w:bCs/>
                <w:color w:val="000000"/>
                <w:spacing w:val="-4"/>
                <w:kern w:val="0"/>
                <w:sz w:val="24"/>
                <w:highlight w:val="none"/>
                <w:lang w:val="en-US" w:eastAsia="zh-CN"/>
              </w:rPr>
              <w:t>系统风量根据《废气处理工程技术手册》和《环境工程设计手册》，集气罩的风量计算公式为：Q=3600×K×(10X</w:t>
            </w:r>
            <w:r>
              <w:rPr>
                <w:rFonts w:hint="default" w:ascii="Times New Roman" w:hAnsi="Times New Roman" w:cs="Times New Roman"/>
                <w:bCs/>
                <w:color w:val="000000"/>
                <w:spacing w:val="-4"/>
                <w:kern w:val="0"/>
                <w:sz w:val="24"/>
                <w:highlight w:val="none"/>
                <w:vertAlign w:val="superscript"/>
                <w:lang w:val="en-US" w:eastAsia="zh-CN"/>
              </w:rPr>
              <w:t>2</w:t>
            </w:r>
            <w:r>
              <w:rPr>
                <w:rFonts w:hint="default" w:ascii="Times New Roman" w:hAnsi="Times New Roman" w:cs="Times New Roman"/>
                <w:bCs/>
                <w:color w:val="000000"/>
                <w:spacing w:val="-4"/>
                <w:kern w:val="0"/>
                <w:sz w:val="24"/>
                <w:highlight w:val="none"/>
                <w:lang w:val="en-US" w:eastAsia="zh-CN"/>
              </w:rPr>
              <w:t>+F)×Vx；</w:t>
            </w:r>
          </w:p>
          <w:p w14:paraId="55EC11AA">
            <w:pPr>
              <w:keepLines w:val="0"/>
              <w:pageBreakBefore w:val="0"/>
              <w:widowControl/>
              <w:kinsoku/>
              <w:topLinePunct w:val="0"/>
              <w:bidi w:val="0"/>
              <w:adjustRightInd w:val="0"/>
              <w:snapToGrid w:val="0"/>
              <w:spacing w:line="360" w:lineRule="auto"/>
              <w:ind w:firstLine="464" w:firstLineChars="200"/>
              <w:rPr>
                <w:rFonts w:hint="default" w:ascii="Times New Roman" w:hAnsi="Times New Roman" w:cs="Times New Roman"/>
                <w:bCs/>
                <w:color w:val="000000"/>
                <w:spacing w:val="-4"/>
                <w:kern w:val="0"/>
                <w:sz w:val="24"/>
                <w:highlight w:val="none"/>
                <w:lang w:val="en-US" w:eastAsia="zh-CN"/>
              </w:rPr>
            </w:pPr>
            <w:r>
              <w:rPr>
                <w:rFonts w:hint="default" w:ascii="Times New Roman" w:hAnsi="Times New Roman" w:cs="Times New Roman"/>
                <w:bCs/>
                <w:color w:val="000000"/>
                <w:spacing w:val="-4"/>
                <w:kern w:val="0"/>
                <w:sz w:val="24"/>
                <w:highlight w:val="none"/>
                <w:lang w:val="en-US" w:eastAsia="zh-CN"/>
              </w:rPr>
              <w:t>式中：</w:t>
            </w:r>
            <w:r>
              <w:rPr>
                <w:rFonts w:hint="eastAsia" w:ascii="Times New Roman" w:hAnsi="Times New Roman" w:cs="Times New Roman"/>
                <w:bCs/>
                <w:color w:val="000000"/>
                <w:spacing w:val="-4"/>
                <w:kern w:val="0"/>
                <w:sz w:val="24"/>
                <w:highlight w:val="none"/>
                <w:lang w:val="en-US" w:eastAsia="zh-CN"/>
              </w:rPr>
              <w:t>Q</w:t>
            </w:r>
            <w:r>
              <w:rPr>
                <w:rFonts w:hint="default" w:ascii="Times New Roman" w:hAnsi="Times New Roman" w:cs="Times New Roman"/>
                <w:bCs/>
                <w:color w:val="000000"/>
                <w:spacing w:val="-4"/>
                <w:kern w:val="0"/>
                <w:sz w:val="24"/>
                <w:highlight w:val="none"/>
                <w:lang w:val="en-US" w:eastAsia="zh-CN"/>
              </w:rPr>
              <w:t>-排风量，m</w:t>
            </w:r>
            <w:r>
              <w:rPr>
                <w:rFonts w:hint="default" w:ascii="Times New Roman" w:hAnsi="Times New Roman" w:cs="Times New Roman"/>
                <w:bCs/>
                <w:color w:val="000000"/>
                <w:spacing w:val="-4"/>
                <w:kern w:val="0"/>
                <w:sz w:val="24"/>
                <w:highlight w:val="none"/>
                <w:vertAlign w:val="superscript"/>
                <w:lang w:val="en-US" w:eastAsia="zh-CN"/>
              </w:rPr>
              <w:t>3</w:t>
            </w:r>
            <w:r>
              <w:rPr>
                <w:rFonts w:hint="default" w:ascii="Times New Roman" w:hAnsi="Times New Roman" w:cs="Times New Roman"/>
                <w:bCs/>
                <w:color w:val="000000"/>
                <w:spacing w:val="-4"/>
                <w:kern w:val="0"/>
                <w:sz w:val="24"/>
                <w:highlight w:val="none"/>
                <w:lang w:val="en-US" w:eastAsia="zh-CN"/>
              </w:rPr>
              <w:t>/h；K</w:t>
            </w:r>
            <w:r>
              <w:rPr>
                <w:rFonts w:hint="eastAsia" w:ascii="Times New Roman" w:hAnsi="Times New Roman" w:cs="Times New Roman"/>
                <w:bCs/>
                <w:color w:val="000000"/>
                <w:spacing w:val="-4"/>
                <w:kern w:val="0"/>
                <w:sz w:val="24"/>
                <w:highlight w:val="none"/>
                <w:lang w:val="en-US" w:eastAsia="zh-CN"/>
              </w:rPr>
              <w:t>-</w:t>
            </w:r>
            <w:r>
              <w:rPr>
                <w:rFonts w:hint="default" w:ascii="Times New Roman" w:hAnsi="Times New Roman" w:cs="Times New Roman"/>
                <w:bCs/>
                <w:color w:val="000000"/>
                <w:spacing w:val="-4"/>
                <w:kern w:val="0"/>
                <w:sz w:val="24"/>
                <w:highlight w:val="none"/>
                <w:lang w:val="en-US" w:eastAsia="zh-CN"/>
              </w:rPr>
              <w:t>安全系数(1.1~1.5，补偿实际损失)</w:t>
            </w:r>
            <w:r>
              <w:rPr>
                <w:rFonts w:hint="eastAsia" w:ascii="Times New Roman" w:hAnsi="Times New Roman" w:cs="Times New Roman"/>
                <w:bCs/>
                <w:color w:val="000000"/>
                <w:spacing w:val="-4"/>
                <w:kern w:val="0"/>
                <w:sz w:val="24"/>
                <w:highlight w:val="none"/>
                <w:lang w:val="en-US" w:eastAsia="zh-CN"/>
              </w:rPr>
              <w:t>；</w:t>
            </w:r>
            <w:r>
              <w:rPr>
                <w:rFonts w:hint="default" w:ascii="Times New Roman" w:hAnsi="Times New Roman" w:cs="Times New Roman"/>
                <w:bCs/>
                <w:color w:val="000000"/>
                <w:spacing w:val="-4"/>
                <w:kern w:val="0"/>
                <w:sz w:val="24"/>
                <w:highlight w:val="none"/>
                <w:lang w:val="en-US" w:eastAsia="zh-CN"/>
              </w:rPr>
              <w:t>x-边缘控制点与排风罩距离，m</w:t>
            </w:r>
            <w:r>
              <w:rPr>
                <w:rFonts w:hint="eastAsia" w:ascii="Times New Roman" w:hAnsi="Times New Roman" w:cs="Times New Roman"/>
                <w:bCs/>
                <w:color w:val="000000"/>
                <w:spacing w:val="-4"/>
                <w:kern w:val="0"/>
                <w:sz w:val="24"/>
                <w:highlight w:val="none"/>
                <w:lang w:val="en-US" w:eastAsia="zh-CN"/>
              </w:rPr>
              <w:t>，通常0.1~0.5m</w:t>
            </w:r>
            <w:r>
              <w:rPr>
                <w:rFonts w:hint="default" w:ascii="Times New Roman" w:hAnsi="Times New Roman" w:cs="Times New Roman"/>
                <w:bCs/>
                <w:color w:val="000000"/>
                <w:spacing w:val="-4"/>
                <w:kern w:val="0"/>
                <w:sz w:val="24"/>
                <w:highlight w:val="none"/>
                <w:lang w:val="en-US" w:eastAsia="zh-CN"/>
              </w:rPr>
              <w:t>；F-排风罩罩口截面积，m</w:t>
            </w:r>
            <w:r>
              <w:rPr>
                <w:rFonts w:hint="default" w:ascii="Times New Roman" w:hAnsi="Times New Roman" w:cs="Times New Roman"/>
                <w:bCs/>
                <w:color w:val="000000"/>
                <w:spacing w:val="-4"/>
                <w:kern w:val="0"/>
                <w:sz w:val="24"/>
                <w:highlight w:val="none"/>
                <w:vertAlign w:val="superscript"/>
                <w:lang w:val="en-US" w:eastAsia="zh-CN"/>
              </w:rPr>
              <w:t>2</w:t>
            </w:r>
            <w:r>
              <w:rPr>
                <w:rFonts w:hint="default" w:ascii="Times New Roman" w:hAnsi="Times New Roman" w:cs="Times New Roman"/>
                <w:bCs/>
                <w:color w:val="000000"/>
                <w:spacing w:val="-4"/>
                <w:kern w:val="0"/>
                <w:sz w:val="24"/>
                <w:highlight w:val="none"/>
                <w:lang w:val="en-US" w:eastAsia="zh-CN"/>
              </w:rPr>
              <w:t>；</w:t>
            </w:r>
            <w:r>
              <w:rPr>
                <w:rFonts w:hint="eastAsia" w:ascii="Times New Roman" w:hAnsi="Times New Roman" w:cs="Times New Roman"/>
                <w:bCs/>
                <w:color w:val="000000"/>
                <w:spacing w:val="-4"/>
                <w:kern w:val="0"/>
                <w:sz w:val="24"/>
                <w:highlight w:val="none"/>
                <w:lang w:val="en-US" w:eastAsia="zh-CN"/>
              </w:rPr>
              <w:t>V</w:t>
            </w:r>
            <w:r>
              <w:rPr>
                <w:rFonts w:hint="default" w:ascii="Times New Roman" w:hAnsi="Times New Roman" w:cs="Times New Roman"/>
                <w:bCs/>
                <w:color w:val="000000"/>
                <w:spacing w:val="-4"/>
                <w:kern w:val="0"/>
                <w:sz w:val="24"/>
                <w:highlight w:val="none"/>
                <w:lang w:val="en-US" w:eastAsia="zh-CN"/>
              </w:rPr>
              <w:t>x-边缘控制点的控制风速，m/s</w:t>
            </w:r>
          </w:p>
          <w:p w14:paraId="6EBAB619">
            <w:pPr>
              <w:keepNext w:val="0"/>
              <w:keepLines w:val="0"/>
              <w:pageBreakBefore w:val="0"/>
              <w:kinsoku/>
              <w:wordWrap/>
              <w:overflowPunct/>
              <w:topLinePunct w:val="0"/>
              <w:autoSpaceDE/>
              <w:autoSpaceDN/>
              <w:bidi w:val="0"/>
              <w:adjustRightInd w:val="0"/>
              <w:snapToGrid w:val="0"/>
              <w:spacing w:line="360" w:lineRule="auto"/>
              <w:ind w:right="0" w:firstLine="480" w:firstLineChars="200"/>
              <w:jc w:val="left"/>
              <w:textAlignment w:val="auto"/>
              <w:rPr>
                <w:sz w:val="24"/>
              </w:rPr>
            </w:pPr>
            <w:r>
              <w:rPr>
                <w:sz w:val="24"/>
              </w:rPr>
              <w:t>经计算</w:t>
            </w:r>
            <w:r>
              <w:rPr>
                <w:rFonts w:hint="eastAsia"/>
                <w:sz w:val="24"/>
                <w:lang w:val="en-US" w:eastAsia="zh-CN"/>
              </w:rPr>
              <w:t>Q</w:t>
            </w:r>
            <w:r>
              <w:rPr>
                <w:sz w:val="24"/>
              </w:rPr>
              <w:t>=</w:t>
            </w:r>
            <w:r>
              <w:rPr>
                <w:rFonts w:hint="eastAsia"/>
                <w:sz w:val="24"/>
                <w:lang w:val="en-US" w:eastAsia="zh-CN"/>
              </w:rPr>
              <w:t>3600</w:t>
            </w:r>
            <w:r>
              <w:rPr>
                <w:sz w:val="24"/>
              </w:rPr>
              <w:sym w:font="Symbol" w:char="F0B4"/>
            </w:r>
            <w:r>
              <w:rPr>
                <w:rFonts w:hint="eastAsia"/>
                <w:sz w:val="24"/>
                <w:lang w:val="en-US" w:eastAsia="zh-CN"/>
              </w:rPr>
              <w:t>1.1</w:t>
            </w:r>
            <w:r>
              <w:rPr>
                <w:sz w:val="24"/>
              </w:rPr>
              <w:sym w:font="Symbol" w:char="F0B4"/>
            </w:r>
            <w:r>
              <w:rPr>
                <w:sz w:val="24"/>
              </w:rPr>
              <w:t>（</w:t>
            </w:r>
            <w:r>
              <w:rPr>
                <w:rFonts w:hint="eastAsia"/>
                <w:sz w:val="24"/>
                <w:lang w:val="en-US" w:eastAsia="zh-CN"/>
              </w:rPr>
              <w:t>10</w:t>
            </w:r>
            <w:r>
              <w:rPr>
                <w:sz w:val="24"/>
              </w:rPr>
              <w:sym w:font="Symbol" w:char="F0B4"/>
            </w:r>
            <w:r>
              <w:rPr>
                <w:sz w:val="24"/>
              </w:rPr>
              <w:t>0.</w:t>
            </w:r>
            <w:r>
              <w:rPr>
                <w:rFonts w:hint="eastAsia"/>
                <w:sz w:val="24"/>
                <w:lang w:val="en-US" w:eastAsia="zh-CN"/>
              </w:rPr>
              <w:t>2</w:t>
            </w:r>
            <w:r>
              <w:rPr>
                <w:sz w:val="24"/>
                <w:vertAlign w:val="superscript"/>
              </w:rPr>
              <w:t>2</w:t>
            </w:r>
            <w:r>
              <w:rPr>
                <w:sz w:val="24"/>
              </w:rPr>
              <w:t>+</w:t>
            </w:r>
            <w:r>
              <w:rPr>
                <w:rFonts w:hint="eastAsia"/>
                <w:sz w:val="24"/>
                <w:lang w:val="en-US" w:eastAsia="zh-CN"/>
              </w:rPr>
              <w:t>1.5</w:t>
            </w:r>
            <w:r>
              <w:rPr>
                <w:sz w:val="24"/>
              </w:rPr>
              <w:t>）</w:t>
            </w:r>
            <w:r>
              <w:rPr>
                <w:sz w:val="24"/>
              </w:rPr>
              <w:sym w:font="Symbol" w:char="F0B4"/>
            </w:r>
            <w:r>
              <w:rPr>
                <w:sz w:val="24"/>
              </w:rPr>
              <w:t>0.</w:t>
            </w:r>
            <w:r>
              <w:rPr>
                <w:rFonts w:hint="eastAsia"/>
                <w:sz w:val="24"/>
              </w:rPr>
              <w:t>3</w:t>
            </w:r>
            <w:r>
              <w:rPr>
                <w:sz w:val="24"/>
              </w:rPr>
              <w:t>=</w:t>
            </w:r>
            <w:r>
              <w:rPr>
                <w:rFonts w:hint="eastAsia"/>
                <w:sz w:val="24"/>
                <w:lang w:val="en-US" w:eastAsia="zh-CN"/>
              </w:rPr>
              <w:t>2257.2</w:t>
            </w:r>
            <w:r>
              <w:rPr>
                <w:sz w:val="24"/>
                <w:szCs w:val="24"/>
                <w:lang w:val="en-US" w:eastAsia="zh-CN"/>
              </w:rPr>
              <w:t>m</w:t>
            </w:r>
            <w:r>
              <w:rPr>
                <w:sz w:val="24"/>
                <w:szCs w:val="24"/>
                <w:vertAlign w:val="superscript"/>
                <w:lang w:val="en-US" w:eastAsia="zh-CN"/>
              </w:rPr>
              <w:t>3</w:t>
            </w:r>
            <w:r>
              <w:rPr>
                <w:sz w:val="24"/>
                <w:szCs w:val="24"/>
                <w:lang w:val="en-US" w:eastAsia="zh-CN"/>
              </w:rPr>
              <w:t>/h</w:t>
            </w:r>
            <w:r>
              <w:rPr>
                <w:sz w:val="24"/>
              </w:rPr>
              <w:t>；</w:t>
            </w:r>
          </w:p>
          <w:p w14:paraId="1A4EB302">
            <w:pPr>
              <w:pStyle w:val="12"/>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eastAsia"/>
                <w:sz w:val="24"/>
                <w:szCs w:val="24"/>
                <w:lang w:val="en-US" w:eastAsia="zh-CN"/>
              </w:rPr>
            </w:pPr>
            <w:r>
              <w:rPr>
                <w:rFonts w:hint="eastAsia"/>
                <w:sz w:val="24"/>
                <w:szCs w:val="24"/>
                <w:lang w:val="en-US" w:eastAsia="zh-CN"/>
              </w:rPr>
              <w:t>则2个集气罩</w:t>
            </w:r>
            <w:r>
              <w:rPr>
                <w:sz w:val="24"/>
                <w:szCs w:val="24"/>
                <w:lang w:val="en-US" w:eastAsia="zh-CN"/>
              </w:rPr>
              <w:t>风量</w:t>
            </w:r>
            <w:r>
              <w:rPr>
                <w:rFonts w:hint="eastAsia"/>
                <w:sz w:val="24"/>
                <w:szCs w:val="24"/>
                <w:lang w:val="en-US" w:eastAsia="zh-CN"/>
              </w:rPr>
              <w:t>总量为4514.4</w:t>
            </w:r>
            <w:r>
              <w:rPr>
                <w:sz w:val="24"/>
                <w:szCs w:val="24"/>
                <w:lang w:val="en-US" w:eastAsia="zh-CN"/>
              </w:rPr>
              <w:t>m</w:t>
            </w:r>
            <w:r>
              <w:rPr>
                <w:sz w:val="24"/>
                <w:szCs w:val="24"/>
                <w:vertAlign w:val="superscript"/>
                <w:lang w:val="en-US" w:eastAsia="zh-CN"/>
              </w:rPr>
              <w:t>3</w:t>
            </w:r>
            <w:r>
              <w:rPr>
                <w:sz w:val="24"/>
                <w:szCs w:val="24"/>
                <w:lang w:val="en-US" w:eastAsia="zh-CN"/>
              </w:rPr>
              <w:t>/h</w:t>
            </w:r>
            <w:r>
              <w:rPr>
                <w:rFonts w:hint="eastAsia"/>
                <w:sz w:val="24"/>
                <w:szCs w:val="24"/>
                <w:lang w:val="en-US" w:eastAsia="zh-CN"/>
              </w:rPr>
              <w:t>。</w:t>
            </w:r>
          </w:p>
          <w:p w14:paraId="2BC3011D">
            <w:pPr>
              <w:pStyle w:val="12"/>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依据设计单位提供的资料，高压釜的排风量为5000</w:t>
            </w:r>
            <w:r>
              <w:rPr>
                <w:sz w:val="24"/>
                <w:szCs w:val="24"/>
                <w:lang w:val="en-US" w:eastAsia="zh-CN"/>
              </w:rPr>
              <w:t>m</w:t>
            </w:r>
            <w:r>
              <w:rPr>
                <w:sz w:val="24"/>
                <w:szCs w:val="24"/>
                <w:vertAlign w:val="superscript"/>
                <w:lang w:val="en-US" w:eastAsia="zh-CN"/>
              </w:rPr>
              <w:t>3</w:t>
            </w:r>
            <w:r>
              <w:rPr>
                <w:sz w:val="24"/>
                <w:szCs w:val="24"/>
                <w:lang w:val="en-US" w:eastAsia="zh-CN"/>
              </w:rPr>
              <w:t>/h</w:t>
            </w:r>
            <w:r>
              <w:rPr>
                <w:rFonts w:hint="eastAsia"/>
                <w:sz w:val="24"/>
                <w:szCs w:val="24"/>
                <w:lang w:val="en-US" w:eastAsia="zh-CN"/>
              </w:rPr>
              <w:t>，</w:t>
            </w:r>
            <w:r>
              <w:rPr>
                <w:sz w:val="24"/>
              </w:rPr>
              <w:t>则该系统风机风量为</w:t>
            </w:r>
            <w:r>
              <w:rPr>
                <w:rFonts w:hint="eastAsia"/>
                <w:sz w:val="24"/>
                <w:lang w:val="en-US" w:eastAsia="zh-CN"/>
              </w:rPr>
              <w:t>10000</w:t>
            </w:r>
            <w:r>
              <w:rPr>
                <w:sz w:val="24"/>
              </w:rPr>
              <w:t>m</w:t>
            </w:r>
            <w:r>
              <w:rPr>
                <w:sz w:val="24"/>
                <w:vertAlign w:val="superscript"/>
              </w:rPr>
              <w:t>3</w:t>
            </w:r>
            <w:r>
              <w:rPr>
                <w:sz w:val="24"/>
              </w:rPr>
              <w:t>/h，</w:t>
            </w:r>
            <w:r>
              <w:rPr>
                <w:spacing w:val="-10"/>
                <w:sz w:val="24"/>
              </w:rPr>
              <w:t>收集效率</w:t>
            </w:r>
            <w:r>
              <w:rPr>
                <w:rFonts w:hint="eastAsia"/>
                <w:spacing w:val="-10"/>
                <w:sz w:val="24"/>
              </w:rPr>
              <w:t>取90</w:t>
            </w:r>
            <w:r>
              <w:rPr>
                <w:spacing w:val="-10"/>
                <w:sz w:val="24"/>
              </w:rPr>
              <w:t>%</w:t>
            </w:r>
            <w:r>
              <w:rPr>
                <w:sz w:val="24"/>
              </w:rPr>
              <w:t>。</w:t>
            </w:r>
          </w:p>
          <w:p w14:paraId="594250E1">
            <w:pPr>
              <w:numPr>
                <w:ilvl w:val="0"/>
                <w:numId w:val="0"/>
              </w:num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szCs w:val="24"/>
                <w:highlight w:val="none"/>
                <w:lang w:val="en-US" w:eastAsia="zh-CN" w:bidi="ar-SA"/>
              </w:rPr>
              <w:t>3</w:t>
            </w:r>
            <w:r>
              <w:rPr>
                <w:rFonts w:hint="default" w:ascii="Times New Roman" w:hAnsi="Times New Roman" w:eastAsia="宋体" w:cs="Times New Roman"/>
                <w:b/>
                <w:bCs/>
                <w:color w:val="auto"/>
                <w:kern w:val="0"/>
                <w:sz w:val="24"/>
                <w:szCs w:val="24"/>
                <w:highlight w:val="none"/>
                <w:lang w:val="en-US" w:eastAsia="zh-CN" w:bidi="ar-SA"/>
              </w:rPr>
              <w:t>、</w:t>
            </w:r>
            <w:r>
              <w:rPr>
                <w:rFonts w:hint="default" w:ascii="Times New Roman" w:hAnsi="Times New Roman" w:cs="Times New Roman"/>
                <w:b/>
                <w:bCs/>
                <w:color w:val="auto"/>
                <w:kern w:val="0"/>
                <w:sz w:val="24"/>
                <w:highlight w:val="none"/>
              </w:rPr>
              <w:t>废气处理可行性分析</w:t>
            </w:r>
          </w:p>
          <w:p w14:paraId="6356CED7">
            <w:pPr>
              <w:pStyle w:val="23"/>
              <w:adjustRightInd w:val="0"/>
              <w:snapToGrid w:val="0"/>
              <w:spacing w:before="0" w:beforeAutospacing="0" w:after="0" w:afterAutospacing="0" w:line="360" w:lineRule="auto"/>
              <w:ind w:firstLine="480" w:firstLineChars="200"/>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val="en-US" w:eastAsia="zh-CN"/>
              </w:rPr>
              <w:t>（1）</w:t>
            </w:r>
            <w:r>
              <w:rPr>
                <w:rFonts w:hint="default" w:ascii="Times New Roman" w:hAnsi="Times New Roman" w:cs="Times New Roman"/>
                <w:bCs/>
                <w:color w:val="auto"/>
                <w:highlight w:val="none"/>
              </w:rPr>
              <w:t>废气处理设施</w:t>
            </w:r>
          </w:p>
          <w:p w14:paraId="52B15C57">
            <w:pPr>
              <w:pStyle w:val="23"/>
              <w:adjustRightInd w:val="0"/>
              <w:snapToGrid w:val="0"/>
              <w:spacing w:before="0" w:beforeAutospacing="0" w:after="0" w:afterAutospacing="0" w:line="360" w:lineRule="auto"/>
              <w:ind w:firstLine="480" w:firstLineChars="200"/>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本项目涂布、封胶、高压废气采用二级活性炭吸附装置处理，经1根15m高</w:t>
            </w:r>
            <w:r>
              <w:rPr>
                <w:rFonts w:hint="default" w:ascii="Times New Roman" w:hAnsi="Times New Roman" w:cs="Times New Roman"/>
                <w:bCs/>
                <w:color w:val="auto"/>
                <w:highlight w:val="none"/>
                <w:lang w:eastAsia="zh-CN"/>
              </w:rPr>
              <w:t>排气筒</w:t>
            </w:r>
            <w:r>
              <w:rPr>
                <w:rFonts w:hint="default" w:ascii="Times New Roman" w:hAnsi="Times New Roman" w:cs="Times New Roman"/>
                <w:bCs/>
                <w:color w:val="auto"/>
                <w:highlight w:val="none"/>
              </w:rPr>
              <w:t>(DA001)排放，能够满足</w:t>
            </w:r>
            <w:r>
              <w:rPr>
                <w:rFonts w:hint="default" w:ascii="Times New Roman" w:hAnsi="Times New Roman" w:cs="Times New Roman"/>
                <w:bCs/>
                <w:color w:val="auto"/>
                <w:highlight w:val="none"/>
                <w:lang w:eastAsia="zh-CN"/>
              </w:rPr>
              <w:t>安徽</w:t>
            </w:r>
            <w:r>
              <w:rPr>
                <w:rFonts w:hint="default" w:ascii="Times New Roman" w:hAnsi="Times New Roman" w:cs="Times New Roman"/>
                <w:bCs/>
                <w:color w:val="auto"/>
                <w:highlight w:val="none"/>
              </w:rPr>
              <w:t>省地方标准《玻璃工业大气污染物排放标准》</w:t>
            </w:r>
            <w:r>
              <w:rPr>
                <w:rFonts w:hint="eastAsia" w:ascii="Times New Roman" w:hAnsi="Times New Roman" w:cs="Times New Roman"/>
                <w:bCs/>
                <w:color w:val="auto"/>
                <w:highlight w:val="none"/>
                <w:lang w:eastAsia="zh-CN"/>
              </w:rPr>
              <w:t>（GB26453-2022）</w:t>
            </w:r>
            <w:r>
              <w:rPr>
                <w:rFonts w:hint="default" w:ascii="Times New Roman" w:hAnsi="Times New Roman" w:cs="Times New Roman"/>
                <w:bCs/>
                <w:color w:val="auto"/>
                <w:highlight w:val="none"/>
              </w:rPr>
              <w:t>大气污染物排放限值。本项目废气污染物拟采取的防治措施见下表。</w:t>
            </w:r>
          </w:p>
          <w:p w14:paraId="662F82A2">
            <w:pPr>
              <w:pStyle w:val="23"/>
              <w:adjustRightInd w:val="0"/>
              <w:snapToGrid w:val="0"/>
              <w:spacing w:before="0" w:beforeAutospacing="0" w:after="0" w:afterAutospacing="0" w:line="360" w:lineRule="auto"/>
              <w:ind w:firstLine="480" w:firstLineChars="200"/>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废气的收集及处置措施如下图所示：</w:t>
            </w:r>
          </w:p>
          <w:p w14:paraId="37A92AB4">
            <w:pPr>
              <w:pStyle w:val="23"/>
              <w:adjustRightInd w:val="0"/>
              <w:snapToGrid w:val="0"/>
              <w:spacing w:before="0" w:beforeAutospacing="0" w:after="0" w:afterAutospacing="0"/>
              <w:jc w:val="center"/>
              <w:rPr>
                <w:rFonts w:hint="default" w:ascii="Times New Roman" w:hAnsi="Times New Roman" w:cs="Times New Roman"/>
                <w:bCs/>
                <w:color w:val="auto"/>
                <w:highlight w:val="none"/>
              </w:rPr>
            </w:pPr>
            <w:r>
              <w:rPr>
                <w:rFonts w:hint="default" w:ascii="Times New Roman" w:hAnsi="Times New Roman" w:cs="Times New Roman"/>
                <w:color w:val="auto"/>
                <w:highlight w:val="none"/>
              </w:rPr>
              <w:object>
                <v:shape id="_x0000_i1030" o:spt="75" type="#_x0000_t75" style="height:42.7pt;width:394.7pt;" o:ole="t" filled="f" o:preferrelative="t" stroked="f" coordsize="21600,21600">
                  <v:path/>
                  <v:fill on="f" focussize="0,0"/>
                  <v:stroke on="f"/>
                  <v:imagedata r:id="rId22" o:title=""/>
                  <o:lock v:ext="edit" aspectratio="t"/>
                  <w10:wrap type="none"/>
                  <w10:anchorlock/>
                </v:shape>
                <o:OLEObject Type="Embed" ProgID="Visio.Drawing.15" ShapeID="_x0000_i1030" DrawAspect="Content" ObjectID="_1468075730" r:id="rId21">
                  <o:LockedField>false</o:LockedField>
                </o:OLEObject>
              </w:object>
            </w:r>
          </w:p>
          <w:p w14:paraId="4E9C76A6">
            <w:pPr>
              <w:pStyle w:val="23"/>
              <w:adjustRightInd w:val="0"/>
              <w:snapToGrid w:val="0"/>
              <w:spacing w:before="0" w:beforeAutospacing="0" w:after="120" w:afterLines="50" w:afterAutospacing="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图4-1 项目废气处理系统示意图</w:t>
            </w:r>
          </w:p>
          <w:p w14:paraId="59B539F4">
            <w:pPr>
              <w:pStyle w:val="23"/>
              <w:adjustRightInd w:val="0"/>
              <w:snapToGrid w:val="0"/>
              <w:spacing w:before="0" w:beforeAutospacing="0" w:after="0" w:afterAutospacing="0" w:line="360" w:lineRule="auto"/>
              <w:ind w:firstLine="480" w:firstLineChars="200"/>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val="en-US" w:eastAsia="zh-CN"/>
              </w:rPr>
              <w:t>（2）</w:t>
            </w:r>
            <w:r>
              <w:rPr>
                <w:rFonts w:hint="default" w:ascii="Times New Roman" w:hAnsi="Times New Roman" w:cs="Times New Roman"/>
                <w:bCs/>
                <w:color w:val="auto"/>
                <w:highlight w:val="none"/>
              </w:rPr>
              <w:t>废气处理工艺说明</w:t>
            </w:r>
          </w:p>
          <w:p w14:paraId="7B7C8C4C">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活性炭物理吸附法目前在恶臭及VOC处理方面应用较多。利用活性炭的高比表面积，对空气中的有害物质进行吸附来实现恶臭的去除。研究表明，活性炭对大多数恶臭均有较强的吸附性，特别适用于大风量、低浓度恶臭的治理。填充活性炭的固定吸附装置以其所具有的结构简单、性能稳定、维修管理容易、投资经济的特点，被建设单位和工程技术人员广泛接受。在工程设计中采用这种方法取得良好的效果。</w:t>
            </w:r>
          </w:p>
          <w:p w14:paraId="7E1464CC">
            <w:pPr>
              <w:spacing w:line="360" w:lineRule="auto"/>
              <w:ind w:firstLine="480" w:firstLineChars="200"/>
              <w:jc w:val="both"/>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综上，本项目的废气采取上述措施处理后可达标排放，其治理措施是可行的。</w:t>
            </w:r>
          </w:p>
          <w:p w14:paraId="06C3AA3F">
            <w:pPr>
              <w:spacing w:line="240" w:lineRule="auto"/>
              <w:jc w:val="center"/>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rPr>
              <w:t>表4-</w:t>
            </w:r>
            <w:r>
              <w:rPr>
                <w:rFonts w:hint="default" w:ascii="Times New Roman" w:hAnsi="Times New Roman" w:cs="Times New Roman"/>
                <w:b/>
                <w:color w:val="auto"/>
                <w:kern w:val="0"/>
                <w:sz w:val="24"/>
                <w:szCs w:val="24"/>
                <w:highlight w:val="none"/>
                <w:lang w:val="en-US" w:eastAsia="zh-CN"/>
              </w:rPr>
              <w:t>5</w:t>
            </w:r>
            <w:r>
              <w:rPr>
                <w:rFonts w:hint="default" w:ascii="Times New Roman" w:hAnsi="Times New Roman" w:cs="Times New Roman"/>
                <w:b/>
                <w:color w:val="auto"/>
                <w:kern w:val="0"/>
                <w:sz w:val="24"/>
                <w:szCs w:val="24"/>
                <w:highlight w:val="none"/>
              </w:rPr>
              <w:t xml:space="preserve">  二级层活性炭吸附装置技术参数表</w:t>
            </w:r>
          </w:p>
          <w:tbl>
            <w:tblPr>
              <w:tblStyle w:val="25"/>
              <w:tblW w:w="4998" w:type="pct"/>
              <w:tblInd w:w="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1856"/>
              <w:gridCol w:w="2050"/>
              <w:gridCol w:w="2015"/>
            </w:tblGrid>
            <w:tr w14:paraId="0641C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275" w:type="pct"/>
                  <w:tcBorders>
                    <w:tl2br w:val="nil"/>
                    <w:tr2bl w:val="nil"/>
                  </w:tcBorders>
                  <w:noWrap w:val="0"/>
                  <w:vAlign w:val="center"/>
                </w:tcPr>
                <w:p w14:paraId="4521812C">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活性炭密度</w:t>
                  </w:r>
                </w:p>
              </w:tc>
              <w:tc>
                <w:tcPr>
                  <w:tcW w:w="1167" w:type="pct"/>
                  <w:tcBorders>
                    <w:tl2br w:val="nil"/>
                    <w:tr2bl w:val="nil"/>
                  </w:tcBorders>
                  <w:noWrap w:val="0"/>
                  <w:vAlign w:val="center"/>
                </w:tcPr>
                <w:p w14:paraId="7576989A">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活性炭碘吸附值</w:t>
                  </w:r>
                </w:p>
              </w:tc>
              <w:tc>
                <w:tcPr>
                  <w:tcW w:w="1289" w:type="pct"/>
                  <w:tcBorders>
                    <w:tl2br w:val="nil"/>
                    <w:tr2bl w:val="nil"/>
                  </w:tcBorders>
                  <w:noWrap w:val="0"/>
                  <w:vAlign w:val="center"/>
                </w:tcPr>
                <w:p w14:paraId="7178357C">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介质温度</w:t>
                  </w:r>
                </w:p>
              </w:tc>
              <w:tc>
                <w:tcPr>
                  <w:tcW w:w="1267" w:type="pct"/>
                  <w:tcBorders>
                    <w:tl2br w:val="nil"/>
                    <w:tr2bl w:val="nil"/>
                  </w:tcBorders>
                  <w:noWrap w:val="0"/>
                  <w:vAlign w:val="center"/>
                </w:tcPr>
                <w:p w14:paraId="34CC0CD7">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介质</w:t>
                  </w:r>
                </w:p>
              </w:tc>
            </w:tr>
            <w:tr w14:paraId="5F05A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275" w:type="pct"/>
                  <w:tcBorders>
                    <w:tl2br w:val="nil"/>
                    <w:tr2bl w:val="nil"/>
                  </w:tcBorders>
                  <w:noWrap w:val="0"/>
                  <w:vAlign w:val="center"/>
                </w:tcPr>
                <w:p w14:paraId="4AB646B4">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550kg/m</w:t>
                  </w:r>
                  <w:r>
                    <w:rPr>
                      <w:rFonts w:hint="default" w:ascii="Times New Roman" w:hAnsi="Times New Roman" w:cs="Times New Roman"/>
                      <w:color w:val="auto"/>
                      <w:szCs w:val="21"/>
                      <w:highlight w:val="none"/>
                      <w:vertAlign w:val="superscript"/>
                    </w:rPr>
                    <w:t>3</w:t>
                  </w:r>
                </w:p>
              </w:tc>
              <w:tc>
                <w:tcPr>
                  <w:tcW w:w="1167" w:type="pct"/>
                  <w:tcBorders>
                    <w:tl2br w:val="nil"/>
                    <w:tr2bl w:val="nil"/>
                  </w:tcBorders>
                  <w:noWrap w:val="0"/>
                  <w:vAlign w:val="center"/>
                </w:tcPr>
                <w:p w14:paraId="5C928710">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00mg/g</w:t>
                  </w:r>
                </w:p>
              </w:tc>
              <w:tc>
                <w:tcPr>
                  <w:tcW w:w="1289" w:type="pct"/>
                  <w:tcBorders>
                    <w:tl2br w:val="nil"/>
                    <w:tr2bl w:val="nil"/>
                  </w:tcBorders>
                  <w:noWrap w:val="0"/>
                  <w:vAlign w:val="center"/>
                </w:tcPr>
                <w:p w14:paraId="5EFF32DC">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常温（-5℃~40℃）</w:t>
                  </w:r>
                </w:p>
              </w:tc>
              <w:tc>
                <w:tcPr>
                  <w:tcW w:w="1267" w:type="pct"/>
                  <w:tcBorders>
                    <w:tl2br w:val="nil"/>
                    <w:tr2bl w:val="nil"/>
                  </w:tcBorders>
                  <w:noWrap w:val="0"/>
                  <w:vAlign w:val="center"/>
                </w:tcPr>
                <w:p w14:paraId="38E744B3">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有机废气</w:t>
                  </w:r>
                </w:p>
              </w:tc>
            </w:tr>
            <w:tr w14:paraId="08494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275" w:type="pct"/>
                  <w:tcBorders>
                    <w:tl2br w:val="nil"/>
                    <w:tr2bl w:val="nil"/>
                  </w:tcBorders>
                  <w:noWrap w:val="0"/>
                  <w:vAlign w:val="center"/>
                </w:tcPr>
                <w:p w14:paraId="6219994C">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处理效率</w:t>
                  </w:r>
                </w:p>
              </w:tc>
              <w:tc>
                <w:tcPr>
                  <w:tcW w:w="1167" w:type="pct"/>
                  <w:tcBorders>
                    <w:tl2br w:val="nil"/>
                    <w:tr2bl w:val="nil"/>
                  </w:tcBorders>
                  <w:noWrap w:val="0"/>
                  <w:vAlign w:val="center"/>
                </w:tcPr>
                <w:p w14:paraId="5E978702">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活性炭形态</w:t>
                  </w:r>
                </w:p>
              </w:tc>
              <w:tc>
                <w:tcPr>
                  <w:tcW w:w="1289" w:type="pct"/>
                  <w:tcBorders>
                    <w:tl2br w:val="nil"/>
                    <w:tr2bl w:val="nil"/>
                  </w:tcBorders>
                  <w:noWrap w:val="0"/>
                  <w:vAlign w:val="center"/>
                </w:tcPr>
                <w:p w14:paraId="3A4ED32D">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活性炭层数</w:t>
                  </w:r>
                </w:p>
              </w:tc>
              <w:tc>
                <w:tcPr>
                  <w:tcW w:w="1267" w:type="pct"/>
                  <w:tcBorders>
                    <w:tl2br w:val="nil"/>
                    <w:tr2bl w:val="nil"/>
                  </w:tcBorders>
                  <w:noWrap w:val="0"/>
                  <w:vAlign w:val="center"/>
                </w:tcPr>
                <w:p w14:paraId="223E8250">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活性炭间距</w:t>
                  </w:r>
                </w:p>
              </w:tc>
            </w:tr>
            <w:tr w14:paraId="6FA23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275" w:type="pct"/>
                  <w:tcBorders>
                    <w:tl2br w:val="nil"/>
                    <w:tr2bl w:val="nil"/>
                  </w:tcBorders>
                  <w:noWrap w:val="0"/>
                  <w:vAlign w:val="center"/>
                </w:tcPr>
                <w:p w14:paraId="0AB92AA3">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w:t>
                  </w:r>
                </w:p>
              </w:tc>
              <w:tc>
                <w:tcPr>
                  <w:tcW w:w="1167" w:type="pct"/>
                  <w:tcBorders>
                    <w:tl2br w:val="nil"/>
                    <w:tr2bl w:val="nil"/>
                  </w:tcBorders>
                  <w:noWrap w:val="0"/>
                  <w:vAlign w:val="center"/>
                </w:tcPr>
                <w:p w14:paraId="6BDDB5A2">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柱状活性炭</w:t>
                  </w:r>
                </w:p>
              </w:tc>
              <w:tc>
                <w:tcPr>
                  <w:tcW w:w="1289" w:type="pct"/>
                  <w:tcBorders>
                    <w:tl2br w:val="nil"/>
                    <w:tr2bl w:val="nil"/>
                  </w:tcBorders>
                  <w:noWrap w:val="0"/>
                  <w:vAlign w:val="center"/>
                </w:tcPr>
                <w:p w14:paraId="3D7F2060">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2级×2层</w:t>
                  </w:r>
                </w:p>
              </w:tc>
              <w:tc>
                <w:tcPr>
                  <w:tcW w:w="1267" w:type="pct"/>
                  <w:tcBorders>
                    <w:tl2br w:val="nil"/>
                    <w:tr2bl w:val="nil"/>
                  </w:tcBorders>
                  <w:noWrap w:val="0"/>
                  <w:vAlign w:val="center"/>
                </w:tcPr>
                <w:p w14:paraId="283F986A">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0.2m</w:t>
                  </w:r>
                </w:p>
              </w:tc>
            </w:tr>
            <w:tr w14:paraId="5AA99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275" w:type="pct"/>
                  <w:tcBorders>
                    <w:tl2br w:val="nil"/>
                    <w:tr2bl w:val="nil"/>
                  </w:tcBorders>
                  <w:noWrap w:val="0"/>
                  <w:vAlign w:val="center"/>
                </w:tcPr>
                <w:p w14:paraId="019624BB">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活性炭单层厚度</w:t>
                  </w:r>
                </w:p>
              </w:tc>
              <w:tc>
                <w:tcPr>
                  <w:tcW w:w="1167" w:type="pct"/>
                  <w:tcBorders>
                    <w:tl2br w:val="nil"/>
                    <w:tr2bl w:val="nil"/>
                  </w:tcBorders>
                  <w:noWrap w:val="0"/>
                  <w:vAlign w:val="center"/>
                </w:tcPr>
                <w:p w14:paraId="3498E813">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引风机出口风量</w:t>
                  </w:r>
                </w:p>
              </w:tc>
              <w:tc>
                <w:tcPr>
                  <w:tcW w:w="1289" w:type="pct"/>
                  <w:tcBorders>
                    <w:tl2br w:val="nil"/>
                    <w:tr2bl w:val="nil"/>
                  </w:tcBorders>
                  <w:noWrap w:val="0"/>
                  <w:vAlign w:val="center"/>
                </w:tcPr>
                <w:p w14:paraId="51AD50C0">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吸附装置尺寸</w:t>
                  </w:r>
                </w:p>
              </w:tc>
              <w:tc>
                <w:tcPr>
                  <w:tcW w:w="1267" w:type="pct"/>
                  <w:tcBorders>
                    <w:tl2br w:val="nil"/>
                    <w:tr2bl w:val="nil"/>
                  </w:tcBorders>
                  <w:noWrap w:val="0"/>
                  <w:vAlign w:val="center"/>
                </w:tcPr>
                <w:p w14:paraId="5D1C7A55">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活性炭填充尺寸</w:t>
                  </w:r>
                </w:p>
              </w:tc>
            </w:tr>
            <w:tr w14:paraId="67801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275" w:type="pct"/>
                  <w:tcBorders>
                    <w:tl2br w:val="nil"/>
                    <w:tr2bl w:val="nil"/>
                  </w:tcBorders>
                  <w:noWrap w:val="0"/>
                  <w:vAlign w:val="center"/>
                </w:tcPr>
                <w:p w14:paraId="39573191">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0.2m</w:t>
                  </w:r>
                </w:p>
              </w:tc>
              <w:tc>
                <w:tcPr>
                  <w:tcW w:w="1167" w:type="pct"/>
                  <w:tcBorders>
                    <w:tl2br w:val="nil"/>
                    <w:tr2bl w:val="nil"/>
                  </w:tcBorders>
                  <w:noWrap w:val="0"/>
                  <w:vAlign w:val="center"/>
                </w:tcPr>
                <w:p w14:paraId="7069F7B4">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000m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/h</w:t>
                  </w:r>
                </w:p>
              </w:tc>
              <w:tc>
                <w:tcPr>
                  <w:tcW w:w="1289" w:type="pct"/>
                  <w:tcBorders>
                    <w:tl2br w:val="nil"/>
                    <w:tr2bl w:val="nil"/>
                  </w:tcBorders>
                  <w:noWrap w:val="0"/>
                  <w:vAlign w:val="center"/>
                </w:tcPr>
                <w:p w14:paraId="18C8C4C4">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3800x2100x2500mm</w:t>
                  </w:r>
                </w:p>
              </w:tc>
              <w:tc>
                <w:tcPr>
                  <w:tcW w:w="1267" w:type="pct"/>
                  <w:tcBorders>
                    <w:tl2br w:val="nil"/>
                    <w:tr2bl w:val="nil"/>
                  </w:tcBorders>
                  <w:noWrap w:val="0"/>
                  <w:vAlign w:val="center"/>
                </w:tcPr>
                <w:p w14:paraId="607D56BA">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100*100*100mm</w:t>
                  </w:r>
                </w:p>
              </w:tc>
            </w:tr>
            <w:tr w14:paraId="62B5F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275" w:type="pct"/>
                  <w:tcBorders>
                    <w:tl2br w:val="nil"/>
                    <w:tr2bl w:val="nil"/>
                  </w:tcBorders>
                  <w:noWrap w:val="0"/>
                  <w:vAlign w:val="center"/>
                </w:tcPr>
                <w:p w14:paraId="63EFFE87">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过滤面积</w:t>
                  </w:r>
                </w:p>
              </w:tc>
              <w:tc>
                <w:tcPr>
                  <w:tcW w:w="1167" w:type="pct"/>
                  <w:tcBorders>
                    <w:tl2br w:val="nil"/>
                    <w:tr2bl w:val="nil"/>
                  </w:tcBorders>
                  <w:noWrap w:val="0"/>
                  <w:vAlign w:val="center"/>
                </w:tcPr>
                <w:p w14:paraId="1EF5B888">
                  <w:pPr>
                    <w:topLinePunct/>
                    <w:autoSpaceDE w:val="0"/>
                    <w:autoSpaceDN w:val="0"/>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过滤风速</w:t>
                  </w:r>
                </w:p>
              </w:tc>
              <w:tc>
                <w:tcPr>
                  <w:tcW w:w="1289" w:type="pct"/>
                  <w:tcBorders>
                    <w:tl2br w:val="nil"/>
                    <w:tr2bl w:val="nil"/>
                  </w:tcBorders>
                  <w:noWrap w:val="0"/>
                  <w:vAlign w:val="center"/>
                </w:tcPr>
                <w:p w14:paraId="3BD03E3C">
                  <w:pPr>
                    <w:topLinePunct/>
                    <w:autoSpaceDE w:val="0"/>
                    <w:autoSpaceDN w:val="0"/>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过滤停留时间</w:t>
                  </w:r>
                </w:p>
              </w:tc>
              <w:tc>
                <w:tcPr>
                  <w:tcW w:w="1267" w:type="pct"/>
                  <w:tcBorders>
                    <w:tl2br w:val="nil"/>
                    <w:tr2bl w:val="nil"/>
                  </w:tcBorders>
                  <w:noWrap w:val="0"/>
                  <w:vAlign w:val="center"/>
                </w:tcPr>
                <w:p w14:paraId="0DBD6E70">
                  <w:pPr>
                    <w:topLinePunct/>
                    <w:autoSpaceDE w:val="0"/>
                    <w:autoSpaceDN w:val="0"/>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活性炭一次填充量</w:t>
                  </w:r>
                </w:p>
              </w:tc>
            </w:tr>
            <w:tr w14:paraId="43A55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275" w:type="pct"/>
                  <w:tcBorders>
                    <w:tl2br w:val="nil"/>
                    <w:tr2bl w:val="nil"/>
                  </w:tcBorders>
                  <w:noWrap w:val="0"/>
                  <w:vAlign w:val="center"/>
                </w:tcPr>
                <w:p w14:paraId="08827694">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3.3m</w:t>
                  </w:r>
                  <w:r>
                    <w:rPr>
                      <w:rFonts w:hint="default" w:ascii="Times New Roman" w:hAnsi="Times New Roman" w:cs="Times New Roman"/>
                      <w:color w:val="auto"/>
                      <w:szCs w:val="21"/>
                      <w:highlight w:val="none"/>
                      <w:vertAlign w:val="superscript"/>
                    </w:rPr>
                    <w:t>2</w:t>
                  </w:r>
                </w:p>
              </w:tc>
              <w:tc>
                <w:tcPr>
                  <w:tcW w:w="1167" w:type="pct"/>
                  <w:tcBorders>
                    <w:tl2br w:val="nil"/>
                    <w:tr2bl w:val="nil"/>
                  </w:tcBorders>
                  <w:noWrap w:val="0"/>
                  <w:vAlign w:val="center"/>
                </w:tcPr>
                <w:p w14:paraId="310B2DFA">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1.0m/s</w:t>
                  </w:r>
                </w:p>
              </w:tc>
              <w:tc>
                <w:tcPr>
                  <w:tcW w:w="1289" w:type="pct"/>
                  <w:tcBorders>
                    <w:tl2br w:val="nil"/>
                    <w:tr2bl w:val="nil"/>
                  </w:tcBorders>
                  <w:noWrap w:val="0"/>
                  <w:vAlign w:val="center"/>
                </w:tcPr>
                <w:p w14:paraId="79DED735">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0.5~1.5s</w:t>
                  </w:r>
                </w:p>
              </w:tc>
              <w:tc>
                <w:tcPr>
                  <w:tcW w:w="1267" w:type="pct"/>
                  <w:tcBorders>
                    <w:tl2br w:val="nil"/>
                    <w:tr2bl w:val="nil"/>
                  </w:tcBorders>
                  <w:noWrap w:val="0"/>
                  <w:vAlign w:val="center"/>
                </w:tcPr>
                <w:p w14:paraId="411DE2AC">
                  <w:pPr>
                    <w:topLinePunct/>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1000kg</w:t>
                  </w:r>
                </w:p>
              </w:tc>
            </w:tr>
          </w:tbl>
          <w:p w14:paraId="1449EF71">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4、</w:t>
            </w:r>
            <w:r>
              <w:rPr>
                <w:rFonts w:hint="default" w:ascii="Times New Roman" w:hAnsi="Times New Roman" w:cs="Times New Roman"/>
                <w:b/>
                <w:bCs/>
                <w:color w:val="auto"/>
                <w:kern w:val="0"/>
                <w:sz w:val="24"/>
                <w:highlight w:val="none"/>
              </w:rPr>
              <w:t>大气污染物非正常排放分析</w:t>
            </w:r>
          </w:p>
          <w:p w14:paraId="737373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项目非正常工况指生产过程中设备检修、工艺设备运转异常等非正常工况下的污染物排放，以及污染物排放控制措施达不到应有效率等情况下的排放。拟建项目最不利非正常工况为废气污染物排放控制措施达不到应有效率，根据工程分析，项目非正常工况污染物排放情况见表4-</w:t>
            </w:r>
            <w:r>
              <w:rPr>
                <w:rFonts w:hint="default" w:ascii="Times New Roman" w:hAnsi="Times New Roman" w:cs="Times New Roman"/>
                <w:color w:val="auto"/>
                <w:kern w:val="0"/>
                <w:sz w:val="24"/>
                <w:highlight w:val="none"/>
                <w:lang w:val="en-US" w:eastAsia="zh-CN"/>
              </w:rPr>
              <w:t>6</w:t>
            </w:r>
          </w:p>
          <w:p w14:paraId="2F28B0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表4-</w:t>
            </w:r>
            <w:r>
              <w:rPr>
                <w:rFonts w:hint="default" w:ascii="Times New Roman" w:hAnsi="Times New Roman" w:cs="Times New Roman"/>
                <w:b/>
                <w:bCs/>
                <w:color w:val="auto"/>
                <w:kern w:val="0"/>
                <w:sz w:val="24"/>
                <w:szCs w:val="24"/>
                <w:highlight w:val="none"/>
                <w:lang w:val="en-US" w:eastAsia="zh-CN"/>
              </w:rPr>
              <w:t>6</w:t>
            </w:r>
            <w:r>
              <w:rPr>
                <w:rFonts w:hint="default" w:ascii="Times New Roman" w:hAnsi="Times New Roman" w:cs="Times New Roman"/>
                <w:b/>
                <w:bCs/>
                <w:color w:val="auto"/>
                <w:kern w:val="0"/>
                <w:sz w:val="24"/>
                <w:szCs w:val="24"/>
                <w:highlight w:val="none"/>
              </w:rPr>
              <w:t>建设项目废气污染源非正常排放量核算表</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270"/>
              <w:gridCol w:w="825"/>
              <w:gridCol w:w="876"/>
              <w:gridCol w:w="850"/>
              <w:gridCol w:w="993"/>
              <w:gridCol w:w="957"/>
              <w:gridCol w:w="1198"/>
            </w:tblGrid>
            <w:tr w14:paraId="5D0ED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2" w:type="pct"/>
                  <w:tcBorders>
                    <w:tl2br w:val="nil"/>
                    <w:tr2bl w:val="nil"/>
                  </w:tcBorders>
                  <w:vAlign w:val="center"/>
                </w:tcPr>
                <w:p w14:paraId="471927AE">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非正常排放</w:t>
                  </w:r>
                </w:p>
              </w:tc>
              <w:tc>
                <w:tcPr>
                  <w:tcW w:w="799" w:type="pct"/>
                  <w:tcBorders>
                    <w:tl2br w:val="nil"/>
                    <w:tr2bl w:val="nil"/>
                  </w:tcBorders>
                  <w:vAlign w:val="center"/>
                </w:tcPr>
                <w:p w14:paraId="2B140A0A">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非正常排放原因</w:t>
                  </w:r>
                </w:p>
              </w:tc>
              <w:tc>
                <w:tcPr>
                  <w:tcW w:w="519" w:type="pct"/>
                  <w:tcBorders>
                    <w:tl2br w:val="nil"/>
                    <w:tr2bl w:val="nil"/>
                  </w:tcBorders>
                  <w:vAlign w:val="center"/>
                </w:tcPr>
                <w:p w14:paraId="3AD1F494">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污染物</w:t>
                  </w:r>
                </w:p>
              </w:tc>
              <w:tc>
                <w:tcPr>
                  <w:tcW w:w="551" w:type="pct"/>
                  <w:tcBorders>
                    <w:tl2br w:val="nil"/>
                    <w:tr2bl w:val="nil"/>
                  </w:tcBorders>
                  <w:vAlign w:val="center"/>
                </w:tcPr>
                <w:p w14:paraId="23A0AE87">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排放浓度mg/m</w:t>
                  </w:r>
                  <w:r>
                    <w:rPr>
                      <w:rFonts w:hint="default" w:ascii="Times New Roman" w:hAnsi="Times New Roman" w:cs="Times New Roman"/>
                      <w:b/>
                      <w:bCs/>
                      <w:color w:val="auto"/>
                      <w:kern w:val="0"/>
                      <w:szCs w:val="21"/>
                      <w:highlight w:val="none"/>
                      <w:vertAlign w:val="superscript"/>
                    </w:rPr>
                    <w:t>3</w:t>
                  </w:r>
                </w:p>
              </w:tc>
              <w:tc>
                <w:tcPr>
                  <w:tcW w:w="535" w:type="pct"/>
                  <w:tcBorders>
                    <w:tl2br w:val="nil"/>
                    <w:tr2bl w:val="nil"/>
                  </w:tcBorders>
                  <w:vAlign w:val="center"/>
                </w:tcPr>
                <w:p w14:paraId="665445EF">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排放量kg/次</w:t>
                  </w:r>
                </w:p>
              </w:tc>
              <w:tc>
                <w:tcPr>
                  <w:tcW w:w="625" w:type="pct"/>
                  <w:tcBorders>
                    <w:tl2br w:val="nil"/>
                    <w:tr2bl w:val="nil"/>
                  </w:tcBorders>
                  <w:vAlign w:val="center"/>
                </w:tcPr>
                <w:p w14:paraId="4A0BDA4F">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单次持续时间（min）</w:t>
                  </w:r>
                </w:p>
              </w:tc>
              <w:tc>
                <w:tcPr>
                  <w:tcW w:w="602" w:type="pct"/>
                  <w:tcBorders>
                    <w:tl2br w:val="nil"/>
                    <w:tr2bl w:val="nil"/>
                  </w:tcBorders>
                  <w:vAlign w:val="center"/>
                </w:tcPr>
                <w:p w14:paraId="43C2E589">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年最大发生频次</w:t>
                  </w:r>
                </w:p>
              </w:tc>
              <w:tc>
                <w:tcPr>
                  <w:tcW w:w="754" w:type="pct"/>
                  <w:tcBorders>
                    <w:tl2br w:val="nil"/>
                    <w:tr2bl w:val="nil"/>
                  </w:tcBorders>
                  <w:vAlign w:val="center"/>
                </w:tcPr>
                <w:p w14:paraId="26EC94A2">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应对措施</w:t>
                  </w:r>
                </w:p>
              </w:tc>
            </w:tr>
            <w:tr w14:paraId="26AC6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12" w:type="pct"/>
                  <w:tcBorders>
                    <w:tl2br w:val="nil"/>
                    <w:tr2bl w:val="nil"/>
                  </w:tcBorders>
                  <w:vAlign w:val="center"/>
                </w:tcPr>
                <w:p w14:paraId="1DA2006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DA001</w:t>
                  </w:r>
                </w:p>
              </w:tc>
              <w:tc>
                <w:tcPr>
                  <w:tcW w:w="799" w:type="pct"/>
                  <w:tcBorders>
                    <w:tl2br w:val="nil"/>
                    <w:tr2bl w:val="nil"/>
                  </w:tcBorders>
                  <w:vAlign w:val="center"/>
                </w:tcPr>
                <w:p w14:paraId="6AF66E1F">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废气处理</w:t>
                  </w:r>
                  <w:r>
                    <w:rPr>
                      <w:rFonts w:hint="default" w:ascii="Times New Roman" w:hAnsi="Times New Roman" w:cs="Times New Roman"/>
                      <w:color w:val="auto"/>
                      <w:kern w:val="0"/>
                      <w:szCs w:val="21"/>
                      <w:highlight w:val="none"/>
                      <w:lang w:eastAsia="zh-CN"/>
                    </w:rPr>
                    <w:t>措施</w:t>
                  </w:r>
                  <w:r>
                    <w:rPr>
                      <w:rFonts w:hint="default" w:ascii="Times New Roman" w:hAnsi="Times New Roman" w:cs="Times New Roman"/>
                      <w:color w:val="auto"/>
                      <w:kern w:val="0"/>
                      <w:szCs w:val="21"/>
                      <w:highlight w:val="none"/>
                    </w:rPr>
                    <w:t>故障，</w:t>
                  </w:r>
                  <w:r>
                    <w:rPr>
                      <w:rFonts w:hint="default" w:ascii="Times New Roman" w:hAnsi="Times New Roman" w:cs="Times New Roman"/>
                      <w:color w:val="auto"/>
                      <w:kern w:val="0"/>
                      <w:szCs w:val="21"/>
                      <w:highlight w:val="none"/>
                      <w:lang w:val="en-US" w:eastAsia="zh-CN"/>
                    </w:rPr>
                    <w:t>设备失灵</w:t>
                  </w:r>
                </w:p>
              </w:tc>
              <w:tc>
                <w:tcPr>
                  <w:tcW w:w="519" w:type="pct"/>
                  <w:tcBorders>
                    <w:tl2br w:val="nil"/>
                    <w:tr2bl w:val="nil"/>
                  </w:tcBorders>
                  <w:vAlign w:val="center"/>
                </w:tcPr>
                <w:p w14:paraId="0AEB7B06">
                  <w:pPr>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非甲烷总烃</w:t>
                  </w:r>
                </w:p>
              </w:tc>
              <w:tc>
                <w:tcPr>
                  <w:tcW w:w="551" w:type="pct"/>
                  <w:tcBorders>
                    <w:tl2br w:val="nil"/>
                    <w:tr2bl w:val="nil"/>
                  </w:tcBorders>
                  <w:vAlign w:val="center"/>
                </w:tcPr>
                <w:p w14:paraId="06DB4E0E">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63.958</w:t>
                  </w:r>
                </w:p>
              </w:tc>
              <w:tc>
                <w:tcPr>
                  <w:tcW w:w="535" w:type="pct"/>
                  <w:tcBorders>
                    <w:tl2br w:val="nil"/>
                    <w:tr2bl w:val="nil"/>
                  </w:tcBorders>
                  <w:vAlign w:val="center"/>
                </w:tcPr>
                <w:p w14:paraId="264E1D65">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0.64</w:t>
                  </w:r>
                </w:p>
              </w:tc>
              <w:tc>
                <w:tcPr>
                  <w:tcW w:w="625" w:type="pct"/>
                  <w:tcBorders>
                    <w:tl2br w:val="nil"/>
                    <w:tr2bl w:val="nil"/>
                  </w:tcBorders>
                  <w:vAlign w:val="center"/>
                </w:tcPr>
                <w:p w14:paraId="1DCA68E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w:t>
                  </w:r>
                </w:p>
              </w:tc>
              <w:tc>
                <w:tcPr>
                  <w:tcW w:w="602" w:type="pct"/>
                  <w:tcBorders>
                    <w:tl2br w:val="nil"/>
                    <w:tr2bl w:val="nil"/>
                  </w:tcBorders>
                  <w:vAlign w:val="center"/>
                </w:tcPr>
                <w:p w14:paraId="7927757A">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754" w:type="pct"/>
                  <w:tcBorders>
                    <w:tl2br w:val="nil"/>
                    <w:tr2bl w:val="nil"/>
                  </w:tcBorders>
                  <w:vAlign w:val="center"/>
                </w:tcPr>
                <w:p w14:paraId="79D2CA6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立即停止相关产污环节经营活动，维修废气处理设施</w:t>
                  </w:r>
                </w:p>
              </w:tc>
            </w:tr>
          </w:tbl>
          <w:p w14:paraId="3F668BB8">
            <w:pPr>
              <w:adjustRightInd w:val="0"/>
              <w:snapToGrid w:val="0"/>
              <w:spacing w:line="360" w:lineRule="auto"/>
              <w:ind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val="en-US" w:eastAsia="zh-CN"/>
              </w:rPr>
              <w:t>5、</w:t>
            </w:r>
            <w:r>
              <w:rPr>
                <w:rFonts w:hint="default" w:ascii="Times New Roman" w:hAnsi="Times New Roman" w:cs="Times New Roman"/>
                <w:b/>
                <w:bCs/>
                <w:color w:val="auto"/>
                <w:kern w:val="0"/>
                <w:sz w:val="24"/>
                <w:highlight w:val="none"/>
              </w:rPr>
              <w:t>气环境影响分析</w:t>
            </w:r>
          </w:p>
          <w:p w14:paraId="5C0AE769">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建设项目运营过程中产生的废气通过采取可行的废气治理措施处理后，主要污染物排放均能满足相应的排放标准要求，能够有效</w:t>
            </w:r>
            <w:r>
              <w:rPr>
                <w:rFonts w:hint="default" w:ascii="Times New Roman" w:hAnsi="Times New Roman" w:cs="Times New Roman"/>
                <w:color w:val="auto"/>
                <w:kern w:val="0"/>
                <w:sz w:val="24"/>
                <w:highlight w:val="none"/>
                <w:lang w:eastAsia="zh-CN"/>
              </w:rPr>
              <w:t>地</w:t>
            </w:r>
            <w:r>
              <w:rPr>
                <w:rFonts w:hint="default" w:ascii="Times New Roman" w:hAnsi="Times New Roman" w:cs="Times New Roman"/>
                <w:color w:val="auto"/>
                <w:kern w:val="0"/>
                <w:sz w:val="24"/>
                <w:highlight w:val="none"/>
              </w:rPr>
              <w:t>减轻对周边大气环境敏感目标的影响，对周边大气环境影响较小。</w:t>
            </w:r>
          </w:p>
          <w:p w14:paraId="295C919F">
            <w:pPr>
              <w:pStyle w:val="53"/>
              <w:autoSpaceDE/>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二</w:t>
            </w:r>
            <w:r>
              <w:rPr>
                <w:rFonts w:hint="default" w:ascii="Times New Roman" w:hAnsi="Times New Roman" w:cs="Times New Roman"/>
                <w:b/>
                <w:bCs/>
                <w:color w:val="auto"/>
                <w:highlight w:val="none"/>
              </w:rPr>
              <w:t>、废水环境影响及保护措施</w:t>
            </w:r>
          </w:p>
          <w:p w14:paraId="5F4B3882">
            <w:pPr>
              <w:pStyle w:val="53"/>
              <w:autoSpaceDE/>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废水污染源分析</w:t>
            </w:r>
          </w:p>
          <w:p w14:paraId="43EF6BC2">
            <w:pPr>
              <w:adjustRightInd w:val="0"/>
              <w:snapToGrid w:val="0"/>
              <w:spacing w:line="360" w:lineRule="auto"/>
              <w:ind w:firstLine="48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本项目用水主要是磨边清洗废水、设备冷却用水和生活用水。</w:t>
            </w:r>
          </w:p>
          <w:p w14:paraId="060BE4C8">
            <w:pPr>
              <w:adjustRightInd w:val="0"/>
              <w:snapToGrid w:val="0"/>
              <w:spacing w:line="360" w:lineRule="auto"/>
              <w:ind w:firstLine="48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（1）生活用水</w:t>
            </w:r>
          </w:p>
          <w:p w14:paraId="1154853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拟建项目劳动定员</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人，用水量按</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0L/人·d，全年运行</w:t>
            </w:r>
            <w:r>
              <w:rPr>
                <w:rFonts w:hint="default" w:ascii="Times New Roman" w:hAnsi="Times New Roman" w:cs="Times New Roman"/>
                <w:color w:val="auto"/>
                <w:sz w:val="24"/>
                <w:highlight w:val="none"/>
                <w:lang w:val="en-US" w:eastAsia="zh-CN"/>
              </w:rPr>
              <w:t>300</w:t>
            </w:r>
            <w:r>
              <w:rPr>
                <w:rFonts w:hint="default" w:ascii="Times New Roman" w:hAnsi="Times New Roman" w:cs="Times New Roman"/>
                <w:color w:val="auto"/>
                <w:sz w:val="24"/>
                <w:highlight w:val="none"/>
              </w:rPr>
              <w:t>天，则拟建项目总用水量</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val="en-US" w:eastAsia="zh-CN"/>
              </w:rPr>
              <w:t>360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/a），废水产生量按用水量8</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%计算，则废水产生量</w:t>
            </w:r>
            <w:r>
              <w:rPr>
                <w:rFonts w:hint="default" w:ascii="Times New Roman" w:hAnsi="Times New Roman" w:cs="Times New Roman"/>
                <w:color w:val="auto"/>
                <w:sz w:val="24"/>
                <w:highlight w:val="none"/>
                <w:lang w:val="en-US" w:eastAsia="zh-CN"/>
              </w:rPr>
              <w:t>0.96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val="en-US" w:eastAsia="zh-CN"/>
              </w:rPr>
              <w:t>28</w:t>
            </w:r>
            <w:r>
              <w:rPr>
                <w:rFonts w:hint="default" w:ascii="Times New Roman" w:hAnsi="Times New Roman" w:cs="Times New Roman"/>
                <w:color w:val="auto"/>
                <w:sz w:val="24"/>
                <w:highlight w:val="none"/>
              </w:rPr>
              <w:t>8m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拟建项目产生的生活污水经化粪池处理后通过园区管网进入淮南现代产业园园区污水处理厂，经处理达到《城镇污水处理厂污染物排放标准》（GB18918-2002）中一级A标准后尾水排入林桥涧沟，最终汇入瓦埠湖。</w:t>
            </w:r>
          </w:p>
          <w:p w14:paraId="7287E13A">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（2）生产废水</w:t>
            </w:r>
          </w:p>
          <w:p w14:paraId="4C95B91D">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①磨边清洗废水</w:t>
            </w:r>
          </w:p>
          <w:p w14:paraId="1D861679">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项目磨边清洗废水主要为玻璃磨边、清洗工序的废水，该废水的特征污染物为悬浮物(S</w:t>
            </w:r>
            <w:r>
              <w:rPr>
                <w:rFonts w:hint="default" w:ascii="Times New Roman" w:hAnsi="Times New Roman" w:cs="Times New Roman"/>
                <w:bCs/>
                <w:color w:val="auto"/>
                <w:sz w:val="24"/>
                <w:highlight w:val="none"/>
                <w:lang w:val="en-US" w:eastAsia="zh-CN"/>
              </w:rPr>
              <w:t>S</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rPr>
              <w:t>水质较好，污水中颗粒呈悬浮状态，分散度高。磨边清洗废水生循环水量为32m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/d(9600m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rPr>
              <w:t>采用沉淀池处理后回用于磨边、清洗工序，定期清理玻璃渣和补充蒸发损耗的量，清洗废水通过排渠经入沉淀池沉淀后流入清水池，由清水池流入设备水槽，清洗废水经沉淀处理后循环回用，不外排。</w:t>
            </w:r>
          </w:p>
          <w:p w14:paraId="22CF583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②设备冷却水</w:t>
            </w:r>
          </w:p>
          <w:p w14:paraId="70E7D0EC">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设备冷却水经冷却水池自然冷却后，循环利用，不外排。</w:t>
            </w:r>
          </w:p>
          <w:p w14:paraId="0BAD82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由上表可知，建设项目总排口废水中主要污染物pH、COD、BOD</w:t>
            </w:r>
            <w:r>
              <w:rPr>
                <w:rFonts w:hint="default" w:ascii="Times New Roman" w:hAnsi="Times New Roman" w:cs="Times New Roman"/>
                <w:bCs/>
                <w:color w:val="auto"/>
                <w:sz w:val="24"/>
                <w:highlight w:val="none"/>
                <w:vertAlign w:val="subscript"/>
              </w:rPr>
              <w:t>5</w:t>
            </w:r>
            <w:r>
              <w:rPr>
                <w:rFonts w:hint="default" w:ascii="Times New Roman" w:hAnsi="Times New Roman" w:cs="Times New Roman"/>
                <w:bCs/>
                <w:color w:val="auto"/>
                <w:sz w:val="24"/>
                <w:highlight w:val="none"/>
              </w:rPr>
              <w:t>、SS</w:t>
            </w:r>
            <w:r>
              <w:rPr>
                <w:rFonts w:hint="default" w:ascii="Times New Roman" w:hAnsi="Times New Roman" w:cs="Times New Roman"/>
                <w:bCs/>
                <w:color w:val="auto"/>
                <w:sz w:val="24"/>
                <w:highlight w:val="none"/>
                <w:lang w:val="en-US" w:eastAsia="zh-CN"/>
              </w:rPr>
              <w:t>和</w:t>
            </w:r>
            <w:r>
              <w:rPr>
                <w:rFonts w:hint="default" w:ascii="Times New Roman" w:hAnsi="Times New Roman" w:cs="Times New Roman"/>
                <w:bCs/>
                <w:color w:val="auto"/>
                <w:sz w:val="24"/>
                <w:highlight w:val="none"/>
              </w:rPr>
              <w:t>NH</w:t>
            </w:r>
            <w:r>
              <w:rPr>
                <w:rFonts w:hint="default" w:ascii="Times New Roman" w:hAnsi="Times New Roman" w:cs="Times New Roman"/>
                <w:bCs/>
                <w:color w:val="auto"/>
                <w:sz w:val="24"/>
                <w:highlight w:val="none"/>
                <w:vertAlign w:val="subscript"/>
              </w:rPr>
              <w:t>3</w:t>
            </w:r>
            <w:r>
              <w:rPr>
                <w:rFonts w:hint="default" w:ascii="Times New Roman" w:hAnsi="Times New Roman" w:cs="Times New Roman"/>
                <w:bCs/>
                <w:color w:val="auto"/>
                <w:sz w:val="24"/>
                <w:highlight w:val="none"/>
              </w:rPr>
              <w:t>-N排放浓度满足执行淮南现代产业园园区污水处理厂接管标准，项目废水能够达标排放，接管入淮南现代产业园园区污水处理厂处理后排向林桥涧沟，最终汇入瓦埠湖，对区域地表水环境影响较小。</w:t>
            </w:r>
          </w:p>
          <w:p w14:paraId="47B5EB15">
            <w:pPr>
              <w:keepNext w:val="0"/>
              <w:keepLines w:val="0"/>
              <w:pageBreakBefore w:val="0"/>
              <w:widowControl/>
              <w:kinsoku/>
              <w:wordWrap/>
              <w:overflowPunct/>
              <w:topLinePunct w:val="0"/>
              <w:autoSpaceDE/>
              <w:autoSpaceDN w:val="0"/>
              <w:bidi w:val="0"/>
              <w:snapToGrid w:val="0"/>
              <w:spacing w:line="360" w:lineRule="auto"/>
              <w:ind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2、废水源强核算</w:t>
            </w:r>
          </w:p>
          <w:p w14:paraId="48F3376E">
            <w:pPr>
              <w:spacing w:line="240" w:lineRule="auto"/>
              <w:ind w:firstLine="482" w:firstLineChars="20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w:t>
            </w:r>
            <w:r>
              <w:rPr>
                <w:rFonts w:hint="default" w:ascii="Times New Roman" w:hAnsi="Times New Roman"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rPr>
              <w:t xml:space="preserve"> 项目废水产生及排放情况表</w:t>
            </w:r>
          </w:p>
          <w:tbl>
            <w:tblPr>
              <w:tblStyle w:val="25"/>
              <w:tblW w:w="4971" w:type="pct"/>
              <w:tblInd w:w="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0"/>
              <w:gridCol w:w="938"/>
              <w:gridCol w:w="1012"/>
              <w:gridCol w:w="900"/>
              <w:gridCol w:w="957"/>
              <w:gridCol w:w="824"/>
              <w:gridCol w:w="769"/>
              <w:gridCol w:w="1031"/>
              <w:gridCol w:w="673"/>
            </w:tblGrid>
            <w:tr w14:paraId="26F73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06" w:type="pct"/>
                  <w:vMerge w:val="restart"/>
                  <w:tcBorders>
                    <w:tl2br w:val="nil"/>
                    <w:tr2bl w:val="nil"/>
                  </w:tcBorders>
                  <w:noWrap w:val="0"/>
                  <w:vAlign w:val="center"/>
                </w:tcPr>
                <w:p w14:paraId="46D3916A">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废水类型</w:t>
                  </w:r>
                </w:p>
              </w:tc>
              <w:tc>
                <w:tcPr>
                  <w:tcW w:w="593" w:type="pct"/>
                  <w:vMerge w:val="restart"/>
                  <w:tcBorders>
                    <w:tl2br w:val="nil"/>
                    <w:tr2bl w:val="nil"/>
                  </w:tcBorders>
                  <w:noWrap w:val="0"/>
                  <w:vAlign w:val="center"/>
                </w:tcPr>
                <w:p w14:paraId="1CF78947">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1209" w:type="pct"/>
                  <w:gridSpan w:val="2"/>
                  <w:tcBorders>
                    <w:tl2br w:val="nil"/>
                    <w:tr2bl w:val="nil"/>
                  </w:tcBorders>
                  <w:noWrap w:val="0"/>
                  <w:vAlign w:val="center"/>
                </w:tcPr>
                <w:p w14:paraId="552DCB6A">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产生情况</w:t>
                  </w:r>
                </w:p>
              </w:tc>
              <w:tc>
                <w:tcPr>
                  <w:tcW w:w="605" w:type="pct"/>
                  <w:vMerge w:val="restart"/>
                  <w:tcBorders>
                    <w:tl2br w:val="nil"/>
                    <w:tr2bl w:val="nil"/>
                  </w:tcBorders>
                  <w:noWrap w:val="0"/>
                  <w:vAlign w:val="center"/>
                </w:tcPr>
                <w:p w14:paraId="38876E16">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污染治理设施名称</w:t>
                  </w:r>
                </w:p>
              </w:tc>
              <w:tc>
                <w:tcPr>
                  <w:tcW w:w="1007" w:type="pct"/>
                  <w:gridSpan w:val="2"/>
                  <w:tcBorders>
                    <w:tl2br w:val="nil"/>
                    <w:tr2bl w:val="nil"/>
                  </w:tcBorders>
                  <w:noWrap w:val="0"/>
                  <w:vAlign w:val="center"/>
                </w:tcPr>
                <w:p w14:paraId="6C89A6BB">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污水外排情况</w:t>
                  </w:r>
                </w:p>
              </w:tc>
              <w:tc>
                <w:tcPr>
                  <w:tcW w:w="652" w:type="pct"/>
                  <w:vMerge w:val="restart"/>
                  <w:tcBorders>
                    <w:tl2br w:val="nil"/>
                    <w:tr2bl w:val="nil"/>
                  </w:tcBorders>
                  <w:noWrap w:val="0"/>
                  <w:vAlign w:val="center"/>
                </w:tcPr>
                <w:p w14:paraId="6BD48D62">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限值要求（mg/L）</w:t>
                  </w:r>
                </w:p>
              </w:tc>
              <w:tc>
                <w:tcPr>
                  <w:tcW w:w="425" w:type="pct"/>
                  <w:vMerge w:val="restart"/>
                  <w:tcBorders>
                    <w:tl2br w:val="nil"/>
                    <w:tr2bl w:val="nil"/>
                  </w:tcBorders>
                  <w:noWrap w:val="0"/>
                  <w:vAlign w:val="center"/>
                </w:tcPr>
                <w:p w14:paraId="6B24A2F2">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排放去向</w:t>
                  </w:r>
                </w:p>
              </w:tc>
            </w:tr>
            <w:tr w14:paraId="22851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06" w:type="pct"/>
                  <w:vMerge w:val="continue"/>
                  <w:tcBorders>
                    <w:tl2br w:val="nil"/>
                    <w:tr2bl w:val="nil"/>
                  </w:tcBorders>
                  <w:noWrap w:val="0"/>
                  <w:vAlign w:val="center"/>
                </w:tcPr>
                <w:p w14:paraId="0498D3BE">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593" w:type="pct"/>
                  <w:vMerge w:val="continue"/>
                  <w:tcBorders>
                    <w:tl2br w:val="nil"/>
                    <w:tr2bl w:val="nil"/>
                  </w:tcBorders>
                  <w:noWrap w:val="0"/>
                  <w:vAlign w:val="center"/>
                </w:tcPr>
                <w:p w14:paraId="65D2B393">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640" w:type="pct"/>
                  <w:tcBorders>
                    <w:tl2br w:val="nil"/>
                    <w:tr2bl w:val="nil"/>
                  </w:tcBorders>
                  <w:noWrap w:val="0"/>
                  <w:vAlign w:val="center"/>
                </w:tcPr>
                <w:p w14:paraId="58FBFAF2">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浓度mg/L</w:t>
                  </w:r>
                </w:p>
              </w:tc>
              <w:tc>
                <w:tcPr>
                  <w:tcW w:w="569" w:type="pct"/>
                  <w:tcBorders>
                    <w:tl2br w:val="nil"/>
                    <w:tr2bl w:val="nil"/>
                  </w:tcBorders>
                  <w:noWrap w:val="0"/>
                  <w:vAlign w:val="center"/>
                </w:tcPr>
                <w:p w14:paraId="707F019C">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产生量t/a</w:t>
                  </w:r>
                </w:p>
              </w:tc>
              <w:tc>
                <w:tcPr>
                  <w:tcW w:w="605" w:type="pct"/>
                  <w:vMerge w:val="continue"/>
                  <w:tcBorders>
                    <w:tl2br w:val="nil"/>
                    <w:tr2bl w:val="nil"/>
                  </w:tcBorders>
                  <w:noWrap w:val="0"/>
                  <w:vAlign w:val="center"/>
                </w:tcPr>
                <w:p w14:paraId="7FA293A3">
                  <w:pPr>
                    <w:tabs>
                      <w:tab w:val="left" w:pos="360"/>
                      <w:tab w:val="left" w:pos="540"/>
                    </w:tabs>
                    <w:adjustRightInd w:val="0"/>
                    <w:snapToGrid w:val="0"/>
                    <w:jc w:val="center"/>
                    <w:rPr>
                      <w:rFonts w:hint="default" w:ascii="Times New Roman" w:hAnsi="Times New Roman" w:cs="Times New Roman"/>
                      <w:b/>
                      <w:bCs/>
                      <w:color w:val="auto"/>
                      <w:szCs w:val="21"/>
                      <w:highlight w:val="none"/>
                    </w:rPr>
                  </w:pPr>
                </w:p>
              </w:tc>
              <w:tc>
                <w:tcPr>
                  <w:tcW w:w="521" w:type="pct"/>
                  <w:tcBorders>
                    <w:tl2br w:val="nil"/>
                    <w:tr2bl w:val="nil"/>
                  </w:tcBorders>
                  <w:noWrap w:val="0"/>
                  <w:vAlign w:val="center"/>
                </w:tcPr>
                <w:p w14:paraId="0ACF3A2A">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浓度mg/L</w:t>
                  </w:r>
                </w:p>
              </w:tc>
              <w:tc>
                <w:tcPr>
                  <w:tcW w:w="485" w:type="pct"/>
                  <w:tcBorders>
                    <w:tl2br w:val="nil"/>
                    <w:tr2bl w:val="nil"/>
                  </w:tcBorders>
                  <w:noWrap w:val="0"/>
                  <w:vAlign w:val="center"/>
                </w:tcPr>
                <w:p w14:paraId="4269F9CA">
                  <w:pPr>
                    <w:tabs>
                      <w:tab w:val="left" w:pos="360"/>
                      <w:tab w:val="left" w:pos="540"/>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排放量t/a</w:t>
                  </w:r>
                </w:p>
              </w:tc>
              <w:tc>
                <w:tcPr>
                  <w:tcW w:w="652" w:type="pct"/>
                  <w:vMerge w:val="continue"/>
                  <w:tcBorders>
                    <w:tl2br w:val="nil"/>
                    <w:tr2bl w:val="nil"/>
                  </w:tcBorders>
                  <w:noWrap w:val="0"/>
                  <w:vAlign w:val="center"/>
                </w:tcPr>
                <w:p w14:paraId="45F23F3C">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425" w:type="pct"/>
                  <w:vMerge w:val="continue"/>
                  <w:tcBorders>
                    <w:tl2br w:val="nil"/>
                    <w:tr2bl w:val="nil"/>
                  </w:tcBorders>
                  <w:noWrap w:val="0"/>
                  <w:vAlign w:val="center"/>
                </w:tcPr>
                <w:p w14:paraId="70BD1F35">
                  <w:pPr>
                    <w:tabs>
                      <w:tab w:val="left" w:pos="360"/>
                      <w:tab w:val="left" w:pos="540"/>
                    </w:tabs>
                    <w:adjustRightInd w:val="0"/>
                    <w:snapToGrid w:val="0"/>
                    <w:jc w:val="center"/>
                    <w:rPr>
                      <w:rFonts w:hint="default" w:ascii="Times New Roman" w:hAnsi="Times New Roman" w:cs="Times New Roman"/>
                      <w:color w:val="auto"/>
                      <w:szCs w:val="21"/>
                      <w:highlight w:val="none"/>
                    </w:rPr>
                  </w:pPr>
                </w:p>
              </w:tc>
            </w:tr>
            <w:tr w14:paraId="07E34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506" w:type="pct"/>
                  <w:vMerge w:val="restart"/>
                  <w:tcBorders>
                    <w:tl2br w:val="nil"/>
                    <w:tr2bl w:val="nil"/>
                  </w:tcBorders>
                  <w:noWrap w:val="0"/>
                  <w:vAlign w:val="center"/>
                </w:tcPr>
                <w:p w14:paraId="7B08A15C">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w:t>
                  </w:r>
                </w:p>
              </w:tc>
              <w:tc>
                <w:tcPr>
                  <w:tcW w:w="593" w:type="pct"/>
                  <w:tcBorders>
                    <w:tl2br w:val="nil"/>
                    <w:tr2bl w:val="nil"/>
                  </w:tcBorders>
                  <w:noWrap w:val="0"/>
                  <w:vAlign w:val="center"/>
                </w:tcPr>
                <w:p w14:paraId="75549476">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废水量</w:t>
                  </w:r>
                </w:p>
              </w:tc>
              <w:tc>
                <w:tcPr>
                  <w:tcW w:w="640" w:type="pct"/>
                  <w:tcBorders>
                    <w:tl2br w:val="nil"/>
                    <w:tr2bl w:val="nil"/>
                  </w:tcBorders>
                  <w:noWrap w:val="0"/>
                  <w:vAlign w:val="center"/>
                </w:tcPr>
                <w:p w14:paraId="06F4240F">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9" w:type="pct"/>
                  <w:tcBorders>
                    <w:tl2br w:val="nil"/>
                    <w:tr2bl w:val="nil"/>
                  </w:tcBorders>
                  <w:noWrap w:val="0"/>
                  <w:vAlign w:val="center"/>
                </w:tcPr>
                <w:p w14:paraId="5BD24F2E">
                  <w:pPr>
                    <w:tabs>
                      <w:tab w:val="left" w:pos="360"/>
                      <w:tab w:val="left" w:pos="540"/>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288</w:t>
                  </w:r>
                </w:p>
              </w:tc>
              <w:tc>
                <w:tcPr>
                  <w:tcW w:w="605" w:type="pct"/>
                  <w:vMerge w:val="restart"/>
                  <w:tcBorders>
                    <w:tl2br w:val="nil"/>
                    <w:tr2bl w:val="nil"/>
                  </w:tcBorders>
                  <w:noWrap w:val="0"/>
                  <w:vAlign w:val="center"/>
                </w:tcPr>
                <w:p w14:paraId="37724ABB">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化粪池</w:t>
                  </w:r>
                </w:p>
              </w:tc>
              <w:tc>
                <w:tcPr>
                  <w:tcW w:w="521" w:type="pct"/>
                  <w:tcBorders>
                    <w:tl2br w:val="nil"/>
                    <w:tr2bl w:val="nil"/>
                  </w:tcBorders>
                  <w:noWrap w:val="0"/>
                  <w:vAlign w:val="center"/>
                </w:tcPr>
                <w:p w14:paraId="186CB6AC">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85" w:type="pct"/>
                  <w:tcBorders>
                    <w:tl2br w:val="nil"/>
                    <w:tr2bl w:val="nil"/>
                  </w:tcBorders>
                  <w:noWrap w:val="0"/>
                  <w:vAlign w:val="center"/>
                </w:tcPr>
                <w:p w14:paraId="57D05305">
                  <w:pPr>
                    <w:tabs>
                      <w:tab w:val="left" w:pos="360"/>
                      <w:tab w:val="left" w:pos="540"/>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288</w:t>
                  </w:r>
                </w:p>
              </w:tc>
              <w:tc>
                <w:tcPr>
                  <w:tcW w:w="652" w:type="pct"/>
                  <w:tcBorders>
                    <w:tl2br w:val="nil"/>
                    <w:tr2bl w:val="nil"/>
                  </w:tcBorders>
                  <w:noWrap w:val="0"/>
                  <w:vAlign w:val="center"/>
                </w:tcPr>
                <w:p w14:paraId="0D7EFFC5">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25" w:type="pct"/>
                  <w:vMerge w:val="restart"/>
                  <w:tcBorders>
                    <w:tl2br w:val="nil"/>
                    <w:tr2bl w:val="nil"/>
                  </w:tcBorders>
                  <w:noWrap w:val="0"/>
                  <w:vAlign w:val="center"/>
                </w:tcPr>
                <w:p w14:paraId="0162DDB3">
                  <w:pPr>
                    <w:tabs>
                      <w:tab w:val="left" w:pos="360"/>
                      <w:tab w:val="left" w:pos="540"/>
                    </w:tabs>
                    <w:adjustRightInd w:val="0"/>
                    <w:snapToGrid w:val="0"/>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淮南现代产业园污水处理站</w:t>
                  </w:r>
                </w:p>
              </w:tc>
            </w:tr>
            <w:tr w14:paraId="561EA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6" w:type="pct"/>
                  <w:vMerge w:val="continue"/>
                  <w:tcBorders>
                    <w:tl2br w:val="nil"/>
                    <w:tr2bl w:val="nil"/>
                  </w:tcBorders>
                  <w:noWrap w:val="0"/>
                  <w:vAlign w:val="center"/>
                </w:tcPr>
                <w:p w14:paraId="1926993A">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593" w:type="pct"/>
                  <w:tcBorders>
                    <w:tl2br w:val="nil"/>
                    <w:tr2bl w:val="nil"/>
                  </w:tcBorders>
                  <w:noWrap w:val="0"/>
                  <w:vAlign w:val="center"/>
                </w:tcPr>
                <w:p w14:paraId="54979E04">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p>
              </w:tc>
              <w:tc>
                <w:tcPr>
                  <w:tcW w:w="640" w:type="pct"/>
                  <w:tcBorders>
                    <w:tl2br w:val="nil"/>
                    <w:tr2bl w:val="nil"/>
                  </w:tcBorders>
                  <w:noWrap w:val="0"/>
                  <w:vAlign w:val="center"/>
                </w:tcPr>
                <w:p w14:paraId="56B2EDDD">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569" w:type="pct"/>
                  <w:tcBorders>
                    <w:tl2br w:val="nil"/>
                    <w:tr2bl w:val="nil"/>
                  </w:tcBorders>
                  <w:noWrap w:val="0"/>
                  <w:vAlign w:val="center"/>
                </w:tcPr>
                <w:p w14:paraId="0237978B">
                  <w:pPr>
                    <w:tabs>
                      <w:tab w:val="left" w:pos="360"/>
                      <w:tab w:val="left" w:pos="540"/>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0.086</w:t>
                  </w:r>
                </w:p>
              </w:tc>
              <w:tc>
                <w:tcPr>
                  <w:tcW w:w="605" w:type="pct"/>
                  <w:vMerge w:val="continue"/>
                  <w:tcBorders>
                    <w:tl2br w:val="nil"/>
                    <w:tr2bl w:val="nil"/>
                  </w:tcBorders>
                  <w:noWrap w:val="0"/>
                  <w:vAlign w:val="center"/>
                </w:tcPr>
                <w:p w14:paraId="45720C27">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521" w:type="pct"/>
                  <w:tcBorders>
                    <w:tl2br w:val="nil"/>
                    <w:tr2bl w:val="nil"/>
                  </w:tcBorders>
                  <w:noWrap w:val="0"/>
                  <w:vAlign w:val="center"/>
                </w:tcPr>
                <w:p w14:paraId="150A40B6">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270</w:t>
                  </w:r>
                </w:p>
              </w:tc>
              <w:tc>
                <w:tcPr>
                  <w:tcW w:w="485" w:type="pct"/>
                  <w:tcBorders>
                    <w:tl2br w:val="nil"/>
                    <w:tr2bl w:val="nil"/>
                  </w:tcBorders>
                  <w:noWrap w:val="0"/>
                  <w:vAlign w:val="center"/>
                </w:tcPr>
                <w:p w14:paraId="61A7C674">
                  <w:pPr>
                    <w:tabs>
                      <w:tab w:val="left" w:pos="360"/>
                      <w:tab w:val="left" w:pos="540"/>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0.078</w:t>
                  </w:r>
                </w:p>
              </w:tc>
              <w:tc>
                <w:tcPr>
                  <w:tcW w:w="652" w:type="pct"/>
                  <w:tcBorders>
                    <w:tl2br w:val="nil"/>
                    <w:tr2bl w:val="nil"/>
                  </w:tcBorders>
                  <w:noWrap w:val="0"/>
                  <w:vAlign w:val="center"/>
                </w:tcPr>
                <w:p w14:paraId="35B842DE">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350</w:t>
                  </w:r>
                </w:p>
              </w:tc>
              <w:tc>
                <w:tcPr>
                  <w:tcW w:w="425" w:type="pct"/>
                  <w:vMerge w:val="continue"/>
                  <w:tcBorders>
                    <w:tl2br w:val="nil"/>
                    <w:tr2bl w:val="nil"/>
                  </w:tcBorders>
                  <w:noWrap w:val="0"/>
                  <w:vAlign w:val="center"/>
                </w:tcPr>
                <w:p w14:paraId="1D2CF2C0">
                  <w:pPr>
                    <w:tabs>
                      <w:tab w:val="left" w:pos="360"/>
                      <w:tab w:val="left" w:pos="540"/>
                    </w:tabs>
                    <w:adjustRightInd w:val="0"/>
                    <w:snapToGrid w:val="0"/>
                    <w:jc w:val="center"/>
                    <w:rPr>
                      <w:rFonts w:hint="default" w:ascii="Times New Roman" w:hAnsi="Times New Roman" w:cs="Times New Roman"/>
                      <w:color w:val="auto"/>
                      <w:szCs w:val="21"/>
                      <w:highlight w:val="none"/>
                    </w:rPr>
                  </w:pPr>
                </w:p>
              </w:tc>
            </w:tr>
            <w:tr w14:paraId="68E8B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506" w:type="pct"/>
                  <w:vMerge w:val="continue"/>
                  <w:tcBorders>
                    <w:tl2br w:val="nil"/>
                    <w:tr2bl w:val="nil"/>
                  </w:tcBorders>
                  <w:noWrap w:val="0"/>
                  <w:vAlign w:val="center"/>
                </w:tcPr>
                <w:p w14:paraId="17E2CAF9">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593" w:type="pct"/>
                  <w:tcBorders>
                    <w:tl2br w:val="nil"/>
                    <w:tr2bl w:val="nil"/>
                  </w:tcBorders>
                  <w:noWrap w:val="0"/>
                  <w:vAlign w:val="center"/>
                </w:tcPr>
                <w:p w14:paraId="7EF835F4">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640" w:type="pct"/>
                  <w:tcBorders>
                    <w:tl2br w:val="nil"/>
                    <w:tr2bl w:val="nil"/>
                  </w:tcBorders>
                  <w:noWrap w:val="0"/>
                  <w:vAlign w:val="center"/>
                </w:tcPr>
                <w:p w14:paraId="22A37C7A">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569" w:type="pct"/>
                  <w:tcBorders>
                    <w:tl2br w:val="nil"/>
                    <w:tr2bl w:val="nil"/>
                  </w:tcBorders>
                  <w:noWrap w:val="0"/>
                  <w:vAlign w:val="center"/>
                </w:tcPr>
                <w:p w14:paraId="5185911B">
                  <w:pPr>
                    <w:tabs>
                      <w:tab w:val="left" w:pos="360"/>
                      <w:tab w:val="left" w:pos="540"/>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0.058</w:t>
                  </w:r>
                </w:p>
              </w:tc>
              <w:tc>
                <w:tcPr>
                  <w:tcW w:w="605" w:type="pct"/>
                  <w:vMerge w:val="continue"/>
                  <w:tcBorders>
                    <w:tl2br w:val="nil"/>
                    <w:tr2bl w:val="nil"/>
                  </w:tcBorders>
                  <w:noWrap w:val="0"/>
                  <w:vAlign w:val="center"/>
                </w:tcPr>
                <w:p w14:paraId="3A6C96E5">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521" w:type="pct"/>
                  <w:tcBorders>
                    <w:tl2br w:val="nil"/>
                    <w:tr2bl w:val="nil"/>
                  </w:tcBorders>
                  <w:noWrap w:val="0"/>
                  <w:vAlign w:val="center"/>
                </w:tcPr>
                <w:p w14:paraId="74A9BDA4">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180</w:t>
                  </w:r>
                </w:p>
              </w:tc>
              <w:tc>
                <w:tcPr>
                  <w:tcW w:w="485" w:type="pct"/>
                  <w:tcBorders>
                    <w:tl2br w:val="nil"/>
                    <w:tr2bl w:val="nil"/>
                  </w:tcBorders>
                  <w:noWrap w:val="0"/>
                  <w:vAlign w:val="center"/>
                </w:tcPr>
                <w:p w14:paraId="663021B9">
                  <w:pPr>
                    <w:tabs>
                      <w:tab w:val="left" w:pos="360"/>
                      <w:tab w:val="left" w:pos="540"/>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0.0</w:t>
                  </w:r>
                  <w:r>
                    <w:rPr>
                      <w:rFonts w:hint="default" w:ascii="Times New Roman" w:hAnsi="Times New Roman" w:cs="Times New Roman"/>
                      <w:color w:val="auto"/>
                      <w:szCs w:val="21"/>
                      <w:highlight w:val="none"/>
                      <w:lang w:val="en-US" w:eastAsia="zh-CN"/>
                    </w:rPr>
                    <w:t>52</w:t>
                  </w:r>
                </w:p>
              </w:tc>
              <w:tc>
                <w:tcPr>
                  <w:tcW w:w="652" w:type="pct"/>
                  <w:tcBorders>
                    <w:tl2br w:val="nil"/>
                    <w:tr2bl w:val="nil"/>
                  </w:tcBorders>
                  <w:noWrap w:val="0"/>
                  <w:vAlign w:val="center"/>
                </w:tcPr>
                <w:p w14:paraId="5B5882B6">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250</w:t>
                  </w:r>
                </w:p>
              </w:tc>
              <w:tc>
                <w:tcPr>
                  <w:tcW w:w="425" w:type="pct"/>
                  <w:vMerge w:val="continue"/>
                  <w:tcBorders>
                    <w:tl2br w:val="nil"/>
                    <w:tr2bl w:val="nil"/>
                  </w:tcBorders>
                  <w:noWrap w:val="0"/>
                  <w:vAlign w:val="center"/>
                </w:tcPr>
                <w:p w14:paraId="54C162EB">
                  <w:pPr>
                    <w:tabs>
                      <w:tab w:val="left" w:pos="360"/>
                      <w:tab w:val="left" w:pos="540"/>
                    </w:tabs>
                    <w:adjustRightInd w:val="0"/>
                    <w:snapToGrid w:val="0"/>
                    <w:jc w:val="center"/>
                    <w:rPr>
                      <w:rFonts w:hint="default" w:ascii="Times New Roman" w:hAnsi="Times New Roman" w:cs="Times New Roman"/>
                      <w:color w:val="auto"/>
                      <w:szCs w:val="21"/>
                      <w:highlight w:val="none"/>
                    </w:rPr>
                  </w:pPr>
                </w:p>
              </w:tc>
            </w:tr>
            <w:tr w14:paraId="73773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506" w:type="pct"/>
                  <w:vMerge w:val="continue"/>
                  <w:tcBorders>
                    <w:tl2br w:val="nil"/>
                    <w:tr2bl w:val="nil"/>
                  </w:tcBorders>
                  <w:noWrap w:val="0"/>
                  <w:vAlign w:val="center"/>
                </w:tcPr>
                <w:p w14:paraId="10D8EAFB">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593" w:type="pct"/>
                  <w:tcBorders>
                    <w:tl2br w:val="nil"/>
                    <w:tr2bl w:val="nil"/>
                  </w:tcBorders>
                  <w:noWrap w:val="0"/>
                  <w:vAlign w:val="center"/>
                </w:tcPr>
                <w:p w14:paraId="3A8D0980">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tc>
              <w:tc>
                <w:tcPr>
                  <w:tcW w:w="640" w:type="pct"/>
                  <w:tcBorders>
                    <w:tl2br w:val="nil"/>
                    <w:tr2bl w:val="nil"/>
                  </w:tcBorders>
                  <w:noWrap w:val="0"/>
                  <w:vAlign w:val="center"/>
                </w:tcPr>
                <w:p w14:paraId="5CBE10B4">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569" w:type="pct"/>
                  <w:tcBorders>
                    <w:tl2br w:val="nil"/>
                    <w:tr2bl w:val="nil"/>
                  </w:tcBorders>
                  <w:noWrap w:val="0"/>
                  <w:vAlign w:val="center"/>
                </w:tcPr>
                <w:p w14:paraId="3C0C6880">
                  <w:pPr>
                    <w:tabs>
                      <w:tab w:val="left" w:pos="360"/>
                      <w:tab w:val="left" w:pos="540"/>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0.058</w:t>
                  </w:r>
                </w:p>
              </w:tc>
              <w:tc>
                <w:tcPr>
                  <w:tcW w:w="605" w:type="pct"/>
                  <w:vMerge w:val="continue"/>
                  <w:tcBorders>
                    <w:tl2br w:val="nil"/>
                    <w:tr2bl w:val="nil"/>
                  </w:tcBorders>
                  <w:noWrap w:val="0"/>
                  <w:vAlign w:val="center"/>
                </w:tcPr>
                <w:p w14:paraId="160B0CF9">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521" w:type="pct"/>
                  <w:tcBorders>
                    <w:tl2br w:val="nil"/>
                    <w:tr2bl w:val="nil"/>
                  </w:tcBorders>
                  <w:noWrap w:val="0"/>
                  <w:vAlign w:val="center"/>
                </w:tcPr>
                <w:p w14:paraId="34C738AB">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140</w:t>
                  </w:r>
                </w:p>
              </w:tc>
              <w:tc>
                <w:tcPr>
                  <w:tcW w:w="485" w:type="pct"/>
                  <w:tcBorders>
                    <w:tl2br w:val="nil"/>
                    <w:tr2bl w:val="nil"/>
                  </w:tcBorders>
                  <w:noWrap w:val="0"/>
                  <w:vAlign w:val="center"/>
                </w:tcPr>
                <w:p w14:paraId="3F6DA770">
                  <w:pPr>
                    <w:tabs>
                      <w:tab w:val="left" w:pos="360"/>
                      <w:tab w:val="left" w:pos="540"/>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04</w:t>
                  </w:r>
                </w:p>
              </w:tc>
              <w:tc>
                <w:tcPr>
                  <w:tcW w:w="652" w:type="pct"/>
                  <w:tcBorders>
                    <w:tl2br w:val="nil"/>
                    <w:tr2bl w:val="nil"/>
                  </w:tcBorders>
                  <w:noWrap w:val="0"/>
                  <w:vAlign w:val="center"/>
                </w:tcPr>
                <w:p w14:paraId="18789FEF">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280</w:t>
                  </w:r>
                </w:p>
              </w:tc>
              <w:tc>
                <w:tcPr>
                  <w:tcW w:w="425" w:type="pct"/>
                  <w:vMerge w:val="continue"/>
                  <w:tcBorders>
                    <w:tl2br w:val="nil"/>
                    <w:tr2bl w:val="nil"/>
                  </w:tcBorders>
                  <w:noWrap w:val="0"/>
                  <w:vAlign w:val="center"/>
                </w:tcPr>
                <w:p w14:paraId="36672127">
                  <w:pPr>
                    <w:tabs>
                      <w:tab w:val="left" w:pos="360"/>
                      <w:tab w:val="left" w:pos="540"/>
                    </w:tabs>
                    <w:adjustRightInd w:val="0"/>
                    <w:snapToGrid w:val="0"/>
                    <w:jc w:val="center"/>
                    <w:rPr>
                      <w:rFonts w:hint="default" w:ascii="Times New Roman" w:hAnsi="Times New Roman" w:cs="Times New Roman"/>
                      <w:color w:val="auto"/>
                      <w:szCs w:val="21"/>
                      <w:highlight w:val="none"/>
                    </w:rPr>
                  </w:pPr>
                </w:p>
              </w:tc>
            </w:tr>
            <w:tr w14:paraId="681CF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506" w:type="pct"/>
                  <w:vMerge w:val="continue"/>
                  <w:tcBorders>
                    <w:tl2br w:val="nil"/>
                    <w:tr2bl w:val="nil"/>
                  </w:tcBorders>
                  <w:noWrap w:val="0"/>
                  <w:vAlign w:val="center"/>
                </w:tcPr>
                <w:p w14:paraId="7F1E50DC">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593" w:type="pct"/>
                  <w:tcBorders>
                    <w:tl2br w:val="nil"/>
                    <w:tr2bl w:val="nil"/>
                  </w:tcBorders>
                  <w:noWrap w:val="0"/>
                  <w:vAlign w:val="center"/>
                </w:tcPr>
                <w:p w14:paraId="6305D7A7">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tc>
              <w:tc>
                <w:tcPr>
                  <w:tcW w:w="640" w:type="pct"/>
                  <w:tcBorders>
                    <w:tl2br w:val="nil"/>
                    <w:tr2bl w:val="nil"/>
                  </w:tcBorders>
                  <w:noWrap w:val="0"/>
                  <w:vAlign w:val="center"/>
                </w:tcPr>
                <w:p w14:paraId="7DBAE04E">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c>
                <w:tcPr>
                  <w:tcW w:w="569" w:type="pct"/>
                  <w:tcBorders>
                    <w:tl2br w:val="nil"/>
                    <w:tr2bl w:val="nil"/>
                  </w:tcBorders>
                  <w:noWrap w:val="0"/>
                  <w:vAlign w:val="center"/>
                </w:tcPr>
                <w:p w14:paraId="2640C880">
                  <w:pPr>
                    <w:tabs>
                      <w:tab w:val="left" w:pos="360"/>
                      <w:tab w:val="left" w:pos="540"/>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0.0082</w:t>
                  </w:r>
                </w:p>
              </w:tc>
              <w:tc>
                <w:tcPr>
                  <w:tcW w:w="605" w:type="pct"/>
                  <w:vMerge w:val="continue"/>
                  <w:tcBorders>
                    <w:tl2br w:val="nil"/>
                    <w:tr2bl w:val="nil"/>
                  </w:tcBorders>
                  <w:noWrap w:val="0"/>
                  <w:vAlign w:val="center"/>
                </w:tcPr>
                <w:p w14:paraId="6596D581">
                  <w:pPr>
                    <w:tabs>
                      <w:tab w:val="left" w:pos="360"/>
                      <w:tab w:val="left" w:pos="540"/>
                    </w:tabs>
                    <w:adjustRightInd w:val="0"/>
                    <w:snapToGrid w:val="0"/>
                    <w:jc w:val="center"/>
                    <w:rPr>
                      <w:rFonts w:hint="default" w:ascii="Times New Roman" w:hAnsi="Times New Roman" w:cs="Times New Roman"/>
                      <w:color w:val="auto"/>
                      <w:szCs w:val="21"/>
                      <w:highlight w:val="none"/>
                    </w:rPr>
                  </w:pPr>
                </w:p>
              </w:tc>
              <w:tc>
                <w:tcPr>
                  <w:tcW w:w="521" w:type="pct"/>
                  <w:tcBorders>
                    <w:tl2br w:val="nil"/>
                    <w:tr2bl w:val="nil"/>
                  </w:tcBorders>
                  <w:noWrap w:val="0"/>
                  <w:vAlign w:val="center"/>
                </w:tcPr>
                <w:p w14:paraId="390021D2">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c>
                <w:tcPr>
                  <w:tcW w:w="485" w:type="pct"/>
                  <w:tcBorders>
                    <w:tl2br w:val="nil"/>
                    <w:tr2bl w:val="nil"/>
                  </w:tcBorders>
                  <w:noWrap w:val="0"/>
                  <w:vAlign w:val="center"/>
                </w:tcPr>
                <w:p w14:paraId="1BB929C0">
                  <w:pPr>
                    <w:tabs>
                      <w:tab w:val="left" w:pos="360"/>
                      <w:tab w:val="left" w:pos="540"/>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0.00</w:t>
                  </w:r>
                  <w:r>
                    <w:rPr>
                      <w:rFonts w:hint="default" w:ascii="Times New Roman" w:hAnsi="Times New Roman" w:cs="Times New Roman"/>
                      <w:color w:val="auto"/>
                      <w:szCs w:val="21"/>
                      <w:highlight w:val="none"/>
                      <w:lang w:val="en-US" w:eastAsia="zh-CN"/>
                    </w:rPr>
                    <w:t>82</w:t>
                  </w:r>
                </w:p>
              </w:tc>
              <w:tc>
                <w:tcPr>
                  <w:tcW w:w="652" w:type="pct"/>
                  <w:tcBorders>
                    <w:tl2br w:val="nil"/>
                    <w:tr2bl w:val="nil"/>
                  </w:tcBorders>
                  <w:noWrap w:val="0"/>
                  <w:vAlign w:val="center"/>
                </w:tcPr>
                <w:p w14:paraId="51098800">
                  <w:pPr>
                    <w:tabs>
                      <w:tab w:val="left" w:pos="360"/>
                      <w:tab w:val="left" w:pos="540"/>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w:t>
                  </w:r>
                </w:p>
              </w:tc>
              <w:tc>
                <w:tcPr>
                  <w:tcW w:w="425" w:type="pct"/>
                  <w:vMerge w:val="continue"/>
                  <w:tcBorders>
                    <w:tl2br w:val="nil"/>
                    <w:tr2bl w:val="nil"/>
                  </w:tcBorders>
                  <w:noWrap w:val="0"/>
                  <w:vAlign w:val="center"/>
                </w:tcPr>
                <w:p w14:paraId="699A1D49">
                  <w:pPr>
                    <w:tabs>
                      <w:tab w:val="left" w:pos="360"/>
                      <w:tab w:val="left" w:pos="540"/>
                    </w:tabs>
                    <w:adjustRightInd w:val="0"/>
                    <w:snapToGrid w:val="0"/>
                    <w:jc w:val="center"/>
                    <w:rPr>
                      <w:rFonts w:hint="default" w:ascii="Times New Roman" w:hAnsi="Times New Roman" w:cs="Times New Roman"/>
                      <w:color w:val="auto"/>
                      <w:szCs w:val="21"/>
                      <w:highlight w:val="none"/>
                    </w:rPr>
                  </w:pPr>
                </w:p>
              </w:tc>
            </w:tr>
          </w:tbl>
          <w:p w14:paraId="0177368F">
            <w:pPr>
              <w:widowControl/>
              <w:spacing w:line="360" w:lineRule="auto"/>
              <w:ind w:firstLine="482" w:firstLineChars="200"/>
              <w:jc w:val="left"/>
              <w:rPr>
                <w:rFonts w:hint="default" w:ascii="Times New Roman" w:hAnsi="Times New Roman" w:cs="Times New Roman"/>
                <w:color w:val="auto"/>
                <w:highlight w:val="none"/>
              </w:rPr>
            </w:pPr>
            <w:r>
              <w:rPr>
                <w:rFonts w:hint="default" w:ascii="Times New Roman" w:hAnsi="Times New Roman" w:cs="Times New Roman"/>
                <w:b/>
                <w:bCs/>
                <w:color w:val="auto"/>
                <w:sz w:val="24"/>
                <w:highlight w:val="none"/>
              </w:rPr>
              <w:t>3、废水类别、污染物及污染治理设施信息</w:t>
            </w:r>
            <w:r>
              <w:rPr>
                <w:rFonts w:hint="default" w:ascii="Times New Roman" w:hAnsi="Times New Roman" w:cs="Times New Roman"/>
                <w:b/>
                <w:bCs/>
                <w:color w:val="auto"/>
                <w:kern w:val="0"/>
                <w:sz w:val="20"/>
                <w:szCs w:val="20"/>
                <w:highlight w:val="none"/>
                <w:lang w:bidi="ar"/>
              </w:rPr>
              <w:t xml:space="preserve"> </w:t>
            </w:r>
          </w:p>
          <w:p w14:paraId="00E8A8B5">
            <w:pPr>
              <w:widowControl/>
              <w:spacing w:line="360" w:lineRule="auto"/>
              <w:ind w:firstLine="480" w:firstLineChars="200"/>
              <w:jc w:val="left"/>
              <w:rPr>
                <w:rFonts w:hint="default" w:ascii="Times New Roman" w:hAnsi="Times New Roman" w:eastAsia="黑体" w:cs="Times New Roman"/>
                <w:color w:val="auto"/>
                <w:kern w:val="0"/>
                <w:sz w:val="24"/>
                <w:highlight w:val="none"/>
                <w:lang w:bidi="ar"/>
              </w:rPr>
            </w:pPr>
            <w:r>
              <w:rPr>
                <w:rFonts w:hint="default" w:ascii="Times New Roman" w:hAnsi="Times New Roman" w:cs="Times New Roman"/>
                <w:color w:val="auto"/>
                <w:kern w:val="0"/>
                <w:sz w:val="24"/>
                <w:highlight w:val="none"/>
                <w:lang w:bidi="ar"/>
              </w:rPr>
              <w:t xml:space="preserve">废水类别、污染物及污染治理设施信息见下表。 </w:t>
            </w:r>
          </w:p>
          <w:p w14:paraId="6310CBFC">
            <w:pPr>
              <w:spacing w:line="240" w:lineRule="auto"/>
              <w:ind w:firstLine="482" w:firstLineChars="20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 4-8 废水类别、污染物及污染治理设施信息表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8"/>
              <w:gridCol w:w="617"/>
              <w:gridCol w:w="790"/>
              <w:gridCol w:w="556"/>
              <w:gridCol w:w="664"/>
              <w:gridCol w:w="706"/>
              <w:gridCol w:w="811"/>
              <w:gridCol w:w="715"/>
              <w:gridCol w:w="653"/>
              <w:gridCol w:w="711"/>
              <w:gridCol w:w="1184"/>
            </w:tblGrid>
            <w:tr w14:paraId="52D18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338" w:type="pct"/>
                  <w:vMerge w:val="restart"/>
                  <w:tcBorders>
                    <w:tl2br w:val="nil"/>
                    <w:tr2bl w:val="nil"/>
                  </w:tcBorders>
                  <w:noWrap w:val="0"/>
                  <w:vAlign w:val="center"/>
                </w:tcPr>
                <w:p w14:paraId="7947CF17">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388" w:type="pct"/>
                  <w:vMerge w:val="restart"/>
                  <w:tcBorders>
                    <w:tl2br w:val="nil"/>
                    <w:tr2bl w:val="nil"/>
                  </w:tcBorders>
                  <w:noWrap w:val="0"/>
                  <w:vAlign w:val="center"/>
                </w:tcPr>
                <w:p w14:paraId="0488D018">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废水类别</w:t>
                  </w:r>
                </w:p>
              </w:tc>
              <w:tc>
                <w:tcPr>
                  <w:tcW w:w="497" w:type="pct"/>
                  <w:vMerge w:val="restart"/>
                  <w:tcBorders>
                    <w:tl2br w:val="nil"/>
                    <w:tr2bl w:val="nil"/>
                  </w:tcBorders>
                  <w:noWrap w:val="0"/>
                  <w:vAlign w:val="center"/>
                </w:tcPr>
                <w:p w14:paraId="4458CB34">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p w14:paraId="559668FA">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种类</w:t>
                  </w:r>
                </w:p>
              </w:tc>
              <w:tc>
                <w:tcPr>
                  <w:tcW w:w="349" w:type="pct"/>
                  <w:vMerge w:val="restart"/>
                  <w:tcBorders>
                    <w:tl2br w:val="nil"/>
                    <w:tr2bl w:val="nil"/>
                  </w:tcBorders>
                  <w:noWrap w:val="0"/>
                  <w:vAlign w:val="center"/>
                </w:tcPr>
                <w:p w14:paraId="22D2554E">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排放去向</w:t>
                  </w:r>
                </w:p>
              </w:tc>
              <w:tc>
                <w:tcPr>
                  <w:tcW w:w="417" w:type="pct"/>
                  <w:vMerge w:val="restart"/>
                  <w:tcBorders>
                    <w:tl2br w:val="nil"/>
                    <w:tr2bl w:val="nil"/>
                  </w:tcBorders>
                  <w:noWrap w:val="0"/>
                  <w:vAlign w:val="center"/>
                </w:tcPr>
                <w:p w14:paraId="6FC25434">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排放规律</w:t>
                  </w:r>
                </w:p>
              </w:tc>
              <w:tc>
                <w:tcPr>
                  <w:tcW w:w="1404" w:type="pct"/>
                  <w:gridSpan w:val="3"/>
                  <w:tcBorders>
                    <w:tl2br w:val="nil"/>
                    <w:tr2bl w:val="nil"/>
                  </w:tcBorders>
                  <w:noWrap w:val="0"/>
                  <w:vAlign w:val="center"/>
                </w:tcPr>
                <w:p w14:paraId="385C3779">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污染治理设施</w:t>
                  </w:r>
                </w:p>
              </w:tc>
              <w:tc>
                <w:tcPr>
                  <w:tcW w:w="410" w:type="pct"/>
                  <w:vMerge w:val="restart"/>
                  <w:tcBorders>
                    <w:tl2br w:val="nil"/>
                    <w:tr2bl w:val="nil"/>
                  </w:tcBorders>
                  <w:noWrap w:val="0"/>
                  <w:vAlign w:val="center"/>
                </w:tcPr>
                <w:p w14:paraId="60CB2D8E">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排放口编号</w:t>
                  </w:r>
                </w:p>
              </w:tc>
              <w:tc>
                <w:tcPr>
                  <w:tcW w:w="447" w:type="pct"/>
                  <w:vMerge w:val="restart"/>
                  <w:tcBorders>
                    <w:tl2br w:val="nil"/>
                    <w:tr2bl w:val="nil"/>
                  </w:tcBorders>
                  <w:noWrap w:val="0"/>
                  <w:vAlign w:val="center"/>
                </w:tcPr>
                <w:p w14:paraId="40272BEB">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排放口设置是否符合要求</w:t>
                  </w:r>
                </w:p>
              </w:tc>
              <w:tc>
                <w:tcPr>
                  <w:tcW w:w="745" w:type="pct"/>
                  <w:vMerge w:val="restart"/>
                  <w:tcBorders>
                    <w:tl2br w:val="nil"/>
                    <w:tr2bl w:val="nil"/>
                  </w:tcBorders>
                  <w:noWrap w:val="0"/>
                  <w:vAlign w:val="center"/>
                </w:tcPr>
                <w:p w14:paraId="4208CCF8">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w:t>
                  </w:r>
                </w:p>
                <w:p w14:paraId="3F3C2D4F">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类型</w:t>
                  </w:r>
                </w:p>
              </w:tc>
            </w:tr>
            <w:tr w14:paraId="3880B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0" w:hRule="atLeast"/>
                <w:tblHeader/>
                <w:jc w:val="center"/>
              </w:trPr>
              <w:tc>
                <w:tcPr>
                  <w:tcW w:w="338" w:type="pct"/>
                  <w:vMerge w:val="continue"/>
                  <w:tcBorders>
                    <w:tl2br w:val="nil"/>
                    <w:tr2bl w:val="nil"/>
                  </w:tcBorders>
                  <w:noWrap w:val="0"/>
                  <w:vAlign w:val="center"/>
                </w:tcPr>
                <w:p w14:paraId="55F50FCE">
                  <w:pPr>
                    <w:adjustRightInd w:val="0"/>
                    <w:snapToGrid w:val="0"/>
                    <w:jc w:val="center"/>
                    <w:rPr>
                      <w:rFonts w:hint="default" w:ascii="Times New Roman" w:hAnsi="Times New Roman" w:cs="Times New Roman"/>
                      <w:color w:val="auto"/>
                      <w:szCs w:val="21"/>
                      <w:highlight w:val="none"/>
                    </w:rPr>
                  </w:pPr>
                </w:p>
              </w:tc>
              <w:tc>
                <w:tcPr>
                  <w:tcW w:w="388" w:type="pct"/>
                  <w:vMerge w:val="continue"/>
                  <w:tcBorders>
                    <w:tl2br w:val="nil"/>
                    <w:tr2bl w:val="nil"/>
                  </w:tcBorders>
                  <w:noWrap w:val="0"/>
                  <w:vAlign w:val="center"/>
                </w:tcPr>
                <w:p w14:paraId="49B5A7DA">
                  <w:pPr>
                    <w:adjustRightInd w:val="0"/>
                    <w:snapToGrid w:val="0"/>
                    <w:jc w:val="center"/>
                    <w:rPr>
                      <w:rFonts w:hint="default" w:ascii="Times New Roman" w:hAnsi="Times New Roman" w:cs="Times New Roman"/>
                      <w:color w:val="auto"/>
                      <w:szCs w:val="21"/>
                      <w:highlight w:val="none"/>
                    </w:rPr>
                  </w:pPr>
                </w:p>
              </w:tc>
              <w:tc>
                <w:tcPr>
                  <w:tcW w:w="497" w:type="pct"/>
                  <w:vMerge w:val="continue"/>
                  <w:tcBorders>
                    <w:tl2br w:val="nil"/>
                    <w:tr2bl w:val="nil"/>
                  </w:tcBorders>
                  <w:noWrap w:val="0"/>
                  <w:vAlign w:val="center"/>
                </w:tcPr>
                <w:p w14:paraId="6774A6D4">
                  <w:pPr>
                    <w:adjustRightInd w:val="0"/>
                    <w:snapToGrid w:val="0"/>
                    <w:jc w:val="center"/>
                    <w:rPr>
                      <w:rFonts w:hint="default" w:ascii="Times New Roman" w:hAnsi="Times New Roman" w:cs="Times New Roman"/>
                      <w:color w:val="auto"/>
                      <w:szCs w:val="21"/>
                      <w:highlight w:val="none"/>
                    </w:rPr>
                  </w:pPr>
                </w:p>
              </w:tc>
              <w:tc>
                <w:tcPr>
                  <w:tcW w:w="349" w:type="pct"/>
                  <w:vMerge w:val="continue"/>
                  <w:tcBorders>
                    <w:tl2br w:val="nil"/>
                    <w:tr2bl w:val="nil"/>
                  </w:tcBorders>
                  <w:noWrap w:val="0"/>
                  <w:vAlign w:val="center"/>
                </w:tcPr>
                <w:p w14:paraId="526C6461">
                  <w:pPr>
                    <w:adjustRightInd w:val="0"/>
                    <w:snapToGrid w:val="0"/>
                    <w:jc w:val="center"/>
                    <w:rPr>
                      <w:rFonts w:hint="default" w:ascii="Times New Roman" w:hAnsi="Times New Roman" w:cs="Times New Roman"/>
                      <w:color w:val="auto"/>
                      <w:szCs w:val="21"/>
                      <w:highlight w:val="none"/>
                    </w:rPr>
                  </w:pPr>
                </w:p>
              </w:tc>
              <w:tc>
                <w:tcPr>
                  <w:tcW w:w="417" w:type="pct"/>
                  <w:vMerge w:val="continue"/>
                  <w:tcBorders>
                    <w:tl2br w:val="nil"/>
                    <w:tr2bl w:val="nil"/>
                  </w:tcBorders>
                  <w:noWrap w:val="0"/>
                  <w:vAlign w:val="center"/>
                </w:tcPr>
                <w:p w14:paraId="2EE48102">
                  <w:pPr>
                    <w:adjustRightInd w:val="0"/>
                    <w:snapToGrid w:val="0"/>
                    <w:jc w:val="center"/>
                    <w:rPr>
                      <w:rFonts w:hint="default" w:ascii="Times New Roman" w:hAnsi="Times New Roman" w:cs="Times New Roman"/>
                      <w:color w:val="auto"/>
                      <w:szCs w:val="21"/>
                      <w:highlight w:val="none"/>
                    </w:rPr>
                  </w:pPr>
                </w:p>
              </w:tc>
              <w:tc>
                <w:tcPr>
                  <w:tcW w:w="444" w:type="pct"/>
                  <w:tcBorders>
                    <w:tl2br w:val="nil"/>
                    <w:tr2bl w:val="nil"/>
                  </w:tcBorders>
                  <w:noWrap w:val="0"/>
                  <w:vAlign w:val="center"/>
                </w:tcPr>
                <w:p w14:paraId="601792D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污染治理设施编号</w:t>
                  </w:r>
                </w:p>
              </w:tc>
              <w:tc>
                <w:tcPr>
                  <w:tcW w:w="510" w:type="pct"/>
                  <w:tcBorders>
                    <w:tl2br w:val="nil"/>
                    <w:tr2bl w:val="nil"/>
                  </w:tcBorders>
                  <w:noWrap w:val="0"/>
                  <w:vAlign w:val="center"/>
                </w:tcPr>
                <w:p w14:paraId="29B3EA2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污染治理设施名称</w:t>
                  </w:r>
                </w:p>
              </w:tc>
              <w:tc>
                <w:tcPr>
                  <w:tcW w:w="449" w:type="pct"/>
                  <w:tcBorders>
                    <w:tl2br w:val="nil"/>
                    <w:tr2bl w:val="nil"/>
                  </w:tcBorders>
                  <w:noWrap w:val="0"/>
                  <w:vAlign w:val="center"/>
                </w:tcPr>
                <w:p w14:paraId="7FEAE7C7">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污染治理设施工艺</w:t>
                  </w:r>
                </w:p>
              </w:tc>
              <w:tc>
                <w:tcPr>
                  <w:tcW w:w="410" w:type="pct"/>
                  <w:vMerge w:val="continue"/>
                  <w:tcBorders>
                    <w:tl2br w:val="nil"/>
                    <w:tr2bl w:val="nil"/>
                  </w:tcBorders>
                  <w:noWrap w:val="0"/>
                  <w:vAlign w:val="center"/>
                </w:tcPr>
                <w:p w14:paraId="279FB1D2">
                  <w:pPr>
                    <w:adjustRightInd w:val="0"/>
                    <w:snapToGrid w:val="0"/>
                    <w:jc w:val="center"/>
                    <w:rPr>
                      <w:rFonts w:hint="default" w:ascii="Times New Roman" w:hAnsi="Times New Roman" w:cs="Times New Roman"/>
                      <w:color w:val="auto"/>
                      <w:szCs w:val="21"/>
                      <w:highlight w:val="none"/>
                    </w:rPr>
                  </w:pPr>
                </w:p>
              </w:tc>
              <w:tc>
                <w:tcPr>
                  <w:tcW w:w="447" w:type="pct"/>
                  <w:vMerge w:val="continue"/>
                  <w:tcBorders>
                    <w:tl2br w:val="nil"/>
                    <w:tr2bl w:val="nil"/>
                  </w:tcBorders>
                  <w:noWrap w:val="0"/>
                  <w:vAlign w:val="center"/>
                </w:tcPr>
                <w:p w14:paraId="319621C5">
                  <w:pPr>
                    <w:adjustRightInd w:val="0"/>
                    <w:snapToGrid w:val="0"/>
                    <w:jc w:val="center"/>
                    <w:rPr>
                      <w:rFonts w:hint="default" w:ascii="Times New Roman" w:hAnsi="Times New Roman" w:cs="Times New Roman"/>
                      <w:color w:val="auto"/>
                      <w:szCs w:val="21"/>
                      <w:highlight w:val="none"/>
                    </w:rPr>
                  </w:pPr>
                </w:p>
              </w:tc>
              <w:tc>
                <w:tcPr>
                  <w:tcW w:w="745" w:type="pct"/>
                  <w:vMerge w:val="continue"/>
                  <w:tcBorders>
                    <w:tl2br w:val="nil"/>
                    <w:tr2bl w:val="nil"/>
                  </w:tcBorders>
                  <w:noWrap w:val="0"/>
                  <w:vAlign w:val="center"/>
                </w:tcPr>
                <w:p w14:paraId="2F6B917D">
                  <w:pPr>
                    <w:adjustRightInd w:val="0"/>
                    <w:snapToGrid w:val="0"/>
                    <w:jc w:val="center"/>
                    <w:rPr>
                      <w:rFonts w:hint="default" w:ascii="Times New Roman" w:hAnsi="Times New Roman" w:cs="Times New Roman"/>
                      <w:color w:val="auto"/>
                      <w:szCs w:val="21"/>
                      <w:highlight w:val="none"/>
                    </w:rPr>
                  </w:pPr>
                </w:p>
              </w:tc>
            </w:tr>
            <w:tr w14:paraId="5B7ED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38" w:type="pct"/>
                  <w:tcBorders>
                    <w:tl2br w:val="nil"/>
                    <w:tr2bl w:val="nil"/>
                  </w:tcBorders>
                  <w:noWrap w:val="0"/>
                  <w:vAlign w:val="center"/>
                </w:tcPr>
                <w:p w14:paraId="501C323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8" w:type="pct"/>
                  <w:tcBorders>
                    <w:tl2br w:val="nil"/>
                    <w:tr2bl w:val="nil"/>
                  </w:tcBorders>
                  <w:noWrap w:val="0"/>
                  <w:vAlign w:val="center"/>
                </w:tcPr>
                <w:p w14:paraId="4E05A5E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w:t>
                  </w:r>
                </w:p>
              </w:tc>
              <w:tc>
                <w:tcPr>
                  <w:tcW w:w="497" w:type="pct"/>
                  <w:tcBorders>
                    <w:tl2br w:val="nil"/>
                    <w:tr2bl w:val="nil"/>
                  </w:tcBorders>
                  <w:noWrap w:val="0"/>
                  <w:vAlign w:val="center"/>
                </w:tcPr>
                <w:p w14:paraId="141C457B">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pH值、COD、SS、NH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-N、BOD</w:t>
                  </w:r>
                  <w:r>
                    <w:rPr>
                      <w:rFonts w:hint="default" w:ascii="Times New Roman" w:hAnsi="Times New Roman" w:cs="Times New Roman"/>
                      <w:color w:val="auto"/>
                      <w:szCs w:val="21"/>
                      <w:highlight w:val="none"/>
                      <w:vertAlign w:val="subscript"/>
                    </w:rPr>
                    <w:t>5</w:t>
                  </w:r>
                </w:p>
              </w:tc>
              <w:tc>
                <w:tcPr>
                  <w:tcW w:w="349" w:type="pct"/>
                  <w:tcBorders>
                    <w:tl2br w:val="nil"/>
                    <w:tr2bl w:val="nil"/>
                  </w:tcBorders>
                  <w:noWrap w:val="0"/>
                  <w:vAlign w:val="center"/>
                </w:tcPr>
                <w:p w14:paraId="6F369629">
                  <w:pPr>
                    <w:adjustRightInd w:val="0"/>
                    <w:snapToGrid w:val="0"/>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淮南现代产业园污水处理站</w:t>
                  </w:r>
                </w:p>
              </w:tc>
              <w:tc>
                <w:tcPr>
                  <w:tcW w:w="417" w:type="pct"/>
                  <w:tcBorders>
                    <w:tl2br w:val="nil"/>
                    <w:tr2bl w:val="nil"/>
                  </w:tcBorders>
                  <w:noWrap w:val="0"/>
                  <w:vAlign w:val="center"/>
                </w:tcPr>
                <w:p w14:paraId="49B7632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连续排放，排放期间流量稳定且无规律，不属于冲击性排放</w:t>
                  </w:r>
                </w:p>
              </w:tc>
              <w:tc>
                <w:tcPr>
                  <w:tcW w:w="444" w:type="pct"/>
                  <w:tcBorders>
                    <w:tl2br w:val="nil"/>
                    <w:tr2bl w:val="nil"/>
                  </w:tcBorders>
                  <w:noWrap w:val="0"/>
                  <w:vAlign w:val="center"/>
                </w:tcPr>
                <w:p w14:paraId="58F7782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TW001</w:t>
                  </w:r>
                </w:p>
              </w:tc>
              <w:tc>
                <w:tcPr>
                  <w:tcW w:w="510" w:type="pct"/>
                  <w:tcBorders>
                    <w:tl2br w:val="nil"/>
                    <w:tr2bl w:val="nil"/>
                  </w:tcBorders>
                  <w:noWrap w:val="0"/>
                  <w:vAlign w:val="center"/>
                </w:tcPr>
                <w:p w14:paraId="21EDB0B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化粪池</w:t>
                  </w:r>
                </w:p>
              </w:tc>
              <w:tc>
                <w:tcPr>
                  <w:tcW w:w="449" w:type="pct"/>
                  <w:tcBorders>
                    <w:tl2br w:val="nil"/>
                    <w:tr2bl w:val="nil"/>
                  </w:tcBorders>
                  <w:noWrap w:val="0"/>
                  <w:vAlign w:val="center"/>
                </w:tcPr>
                <w:p w14:paraId="38C8CFE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10" w:type="pct"/>
                  <w:tcBorders>
                    <w:tl2br w:val="nil"/>
                    <w:tr2bl w:val="nil"/>
                  </w:tcBorders>
                  <w:noWrap w:val="0"/>
                  <w:vAlign w:val="center"/>
                </w:tcPr>
                <w:p w14:paraId="3B518BF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DW001</w:t>
                  </w:r>
                </w:p>
              </w:tc>
              <w:tc>
                <w:tcPr>
                  <w:tcW w:w="447" w:type="pct"/>
                  <w:tcBorders>
                    <w:tl2br w:val="nil"/>
                    <w:tr2bl w:val="nil"/>
                  </w:tcBorders>
                  <w:noWrap w:val="0"/>
                  <w:vAlign w:val="center"/>
                </w:tcPr>
                <w:p w14:paraId="23AC8F25">
                  <w:pPr>
                    <w:adjustRightInd w:val="0"/>
                    <w:snapToGrid w:val="0"/>
                    <w:jc w:val="center"/>
                    <w:rPr>
                      <w:rFonts w:hint="default" w:ascii="Times New Roman" w:hAnsi="Times New Roman" w:cs="Times New Roman"/>
                      <w:snapToGrid w:val="0"/>
                      <w:color w:val="auto"/>
                      <w:kern w:val="20"/>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是</w:t>
                  </w:r>
                </w:p>
                <w:p w14:paraId="79D98A8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否</w:t>
                  </w:r>
                </w:p>
              </w:tc>
              <w:tc>
                <w:tcPr>
                  <w:tcW w:w="745" w:type="pct"/>
                  <w:tcBorders>
                    <w:tl2br w:val="nil"/>
                    <w:tr2bl w:val="nil"/>
                  </w:tcBorders>
                  <w:noWrap w:val="0"/>
                  <w:vAlign w:val="center"/>
                </w:tcPr>
                <w:p w14:paraId="4CE2A9FD">
                  <w:pPr>
                    <w:adjustRightInd w:val="0"/>
                    <w:snapToGrid w:val="0"/>
                    <w:jc w:val="center"/>
                    <w:rPr>
                      <w:rFonts w:hint="default" w:ascii="Times New Roman" w:hAnsi="Times New Roman" w:cs="Times New Roman"/>
                      <w:snapToGrid w:val="0"/>
                      <w:color w:val="auto"/>
                      <w:kern w:val="20"/>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企业总排口</w:t>
                  </w:r>
                </w:p>
                <w:p w14:paraId="26339C2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雨水排放</w:t>
                  </w:r>
                </w:p>
                <w:p w14:paraId="7CDEC9E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pacing w:val="-10"/>
                      <w:szCs w:val="21"/>
                      <w:highlight w:val="none"/>
                    </w:rPr>
                    <w:t>清净下水排放</w:t>
                  </w:r>
                </w:p>
                <w:p w14:paraId="07D0771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温排水排放</w:t>
                  </w:r>
                </w:p>
                <w:p w14:paraId="6F3F5A4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车间或车间处理设施排放口</w:t>
                  </w:r>
                </w:p>
              </w:tc>
            </w:tr>
          </w:tbl>
          <w:p w14:paraId="3EC74542">
            <w:pPr>
              <w:widowControl/>
              <w:spacing w:line="360" w:lineRule="auto"/>
              <w:ind w:firstLine="480" w:firstLineChars="200"/>
              <w:jc w:val="left"/>
              <w:rPr>
                <w:rFonts w:hint="default" w:ascii="Times New Roman" w:hAnsi="Times New Roman" w:eastAsia="黑体" w:cs="Times New Roman"/>
                <w:color w:val="auto"/>
                <w:kern w:val="0"/>
                <w:sz w:val="24"/>
                <w:highlight w:val="none"/>
                <w:lang w:bidi="ar"/>
              </w:rPr>
            </w:pPr>
            <w:r>
              <w:rPr>
                <w:rFonts w:hint="default" w:ascii="Times New Roman" w:hAnsi="Times New Roman" w:cs="Times New Roman"/>
                <w:color w:val="auto"/>
                <w:kern w:val="0"/>
                <w:sz w:val="24"/>
                <w:highlight w:val="none"/>
                <w:lang w:bidi="ar"/>
              </w:rPr>
              <w:t>废水间接排放口基本情况见下表。</w:t>
            </w:r>
          </w:p>
          <w:p w14:paraId="0E1D8223">
            <w:pPr>
              <w:widowControl/>
              <w:spacing w:line="240" w:lineRule="auto"/>
              <w:ind w:firstLine="482" w:firstLineChars="20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表4-9  废水间接排放口基本情况表</w:t>
            </w:r>
          </w:p>
          <w:tbl>
            <w:tblPr>
              <w:tblStyle w:val="25"/>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6"/>
              <w:gridCol w:w="732"/>
              <w:gridCol w:w="1069"/>
              <w:gridCol w:w="983"/>
              <w:gridCol w:w="524"/>
              <w:gridCol w:w="445"/>
              <w:gridCol w:w="504"/>
              <w:gridCol w:w="491"/>
              <w:gridCol w:w="580"/>
              <w:gridCol w:w="732"/>
              <w:gridCol w:w="1483"/>
            </w:tblGrid>
            <w:tr w14:paraId="0EC57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8" w:hRule="atLeast"/>
                <w:tblHeader/>
                <w:jc w:val="center"/>
              </w:trPr>
              <w:tc>
                <w:tcPr>
                  <w:tcW w:w="249" w:type="pct"/>
                  <w:vMerge w:val="restart"/>
                  <w:tcBorders>
                    <w:tl2br w:val="nil"/>
                    <w:tr2bl w:val="nil"/>
                  </w:tcBorders>
                  <w:noWrap w:val="0"/>
                  <w:vAlign w:val="center"/>
                </w:tcPr>
                <w:p w14:paraId="27D22240">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461" w:type="pct"/>
                  <w:vMerge w:val="restart"/>
                  <w:tcBorders>
                    <w:tl2br w:val="nil"/>
                    <w:tr2bl w:val="nil"/>
                  </w:tcBorders>
                  <w:noWrap w:val="0"/>
                  <w:vAlign w:val="center"/>
                </w:tcPr>
                <w:p w14:paraId="626B47C0">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w:t>
                  </w:r>
                </w:p>
                <w:p w14:paraId="4699F9AF">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编号</w:t>
                  </w:r>
                </w:p>
              </w:tc>
              <w:tc>
                <w:tcPr>
                  <w:tcW w:w="1292" w:type="pct"/>
                  <w:gridSpan w:val="2"/>
                  <w:tcBorders>
                    <w:tl2br w:val="nil"/>
                    <w:tr2bl w:val="nil"/>
                  </w:tcBorders>
                  <w:noWrap w:val="0"/>
                  <w:vAlign w:val="center"/>
                </w:tcPr>
                <w:p w14:paraId="0EE76DDA">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排放口地理坐标</w:t>
                  </w:r>
                  <w:r>
                    <w:rPr>
                      <w:rFonts w:hint="default" w:ascii="Times New Roman" w:hAnsi="Times New Roman" w:cs="Times New Roman"/>
                      <w:b/>
                      <w:bCs/>
                      <w:color w:val="auto"/>
                      <w:szCs w:val="21"/>
                      <w:highlight w:val="none"/>
                      <w:vertAlign w:val="superscript"/>
                    </w:rPr>
                    <w:t>a</w:t>
                  </w:r>
                </w:p>
              </w:tc>
              <w:tc>
                <w:tcPr>
                  <w:tcW w:w="330" w:type="pct"/>
                  <w:vMerge w:val="restart"/>
                  <w:tcBorders>
                    <w:tl2br w:val="nil"/>
                    <w:tr2bl w:val="nil"/>
                  </w:tcBorders>
                  <w:noWrap w:val="0"/>
                  <w:vAlign w:val="center"/>
                </w:tcPr>
                <w:p w14:paraId="77869CB3">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废水排放量/（万t/a）</w:t>
                  </w:r>
                </w:p>
              </w:tc>
              <w:tc>
                <w:tcPr>
                  <w:tcW w:w="280" w:type="pct"/>
                  <w:vMerge w:val="restart"/>
                  <w:tcBorders>
                    <w:tl2br w:val="nil"/>
                    <w:tr2bl w:val="nil"/>
                  </w:tcBorders>
                  <w:noWrap w:val="0"/>
                  <w:vAlign w:val="center"/>
                </w:tcPr>
                <w:p w14:paraId="106509EA">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w:t>
                  </w:r>
                </w:p>
                <w:p w14:paraId="31039886">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去向</w:t>
                  </w:r>
                </w:p>
              </w:tc>
              <w:tc>
                <w:tcPr>
                  <w:tcW w:w="317" w:type="pct"/>
                  <w:vMerge w:val="restart"/>
                  <w:tcBorders>
                    <w:tl2br w:val="nil"/>
                    <w:tr2bl w:val="nil"/>
                  </w:tcBorders>
                  <w:noWrap w:val="0"/>
                  <w:vAlign w:val="center"/>
                </w:tcPr>
                <w:p w14:paraId="37A945B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w:t>
                  </w:r>
                </w:p>
                <w:p w14:paraId="2E05CE29">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规律</w:t>
                  </w:r>
                </w:p>
              </w:tc>
              <w:tc>
                <w:tcPr>
                  <w:tcW w:w="309" w:type="pct"/>
                  <w:vMerge w:val="restart"/>
                  <w:tcBorders>
                    <w:tl2br w:val="nil"/>
                    <w:tr2bl w:val="nil"/>
                  </w:tcBorders>
                  <w:noWrap w:val="0"/>
                  <w:vAlign w:val="center"/>
                </w:tcPr>
                <w:p w14:paraId="3951FBEC">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间歇排放</w:t>
                  </w:r>
                </w:p>
                <w:p w14:paraId="2E75DE78">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时段</w:t>
                  </w:r>
                </w:p>
              </w:tc>
              <w:tc>
                <w:tcPr>
                  <w:tcW w:w="1759" w:type="pct"/>
                  <w:gridSpan w:val="3"/>
                  <w:tcBorders>
                    <w:tl2br w:val="nil"/>
                    <w:tr2bl w:val="nil"/>
                  </w:tcBorders>
                  <w:noWrap w:val="0"/>
                  <w:vAlign w:val="center"/>
                </w:tcPr>
                <w:p w14:paraId="041EE067">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受纳污水处理厂信息</w:t>
                  </w:r>
                </w:p>
              </w:tc>
            </w:tr>
            <w:tr w14:paraId="5CC7D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tblHeader/>
                <w:jc w:val="center"/>
              </w:trPr>
              <w:tc>
                <w:tcPr>
                  <w:tcW w:w="249" w:type="pct"/>
                  <w:vMerge w:val="continue"/>
                  <w:tcBorders>
                    <w:tl2br w:val="nil"/>
                    <w:tr2bl w:val="nil"/>
                  </w:tcBorders>
                  <w:noWrap w:val="0"/>
                  <w:vAlign w:val="center"/>
                </w:tcPr>
                <w:p w14:paraId="6D29BE0F">
                  <w:pPr>
                    <w:adjustRightInd w:val="0"/>
                    <w:snapToGrid w:val="0"/>
                    <w:jc w:val="center"/>
                    <w:rPr>
                      <w:rFonts w:hint="default" w:ascii="Times New Roman" w:hAnsi="Times New Roman" w:cs="Times New Roman"/>
                      <w:b/>
                      <w:bCs/>
                      <w:color w:val="auto"/>
                      <w:szCs w:val="21"/>
                      <w:highlight w:val="none"/>
                    </w:rPr>
                  </w:pPr>
                </w:p>
              </w:tc>
              <w:tc>
                <w:tcPr>
                  <w:tcW w:w="461" w:type="pct"/>
                  <w:vMerge w:val="continue"/>
                  <w:tcBorders>
                    <w:tl2br w:val="nil"/>
                    <w:tr2bl w:val="nil"/>
                  </w:tcBorders>
                  <w:noWrap w:val="0"/>
                  <w:vAlign w:val="center"/>
                </w:tcPr>
                <w:p w14:paraId="2B888A53">
                  <w:pPr>
                    <w:adjustRightInd w:val="0"/>
                    <w:snapToGrid w:val="0"/>
                    <w:jc w:val="center"/>
                    <w:rPr>
                      <w:rFonts w:hint="default" w:ascii="Times New Roman" w:hAnsi="Times New Roman" w:cs="Times New Roman"/>
                      <w:b/>
                      <w:bCs/>
                      <w:color w:val="auto"/>
                      <w:szCs w:val="21"/>
                      <w:highlight w:val="none"/>
                    </w:rPr>
                  </w:pPr>
                </w:p>
              </w:tc>
              <w:tc>
                <w:tcPr>
                  <w:tcW w:w="673" w:type="pct"/>
                  <w:tcBorders>
                    <w:tl2br w:val="nil"/>
                    <w:tr2bl w:val="nil"/>
                  </w:tcBorders>
                  <w:noWrap w:val="0"/>
                  <w:vAlign w:val="center"/>
                </w:tcPr>
                <w:p w14:paraId="08ED0C0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经度</w:t>
                  </w:r>
                </w:p>
              </w:tc>
              <w:tc>
                <w:tcPr>
                  <w:tcW w:w="619" w:type="pct"/>
                  <w:tcBorders>
                    <w:tl2br w:val="nil"/>
                    <w:tr2bl w:val="nil"/>
                  </w:tcBorders>
                  <w:noWrap w:val="0"/>
                  <w:vAlign w:val="center"/>
                </w:tcPr>
                <w:p w14:paraId="4B6FCD8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纬度</w:t>
                  </w:r>
                </w:p>
              </w:tc>
              <w:tc>
                <w:tcPr>
                  <w:tcW w:w="330" w:type="pct"/>
                  <w:vMerge w:val="continue"/>
                  <w:tcBorders>
                    <w:tl2br w:val="nil"/>
                    <w:tr2bl w:val="nil"/>
                  </w:tcBorders>
                  <w:noWrap w:val="0"/>
                  <w:vAlign w:val="center"/>
                </w:tcPr>
                <w:p w14:paraId="0B717A94">
                  <w:pPr>
                    <w:adjustRightInd w:val="0"/>
                    <w:snapToGrid w:val="0"/>
                    <w:jc w:val="center"/>
                    <w:rPr>
                      <w:rFonts w:hint="default" w:ascii="Times New Roman" w:hAnsi="Times New Roman" w:cs="Times New Roman"/>
                      <w:b/>
                      <w:bCs/>
                      <w:color w:val="auto"/>
                      <w:szCs w:val="21"/>
                      <w:highlight w:val="none"/>
                    </w:rPr>
                  </w:pPr>
                </w:p>
              </w:tc>
              <w:tc>
                <w:tcPr>
                  <w:tcW w:w="280" w:type="pct"/>
                  <w:vMerge w:val="continue"/>
                  <w:tcBorders>
                    <w:tl2br w:val="nil"/>
                    <w:tr2bl w:val="nil"/>
                  </w:tcBorders>
                  <w:noWrap w:val="0"/>
                  <w:vAlign w:val="center"/>
                </w:tcPr>
                <w:p w14:paraId="420B6066">
                  <w:pPr>
                    <w:adjustRightInd w:val="0"/>
                    <w:snapToGrid w:val="0"/>
                    <w:jc w:val="center"/>
                    <w:rPr>
                      <w:rFonts w:hint="default" w:ascii="Times New Roman" w:hAnsi="Times New Roman" w:cs="Times New Roman"/>
                      <w:b/>
                      <w:bCs/>
                      <w:color w:val="auto"/>
                      <w:szCs w:val="21"/>
                      <w:highlight w:val="none"/>
                    </w:rPr>
                  </w:pPr>
                </w:p>
              </w:tc>
              <w:tc>
                <w:tcPr>
                  <w:tcW w:w="317" w:type="pct"/>
                  <w:vMerge w:val="continue"/>
                  <w:tcBorders>
                    <w:tl2br w:val="nil"/>
                    <w:tr2bl w:val="nil"/>
                  </w:tcBorders>
                  <w:noWrap w:val="0"/>
                  <w:vAlign w:val="center"/>
                </w:tcPr>
                <w:p w14:paraId="756B320B">
                  <w:pPr>
                    <w:adjustRightInd w:val="0"/>
                    <w:snapToGrid w:val="0"/>
                    <w:jc w:val="center"/>
                    <w:rPr>
                      <w:rFonts w:hint="default" w:ascii="Times New Roman" w:hAnsi="Times New Roman" w:cs="Times New Roman"/>
                      <w:b/>
                      <w:bCs/>
                      <w:color w:val="auto"/>
                      <w:szCs w:val="21"/>
                      <w:highlight w:val="none"/>
                    </w:rPr>
                  </w:pPr>
                </w:p>
              </w:tc>
              <w:tc>
                <w:tcPr>
                  <w:tcW w:w="309" w:type="pct"/>
                  <w:vMerge w:val="continue"/>
                  <w:tcBorders>
                    <w:tl2br w:val="nil"/>
                    <w:tr2bl w:val="nil"/>
                  </w:tcBorders>
                  <w:noWrap w:val="0"/>
                  <w:vAlign w:val="center"/>
                </w:tcPr>
                <w:p w14:paraId="75DA9D29">
                  <w:pPr>
                    <w:adjustRightInd w:val="0"/>
                    <w:snapToGrid w:val="0"/>
                    <w:jc w:val="center"/>
                    <w:rPr>
                      <w:rFonts w:hint="default" w:ascii="Times New Roman" w:hAnsi="Times New Roman" w:cs="Times New Roman"/>
                      <w:b/>
                      <w:bCs/>
                      <w:color w:val="auto"/>
                      <w:szCs w:val="21"/>
                      <w:highlight w:val="none"/>
                    </w:rPr>
                  </w:pPr>
                </w:p>
              </w:tc>
              <w:tc>
                <w:tcPr>
                  <w:tcW w:w="365" w:type="pct"/>
                  <w:tcBorders>
                    <w:tl2br w:val="nil"/>
                    <w:tr2bl w:val="nil"/>
                  </w:tcBorders>
                  <w:noWrap w:val="0"/>
                  <w:vAlign w:val="center"/>
                </w:tcPr>
                <w:p w14:paraId="5C7CB170">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461" w:type="pct"/>
                  <w:tcBorders>
                    <w:tl2br w:val="nil"/>
                    <w:tr2bl w:val="nil"/>
                  </w:tcBorders>
                  <w:noWrap w:val="0"/>
                  <w:vAlign w:val="center"/>
                </w:tcPr>
                <w:p w14:paraId="39E5F393">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污染物种类</w:t>
                  </w:r>
                </w:p>
              </w:tc>
              <w:tc>
                <w:tcPr>
                  <w:tcW w:w="932" w:type="pct"/>
                  <w:tcBorders>
                    <w:tl2br w:val="nil"/>
                    <w:tr2bl w:val="nil"/>
                  </w:tcBorders>
                  <w:noWrap w:val="0"/>
                  <w:vAlign w:val="center"/>
                </w:tcPr>
                <w:p w14:paraId="71388B92">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国家或地方污染物排放标准浓度限值/(mg/L)</w:t>
                  </w:r>
                </w:p>
              </w:tc>
            </w:tr>
            <w:tr w14:paraId="0001C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49" w:type="pct"/>
                  <w:tcBorders>
                    <w:tl2br w:val="nil"/>
                    <w:tr2bl w:val="nil"/>
                  </w:tcBorders>
                  <w:noWrap w:val="0"/>
                  <w:vAlign w:val="center"/>
                </w:tcPr>
                <w:p w14:paraId="3B1C233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461" w:type="pct"/>
                  <w:vMerge w:val="restart"/>
                  <w:tcBorders>
                    <w:tl2br w:val="nil"/>
                    <w:tr2bl w:val="nil"/>
                  </w:tcBorders>
                  <w:noWrap w:val="0"/>
                  <w:vAlign w:val="center"/>
                </w:tcPr>
                <w:p w14:paraId="028CFFF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DW001</w:t>
                  </w:r>
                </w:p>
              </w:tc>
              <w:tc>
                <w:tcPr>
                  <w:tcW w:w="673" w:type="pct"/>
                  <w:vMerge w:val="restart"/>
                  <w:tcBorders>
                    <w:tl2br w:val="nil"/>
                    <w:tr2bl w:val="nil"/>
                  </w:tcBorders>
                  <w:noWrap w:val="0"/>
                  <w:vAlign w:val="center"/>
                </w:tcPr>
                <w:p w14:paraId="326D67E0">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117.011790</w:t>
                  </w:r>
                </w:p>
              </w:tc>
              <w:tc>
                <w:tcPr>
                  <w:tcW w:w="619" w:type="pct"/>
                  <w:vMerge w:val="restart"/>
                  <w:tcBorders>
                    <w:tl2br w:val="nil"/>
                    <w:tr2bl w:val="nil"/>
                  </w:tcBorders>
                  <w:noWrap w:val="0"/>
                  <w:vAlign w:val="center"/>
                </w:tcPr>
                <w:p w14:paraId="263FC459">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32.522015</w:t>
                  </w:r>
                </w:p>
              </w:tc>
              <w:tc>
                <w:tcPr>
                  <w:tcW w:w="330" w:type="pct"/>
                  <w:vMerge w:val="restart"/>
                  <w:tcBorders>
                    <w:tl2br w:val="nil"/>
                    <w:tr2bl w:val="nil"/>
                  </w:tcBorders>
                  <w:noWrap w:val="0"/>
                  <w:vAlign w:val="center"/>
                </w:tcPr>
                <w:p w14:paraId="096795EE">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0.0288</w:t>
                  </w:r>
                </w:p>
              </w:tc>
              <w:tc>
                <w:tcPr>
                  <w:tcW w:w="280" w:type="pct"/>
                  <w:vMerge w:val="restart"/>
                  <w:tcBorders>
                    <w:tl2br w:val="nil"/>
                    <w:tr2bl w:val="nil"/>
                  </w:tcBorders>
                  <w:noWrap w:val="0"/>
                  <w:vAlign w:val="center"/>
                </w:tcPr>
                <w:p w14:paraId="74C324BE">
                  <w:pPr>
                    <w:adjustRightInd w:val="0"/>
                    <w:snapToGrid w:val="0"/>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淮南现代产业园污水处理站</w:t>
                  </w:r>
                </w:p>
              </w:tc>
              <w:tc>
                <w:tcPr>
                  <w:tcW w:w="317" w:type="pct"/>
                  <w:vMerge w:val="restart"/>
                  <w:tcBorders>
                    <w:tl2br w:val="nil"/>
                    <w:tr2bl w:val="nil"/>
                  </w:tcBorders>
                  <w:noWrap w:val="0"/>
                  <w:vAlign w:val="center"/>
                </w:tcPr>
                <w:p w14:paraId="675DCC0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连续排放</w:t>
                  </w:r>
                </w:p>
              </w:tc>
              <w:tc>
                <w:tcPr>
                  <w:tcW w:w="309" w:type="pct"/>
                  <w:vMerge w:val="restart"/>
                  <w:tcBorders>
                    <w:tl2br w:val="nil"/>
                    <w:tr2bl w:val="nil"/>
                  </w:tcBorders>
                  <w:noWrap w:val="0"/>
                  <w:vAlign w:val="center"/>
                </w:tcPr>
                <w:p w14:paraId="4300E34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65" w:type="pct"/>
                  <w:vMerge w:val="restart"/>
                  <w:tcBorders>
                    <w:tl2br w:val="nil"/>
                    <w:tr2bl w:val="nil"/>
                  </w:tcBorders>
                  <w:noWrap w:val="0"/>
                  <w:vAlign w:val="center"/>
                </w:tcPr>
                <w:p w14:paraId="1A1B45EB">
                  <w:pPr>
                    <w:adjustRightInd w:val="0"/>
                    <w:snapToGrid w:val="0"/>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淮南现代产业园污水处理站</w:t>
                  </w:r>
                </w:p>
              </w:tc>
              <w:tc>
                <w:tcPr>
                  <w:tcW w:w="461" w:type="pct"/>
                  <w:tcBorders>
                    <w:tl2br w:val="nil"/>
                    <w:tr2bl w:val="nil"/>
                  </w:tcBorders>
                  <w:noWrap w:val="0"/>
                  <w:vAlign w:val="center"/>
                </w:tcPr>
                <w:p w14:paraId="529179C3">
                  <w:pPr>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p>
              </w:tc>
              <w:tc>
                <w:tcPr>
                  <w:tcW w:w="932" w:type="pct"/>
                  <w:tcBorders>
                    <w:tl2br w:val="nil"/>
                    <w:tr2bl w:val="nil"/>
                  </w:tcBorders>
                  <w:noWrap w:val="0"/>
                  <w:vAlign w:val="center"/>
                </w:tcPr>
                <w:p w14:paraId="6962673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w:t>
                  </w:r>
                </w:p>
              </w:tc>
            </w:tr>
            <w:tr w14:paraId="01CE7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49" w:type="pct"/>
                  <w:tcBorders>
                    <w:tl2br w:val="nil"/>
                    <w:tr2bl w:val="nil"/>
                  </w:tcBorders>
                  <w:noWrap w:val="0"/>
                  <w:vAlign w:val="center"/>
                </w:tcPr>
                <w:p w14:paraId="2C32E5E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461" w:type="pct"/>
                  <w:vMerge w:val="continue"/>
                  <w:tcBorders>
                    <w:tl2br w:val="nil"/>
                    <w:tr2bl w:val="nil"/>
                  </w:tcBorders>
                  <w:noWrap w:val="0"/>
                  <w:vAlign w:val="center"/>
                </w:tcPr>
                <w:p w14:paraId="4E4B69E4">
                  <w:pPr>
                    <w:adjustRightInd w:val="0"/>
                    <w:snapToGrid w:val="0"/>
                    <w:jc w:val="center"/>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6B5B7502">
                  <w:pPr>
                    <w:adjustRightInd w:val="0"/>
                    <w:snapToGrid w:val="0"/>
                    <w:jc w:val="center"/>
                    <w:rPr>
                      <w:rFonts w:hint="default" w:ascii="Times New Roman" w:hAnsi="Times New Roman" w:cs="Times New Roman"/>
                      <w:color w:val="auto"/>
                      <w:szCs w:val="21"/>
                      <w:highlight w:val="none"/>
                    </w:rPr>
                  </w:pPr>
                </w:p>
              </w:tc>
              <w:tc>
                <w:tcPr>
                  <w:tcW w:w="619" w:type="pct"/>
                  <w:vMerge w:val="continue"/>
                  <w:tcBorders>
                    <w:tl2br w:val="nil"/>
                    <w:tr2bl w:val="nil"/>
                  </w:tcBorders>
                  <w:noWrap w:val="0"/>
                  <w:vAlign w:val="center"/>
                </w:tcPr>
                <w:p w14:paraId="79AF4AA9">
                  <w:pPr>
                    <w:adjustRightInd w:val="0"/>
                    <w:snapToGrid w:val="0"/>
                    <w:jc w:val="center"/>
                    <w:rPr>
                      <w:rFonts w:hint="default" w:ascii="Times New Roman" w:hAnsi="Times New Roman" w:cs="Times New Roman"/>
                      <w:color w:val="auto"/>
                      <w:szCs w:val="21"/>
                      <w:highlight w:val="none"/>
                    </w:rPr>
                  </w:pPr>
                </w:p>
              </w:tc>
              <w:tc>
                <w:tcPr>
                  <w:tcW w:w="330" w:type="pct"/>
                  <w:vMerge w:val="continue"/>
                  <w:tcBorders>
                    <w:tl2br w:val="nil"/>
                    <w:tr2bl w:val="nil"/>
                  </w:tcBorders>
                  <w:noWrap w:val="0"/>
                  <w:vAlign w:val="center"/>
                </w:tcPr>
                <w:p w14:paraId="1F26AE22">
                  <w:pPr>
                    <w:adjustRightInd w:val="0"/>
                    <w:snapToGrid w:val="0"/>
                    <w:jc w:val="center"/>
                    <w:rPr>
                      <w:rFonts w:hint="default" w:ascii="Times New Roman" w:hAnsi="Times New Roman" w:cs="Times New Roman"/>
                      <w:color w:val="auto"/>
                      <w:szCs w:val="21"/>
                      <w:highlight w:val="none"/>
                    </w:rPr>
                  </w:pPr>
                </w:p>
              </w:tc>
              <w:tc>
                <w:tcPr>
                  <w:tcW w:w="280" w:type="pct"/>
                  <w:vMerge w:val="continue"/>
                  <w:tcBorders>
                    <w:tl2br w:val="nil"/>
                    <w:tr2bl w:val="nil"/>
                  </w:tcBorders>
                  <w:noWrap w:val="0"/>
                  <w:vAlign w:val="center"/>
                </w:tcPr>
                <w:p w14:paraId="761A672A">
                  <w:pPr>
                    <w:adjustRightInd w:val="0"/>
                    <w:snapToGrid w:val="0"/>
                    <w:jc w:val="center"/>
                    <w:rPr>
                      <w:rFonts w:hint="default" w:ascii="Times New Roman" w:hAnsi="Times New Roman" w:cs="Times New Roman"/>
                      <w:color w:val="auto"/>
                      <w:szCs w:val="21"/>
                      <w:highlight w:val="none"/>
                    </w:rPr>
                  </w:pPr>
                </w:p>
              </w:tc>
              <w:tc>
                <w:tcPr>
                  <w:tcW w:w="317" w:type="pct"/>
                  <w:vMerge w:val="continue"/>
                  <w:tcBorders>
                    <w:tl2br w:val="nil"/>
                    <w:tr2bl w:val="nil"/>
                  </w:tcBorders>
                  <w:noWrap w:val="0"/>
                  <w:vAlign w:val="center"/>
                </w:tcPr>
                <w:p w14:paraId="31D66930">
                  <w:pPr>
                    <w:adjustRightInd w:val="0"/>
                    <w:snapToGrid w:val="0"/>
                    <w:jc w:val="center"/>
                    <w:rPr>
                      <w:rFonts w:hint="default" w:ascii="Times New Roman" w:hAnsi="Times New Roman" w:cs="Times New Roman"/>
                      <w:color w:val="auto"/>
                      <w:szCs w:val="21"/>
                      <w:highlight w:val="none"/>
                    </w:rPr>
                  </w:pPr>
                </w:p>
              </w:tc>
              <w:tc>
                <w:tcPr>
                  <w:tcW w:w="309" w:type="pct"/>
                  <w:vMerge w:val="continue"/>
                  <w:tcBorders>
                    <w:tl2br w:val="nil"/>
                    <w:tr2bl w:val="nil"/>
                  </w:tcBorders>
                  <w:noWrap w:val="0"/>
                  <w:vAlign w:val="center"/>
                </w:tcPr>
                <w:p w14:paraId="210A1861">
                  <w:pPr>
                    <w:adjustRightInd w:val="0"/>
                    <w:snapToGrid w:val="0"/>
                    <w:jc w:val="center"/>
                    <w:rPr>
                      <w:rFonts w:hint="default" w:ascii="Times New Roman" w:hAnsi="Times New Roman" w:cs="Times New Roman"/>
                      <w:color w:val="auto"/>
                      <w:szCs w:val="21"/>
                      <w:highlight w:val="none"/>
                    </w:rPr>
                  </w:pPr>
                </w:p>
              </w:tc>
              <w:tc>
                <w:tcPr>
                  <w:tcW w:w="365" w:type="pct"/>
                  <w:vMerge w:val="continue"/>
                  <w:tcBorders>
                    <w:tl2br w:val="nil"/>
                    <w:tr2bl w:val="nil"/>
                  </w:tcBorders>
                  <w:noWrap w:val="0"/>
                  <w:vAlign w:val="center"/>
                </w:tcPr>
                <w:p w14:paraId="32E2DDF1">
                  <w:pPr>
                    <w:adjustRightInd w:val="0"/>
                    <w:snapToGrid w:val="0"/>
                    <w:jc w:val="center"/>
                    <w:rPr>
                      <w:rFonts w:hint="default" w:ascii="Times New Roman" w:hAnsi="Times New Roman" w:cs="Times New Roman"/>
                      <w:color w:val="auto"/>
                      <w:szCs w:val="21"/>
                      <w:highlight w:val="none"/>
                    </w:rPr>
                  </w:pPr>
                </w:p>
              </w:tc>
              <w:tc>
                <w:tcPr>
                  <w:tcW w:w="461" w:type="pct"/>
                  <w:tcBorders>
                    <w:tl2br w:val="nil"/>
                    <w:tr2bl w:val="nil"/>
                  </w:tcBorders>
                  <w:noWrap w:val="0"/>
                  <w:vAlign w:val="center"/>
                </w:tcPr>
                <w:p w14:paraId="1887D8C6">
                  <w:pPr>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932" w:type="pct"/>
                  <w:tcBorders>
                    <w:tl2br w:val="nil"/>
                    <w:tr2bl w:val="nil"/>
                  </w:tcBorders>
                  <w:noWrap w:val="0"/>
                  <w:vAlign w:val="center"/>
                </w:tcPr>
                <w:p w14:paraId="1AC63C9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14:paraId="401FB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49" w:type="pct"/>
                  <w:tcBorders>
                    <w:tl2br w:val="nil"/>
                    <w:tr2bl w:val="nil"/>
                  </w:tcBorders>
                  <w:noWrap w:val="0"/>
                  <w:vAlign w:val="center"/>
                </w:tcPr>
                <w:p w14:paraId="0DC3345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461" w:type="pct"/>
                  <w:vMerge w:val="continue"/>
                  <w:tcBorders>
                    <w:tl2br w:val="nil"/>
                    <w:tr2bl w:val="nil"/>
                  </w:tcBorders>
                  <w:noWrap w:val="0"/>
                  <w:vAlign w:val="center"/>
                </w:tcPr>
                <w:p w14:paraId="078C58E5">
                  <w:pPr>
                    <w:adjustRightInd w:val="0"/>
                    <w:snapToGrid w:val="0"/>
                    <w:jc w:val="center"/>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5FB7AEC2">
                  <w:pPr>
                    <w:adjustRightInd w:val="0"/>
                    <w:snapToGrid w:val="0"/>
                    <w:jc w:val="center"/>
                    <w:rPr>
                      <w:rFonts w:hint="default" w:ascii="Times New Roman" w:hAnsi="Times New Roman" w:cs="Times New Roman"/>
                      <w:color w:val="auto"/>
                      <w:szCs w:val="21"/>
                      <w:highlight w:val="none"/>
                    </w:rPr>
                  </w:pPr>
                </w:p>
              </w:tc>
              <w:tc>
                <w:tcPr>
                  <w:tcW w:w="619" w:type="pct"/>
                  <w:vMerge w:val="continue"/>
                  <w:tcBorders>
                    <w:tl2br w:val="nil"/>
                    <w:tr2bl w:val="nil"/>
                  </w:tcBorders>
                  <w:noWrap w:val="0"/>
                  <w:vAlign w:val="center"/>
                </w:tcPr>
                <w:p w14:paraId="2FF3551C">
                  <w:pPr>
                    <w:adjustRightInd w:val="0"/>
                    <w:snapToGrid w:val="0"/>
                    <w:jc w:val="center"/>
                    <w:rPr>
                      <w:rFonts w:hint="default" w:ascii="Times New Roman" w:hAnsi="Times New Roman" w:cs="Times New Roman"/>
                      <w:color w:val="auto"/>
                      <w:szCs w:val="21"/>
                      <w:highlight w:val="none"/>
                    </w:rPr>
                  </w:pPr>
                </w:p>
              </w:tc>
              <w:tc>
                <w:tcPr>
                  <w:tcW w:w="330" w:type="pct"/>
                  <w:vMerge w:val="continue"/>
                  <w:tcBorders>
                    <w:tl2br w:val="nil"/>
                    <w:tr2bl w:val="nil"/>
                  </w:tcBorders>
                  <w:noWrap w:val="0"/>
                  <w:vAlign w:val="center"/>
                </w:tcPr>
                <w:p w14:paraId="2D037EFA">
                  <w:pPr>
                    <w:adjustRightInd w:val="0"/>
                    <w:snapToGrid w:val="0"/>
                    <w:jc w:val="center"/>
                    <w:rPr>
                      <w:rFonts w:hint="default" w:ascii="Times New Roman" w:hAnsi="Times New Roman" w:cs="Times New Roman"/>
                      <w:color w:val="auto"/>
                      <w:szCs w:val="21"/>
                      <w:highlight w:val="none"/>
                    </w:rPr>
                  </w:pPr>
                </w:p>
              </w:tc>
              <w:tc>
                <w:tcPr>
                  <w:tcW w:w="280" w:type="pct"/>
                  <w:vMerge w:val="continue"/>
                  <w:tcBorders>
                    <w:tl2br w:val="nil"/>
                    <w:tr2bl w:val="nil"/>
                  </w:tcBorders>
                  <w:noWrap w:val="0"/>
                  <w:vAlign w:val="center"/>
                </w:tcPr>
                <w:p w14:paraId="29940745">
                  <w:pPr>
                    <w:adjustRightInd w:val="0"/>
                    <w:snapToGrid w:val="0"/>
                    <w:jc w:val="center"/>
                    <w:rPr>
                      <w:rFonts w:hint="default" w:ascii="Times New Roman" w:hAnsi="Times New Roman" w:cs="Times New Roman"/>
                      <w:color w:val="auto"/>
                      <w:szCs w:val="21"/>
                      <w:highlight w:val="none"/>
                    </w:rPr>
                  </w:pPr>
                </w:p>
              </w:tc>
              <w:tc>
                <w:tcPr>
                  <w:tcW w:w="317" w:type="pct"/>
                  <w:vMerge w:val="continue"/>
                  <w:tcBorders>
                    <w:tl2br w:val="nil"/>
                    <w:tr2bl w:val="nil"/>
                  </w:tcBorders>
                  <w:noWrap w:val="0"/>
                  <w:vAlign w:val="center"/>
                </w:tcPr>
                <w:p w14:paraId="6BD5FC56">
                  <w:pPr>
                    <w:adjustRightInd w:val="0"/>
                    <w:snapToGrid w:val="0"/>
                    <w:jc w:val="center"/>
                    <w:rPr>
                      <w:rFonts w:hint="default" w:ascii="Times New Roman" w:hAnsi="Times New Roman" w:cs="Times New Roman"/>
                      <w:color w:val="auto"/>
                      <w:szCs w:val="21"/>
                      <w:highlight w:val="none"/>
                    </w:rPr>
                  </w:pPr>
                </w:p>
              </w:tc>
              <w:tc>
                <w:tcPr>
                  <w:tcW w:w="309" w:type="pct"/>
                  <w:vMerge w:val="continue"/>
                  <w:tcBorders>
                    <w:tl2br w:val="nil"/>
                    <w:tr2bl w:val="nil"/>
                  </w:tcBorders>
                  <w:noWrap w:val="0"/>
                  <w:vAlign w:val="center"/>
                </w:tcPr>
                <w:p w14:paraId="2808C0A5">
                  <w:pPr>
                    <w:adjustRightInd w:val="0"/>
                    <w:snapToGrid w:val="0"/>
                    <w:jc w:val="center"/>
                    <w:rPr>
                      <w:rFonts w:hint="default" w:ascii="Times New Roman" w:hAnsi="Times New Roman" w:cs="Times New Roman"/>
                      <w:color w:val="auto"/>
                      <w:szCs w:val="21"/>
                      <w:highlight w:val="none"/>
                    </w:rPr>
                  </w:pPr>
                </w:p>
              </w:tc>
              <w:tc>
                <w:tcPr>
                  <w:tcW w:w="365" w:type="pct"/>
                  <w:vMerge w:val="continue"/>
                  <w:tcBorders>
                    <w:tl2br w:val="nil"/>
                    <w:tr2bl w:val="nil"/>
                  </w:tcBorders>
                  <w:noWrap w:val="0"/>
                  <w:vAlign w:val="center"/>
                </w:tcPr>
                <w:p w14:paraId="061DD2BE">
                  <w:pPr>
                    <w:adjustRightInd w:val="0"/>
                    <w:snapToGrid w:val="0"/>
                    <w:jc w:val="center"/>
                    <w:rPr>
                      <w:rFonts w:hint="default" w:ascii="Times New Roman" w:hAnsi="Times New Roman" w:cs="Times New Roman"/>
                      <w:color w:val="auto"/>
                      <w:szCs w:val="21"/>
                      <w:highlight w:val="none"/>
                    </w:rPr>
                  </w:pPr>
                </w:p>
              </w:tc>
              <w:tc>
                <w:tcPr>
                  <w:tcW w:w="461" w:type="pct"/>
                  <w:tcBorders>
                    <w:tl2br w:val="nil"/>
                    <w:tr2bl w:val="nil"/>
                  </w:tcBorders>
                  <w:noWrap w:val="0"/>
                  <w:vAlign w:val="center"/>
                </w:tcPr>
                <w:p w14:paraId="35F587AA">
                  <w:pPr>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tc>
              <w:tc>
                <w:tcPr>
                  <w:tcW w:w="932" w:type="pct"/>
                  <w:tcBorders>
                    <w:tl2br w:val="nil"/>
                    <w:tr2bl w:val="nil"/>
                  </w:tcBorders>
                  <w:noWrap w:val="0"/>
                  <w:vAlign w:val="center"/>
                </w:tcPr>
                <w:p w14:paraId="7E6F131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r>
            <w:tr w14:paraId="26787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249" w:type="pct"/>
                  <w:tcBorders>
                    <w:tl2br w:val="nil"/>
                    <w:tr2bl w:val="nil"/>
                  </w:tcBorders>
                  <w:noWrap w:val="0"/>
                  <w:vAlign w:val="center"/>
                </w:tcPr>
                <w:p w14:paraId="3A27AE7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461" w:type="pct"/>
                  <w:vMerge w:val="continue"/>
                  <w:tcBorders>
                    <w:tl2br w:val="nil"/>
                    <w:tr2bl w:val="nil"/>
                  </w:tcBorders>
                  <w:noWrap w:val="0"/>
                  <w:vAlign w:val="center"/>
                </w:tcPr>
                <w:p w14:paraId="6F22813E">
                  <w:pPr>
                    <w:adjustRightInd w:val="0"/>
                    <w:snapToGrid w:val="0"/>
                    <w:jc w:val="center"/>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0500FE03">
                  <w:pPr>
                    <w:adjustRightInd w:val="0"/>
                    <w:snapToGrid w:val="0"/>
                    <w:jc w:val="center"/>
                    <w:rPr>
                      <w:rFonts w:hint="default" w:ascii="Times New Roman" w:hAnsi="Times New Roman" w:cs="Times New Roman"/>
                      <w:color w:val="auto"/>
                      <w:szCs w:val="21"/>
                      <w:highlight w:val="none"/>
                    </w:rPr>
                  </w:pPr>
                </w:p>
              </w:tc>
              <w:tc>
                <w:tcPr>
                  <w:tcW w:w="619" w:type="pct"/>
                  <w:vMerge w:val="continue"/>
                  <w:tcBorders>
                    <w:tl2br w:val="nil"/>
                    <w:tr2bl w:val="nil"/>
                  </w:tcBorders>
                  <w:noWrap w:val="0"/>
                  <w:vAlign w:val="center"/>
                </w:tcPr>
                <w:p w14:paraId="52233A01">
                  <w:pPr>
                    <w:adjustRightInd w:val="0"/>
                    <w:snapToGrid w:val="0"/>
                    <w:jc w:val="center"/>
                    <w:rPr>
                      <w:rFonts w:hint="default" w:ascii="Times New Roman" w:hAnsi="Times New Roman" w:cs="Times New Roman"/>
                      <w:color w:val="auto"/>
                      <w:szCs w:val="21"/>
                      <w:highlight w:val="none"/>
                    </w:rPr>
                  </w:pPr>
                </w:p>
              </w:tc>
              <w:tc>
                <w:tcPr>
                  <w:tcW w:w="330" w:type="pct"/>
                  <w:vMerge w:val="continue"/>
                  <w:tcBorders>
                    <w:tl2br w:val="nil"/>
                    <w:tr2bl w:val="nil"/>
                  </w:tcBorders>
                  <w:noWrap w:val="0"/>
                  <w:vAlign w:val="center"/>
                </w:tcPr>
                <w:p w14:paraId="26E80A08">
                  <w:pPr>
                    <w:adjustRightInd w:val="0"/>
                    <w:snapToGrid w:val="0"/>
                    <w:jc w:val="center"/>
                    <w:rPr>
                      <w:rFonts w:hint="default" w:ascii="Times New Roman" w:hAnsi="Times New Roman" w:cs="Times New Roman"/>
                      <w:color w:val="auto"/>
                      <w:szCs w:val="21"/>
                      <w:highlight w:val="none"/>
                    </w:rPr>
                  </w:pPr>
                </w:p>
              </w:tc>
              <w:tc>
                <w:tcPr>
                  <w:tcW w:w="280" w:type="pct"/>
                  <w:vMerge w:val="continue"/>
                  <w:tcBorders>
                    <w:tl2br w:val="nil"/>
                    <w:tr2bl w:val="nil"/>
                  </w:tcBorders>
                  <w:noWrap w:val="0"/>
                  <w:vAlign w:val="center"/>
                </w:tcPr>
                <w:p w14:paraId="6589B3BD">
                  <w:pPr>
                    <w:adjustRightInd w:val="0"/>
                    <w:snapToGrid w:val="0"/>
                    <w:jc w:val="center"/>
                    <w:rPr>
                      <w:rFonts w:hint="default" w:ascii="Times New Roman" w:hAnsi="Times New Roman" w:cs="Times New Roman"/>
                      <w:color w:val="auto"/>
                      <w:szCs w:val="21"/>
                      <w:highlight w:val="none"/>
                    </w:rPr>
                  </w:pPr>
                </w:p>
              </w:tc>
              <w:tc>
                <w:tcPr>
                  <w:tcW w:w="317" w:type="pct"/>
                  <w:vMerge w:val="continue"/>
                  <w:tcBorders>
                    <w:tl2br w:val="nil"/>
                    <w:tr2bl w:val="nil"/>
                  </w:tcBorders>
                  <w:noWrap w:val="0"/>
                  <w:vAlign w:val="center"/>
                </w:tcPr>
                <w:p w14:paraId="46553A22">
                  <w:pPr>
                    <w:adjustRightInd w:val="0"/>
                    <w:snapToGrid w:val="0"/>
                    <w:jc w:val="center"/>
                    <w:rPr>
                      <w:rFonts w:hint="default" w:ascii="Times New Roman" w:hAnsi="Times New Roman" w:cs="Times New Roman"/>
                      <w:color w:val="auto"/>
                      <w:szCs w:val="21"/>
                      <w:highlight w:val="none"/>
                    </w:rPr>
                  </w:pPr>
                </w:p>
              </w:tc>
              <w:tc>
                <w:tcPr>
                  <w:tcW w:w="309" w:type="pct"/>
                  <w:vMerge w:val="continue"/>
                  <w:tcBorders>
                    <w:tl2br w:val="nil"/>
                    <w:tr2bl w:val="nil"/>
                  </w:tcBorders>
                  <w:noWrap w:val="0"/>
                  <w:vAlign w:val="center"/>
                </w:tcPr>
                <w:p w14:paraId="358AFD4E">
                  <w:pPr>
                    <w:adjustRightInd w:val="0"/>
                    <w:snapToGrid w:val="0"/>
                    <w:jc w:val="center"/>
                    <w:rPr>
                      <w:rFonts w:hint="default" w:ascii="Times New Roman" w:hAnsi="Times New Roman" w:cs="Times New Roman"/>
                      <w:color w:val="auto"/>
                      <w:szCs w:val="21"/>
                      <w:highlight w:val="none"/>
                    </w:rPr>
                  </w:pPr>
                </w:p>
              </w:tc>
              <w:tc>
                <w:tcPr>
                  <w:tcW w:w="365" w:type="pct"/>
                  <w:vMerge w:val="continue"/>
                  <w:tcBorders>
                    <w:tl2br w:val="nil"/>
                    <w:tr2bl w:val="nil"/>
                  </w:tcBorders>
                  <w:noWrap w:val="0"/>
                  <w:vAlign w:val="center"/>
                </w:tcPr>
                <w:p w14:paraId="357A38B1">
                  <w:pPr>
                    <w:adjustRightInd w:val="0"/>
                    <w:snapToGrid w:val="0"/>
                    <w:jc w:val="center"/>
                    <w:rPr>
                      <w:rFonts w:hint="default" w:ascii="Times New Roman" w:hAnsi="Times New Roman" w:cs="Times New Roman"/>
                      <w:color w:val="auto"/>
                      <w:szCs w:val="21"/>
                      <w:highlight w:val="none"/>
                    </w:rPr>
                  </w:pPr>
                </w:p>
              </w:tc>
              <w:tc>
                <w:tcPr>
                  <w:tcW w:w="461" w:type="pct"/>
                  <w:tcBorders>
                    <w:tl2br w:val="nil"/>
                    <w:tr2bl w:val="nil"/>
                  </w:tcBorders>
                  <w:noWrap w:val="0"/>
                  <w:vAlign w:val="center"/>
                </w:tcPr>
                <w:p w14:paraId="74135DC6">
                  <w:pPr>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tc>
              <w:tc>
                <w:tcPr>
                  <w:tcW w:w="932" w:type="pct"/>
                  <w:tcBorders>
                    <w:tl2br w:val="nil"/>
                    <w:tr2bl w:val="nil"/>
                  </w:tcBorders>
                  <w:noWrap w:val="0"/>
                  <w:vAlign w:val="center"/>
                </w:tcPr>
                <w:p w14:paraId="240FDC7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r>
            <w:tr w14:paraId="4D5A3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249" w:type="pct"/>
                  <w:tcBorders>
                    <w:tl2br w:val="nil"/>
                    <w:tr2bl w:val="nil"/>
                  </w:tcBorders>
                  <w:noWrap w:val="0"/>
                  <w:vAlign w:val="center"/>
                </w:tcPr>
                <w:p w14:paraId="43BC1CF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461" w:type="pct"/>
                  <w:vMerge w:val="continue"/>
                  <w:tcBorders>
                    <w:tl2br w:val="nil"/>
                    <w:tr2bl w:val="nil"/>
                  </w:tcBorders>
                  <w:noWrap w:val="0"/>
                  <w:vAlign w:val="center"/>
                </w:tcPr>
                <w:p w14:paraId="521874D5">
                  <w:pPr>
                    <w:adjustRightInd w:val="0"/>
                    <w:snapToGrid w:val="0"/>
                    <w:jc w:val="center"/>
                    <w:rPr>
                      <w:rFonts w:hint="default" w:ascii="Times New Roman" w:hAnsi="Times New Roman" w:cs="Times New Roman"/>
                      <w:color w:val="auto"/>
                      <w:szCs w:val="21"/>
                      <w:highlight w:val="none"/>
                    </w:rPr>
                  </w:pPr>
                </w:p>
              </w:tc>
              <w:tc>
                <w:tcPr>
                  <w:tcW w:w="673" w:type="pct"/>
                  <w:vMerge w:val="continue"/>
                  <w:tcBorders>
                    <w:tl2br w:val="nil"/>
                    <w:tr2bl w:val="nil"/>
                  </w:tcBorders>
                  <w:noWrap w:val="0"/>
                  <w:vAlign w:val="center"/>
                </w:tcPr>
                <w:p w14:paraId="258A7933">
                  <w:pPr>
                    <w:adjustRightInd w:val="0"/>
                    <w:snapToGrid w:val="0"/>
                    <w:jc w:val="center"/>
                    <w:rPr>
                      <w:rFonts w:hint="default" w:ascii="Times New Roman" w:hAnsi="Times New Roman" w:cs="Times New Roman"/>
                      <w:color w:val="auto"/>
                      <w:szCs w:val="21"/>
                      <w:highlight w:val="none"/>
                    </w:rPr>
                  </w:pPr>
                </w:p>
              </w:tc>
              <w:tc>
                <w:tcPr>
                  <w:tcW w:w="619" w:type="pct"/>
                  <w:vMerge w:val="continue"/>
                  <w:tcBorders>
                    <w:tl2br w:val="nil"/>
                    <w:tr2bl w:val="nil"/>
                  </w:tcBorders>
                  <w:noWrap w:val="0"/>
                  <w:vAlign w:val="center"/>
                </w:tcPr>
                <w:p w14:paraId="62CF1F5E">
                  <w:pPr>
                    <w:adjustRightInd w:val="0"/>
                    <w:snapToGrid w:val="0"/>
                    <w:jc w:val="center"/>
                    <w:rPr>
                      <w:rFonts w:hint="default" w:ascii="Times New Roman" w:hAnsi="Times New Roman" w:cs="Times New Roman"/>
                      <w:color w:val="auto"/>
                      <w:szCs w:val="21"/>
                      <w:highlight w:val="none"/>
                    </w:rPr>
                  </w:pPr>
                </w:p>
              </w:tc>
              <w:tc>
                <w:tcPr>
                  <w:tcW w:w="330" w:type="pct"/>
                  <w:vMerge w:val="continue"/>
                  <w:tcBorders>
                    <w:tl2br w:val="nil"/>
                    <w:tr2bl w:val="nil"/>
                  </w:tcBorders>
                  <w:noWrap w:val="0"/>
                  <w:vAlign w:val="center"/>
                </w:tcPr>
                <w:p w14:paraId="45BC3B54">
                  <w:pPr>
                    <w:adjustRightInd w:val="0"/>
                    <w:snapToGrid w:val="0"/>
                    <w:jc w:val="center"/>
                    <w:rPr>
                      <w:rFonts w:hint="default" w:ascii="Times New Roman" w:hAnsi="Times New Roman" w:cs="Times New Roman"/>
                      <w:color w:val="auto"/>
                      <w:szCs w:val="21"/>
                      <w:highlight w:val="none"/>
                    </w:rPr>
                  </w:pPr>
                </w:p>
              </w:tc>
              <w:tc>
                <w:tcPr>
                  <w:tcW w:w="280" w:type="pct"/>
                  <w:vMerge w:val="continue"/>
                  <w:tcBorders>
                    <w:tl2br w:val="nil"/>
                    <w:tr2bl w:val="nil"/>
                  </w:tcBorders>
                  <w:noWrap w:val="0"/>
                  <w:vAlign w:val="center"/>
                </w:tcPr>
                <w:p w14:paraId="735E6901">
                  <w:pPr>
                    <w:adjustRightInd w:val="0"/>
                    <w:snapToGrid w:val="0"/>
                    <w:jc w:val="center"/>
                    <w:rPr>
                      <w:rFonts w:hint="default" w:ascii="Times New Roman" w:hAnsi="Times New Roman" w:cs="Times New Roman"/>
                      <w:color w:val="auto"/>
                      <w:szCs w:val="21"/>
                      <w:highlight w:val="none"/>
                    </w:rPr>
                  </w:pPr>
                </w:p>
              </w:tc>
              <w:tc>
                <w:tcPr>
                  <w:tcW w:w="317" w:type="pct"/>
                  <w:vMerge w:val="continue"/>
                  <w:tcBorders>
                    <w:tl2br w:val="nil"/>
                    <w:tr2bl w:val="nil"/>
                  </w:tcBorders>
                  <w:noWrap w:val="0"/>
                  <w:vAlign w:val="center"/>
                </w:tcPr>
                <w:p w14:paraId="1878B22D">
                  <w:pPr>
                    <w:adjustRightInd w:val="0"/>
                    <w:snapToGrid w:val="0"/>
                    <w:jc w:val="center"/>
                    <w:rPr>
                      <w:rFonts w:hint="default" w:ascii="Times New Roman" w:hAnsi="Times New Roman" w:cs="Times New Roman"/>
                      <w:color w:val="auto"/>
                      <w:szCs w:val="21"/>
                      <w:highlight w:val="none"/>
                    </w:rPr>
                  </w:pPr>
                </w:p>
              </w:tc>
              <w:tc>
                <w:tcPr>
                  <w:tcW w:w="309" w:type="pct"/>
                  <w:vMerge w:val="continue"/>
                  <w:tcBorders>
                    <w:tl2br w:val="nil"/>
                    <w:tr2bl w:val="nil"/>
                  </w:tcBorders>
                  <w:noWrap w:val="0"/>
                  <w:vAlign w:val="center"/>
                </w:tcPr>
                <w:p w14:paraId="4F2C471B">
                  <w:pPr>
                    <w:adjustRightInd w:val="0"/>
                    <w:snapToGrid w:val="0"/>
                    <w:jc w:val="center"/>
                    <w:rPr>
                      <w:rFonts w:hint="default" w:ascii="Times New Roman" w:hAnsi="Times New Roman" w:cs="Times New Roman"/>
                      <w:color w:val="auto"/>
                      <w:szCs w:val="21"/>
                      <w:highlight w:val="none"/>
                    </w:rPr>
                  </w:pPr>
                </w:p>
              </w:tc>
              <w:tc>
                <w:tcPr>
                  <w:tcW w:w="365" w:type="pct"/>
                  <w:vMerge w:val="continue"/>
                  <w:tcBorders>
                    <w:tl2br w:val="nil"/>
                    <w:tr2bl w:val="nil"/>
                  </w:tcBorders>
                  <w:noWrap w:val="0"/>
                  <w:vAlign w:val="center"/>
                </w:tcPr>
                <w:p w14:paraId="2425A380">
                  <w:pPr>
                    <w:adjustRightInd w:val="0"/>
                    <w:snapToGrid w:val="0"/>
                    <w:jc w:val="center"/>
                    <w:rPr>
                      <w:rFonts w:hint="default" w:ascii="Times New Roman" w:hAnsi="Times New Roman" w:cs="Times New Roman"/>
                      <w:color w:val="auto"/>
                      <w:szCs w:val="21"/>
                      <w:highlight w:val="none"/>
                    </w:rPr>
                  </w:pPr>
                </w:p>
              </w:tc>
              <w:tc>
                <w:tcPr>
                  <w:tcW w:w="461" w:type="pct"/>
                  <w:tcBorders>
                    <w:tl2br w:val="nil"/>
                    <w:tr2bl w:val="nil"/>
                  </w:tcBorders>
                  <w:noWrap w:val="0"/>
                  <w:vAlign w:val="center"/>
                </w:tcPr>
                <w:p w14:paraId="70C42C9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pH值</w:t>
                  </w:r>
                </w:p>
              </w:tc>
              <w:tc>
                <w:tcPr>
                  <w:tcW w:w="932" w:type="pct"/>
                  <w:tcBorders>
                    <w:tl2br w:val="nil"/>
                    <w:tr2bl w:val="nil"/>
                  </w:tcBorders>
                  <w:noWrap w:val="0"/>
                  <w:vAlign w:val="center"/>
                </w:tcPr>
                <w:p w14:paraId="7E7209D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w:t>
                  </w:r>
                </w:p>
              </w:tc>
            </w:tr>
          </w:tbl>
          <w:p w14:paraId="46445744">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依托</w:t>
            </w:r>
            <w:r>
              <w:rPr>
                <w:rFonts w:hint="eastAsia" w:cs="Times New Roman"/>
                <w:b/>
                <w:color w:val="auto"/>
                <w:sz w:val="24"/>
                <w:highlight w:val="none"/>
                <w:lang w:eastAsia="zh-CN"/>
              </w:rPr>
              <w:t>淮南现代产业园污水处理站</w:t>
            </w:r>
            <w:r>
              <w:rPr>
                <w:rFonts w:hint="default" w:ascii="Times New Roman" w:hAnsi="Times New Roman" w:cs="Times New Roman"/>
                <w:b/>
                <w:color w:val="auto"/>
                <w:sz w:val="24"/>
                <w:highlight w:val="none"/>
              </w:rPr>
              <w:t>可行性分析</w:t>
            </w:r>
          </w:p>
          <w:p w14:paraId="46D494E8">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本项目生活污水经化粪池预处理后，通过污水管网达到</w:t>
            </w:r>
            <w:r>
              <w:rPr>
                <w:rFonts w:hint="eastAsia" w:cs="Times New Roman"/>
                <w:bCs/>
                <w:color w:val="auto"/>
                <w:sz w:val="24"/>
                <w:highlight w:val="none"/>
                <w:lang w:eastAsia="zh-CN"/>
              </w:rPr>
              <w:t>淮南现代产业园污水处理站</w:t>
            </w:r>
            <w:r>
              <w:rPr>
                <w:rFonts w:hint="default" w:ascii="Times New Roman" w:hAnsi="Times New Roman" w:cs="Times New Roman"/>
                <w:bCs/>
                <w:color w:val="auto"/>
                <w:sz w:val="24"/>
                <w:highlight w:val="none"/>
              </w:rPr>
              <w:t>接管标准后接入</w:t>
            </w:r>
            <w:r>
              <w:rPr>
                <w:rFonts w:hint="eastAsia" w:cs="Times New Roman"/>
                <w:bCs/>
                <w:color w:val="auto"/>
                <w:sz w:val="24"/>
                <w:highlight w:val="none"/>
                <w:lang w:eastAsia="zh-CN"/>
              </w:rPr>
              <w:t>淮南现代产业园污水处理站</w:t>
            </w:r>
            <w:r>
              <w:rPr>
                <w:rFonts w:hint="default" w:ascii="Times New Roman" w:hAnsi="Times New Roman" w:cs="Times New Roman"/>
                <w:bCs/>
                <w:color w:val="auto"/>
                <w:sz w:val="24"/>
                <w:highlight w:val="none"/>
              </w:rPr>
              <w:t>，尾水排入林桥涧沟，最终汇入瓦埠湖。</w:t>
            </w:r>
          </w:p>
          <w:p w14:paraId="569D7BC1">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淮南现代产业园园区污水处理厂简述</w:t>
            </w:r>
          </w:p>
          <w:p w14:paraId="72A186E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本项目污水排入淮南现代产业园园区污水处理厂进行处理，经处理达到《城镇污水处理厂污染物排放标准》（GB18918-2002）中一级A标准排入尾水排入林桥涧沟，最终汇入瓦埠湖。</w:t>
            </w:r>
          </w:p>
          <w:p w14:paraId="39C2674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园区污水处理厂，位于西外环路东侧，日处理污水1000t，采用“预处理+生化处理+深度处理”工艺，占地面积7亩。处理厂已于2018年3月正式运营。污水处理厂尾水排入林桥涧沟，最终汇入瓦埠湖。</w:t>
            </w:r>
          </w:p>
          <w:p w14:paraId="026A59AC">
            <w:pPr>
              <w:adjustRightInd w:val="0"/>
              <w:snapToGrid w:val="0"/>
              <w:spacing w:line="360" w:lineRule="auto"/>
              <w:jc w:val="center"/>
              <w:rPr>
                <w:rFonts w:hint="default" w:ascii="Times New Roman" w:hAnsi="Times New Roman" w:cs="Times New Roman"/>
                <w:b/>
                <w:bCs/>
                <w:color w:val="auto"/>
                <w:sz w:val="24"/>
                <w:highlight w:val="none"/>
              </w:rPr>
            </w:pPr>
            <w:r>
              <w:rPr>
                <w:rFonts w:hint="default" w:ascii="Times New Roman" w:hAnsi="Times New Roman" w:cs="Times New Roman"/>
                <w:color w:val="auto"/>
                <w:highlight w:val="none"/>
              </w:rPr>
              <w:drawing>
                <wp:inline distT="0" distB="0" distL="114300" distR="114300">
                  <wp:extent cx="4003675" cy="5757545"/>
                  <wp:effectExtent l="0" t="0" r="15875" b="14605"/>
                  <wp:docPr id="77"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3"/>
                          <pic:cNvPicPr>
                            <a:picLocks noChangeAspect="1"/>
                          </pic:cNvPicPr>
                        </pic:nvPicPr>
                        <pic:blipFill>
                          <a:blip r:embed="rId23"/>
                          <a:srcRect/>
                          <a:stretch>
                            <a:fillRect/>
                          </a:stretch>
                        </pic:blipFill>
                        <pic:spPr>
                          <a:xfrm>
                            <a:off x="0" y="0"/>
                            <a:ext cx="4003675" cy="5757545"/>
                          </a:xfrm>
                          <a:prstGeom prst="rect">
                            <a:avLst/>
                          </a:prstGeom>
                          <a:noFill/>
                          <a:ln>
                            <a:noFill/>
                          </a:ln>
                        </pic:spPr>
                      </pic:pic>
                    </a:graphicData>
                  </a:graphic>
                </wp:inline>
              </w:drawing>
            </w:r>
          </w:p>
          <w:p w14:paraId="7D7C0EDE">
            <w:pPr>
              <w:pStyle w:val="76"/>
              <w:rPr>
                <w:rFonts w:hint="default" w:ascii="Times New Roman" w:hAnsi="Times New Roman" w:cs="Times New Roman"/>
                <w:color w:val="auto"/>
                <w:highlight w:val="none"/>
              </w:rPr>
            </w:pPr>
            <w:r>
              <w:rPr>
                <w:rFonts w:hint="default" w:ascii="Times New Roman" w:hAnsi="Times New Roman" w:cs="Times New Roman"/>
                <w:color w:val="auto"/>
                <w:highlight w:val="none"/>
              </w:rPr>
              <w:t>图4-2 园区污水处理厂污水处理工艺流程图</w:t>
            </w:r>
          </w:p>
          <w:p w14:paraId="7200CA5C">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污水处理厂收水范围</w:t>
            </w:r>
          </w:p>
          <w:p w14:paraId="236014C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淮南现代产业园污水处理站</w:t>
            </w:r>
            <w:r>
              <w:rPr>
                <w:rFonts w:hint="default" w:ascii="Times New Roman" w:hAnsi="Times New Roman" w:cs="Times New Roman"/>
                <w:color w:val="auto"/>
                <w:sz w:val="24"/>
                <w:highlight w:val="none"/>
              </w:rPr>
              <w:t>服务范围为淮南现代产业园所有生产企业的部分工业废水和全部生活污水，本项目位于淮南现代产业园，属于污水处理厂的收水范围。</w:t>
            </w:r>
          </w:p>
          <w:p w14:paraId="3809B264">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处理工艺及规模</w:t>
            </w:r>
          </w:p>
          <w:p w14:paraId="670D849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①从水量角度分析</w:t>
            </w:r>
          </w:p>
          <w:p w14:paraId="0CA45BA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淮南现代产业园污水收集管网已经建设完成，本项目污水排放量29.95m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/d，园区现状污水处理规模约为1000m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本项目仅占园区污水处理厂剩余处理能力的3%，外排废水量较小，不会对园区污水处理厂产生冲击负荷，园区污水处理厂剩余处理能力能够满足本项目排放废水水量纳管要求。目前园区污水处理厂运行稳定，废水经处理达到《城镇污水处理厂污染物排放标准》（GB18918-2002）表1一级A标准后排入地表水体林桥涧沟，废水实现达标排放，对地表水体瓦埠湖水环境质量影响较小。</w:t>
            </w:r>
          </w:p>
          <w:p w14:paraId="185D553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②从水质角度分析</w:t>
            </w:r>
          </w:p>
          <w:p w14:paraId="4F99D06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淮南现代产业园污水处理站</w:t>
            </w:r>
            <w:r>
              <w:rPr>
                <w:rFonts w:hint="default" w:ascii="Times New Roman" w:hAnsi="Times New Roman" w:cs="Times New Roman"/>
                <w:color w:val="auto"/>
                <w:sz w:val="24"/>
                <w:highlight w:val="none"/>
              </w:rPr>
              <w:t>预处理工艺采用粗、细格栅、提升泵房、沉砂的方法。生化处理工艺采用多模式A/A/O工艺（见下图）。项目生活污水经预处理后能够达到园区污水处理厂接管标准要求，外排废水水质能达到污水处理厂的进水水质要求，不会对污水处理厂正常运行造成影响。因此，产生的废水排入园区污水处理厂可行。</w:t>
            </w:r>
          </w:p>
          <w:p w14:paraId="66536066">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snapToGrid w:val="0"/>
                <w:color w:val="auto"/>
                <w:kern w:val="0"/>
                <w:sz w:val="24"/>
                <w:highlight w:val="none"/>
              </w:rPr>
              <w:t>综上所述，本项目废水依托厂区现有污水处理措施、依托园区</w:t>
            </w:r>
            <w:r>
              <w:rPr>
                <w:rFonts w:hint="default" w:ascii="Times New Roman" w:hAnsi="Times New Roman" w:cs="Times New Roman"/>
                <w:color w:val="auto"/>
                <w:sz w:val="24"/>
                <w:highlight w:val="none"/>
              </w:rPr>
              <w:t>污水处理厂</w:t>
            </w:r>
            <w:r>
              <w:rPr>
                <w:rFonts w:hint="default" w:ascii="Times New Roman" w:hAnsi="Times New Roman" w:cs="Times New Roman"/>
                <w:snapToGrid w:val="0"/>
                <w:color w:val="auto"/>
                <w:kern w:val="0"/>
                <w:sz w:val="24"/>
                <w:highlight w:val="none"/>
              </w:rPr>
              <w:t>处理是可行的。</w:t>
            </w:r>
          </w:p>
          <w:p w14:paraId="27A61BC6">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5</w:t>
            </w:r>
            <w:r>
              <w:rPr>
                <w:rFonts w:hint="default" w:ascii="Times New Roman" w:hAnsi="Times New Roman" w:cs="Times New Roman"/>
                <w:b/>
                <w:color w:val="auto"/>
                <w:sz w:val="24"/>
                <w:highlight w:val="none"/>
                <w:lang w:val="en-US" w:eastAsia="zh-CN"/>
              </w:rPr>
              <w:t>、</w:t>
            </w:r>
            <w:r>
              <w:rPr>
                <w:rFonts w:hint="default" w:ascii="Times New Roman" w:hAnsi="Times New Roman" w:cs="Times New Roman"/>
                <w:b/>
                <w:color w:val="auto"/>
                <w:sz w:val="24"/>
                <w:highlight w:val="none"/>
              </w:rPr>
              <w:t>水污染源监测计划</w:t>
            </w:r>
          </w:p>
          <w:p w14:paraId="2A8431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rPr>
              <w:t>建设项目废水污染源监测计划详见表4-</w:t>
            </w:r>
            <w:r>
              <w:rPr>
                <w:rFonts w:hint="default" w:ascii="Times New Roman" w:hAnsi="Times New Roman" w:cs="Times New Roman"/>
                <w:bCs/>
                <w:color w:val="auto"/>
                <w:sz w:val="24"/>
                <w:highlight w:val="none"/>
                <w:lang w:val="en-US" w:eastAsia="zh-CN"/>
              </w:rPr>
              <w:t>10</w:t>
            </w:r>
          </w:p>
          <w:p w14:paraId="2C7C37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表4-</w:t>
            </w:r>
            <w:r>
              <w:rPr>
                <w:rFonts w:hint="default" w:ascii="Times New Roman" w:hAnsi="Times New Roman" w:cs="Times New Roman"/>
                <w:b/>
                <w:color w:val="auto"/>
                <w:sz w:val="24"/>
                <w:szCs w:val="24"/>
                <w:highlight w:val="none"/>
                <w:lang w:val="en-US" w:eastAsia="zh-CN"/>
              </w:rPr>
              <w:t>10</w:t>
            </w:r>
            <w:r>
              <w:rPr>
                <w:rFonts w:hint="default" w:ascii="Times New Roman" w:hAnsi="Times New Roman" w:cs="Times New Roman"/>
                <w:b/>
                <w:color w:val="auto"/>
                <w:sz w:val="24"/>
                <w:szCs w:val="24"/>
                <w:highlight w:val="none"/>
              </w:rPr>
              <w:t>建设项目废水污染源监测计划一览表</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049"/>
              <w:gridCol w:w="2085"/>
              <w:gridCol w:w="859"/>
              <w:gridCol w:w="2044"/>
            </w:tblGrid>
            <w:tr w14:paraId="44FDB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4" w:hRule="atLeast"/>
              </w:trPr>
              <w:tc>
                <w:tcPr>
                  <w:tcW w:w="574" w:type="pct"/>
                  <w:tcBorders>
                    <w:tl2br w:val="nil"/>
                    <w:tr2bl w:val="nil"/>
                  </w:tcBorders>
                  <w:vAlign w:val="center"/>
                </w:tcPr>
                <w:p w14:paraId="34653564">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类别</w:t>
                  </w:r>
                </w:p>
              </w:tc>
              <w:tc>
                <w:tcPr>
                  <w:tcW w:w="1288" w:type="pct"/>
                  <w:tcBorders>
                    <w:tl2br w:val="nil"/>
                    <w:tr2bl w:val="nil"/>
                  </w:tcBorders>
                  <w:vAlign w:val="center"/>
                </w:tcPr>
                <w:p w14:paraId="29BE1D2A">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监测点位</w:t>
                  </w:r>
                </w:p>
              </w:tc>
              <w:tc>
                <w:tcPr>
                  <w:tcW w:w="1311" w:type="pct"/>
                  <w:tcBorders>
                    <w:tl2br w:val="nil"/>
                    <w:tr2bl w:val="nil"/>
                  </w:tcBorders>
                  <w:vAlign w:val="center"/>
                </w:tcPr>
                <w:p w14:paraId="7D7193F2">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监测因子</w:t>
                  </w:r>
                </w:p>
              </w:tc>
              <w:tc>
                <w:tcPr>
                  <w:tcW w:w="540" w:type="pct"/>
                  <w:tcBorders>
                    <w:tl2br w:val="nil"/>
                    <w:tr2bl w:val="nil"/>
                  </w:tcBorders>
                  <w:vAlign w:val="center"/>
                </w:tcPr>
                <w:p w14:paraId="094593E4">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频次</w:t>
                  </w:r>
                </w:p>
              </w:tc>
              <w:tc>
                <w:tcPr>
                  <w:tcW w:w="1285" w:type="pct"/>
                  <w:tcBorders>
                    <w:tl2br w:val="nil"/>
                    <w:tr2bl w:val="nil"/>
                  </w:tcBorders>
                  <w:vAlign w:val="center"/>
                </w:tcPr>
                <w:p w14:paraId="4D4757BC">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执行标准（mg/m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w:t>
                  </w:r>
                </w:p>
              </w:tc>
            </w:tr>
            <w:tr w14:paraId="46BD7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574" w:type="pct"/>
                  <w:tcBorders>
                    <w:tl2br w:val="nil"/>
                    <w:tr2bl w:val="nil"/>
                  </w:tcBorders>
                  <w:vAlign w:val="center"/>
                </w:tcPr>
                <w:p w14:paraId="09C2D016">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废水</w:t>
                  </w:r>
                </w:p>
              </w:tc>
              <w:tc>
                <w:tcPr>
                  <w:tcW w:w="1288" w:type="pct"/>
                  <w:tcBorders>
                    <w:tl2br w:val="nil"/>
                    <w:tr2bl w:val="nil"/>
                  </w:tcBorders>
                  <w:vAlign w:val="center"/>
                </w:tcPr>
                <w:p w14:paraId="7CD225D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废水总排口</w:t>
                  </w:r>
                </w:p>
              </w:tc>
              <w:tc>
                <w:tcPr>
                  <w:tcW w:w="1311" w:type="pct"/>
                  <w:tcBorders>
                    <w:tl2br w:val="nil"/>
                    <w:tr2bl w:val="nil"/>
                  </w:tcBorders>
                  <w:vAlign w:val="center"/>
                </w:tcPr>
                <w:p w14:paraId="250200C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pH、COD、BOD</w:t>
                  </w:r>
                  <w:r>
                    <w:rPr>
                      <w:rFonts w:hint="default" w:ascii="Times New Roman" w:hAnsi="Times New Roman" w:cs="Times New Roman"/>
                      <w:bCs/>
                      <w:color w:val="auto"/>
                      <w:szCs w:val="21"/>
                      <w:highlight w:val="none"/>
                      <w:vertAlign w:val="subscript"/>
                    </w:rPr>
                    <w:t>5</w:t>
                  </w:r>
                  <w:r>
                    <w:rPr>
                      <w:rFonts w:hint="default" w:ascii="Times New Roman" w:hAnsi="Times New Roman" w:cs="Times New Roman"/>
                      <w:bCs/>
                      <w:color w:val="auto"/>
                      <w:szCs w:val="21"/>
                      <w:highlight w:val="none"/>
                    </w:rPr>
                    <w:t>、SS、</w:t>
                  </w: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tc>
              <w:tc>
                <w:tcPr>
                  <w:tcW w:w="540" w:type="pct"/>
                  <w:tcBorders>
                    <w:tl2br w:val="nil"/>
                    <w:tr2bl w:val="nil"/>
                  </w:tcBorders>
                  <w:vAlign w:val="center"/>
                </w:tcPr>
                <w:p w14:paraId="58E5506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1次/半年</w:t>
                  </w:r>
                </w:p>
              </w:tc>
              <w:tc>
                <w:tcPr>
                  <w:tcW w:w="1285" w:type="pct"/>
                  <w:tcBorders>
                    <w:tl2br w:val="nil"/>
                    <w:tr2bl w:val="nil"/>
                  </w:tcBorders>
                  <w:vAlign w:val="center"/>
                </w:tcPr>
                <w:p w14:paraId="70494A8A">
                  <w:pPr>
                    <w:adjustRightInd w:val="0"/>
                    <w:snapToGrid w:val="0"/>
                    <w:jc w:val="center"/>
                    <w:rPr>
                      <w:rFonts w:hint="default" w:ascii="Times New Roman" w:hAnsi="Times New Roman" w:cs="Times New Roman"/>
                      <w:bCs/>
                      <w:color w:val="auto"/>
                      <w:szCs w:val="21"/>
                      <w:highlight w:val="none"/>
                    </w:rPr>
                  </w:pPr>
                  <w:r>
                    <w:rPr>
                      <w:rFonts w:hint="eastAsia" w:cs="Times New Roman"/>
                      <w:bCs/>
                      <w:color w:val="auto"/>
                      <w:szCs w:val="21"/>
                      <w:highlight w:val="none"/>
                      <w:lang w:eastAsia="zh-CN"/>
                    </w:rPr>
                    <w:t>淮南现代产业园污水处理站</w:t>
                  </w:r>
                  <w:r>
                    <w:rPr>
                      <w:rFonts w:hint="default" w:ascii="Times New Roman" w:hAnsi="Times New Roman" w:cs="Times New Roman"/>
                      <w:bCs/>
                      <w:color w:val="auto"/>
                      <w:szCs w:val="21"/>
                      <w:highlight w:val="none"/>
                    </w:rPr>
                    <w:t>接管标准</w:t>
                  </w:r>
                </w:p>
              </w:tc>
            </w:tr>
          </w:tbl>
          <w:p w14:paraId="4521CF9C">
            <w:pPr>
              <w:pStyle w:val="15"/>
              <w:rPr>
                <w:rFonts w:hint="eastAsia" w:ascii="Times New Roman" w:hAnsi="Times New Roman" w:cs="Times New Roman"/>
                <w:bCs/>
                <w:color w:val="auto"/>
                <w:sz w:val="24"/>
                <w:highlight w:val="none"/>
                <w:lang w:eastAsia="zh-CN"/>
              </w:rPr>
            </w:pPr>
          </w:p>
          <w:p w14:paraId="244623CC">
            <w:pPr>
              <w:pStyle w:val="2"/>
              <w:rPr>
                <w:rFonts w:hint="eastAsia" w:ascii="Times New Roman" w:hAnsi="Times New Roman" w:cs="Times New Roman"/>
                <w:bCs/>
                <w:color w:val="auto"/>
                <w:sz w:val="24"/>
                <w:highlight w:val="none"/>
                <w:lang w:eastAsia="zh-CN"/>
              </w:rPr>
            </w:pPr>
          </w:p>
          <w:p w14:paraId="1C089DC8">
            <w:pPr>
              <w:rPr>
                <w:rFonts w:hint="eastAsia" w:ascii="Times New Roman" w:hAnsi="Times New Roman" w:cs="Times New Roman"/>
                <w:bCs/>
                <w:color w:val="auto"/>
                <w:sz w:val="24"/>
                <w:highlight w:val="none"/>
                <w:lang w:eastAsia="zh-CN"/>
              </w:rPr>
            </w:pPr>
          </w:p>
          <w:p w14:paraId="1400EED7">
            <w:pPr>
              <w:pStyle w:val="15"/>
              <w:rPr>
                <w:rFonts w:hint="eastAsia" w:ascii="Times New Roman" w:hAnsi="Times New Roman" w:cs="Times New Roman"/>
                <w:bCs/>
                <w:color w:val="auto"/>
                <w:sz w:val="24"/>
                <w:highlight w:val="none"/>
                <w:lang w:eastAsia="zh-CN"/>
              </w:rPr>
            </w:pPr>
          </w:p>
          <w:p w14:paraId="71BC35D1">
            <w:pPr>
              <w:pStyle w:val="2"/>
              <w:rPr>
                <w:rFonts w:hint="eastAsia" w:ascii="Times New Roman" w:hAnsi="Times New Roman" w:cs="Times New Roman"/>
                <w:bCs/>
                <w:color w:val="auto"/>
                <w:sz w:val="24"/>
                <w:highlight w:val="none"/>
                <w:lang w:eastAsia="zh-CN"/>
              </w:rPr>
            </w:pPr>
          </w:p>
          <w:p w14:paraId="3FB4181C">
            <w:pPr>
              <w:rPr>
                <w:rFonts w:hint="eastAsia" w:ascii="Times New Roman" w:hAnsi="Times New Roman" w:cs="Times New Roman"/>
                <w:bCs/>
                <w:color w:val="auto"/>
                <w:sz w:val="24"/>
                <w:highlight w:val="none"/>
                <w:lang w:eastAsia="zh-CN"/>
              </w:rPr>
            </w:pPr>
          </w:p>
          <w:p w14:paraId="3F5E213A">
            <w:pPr>
              <w:pStyle w:val="15"/>
              <w:rPr>
                <w:rFonts w:hint="eastAsia" w:ascii="Times New Roman" w:hAnsi="Times New Roman" w:cs="Times New Roman"/>
                <w:bCs/>
                <w:color w:val="auto"/>
                <w:sz w:val="24"/>
                <w:highlight w:val="none"/>
                <w:lang w:eastAsia="zh-CN"/>
              </w:rPr>
            </w:pPr>
          </w:p>
          <w:p w14:paraId="0CFB7382">
            <w:pPr>
              <w:pStyle w:val="2"/>
              <w:rPr>
                <w:rFonts w:hint="eastAsia" w:ascii="Times New Roman" w:hAnsi="Times New Roman" w:cs="Times New Roman"/>
                <w:bCs/>
                <w:color w:val="auto"/>
                <w:sz w:val="24"/>
                <w:highlight w:val="none"/>
                <w:lang w:eastAsia="zh-CN"/>
              </w:rPr>
            </w:pPr>
          </w:p>
          <w:p w14:paraId="2A92A88B">
            <w:pPr>
              <w:rPr>
                <w:rFonts w:hint="eastAsia" w:ascii="Times New Roman" w:hAnsi="Times New Roman" w:cs="Times New Roman"/>
                <w:bCs/>
                <w:color w:val="auto"/>
                <w:sz w:val="24"/>
                <w:highlight w:val="none"/>
                <w:lang w:eastAsia="zh-CN"/>
              </w:rPr>
            </w:pPr>
          </w:p>
          <w:p w14:paraId="334FDAC7">
            <w:pPr>
              <w:pStyle w:val="15"/>
              <w:rPr>
                <w:rFonts w:hint="eastAsia" w:ascii="Times New Roman" w:hAnsi="Times New Roman" w:cs="Times New Roman"/>
                <w:bCs/>
                <w:color w:val="auto"/>
                <w:sz w:val="24"/>
                <w:highlight w:val="none"/>
                <w:lang w:eastAsia="zh-CN"/>
              </w:rPr>
            </w:pPr>
          </w:p>
          <w:p w14:paraId="2CCBAA3B">
            <w:pPr>
              <w:pStyle w:val="2"/>
              <w:rPr>
                <w:rFonts w:hint="eastAsia" w:ascii="Times New Roman" w:hAnsi="Times New Roman" w:cs="Times New Roman"/>
                <w:bCs/>
                <w:color w:val="auto"/>
                <w:sz w:val="24"/>
                <w:highlight w:val="none"/>
                <w:lang w:eastAsia="zh-CN"/>
              </w:rPr>
            </w:pPr>
          </w:p>
          <w:p w14:paraId="5BA0CD58">
            <w:pPr>
              <w:rPr>
                <w:rFonts w:hint="eastAsia"/>
                <w:color w:val="auto"/>
                <w:highlight w:val="none"/>
                <w:lang w:eastAsia="zh-CN"/>
              </w:rPr>
            </w:pPr>
          </w:p>
        </w:tc>
      </w:tr>
    </w:tbl>
    <w:p w14:paraId="4A0DF29C">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351D6636">
      <w:pPr>
        <w:widowControl/>
        <w:jc w:val="left"/>
        <w:rPr>
          <w:rFonts w:hint="default" w:ascii="Times New Roman" w:hAnsi="Times New Roman" w:cs="Times New Roman"/>
          <w:color w:val="auto"/>
          <w:highlight w:val="none"/>
        </w:rPr>
        <w:sectPr>
          <w:pgSz w:w="11906" w:h="16838"/>
          <w:pgMar w:top="1440" w:right="1418" w:bottom="1440" w:left="1418"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2960"/>
      </w:tblGrid>
      <w:tr w14:paraId="22EB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88D5FDC">
            <w:pPr>
              <w:widowControl/>
              <w:jc w:val="left"/>
              <w:rPr>
                <w:rFonts w:hint="default" w:ascii="Times New Roman" w:hAnsi="Times New Roman" w:cs="Times New Roman"/>
                <w:color w:val="auto"/>
                <w:highlight w:val="none"/>
              </w:rPr>
            </w:pPr>
          </w:p>
        </w:tc>
        <w:tc>
          <w:tcPr>
            <w:tcW w:w="12960" w:type="dxa"/>
          </w:tcPr>
          <w:p w14:paraId="6F46B586">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三、运营期噪声环境影响和保护措施</w:t>
            </w:r>
          </w:p>
          <w:p w14:paraId="06AEBAD6">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1、噪声源强</w:t>
            </w:r>
          </w:p>
          <w:p w14:paraId="78425F9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color w:val="auto"/>
                <w:kern w:val="0"/>
                <w:sz w:val="24"/>
                <w:highlight w:val="none"/>
              </w:rPr>
            </w:pPr>
            <w:r>
              <w:rPr>
                <w:rFonts w:hint="default" w:ascii="Times New Roman" w:hAnsi="Times New Roman" w:cs="Times New Roman"/>
                <w:color w:val="auto"/>
                <w:sz w:val="24"/>
                <w:highlight w:val="none"/>
              </w:rPr>
              <w:t>项目主要产噪设备为生产设备、风机等，主要噪声源强见下表。</w:t>
            </w:r>
          </w:p>
          <w:p w14:paraId="255AC288">
            <w:pPr>
              <w:pStyle w:val="34"/>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 w:val="24"/>
                <w:szCs w:val="24"/>
                <w:highlight w:val="none"/>
              </w:rPr>
              <w:t>表4-1</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 xml:space="preserve">  项目营运期主要噪声源源强清单（室外声源）</w:t>
            </w:r>
          </w:p>
          <w:tbl>
            <w:tblPr>
              <w:tblStyle w:val="25"/>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381"/>
              <w:gridCol w:w="940"/>
              <w:gridCol w:w="1223"/>
              <w:gridCol w:w="1445"/>
              <w:gridCol w:w="1429"/>
              <w:gridCol w:w="1857"/>
              <w:gridCol w:w="2082"/>
              <w:gridCol w:w="1618"/>
            </w:tblGrid>
            <w:tr w14:paraId="389DD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96" w:type="pct"/>
                  <w:vMerge w:val="restart"/>
                  <w:tcBorders>
                    <w:tl2br w:val="nil"/>
                    <w:tr2bl w:val="nil"/>
                  </w:tcBorders>
                  <w:vAlign w:val="center"/>
                </w:tcPr>
                <w:p w14:paraId="25E5B3C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542" w:type="pct"/>
                  <w:vMerge w:val="restart"/>
                  <w:tcBorders>
                    <w:tl2br w:val="nil"/>
                    <w:tr2bl w:val="nil"/>
                  </w:tcBorders>
                  <w:vAlign w:val="center"/>
                </w:tcPr>
                <w:p w14:paraId="782D862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声源名称</w:t>
                  </w:r>
                </w:p>
              </w:tc>
              <w:tc>
                <w:tcPr>
                  <w:tcW w:w="369" w:type="pct"/>
                  <w:vMerge w:val="restart"/>
                  <w:tcBorders>
                    <w:tl2br w:val="nil"/>
                    <w:tr2bl w:val="nil"/>
                  </w:tcBorders>
                  <w:vAlign w:val="center"/>
                </w:tcPr>
                <w:p w14:paraId="0580188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数量(台/套)</w:t>
                  </w:r>
                </w:p>
              </w:tc>
              <w:tc>
                <w:tcPr>
                  <w:tcW w:w="1608" w:type="pct"/>
                  <w:gridSpan w:val="3"/>
                  <w:tcBorders>
                    <w:tl2br w:val="nil"/>
                    <w:tr2bl w:val="nil"/>
                  </w:tcBorders>
                  <w:vAlign w:val="center"/>
                </w:tcPr>
                <w:p w14:paraId="1E39B9D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空间相对位置/m</w:t>
                  </w:r>
                </w:p>
              </w:tc>
              <w:tc>
                <w:tcPr>
                  <w:tcW w:w="729" w:type="pct"/>
                  <w:vMerge w:val="restart"/>
                  <w:tcBorders>
                    <w:tl2br w:val="nil"/>
                    <w:tr2bl w:val="nil"/>
                  </w:tcBorders>
                  <w:vAlign w:val="center"/>
                </w:tcPr>
                <w:p w14:paraId="279BACA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声压级（dB（A）/1m）</w:t>
                  </w:r>
                </w:p>
              </w:tc>
              <w:tc>
                <w:tcPr>
                  <w:tcW w:w="817" w:type="pct"/>
                  <w:vMerge w:val="restart"/>
                  <w:tcBorders>
                    <w:tl2br w:val="nil"/>
                    <w:tr2bl w:val="nil"/>
                  </w:tcBorders>
                  <w:vAlign w:val="center"/>
                </w:tcPr>
                <w:p w14:paraId="1A3A341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声源控制措施</w:t>
                  </w:r>
                </w:p>
              </w:tc>
              <w:tc>
                <w:tcPr>
                  <w:tcW w:w="635" w:type="pct"/>
                  <w:vMerge w:val="restart"/>
                  <w:tcBorders>
                    <w:tl2br w:val="nil"/>
                    <w:tr2bl w:val="nil"/>
                  </w:tcBorders>
                  <w:vAlign w:val="center"/>
                </w:tcPr>
                <w:p w14:paraId="45ED388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运行时段</w:t>
                  </w:r>
                </w:p>
              </w:tc>
            </w:tr>
            <w:tr w14:paraId="488DC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96" w:type="pct"/>
                  <w:vMerge w:val="continue"/>
                  <w:tcBorders>
                    <w:tl2br w:val="nil"/>
                    <w:tr2bl w:val="nil"/>
                  </w:tcBorders>
                  <w:vAlign w:val="center"/>
                </w:tcPr>
                <w:p w14:paraId="197A37F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542" w:type="pct"/>
                  <w:vMerge w:val="continue"/>
                  <w:tcBorders>
                    <w:tl2br w:val="nil"/>
                    <w:tr2bl w:val="nil"/>
                  </w:tcBorders>
                  <w:vAlign w:val="center"/>
                </w:tcPr>
                <w:p w14:paraId="00C3031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369" w:type="pct"/>
                  <w:vMerge w:val="continue"/>
                  <w:tcBorders>
                    <w:tl2br w:val="nil"/>
                    <w:tr2bl w:val="nil"/>
                  </w:tcBorders>
                  <w:vAlign w:val="center"/>
                </w:tcPr>
                <w:p w14:paraId="545A277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480" w:type="pct"/>
                  <w:tcBorders>
                    <w:tl2br w:val="nil"/>
                    <w:tr2bl w:val="nil"/>
                  </w:tcBorders>
                  <w:vAlign w:val="center"/>
                </w:tcPr>
                <w:p w14:paraId="21A94DE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X</w:t>
                  </w:r>
                </w:p>
              </w:tc>
              <w:tc>
                <w:tcPr>
                  <w:tcW w:w="567" w:type="pct"/>
                  <w:tcBorders>
                    <w:tl2br w:val="nil"/>
                    <w:tr2bl w:val="nil"/>
                  </w:tcBorders>
                  <w:vAlign w:val="center"/>
                </w:tcPr>
                <w:p w14:paraId="771EB9B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w:t>
                  </w:r>
                </w:p>
              </w:tc>
              <w:tc>
                <w:tcPr>
                  <w:tcW w:w="561" w:type="pct"/>
                  <w:tcBorders>
                    <w:tl2br w:val="nil"/>
                    <w:tr2bl w:val="nil"/>
                  </w:tcBorders>
                  <w:vAlign w:val="center"/>
                </w:tcPr>
                <w:p w14:paraId="70C8562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w:t>
                  </w:r>
                </w:p>
              </w:tc>
              <w:tc>
                <w:tcPr>
                  <w:tcW w:w="729" w:type="pct"/>
                  <w:vMerge w:val="continue"/>
                  <w:tcBorders>
                    <w:tl2br w:val="nil"/>
                    <w:tr2bl w:val="nil"/>
                  </w:tcBorders>
                  <w:vAlign w:val="center"/>
                </w:tcPr>
                <w:p w14:paraId="509F30B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817" w:type="pct"/>
                  <w:vMerge w:val="continue"/>
                  <w:tcBorders>
                    <w:tl2br w:val="nil"/>
                    <w:tr2bl w:val="nil"/>
                  </w:tcBorders>
                  <w:vAlign w:val="center"/>
                </w:tcPr>
                <w:p w14:paraId="061C24F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635" w:type="pct"/>
                  <w:vMerge w:val="continue"/>
                  <w:tcBorders>
                    <w:tl2br w:val="nil"/>
                    <w:tr2bl w:val="nil"/>
                  </w:tcBorders>
                  <w:vAlign w:val="center"/>
                </w:tcPr>
                <w:p w14:paraId="00C2B45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r>
            <w:tr w14:paraId="524B7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96" w:type="pct"/>
                  <w:tcBorders>
                    <w:tl2br w:val="nil"/>
                    <w:tr2bl w:val="nil"/>
                  </w:tcBorders>
                  <w:vAlign w:val="center"/>
                </w:tcPr>
                <w:p w14:paraId="027311D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p>
              </w:tc>
              <w:tc>
                <w:tcPr>
                  <w:tcW w:w="542" w:type="pct"/>
                  <w:tcBorders>
                    <w:tl2br w:val="nil"/>
                    <w:tr2bl w:val="nil"/>
                  </w:tcBorders>
                  <w:vAlign w:val="center"/>
                </w:tcPr>
                <w:p w14:paraId="1380194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风机</w:t>
                  </w:r>
                </w:p>
              </w:tc>
              <w:tc>
                <w:tcPr>
                  <w:tcW w:w="369" w:type="pct"/>
                  <w:tcBorders>
                    <w:tl2br w:val="nil"/>
                    <w:tr2bl w:val="nil"/>
                  </w:tcBorders>
                  <w:vAlign w:val="center"/>
                </w:tcPr>
                <w:p w14:paraId="3455BCA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1</w:t>
                  </w:r>
                </w:p>
              </w:tc>
              <w:tc>
                <w:tcPr>
                  <w:tcW w:w="480" w:type="pct"/>
                  <w:tcBorders>
                    <w:tl2br w:val="nil"/>
                    <w:tr2bl w:val="nil"/>
                  </w:tcBorders>
                  <w:vAlign w:val="center"/>
                </w:tcPr>
                <w:p w14:paraId="5832AAE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-30</w:t>
                  </w:r>
                </w:p>
              </w:tc>
              <w:tc>
                <w:tcPr>
                  <w:tcW w:w="567" w:type="pct"/>
                  <w:tcBorders>
                    <w:tl2br w:val="nil"/>
                    <w:tr2bl w:val="nil"/>
                  </w:tcBorders>
                  <w:vAlign w:val="center"/>
                </w:tcPr>
                <w:p w14:paraId="2AD268A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0</w:t>
                  </w:r>
                </w:p>
              </w:tc>
              <w:tc>
                <w:tcPr>
                  <w:tcW w:w="561" w:type="pct"/>
                  <w:tcBorders>
                    <w:tl2br w:val="nil"/>
                    <w:tr2bl w:val="nil"/>
                  </w:tcBorders>
                  <w:vAlign w:val="center"/>
                </w:tcPr>
                <w:p w14:paraId="6504E21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p>
              </w:tc>
              <w:tc>
                <w:tcPr>
                  <w:tcW w:w="729" w:type="pct"/>
                  <w:tcBorders>
                    <w:tl2br w:val="nil"/>
                    <w:tr2bl w:val="nil"/>
                  </w:tcBorders>
                  <w:vAlign w:val="center"/>
                </w:tcPr>
                <w:p w14:paraId="0762AB5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85</w:t>
                  </w:r>
                </w:p>
              </w:tc>
              <w:tc>
                <w:tcPr>
                  <w:tcW w:w="817" w:type="pct"/>
                  <w:tcBorders>
                    <w:tl2br w:val="nil"/>
                    <w:tr2bl w:val="nil"/>
                  </w:tcBorders>
                  <w:vAlign w:val="center"/>
                </w:tcPr>
                <w:p w14:paraId="6F54867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进风口设置消声器</w:t>
                  </w:r>
                </w:p>
              </w:tc>
              <w:tc>
                <w:tcPr>
                  <w:tcW w:w="635" w:type="pct"/>
                  <w:tcBorders>
                    <w:tl2br w:val="nil"/>
                    <w:tr2bl w:val="nil"/>
                  </w:tcBorders>
                  <w:vAlign w:val="center"/>
                </w:tcPr>
                <w:p w14:paraId="18B77D3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08:00-16:00</w:t>
                  </w:r>
                </w:p>
              </w:tc>
            </w:tr>
          </w:tbl>
          <w:p w14:paraId="3A710E6B">
            <w:pPr>
              <w:pStyle w:val="34"/>
              <w:spacing w:line="240" w:lineRule="auto"/>
              <w:rPr>
                <w:rFonts w:hint="default" w:ascii="Times New Roman" w:hAnsi="Times New Roman" w:cs="Times New Roman"/>
                <w:color w:val="auto"/>
                <w:sz w:val="24"/>
                <w:szCs w:val="24"/>
                <w:highlight w:val="none"/>
              </w:rPr>
            </w:pPr>
          </w:p>
          <w:p w14:paraId="00F132C8">
            <w:pPr>
              <w:pStyle w:val="34"/>
              <w:spacing w:line="24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表4-1</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 xml:space="preserve"> 项目营运期主要噪声源源强清单（室内声源）</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878"/>
              <w:gridCol w:w="1274"/>
              <w:gridCol w:w="1167"/>
              <w:gridCol w:w="1496"/>
              <w:gridCol w:w="1078"/>
              <w:gridCol w:w="818"/>
              <w:gridCol w:w="795"/>
              <w:gridCol w:w="696"/>
              <w:gridCol w:w="1223"/>
              <w:gridCol w:w="1055"/>
              <w:gridCol w:w="1615"/>
            </w:tblGrid>
            <w:tr w14:paraId="33542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53" w:type="pct"/>
                  <w:vMerge w:val="restart"/>
                  <w:tcBorders>
                    <w:tl2br w:val="nil"/>
                    <w:tr2bl w:val="nil"/>
                  </w:tcBorders>
                  <w:vAlign w:val="center"/>
                </w:tcPr>
                <w:p w14:paraId="4035C37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345" w:type="pct"/>
                  <w:vMerge w:val="restart"/>
                  <w:tcBorders>
                    <w:tl2br w:val="nil"/>
                    <w:tr2bl w:val="nil"/>
                  </w:tcBorders>
                  <w:vAlign w:val="center"/>
                </w:tcPr>
                <w:p w14:paraId="6998E83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建筑物名称</w:t>
                  </w:r>
                </w:p>
              </w:tc>
              <w:tc>
                <w:tcPr>
                  <w:tcW w:w="500" w:type="pct"/>
                  <w:vMerge w:val="restart"/>
                  <w:tcBorders>
                    <w:tl2br w:val="nil"/>
                    <w:tr2bl w:val="nil"/>
                  </w:tcBorders>
                  <w:vAlign w:val="center"/>
                </w:tcPr>
                <w:p w14:paraId="2A11D44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声源名称</w:t>
                  </w:r>
                </w:p>
              </w:tc>
              <w:tc>
                <w:tcPr>
                  <w:tcW w:w="458" w:type="pct"/>
                  <w:vMerge w:val="restart"/>
                  <w:tcBorders>
                    <w:tl2br w:val="nil"/>
                    <w:tr2bl w:val="nil"/>
                  </w:tcBorders>
                  <w:vAlign w:val="center"/>
                </w:tcPr>
                <w:p w14:paraId="0908C3F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数量(台)</w:t>
                  </w:r>
                </w:p>
              </w:tc>
              <w:tc>
                <w:tcPr>
                  <w:tcW w:w="587" w:type="pct"/>
                  <w:vMerge w:val="restart"/>
                  <w:tcBorders>
                    <w:tl2br w:val="nil"/>
                    <w:tr2bl w:val="nil"/>
                  </w:tcBorders>
                  <w:vAlign w:val="center"/>
                </w:tcPr>
                <w:p w14:paraId="30539CD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声源源强（声压级（dB（A））/1m）</w:t>
                  </w:r>
                </w:p>
              </w:tc>
              <w:tc>
                <w:tcPr>
                  <w:tcW w:w="423" w:type="pct"/>
                  <w:vMerge w:val="restart"/>
                  <w:tcBorders>
                    <w:tl2br w:val="nil"/>
                    <w:tr2bl w:val="nil"/>
                  </w:tcBorders>
                  <w:vAlign w:val="center"/>
                </w:tcPr>
                <w:p w14:paraId="12B505C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声源控制措施</w:t>
                  </w:r>
                </w:p>
              </w:tc>
              <w:tc>
                <w:tcPr>
                  <w:tcW w:w="906" w:type="pct"/>
                  <w:gridSpan w:val="3"/>
                  <w:tcBorders>
                    <w:tl2br w:val="nil"/>
                    <w:tr2bl w:val="nil"/>
                  </w:tcBorders>
                  <w:vAlign w:val="center"/>
                </w:tcPr>
                <w:p w14:paraId="45AC629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空间相对位置/m</w:t>
                  </w:r>
                </w:p>
              </w:tc>
              <w:tc>
                <w:tcPr>
                  <w:tcW w:w="480" w:type="pct"/>
                  <w:vMerge w:val="restart"/>
                  <w:tcBorders>
                    <w:tl2br w:val="nil"/>
                    <w:tr2bl w:val="nil"/>
                  </w:tcBorders>
                  <w:vAlign w:val="center"/>
                </w:tcPr>
                <w:p w14:paraId="014E070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距室内边界距离/m</w:t>
                  </w:r>
                </w:p>
              </w:tc>
              <w:tc>
                <w:tcPr>
                  <w:tcW w:w="414" w:type="pct"/>
                  <w:vMerge w:val="restart"/>
                  <w:tcBorders>
                    <w:tl2br w:val="nil"/>
                    <w:tr2bl w:val="nil"/>
                  </w:tcBorders>
                  <w:vAlign w:val="center"/>
                </w:tcPr>
                <w:p w14:paraId="5A168A2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运行时段</w:t>
                  </w:r>
                </w:p>
              </w:tc>
              <w:tc>
                <w:tcPr>
                  <w:tcW w:w="631" w:type="pct"/>
                  <w:vMerge w:val="restart"/>
                  <w:tcBorders>
                    <w:tl2br w:val="nil"/>
                    <w:tr2bl w:val="nil"/>
                  </w:tcBorders>
                  <w:vAlign w:val="center"/>
                </w:tcPr>
                <w:p w14:paraId="2DBE34D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建筑插入损失/dB（A）</w:t>
                  </w:r>
                </w:p>
              </w:tc>
            </w:tr>
            <w:tr w14:paraId="41257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53" w:type="pct"/>
                  <w:vMerge w:val="continue"/>
                  <w:tcBorders>
                    <w:tl2br w:val="nil"/>
                    <w:tr2bl w:val="nil"/>
                  </w:tcBorders>
                  <w:vAlign w:val="center"/>
                </w:tcPr>
                <w:p w14:paraId="3E828DE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345" w:type="pct"/>
                  <w:vMerge w:val="continue"/>
                  <w:tcBorders>
                    <w:tl2br w:val="nil"/>
                    <w:tr2bl w:val="nil"/>
                  </w:tcBorders>
                  <w:vAlign w:val="center"/>
                </w:tcPr>
                <w:p w14:paraId="3189EAD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500" w:type="pct"/>
                  <w:vMerge w:val="continue"/>
                  <w:tcBorders>
                    <w:tl2br w:val="nil"/>
                    <w:tr2bl w:val="nil"/>
                  </w:tcBorders>
                  <w:vAlign w:val="center"/>
                </w:tcPr>
                <w:p w14:paraId="130449B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458" w:type="pct"/>
                  <w:vMerge w:val="continue"/>
                  <w:tcBorders>
                    <w:tl2br w:val="nil"/>
                    <w:tr2bl w:val="nil"/>
                  </w:tcBorders>
                  <w:vAlign w:val="center"/>
                </w:tcPr>
                <w:p w14:paraId="268C25F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587" w:type="pct"/>
                  <w:vMerge w:val="continue"/>
                  <w:tcBorders>
                    <w:tl2br w:val="nil"/>
                    <w:tr2bl w:val="nil"/>
                  </w:tcBorders>
                  <w:vAlign w:val="center"/>
                </w:tcPr>
                <w:p w14:paraId="6998D7E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423" w:type="pct"/>
                  <w:vMerge w:val="continue"/>
                  <w:tcBorders>
                    <w:tl2br w:val="nil"/>
                    <w:tr2bl w:val="nil"/>
                  </w:tcBorders>
                  <w:vAlign w:val="center"/>
                </w:tcPr>
                <w:p w14:paraId="279ED59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321" w:type="pct"/>
                  <w:tcBorders>
                    <w:tl2br w:val="nil"/>
                    <w:tr2bl w:val="nil"/>
                  </w:tcBorders>
                  <w:vAlign w:val="center"/>
                </w:tcPr>
                <w:p w14:paraId="1373D4B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X</w:t>
                  </w:r>
                </w:p>
              </w:tc>
              <w:tc>
                <w:tcPr>
                  <w:tcW w:w="312" w:type="pct"/>
                  <w:tcBorders>
                    <w:tl2br w:val="nil"/>
                    <w:tr2bl w:val="nil"/>
                  </w:tcBorders>
                  <w:vAlign w:val="center"/>
                </w:tcPr>
                <w:p w14:paraId="5DB3934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w:t>
                  </w:r>
                </w:p>
              </w:tc>
              <w:tc>
                <w:tcPr>
                  <w:tcW w:w="273" w:type="pct"/>
                  <w:tcBorders>
                    <w:tl2br w:val="nil"/>
                    <w:tr2bl w:val="nil"/>
                  </w:tcBorders>
                  <w:vAlign w:val="center"/>
                </w:tcPr>
                <w:p w14:paraId="4D25996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w:t>
                  </w:r>
                </w:p>
              </w:tc>
              <w:tc>
                <w:tcPr>
                  <w:tcW w:w="480" w:type="pct"/>
                  <w:vMerge w:val="continue"/>
                  <w:tcBorders>
                    <w:tl2br w:val="nil"/>
                    <w:tr2bl w:val="nil"/>
                  </w:tcBorders>
                  <w:vAlign w:val="center"/>
                </w:tcPr>
                <w:p w14:paraId="367AEE5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414" w:type="pct"/>
                  <w:vMerge w:val="continue"/>
                  <w:tcBorders>
                    <w:tl2br w:val="nil"/>
                    <w:tr2bl w:val="nil"/>
                  </w:tcBorders>
                  <w:vAlign w:val="center"/>
                </w:tcPr>
                <w:p w14:paraId="0CC4B73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c>
                <w:tcPr>
                  <w:tcW w:w="631" w:type="pct"/>
                  <w:vMerge w:val="continue"/>
                  <w:tcBorders>
                    <w:tl2br w:val="nil"/>
                    <w:tr2bl w:val="nil"/>
                  </w:tcBorders>
                  <w:vAlign w:val="center"/>
                </w:tcPr>
                <w:p w14:paraId="71B47E7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 w:val="21"/>
                      <w:szCs w:val="21"/>
                      <w:highlight w:val="none"/>
                    </w:rPr>
                  </w:pPr>
                </w:p>
              </w:tc>
            </w:tr>
            <w:tr w14:paraId="6BD70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tcBorders>
                    <w:tl2br w:val="nil"/>
                    <w:tr2bl w:val="nil"/>
                  </w:tcBorders>
                  <w:shd w:val="clear" w:color="auto" w:fill="auto"/>
                  <w:vAlign w:val="center"/>
                </w:tcPr>
                <w:p w14:paraId="327699E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w:t>
                  </w:r>
                </w:p>
              </w:tc>
              <w:tc>
                <w:tcPr>
                  <w:tcW w:w="345" w:type="pct"/>
                  <w:vMerge w:val="restart"/>
                  <w:tcBorders>
                    <w:tl2br w:val="nil"/>
                    <w:tr2bl w:val="nil"/>
                  </w:tcBorders>
                  <w:vAlign w:val="center"/>
                </w:tcPr>
                <w:p w14:paraId="27B20BC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val="0"/>
                      <w:color w:val="auto"/>
                      <w:spacing w:val="-10"/>
                      <w:sz w:val="21"/>
                      <w:szCs w:val="21"/>
                      <w:highlight w:val="none"/>
                    </w:rPr>
                    <w:t>生产车间</w:t>
                  </w:r>
                </w:p>
              </w:tc>
              <w:tc>
                <w:tcPr>
                  <w:tcW w:w="500" w:type="pct"/>
                  <w:tcBorders>
                    <w:tl2br w:val="nil"/>
                    <w:tr2bl w:val="nil"/>
                  </w:tcBorders>
                  <w:shd w:val="clear" w:color="auto" w:fill="auto"/>
                  <w:vAlign w:val="center"/>
                </w:tcPr>
                <w:p w14:paraId="55044126">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color w:val="auto"/>
                      <w:sz w:val="21"/>
                      <w:szCs w:val="21"/>
                      <w:highlight w:val="none"/>
                      <w:lang w:val="en-US" w:eastAsia="zh-CN"/>
                    </w:rPr>
                    <w:t>玻璃上片台</w:t>
                  </w:r>
                </w:p>
              </w:tc>
              <w:tc>
                <w:tcPr>
                  <w:tcW w:w="458" w:type="pct"/>
                  <w:tcBorders>
                    <w:tl2br w:val="nil"/>
                    <w:tr2bl w:val="nil"/>
                  </w:tcBorders>
                  <w:shd w:val="clear" w:color="auto" w:fill="auto"/>
                  <w:vAlign w:val="center"/>
                </w:tcPr>
                <w:p w14:paraId="79523229">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2</w:t>
                  </w:r>
                </w:p>
              </w:tc>
              <w:tc>
                <w:tcPr>
                  <w:tcW w:w="587" w:type="pct"/>
                  <w:tcBorders>
                    <w:tl2br w:val="nil"/>
                    <w:tr2bl w:val="nil"/>
                  </w:tcBorders>
                  <w:vAlign w:val="center"/>
                </w:tcPr>
                <w:p w14:paraId="18690C9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75~85</w:t>
                  </w:r>
                </w:p>
              </w:tc>
              <w:tc>
                <w:tcPr>
                  <w:tcW w:w="423" w:type="pct"/>
                  <w:vMerge w:val="restart"/>
                  <w:tcBorders>
                    <w:tl2br w:val="nil"/>
                    <w:tr2bl w:val="nil"/>
                  </w:tcBorders>
                  <w:vAlign w:val="center"/>
                </w:tcPr>
                <w:p w14:paraId="5B6F8E4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val="0"/>
                      <w:color w:val="auto"/>
                      <w:spacing w:val="-10"/>
                      <w:sz w:val="21"/>
                      <w:szCs w:val="21"/>
                      <w:highlight w:val="none"/>
                    </w:rPr>
                    <w:t>厂房内生产设备选用低噪声设备，加装基础减振垫，厂房隔声</w:t>
                  </w:r>
                </w:p>
              </w:tc>
              <w:tc>
                <w:tcPr>
                  <w:tcW w:w="321" w:type="pct"/>
                  <w:tcBorders>
                    <w:tl2br w:val="nil"/>
                    <w:tr2bl w:val="nil"/>
                  </w:tcBorders>
                  <w:vAlign w:val="center"/>
                </w:tcPr>
                <w:p w14:paraId="352308F9">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81</w:t>
                  </w:r>
                </w:p>
              </w:tc>
              <w:tc>
                <w:tcPr>
                  <w:tcW w:w="312" w:type="pct"/>
                  <w:tcBorders>
                    <w:tl2br w:val="nil"/>
                    <w:tr2bl w:val="nil"/>
                  </w:tcBorders>
                  <w:vAlign w:val="center"/>
                </w:tcPr>
                <w:p w14:paraId="723FD00B">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273" w:type="pct"/>
                  <w:tcBorders>
                    <w:tl2br w:val="nil"/>
                    <w:tr2bl w:val="nil"/>
                  </w:tcBorders>
                  <w:vAlign w:val="center"/>
                </w:tcPr>
                <w:p w14:paraId="7F26DEB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4AB3C72F">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5</w:t>
                  </w:r>
                </w:p>
              </w:tc>
              <w:tc>
                <w:tcPr>
                  <w:tcW w:w="414" w:type="pct"/>
                  <w:vMerge w:val="restart"/>
                  <w:tcBorders>
                    <w:tl2br w:val="nil"/>
                    <w:tr2bl w:val="nil"/>
                  </w:tcBorders>
                  <w:vAlign w:val="center"/>
                </w:tcPr>
                <w:p w14:paraId="3AC0926F">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color w:val="auto"/>
                      <w:sz w:val="21"/>
                      <w:szCs w:val="21"/>
                      <w:highlight w:val="none"/>
                    </w:rPr>
                    <w:t>昼间</w:t>
                  </w:r>
                </w:p>
              </w:tc>
              <w:tc>
                <w:tcPr>
                  <w:tcW w:w="631" w:type="pct"/>
                  <w:tcBorders>
                    <w:tl2br w:val="nil"/>
                    <w:tr2bl w:val="nil"/>
                  </w:tcBorders>
                  <w:vAlign w:val="center"/>
                </w:tcPr>
                <w:p w14:paraId="5DFC39D8">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20</w:t>
                  </w:r>
                </w:p>
              </w:tc>
            </w:tr>
            <w:tr w14:paraId="40A69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tcBorders>
                    <w:tl2br w:val="nil"/>
                    <w:tr2bl w:val="nil"/>
                  </w:tcBorders>
                  <w:shd w:val="clear" w:color="auto" w:fill="auto"/>
                  <w:vAlign w:val="center"/>
                </w:tcPr>
                <w:p w14:paraId="06117AA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w:t>
                  </w:r>
                </w:p>
              </w:tc>
              <w:tc>
                <w:tcPr>
                  <w:tcW w:w="345" w:type="pct"/>
                  <w:vMerge w:val="continue"/>
                  <w:tcBorders>
                    <w:tl2br w:val="nil"/>
                    <w:tr2bl w:val="nil"/>
                  </w:tcBorders>
                  <w:vAlign w:val="center"/>
                </w:tcPr>
                <w:p w14:paraId="3F41F4E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cs="Times New Roman"/>
                      <w:b w:val="0"/>
                      <w:bCs w:val="0"/>
                      <w:color w:val="auto"/>
                      <w:spacing w:val="-10"/>
                      <w:sz w:val="21"/>
                      <w:szCs w:val="21"/>
                      <w:highlight w:val="none"/>
                    </w:rPr>
                  </w:pPr>
                </w:p>
              </w:tc>
              <w:tc>
                <w:tcPr>
                  <w:tcW w:w="500" w:type="pct"/>
                  <w:tcBorders>
                    <w:tl2br w:val="nil"/>
                    <w:tr2bl w:val="nil"/>
                  </w:tcBorders>
                  <w:shd w:val="clear" w:color="auto" w:fill="auto"/>
                  <w:vAlign w:val="center"/>
                </w:tcPr>
                <w:p w14:paraId="05FAEE9C">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color w:val="auto"/>
                      <w:sz w:val="21"/>
                      <w:szCs w:val="21"/>
                      <w:highlight w:val="none"/>
                      <w:lang w:val="en-US" w:eastAsia="zh-CN"/>
                    </w:rPr>
                    <w:t>玻璃下片台</w:t>
                  </w:r>
                </w:p>
              </w:tc>
              <w:tc>
                <w:tcPr>
                  <w:tcW w:w="458" w:type="pct"/>
                  <w:tcBorders>
                    <w:tl2br w:val="nil"/>
                    <w:tr2bl w:val="nil"/>
                  </w:tcBorders>
                  <w:shd w:val="clear" w:color="auto" w:fill="auto"/>
                  <w:vAlign w:val="center"/>
                </w:tcPr>
                <w:p w14:paraId="61DDA4A9">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2</w:t>
                  </w:r>
                </w:p>
              </w:tc>
              <w:tc>
                <w:tcPr>
                  <w:tcW w:w="587" w:type="pct"/>
                  <w:tcBorders>
                    <w:tl2br w:val="nil"/>
                    <w:tr2bl w:val="nil"/>
                  </w:tcBorders>
                  <w:vAlign w:val="center"/>
                </w:tcPr>
                <w:p w14:paraId="27D1A7C5">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75~85</w:t>
                  </w:r>
                </w:p>
              </w:tc>
              <w:tc>
                <w:tcPr>
                  <w:tcW w:w="423" w:type="pct"/>
                  <w:vMerge w:val="continue"/>
                  <w:tcBorders>
                    <w:tl2br w:val="nil"/>
                    <w:tr2bl w:val="nil"/>
                  </w:tcBorders>
                  <w:vAlign w:val="center"/>
                </w:tcPr>
                <w:p w14:paraId="6D8481A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val="0"/>
                      <w:color w:val="auto"/>
                      <w:spacing w:val="-10"/>
                      <w:sz w:val="21"/>
                      <w:szCs w:val="21"/>
                      <w:highlight w:val="none"/>
                    </w:rPr>
                  </w:pPr>
                </w:p>
              </w:tc>
              <w:tc>
                <w:tcPr>
                  <w:tcW w:w="321" w:type="pct"/>
                  <w:tcBorders>
                    <w:tl2br w:val="nil"/>
                    <w:tr2bl w:val="nil"/>
                  </w:tcBorders>
                  <w:vAlign w:val="center"/>
                </w:tcPr>
                <w:p w14:paraId="2B74B5E3">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81</w:t>
                  </w:r>
                </w:p>
              </w:tc>
              <w:tc>
                <w:tcPr>
                  <w:tcW w:w="312" w:type="pct"/>
                  <w:tcBorders>
                    <w:tl2br w:val="nil"/>
                    <w:tr2bl w:val="nil"/>
                  </w:tcBorders>
                  <w:vAlign w:val="center"/>
                </w:tcPr>
                <w:p w14:paraId="6C883C2F">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273" w:type="pct"/>
                  <w:tcBorders>
                    <w:tl2br w:val="nil"/>
                    <w:tr2bl w:val="nil"/>
                  </w:tcBorders>
                  <w:vAlign w:val="center"/>
                </w:tcPr>
                <w:p w14:paraId="1BBA095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037FA0FA">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5</w:t>
                  </w:r>
                </w:p>
              </w:tc>
              <w:tc>
                <w:tcPr>
                  <w:tcW w:w="414" w:type="pct"/>
                  <w:vMerge w:val="continue"/>
                  <w:tcBorders>
                    <w:tl2br w:val="nil"/>
                    <w:tr2bl w:val="nil"/>
                  </w:tcBorders>
                  <w:vAlign w:val="center"/>
                </w:tcPr>
                <w:p w14:paraId="36A8E112">
                  <w:pPr>
                    <w:adjustRightInd w:val="0"/>
                    <w:snapToGrid w:val="0"/>
                    <w:jc w:val="center"/>
                    <w:rPr>
                      <w:rFonts w:hint="default" w:ascii="Times New Roman" w:hAnsi="Times New Roman" w:cs="Times New Roman"/>
                      <w:color w:val="auto"/>
                      <w:sz w:val="21"/>
                      <w:szCs w:val="21"/>
                      <w:highlight w:val="none"/>
                    </w:rPr>
                  </w:pPr>
                </w:p>
              </w:tc>
              <w:tc>
                <w:tcPr>
                  <w:tcW w:w="631" w:type="pct"/>
                  <w:tcBorders>
                    <w:tl2br w:val="nil"/>
                    <w:tr2bl w:val="nil"/>
                  </w:tcBorders>
                  <w:vAlign w:val="center"/>
                </w:tcPr>
                <w:p w14:paraId="101DA92F">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20</w:t>
                  </w:r>
                </w:p>
              </w:tc>
            </w:tr>
            <w:tr w14:paraId="7903C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tcBorders>
                    <w:tl2br w:val="nil"/>
                    <w:tr2bl w:val="nil"/>
                  </w:tcBorders>
                  <w:shd w:val="clear" w:color="auto" w:fill="auto"/>
                  <w:vAlign w:val="center"/>
                </w:tcPr>
                <w:p w14:paraId="5651D51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w:t>
                  </w:r>
                </w:p>
              </w:tc>
              <w:tc>
                <w:tcPr>
                  <w:tcW w:w="345" w:type="pct"/>
                  <w:vMerge w:val="continue"/>
                  <w:tcBorders>
                    <w:tl2br w:val="nil"/>
                    <w:tr2bl w:val="nil"/>
                  </w:tcBorders>
                  <w:vAlign w:val="center"/>
                </w:tcPr>
                <w:p w14:paraId="1C67DAE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574473DA">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玻璃切割机</w:t>
                  </w:r>
                </w:p>
              </w:tc>
              <w:tc>
                <w:tcPr>
                  <w:tcW w:w="458" w:type="pct"/>
                  <w:tcBorders>
                    <w:tl2br w:val="nil"/>
                    <w:tr2bl w:val="nil"/>
                  </w:tcBorders>
                  <w:shd w:val="clear" w:color="auto" w:fill="auto"/>
                  <w:vAlign w:val="center"/>
                </w:tcPr>
                <w:p w14:paraId="781D6009">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19FA446A">
                  <w:pPr>
                    <w:keepNext w:val="0"/>
                    <w:keepLines w:val="0"/>
                    <w:widowControl/>
                    <w:suppressLineNumbers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75~85</w:t>
                  </w:r>
                </w:p>
              </w:tc>
              <w:tc>
                <w:tcPr>
                  <w:tcW w:w="423" w:type="pct"/>
                  <w:vMerge w:val="continue"/>
                  <w:tcBorders>
                    <w:tl2br w:val="nil"/>
                    <w:tr2bl w:val="nil"/>
                  </w:tcBorders>
                  <w:vAlign w:val="center"/>
                </w:tcPr>
                <w:p w14:paraId="311F55D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1A2C45CA">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81</w:t>
                  </w:r>
                </w:p>
              </w:tc>
              <w:tc>
                <w:tcPr>
                  <w:tcW w:w="312" w:type="pct"/>
                  <w:tcBorders>
                    <w:tl2br w:val="nil"/>
                    <w:tr2bl w:val="nil"/>
                  </w:tcBorders>
                  <w:vAlign w:val="center"/>
                </w:tcPr>
                <w:p w14:paraId="2F7E0A76">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30</w:t>
                  </w:r>
                </w:p>
              </w:tc>
              <w:tc>
                <w:tcPr>
                  <w:tcW w:w="273" w:type="pct"/>
                  <w:tcBorders>
                    <w:tl2br w:val="nil"/>
                    <w:tr2bl w:val="nil"/>
                  </w:tcBorders>
                  <w:vAlign w:val="center"/>
                </w:tcPr>
                <w:p w14:paraId="11640D9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466905BC">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5</w:t>
                  </w:r>
                </w:p>
              </w:tc>
              <w:tc>
                <w:tcPr>
                  <w:tcW w:w="414" w:type="pct"/>
                  <w:vMerge w:val="continue"/>
                  <w:tcBorders>
                    <w:tl2br w:val="nil"/>
                    <w:tr2bl w:val="nil"/>
                  </w:tcBorders>
                  <w:vAlign w:val="center"/>
                </w:tcPr>
                <w:p w14:paraId="1AB89A43">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3702BCEE">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20</w:t>
                  </w:r>
                </w:p>
              </w:tc>
            </w:tr>
            <w:tr w14:paraId="335B9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shd w:val="clear" w:color="auto" w:fill="auto"/>
                  <w:vAlign w:val="center"/>
                </w:tcPr>
                <w:p w14:paraId="20D628E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4</w:t>
                  </w:r>
                </w:p>
              </w:tc>
              <w:tc>
                <w:tcPr>
                  <w:tcW w:w="345" w:type="pct"/>
                  <w:vMerge w:val="continue"/>
                  <w:tcBorders>
                    <w:tl2br w:val="nil"/>
                    <w:tr2bl w:val="nil"/>
                  </w:tcBorders>
                  <w:vAlign w:val="center"/>
                </w:tcPr>
                <w:p w14:paraId="52EBF24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40BA1E6D">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掰片台</w:t>
                  </w:r>
                </w:p>
              </w:tc>
              <w:tc>
                <w:tcPr>
                  <w:tcW w:w="458" w:type="pct"/>
                  <w:tcBorders>
                    <w:tl2br w:val="nil"/>
                    <w:tr2bl w:val="nil"/>
                  </w:tcBorders>
                  <w:shd w:val="clear" w:color="auto" w:fill="auto"/>
                  <w:vAlign w:val="center"/>
                </w:tcPr>
                <w:p w14:paraId="3F2E21E0">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67D665E4">
                  <w:pPr>
                    <w:keepNext w:val="0"/>
                    <w:keepLines w:val="0"/>
                    <w:widowControl/>
                    <w:suppressLineNumbers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70~80</w:t>
                  </w:r>
                </w:p>
              </w:tc>
              <w:tc>
                <w:tcPr>
                  <w:tcW w:w="423" w:type="pct"/>
                  <w:vMerge w:val="continue"/>
                  <w:tcBorders>
                    <w:tl2br w:val="nil"/>
                    <w:tr2bl w:val="nil"/>
                  </w:tcBorders>
                  <w:vAlign w:val="center"/>
                </w:tcPr>
                <w:p w14:paraId="270FBBA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219F2873">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81</w:t>
                  </w:r>
                </w:p>
              </w:tc>
              <w:tc>
                <w:tcPr>
                  <w:tcW w:w="312" w:type="pct"/>
                  <w:tcBorders>
                    <w:tl2br w:val="nil"/>
                    <w:tr2bl w:val="nil"/>
                  </w:tcBorders>
                  <w:vAlign w:val="center"/>
                </w:tcPr>
                <w:p w14:paraId="71DF8663">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30</w:t>
                  </w:r>
                </w:p>
              </w:tc>
              <w:tc>
                <w:tcPr>
                  <w:tcW w:w="273" w:type="pct"/>
                  <w:tcBorders>
                    <w:tl2br w:val="nil"/>
                    <w:tr2bl w:val="nil"/>
                  </w:tcBorders>
                  <w:vAlign w:val="center"/>
                </w:tcPr>
                <w:p w14:paraId="2733702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7B62B9D2">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6</w:t>
                  </w:r>
                </w:p>
              </w:tc>
              <w:tc>
                <w:tcPr>
                  <w:tcW w:w="414" w:type="pct"/>
                  <w:vMerge w:val="continue"/>
                  <w:tcBorders>
                    <w:tl2br w:val="nil"/>
                    <w:tr2bl w:val="nil"/>
                  </w:tcBorders>
                  <w:vAlign w:val="center"/>
                </w:tcPr>
                <w:p w14:paraId="5C49C273">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14B5A307">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20</w:t>
                  </w:r>
                </w:p>
              </w:tc>
            </w:tr>
            <w:tr w14:paraId="1FE9F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shd w:val="clear" w:color="auto" w:fill="auto"/>
                  <w:vAlign w:val="center"/>
                </w:tcPr>
                <w:p w14:paraId="055B76F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5</w:t>
                  </w:r>
                </w:p>
              </w:tc>
              <w:tc>
                <w:tcPr>
                  <w:tcW w:w="345" w:type="pct"/>
                  <w:vMerge w:val="continue"/>
                  <w:tcBorders>
                    <w:tl2br w:val="nil"/>
                    <w:tr2bl w:val="nil"/>
                  </w:tcBorders>
                  <w:vAlign w:val="center"/>
                </w:tcPr>
                <w:p w14:paraId="4791ED6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4DEEB6F7">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color w:val="auto"/>
                      <w:sz w:val="21"/>
                      <w:szCs w:val="21"/>
                      <w:highlight w:val="none"/>
                      <w:lang w:val="en-US" w:eastAsia="zh-CN"/>
                    </w:rPr>
                    <w:t>过渡台</w:t>
                  </w:r>
                </w:p>
              </w:tc>
              <w:tc>
                <w:tcPr>
                  <w:tcW w:w="458" w:type="pct"/>
                  <w:tcBorders>
                    <w:tl2br w:val="nil"/>
                    <w:tr2bl w:val="nil"/>
                  </w:tcBorders>
                  <w:shd w:val="clear" w:color="auto" w:fill="auto"/>
                  <w:vAlign w:val="center"/>
                </w:tcPr>
                <w:p w14:paraId="4F466884">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2</w:t>
                  </w:r>
                </w:p>
              </w:tc>
              <w:tc>
                <w:tcPr>
                  <w:tcW w:w="587" w:type="pct"/>
                  <w:tcBorders>
                    <w:tl2br w:val="nil"/>
                    <w:tr2bl w:val="nil"/>
                  </w:tcBorders>
                  <w:vAlign w:val="center"/>
                </w:tcPr>
                <w:p w14:paraId="30710B5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70~80</w:t>
                  </w:r>
                </w:p>
              </w:tc>
              <w:tc>
                <w:tcPr>
                  <w:tcW w:w="423" w:type="pct"/>
                  <w:vMerge w:val="continue"/>
                  <w:tcBorders>
                    <w:tl2br w:val="nil"/>
                    <w:tr2bl w:val="nil"/>
                  </w:tcBorders>
                  <w:vAlign w:val="center"/>
                </w:tcPr>
                <w:p w14:paraId="1D4E65D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27ACBC45">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82</w:t>
                  </w:r>
                </w:p>
              </w:tc>
              <w:tc>
                <w:tcPr>
                  <w:tcW w:w="312" w:type="pct"/>
                  <w:tcBorders>
                    <w:tl2br w:val="nil"/>
                    <w:tr2bl w:val="nil"/>
                  </w:tcBorders>
                  <w:vAlign w:val="center"/>
                </w:tcPr>
                <w:p w14:paraId="24C34ED9">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30</w:t>
                  </w:r>
                </w:p>
              </w:tc>
              <w:tc>
                <w:tcPr>
                  <w:tcW w:w="273" w:type="pct"/>
                  <w:tcBorders>
                    <w:tl2br w:val="nil"/>
                    <w:tr2bl w:val="nil"/>
                  </w:tcBorders>
                  <w:vAlign w:val="center"/>
                </w:tcPr>
                <w:p w14:paraId="424D9B4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639A01C4">
                  <w:pPr>
                    <w:adjustRightInd w:val="0"/>
                    <w:snapToGrid w:val="0"/>
                    <w:jc w:val="center"/>
                    <w:rPr>
                      <w:rFonts w:hint="default" w:ascii="Times New Roman" w:hAnsi="Times New Roman" w:eastAsia="宋体" w:cs="Times New Roman"/>
                      <w:bCs/>
                      <w:color w:val="auto"/>
                      <w:spacing w:val="-10"/>
                      <w:sz w:val="21"/>
                      <w:szCs w:val="21"/>
                      <w:highlight w:val="none"/>
                      <w:lang w:val="en-US" w:eastAsia="zh-CN"/>
                    </w:rPr>
                  </w:pPr>
                  <w:r>
                    <w:rPr>
                      <w:rFonts w:hint="default" w:ascii="Times New Roman" w:hAnsi="Times New Roman" w:cs="Times New Roman"/>
                      <w:bCs/>
                      <w:color w:val="auto"/>
                      <w:spacing w:val="-10"/>
                      <w:sz w:val="21"/>
                      <w:szCs w:val="21"/>
                      <w:highlight w:val="none"/>
                      <w:lang w:val="en-US" w:eastAsia="zh-CN"/>
                    </w:rPr>
                    <w:t>6</w:t>
                  </w:r>
                </w:p>
              </w:tc>
              <w:tc>
                <w:tcPr>
                  <w:tcW w:w="414" w:type="pct"/>
                  <w:vMerge w:val="continue"/>
                  <w:tcBorders>
                    <w:tl2br w:val="nil"/>
                    <w:tr2bl w:val="nil"/>
                  </w:tcBorders>
                  <w:vAlign w:val="center"/>
                </w:tcPr>
                <w:p w14:paraId="5C95850A">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40B63076">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20</w:t>
                  </w:r>
                </w:p>
              </w:tc>
            </w:tr>
            <w:tr w14:paraId="655C8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shd w:val="clear" w:color="auto" w:fill="auto"/>
                  <w:vAlign w:val="center"/>
                </w:tcPr>
                <w:p w14:paraId="5CD1055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6</w:t>
                  </w:r>
                </w:p>
              </w:tc>
              <w:tc>
                <w:tcPr>
                  <w:tcW w:w="345" w:type="pct"/>
                  <w:vMerge w:val="continue"/>
                  <w:tcBorders>
                    <w:tl2br w:val="nil"/>
                    <w:tr2bl w:val="nil"/>
                  </w:tcBorders>
                  <w:vAlign w:val="center"/>
                </w:tcPr>
                <w:p w14:paraId="59C682E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2F994092">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双边磨</w:t>
                  </w:r>
                </w:p>
              </w:tc>
              <w:tc>
                <w:tcPr>
                  <w:tcW w:w="458" w:type="pct"/>
                  <w:tcBorders>
                    <w:tl2br w:val="nil"/>
                    <w:tr2bl w:val="nil"/>
                  </w:tcBorders>
                  <w:shd w:val="clear" w:color="auto" w:fill="auto"/>
                  <w:vAlign w:val="center"/>
                </w:tcPr>
                <w:p w14:paraId="254EFAA8">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61F2BBCC">
                  <w:pPr>
                    <w:keepNext w:val="0"/>
                    <w:keepLines w:val="0"/>
                    <w:widowControl/>
                    <w:suppressLineNumbers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70~80</w:t>
                  </w:r>
                </w:p>
              </w:tc>
              <w:tc>
                <w:tcPr>
                  <w:tcW w:w="423" w:type="pct"/>
                  <w:vMerge w:val="continue"/>
                  <w:tcBorders>
                    <w:tl2br w:val="nil"/>
                    <w:tr2bl w:val="nil"/>
                  </w:tcBorders>
                  <w:vAlign w:val="center"/>
                </w:tcPr>
                <w:p w14:paraId="381B66D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0E45F964">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83</w:t>
                  </w:r>
                </w:p>
              </w:tc>
              <w:tc>
                <w:tcPr>
                  <w:tcW w:w="312" w:type="pct"/>
                  <w:tcBorders>
                    <w:tl2br w:val="nil"/>
                    <w:tr2bl w:val="nil"/>
                  </w:tcBorders>
                  <w:vAlign w:val="center"/>
                </w:tcPr>
                <w:p w14:paraId="2D7D2149">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30</w:t>
                  </w:r>
                </w:p>
              </w:tc>
              <w:tc>
                <w:tcPr>
                  <w:tcW w:w="273" w:type="pct"/>
                  <w:tcBorders>
                    <w:tl2br w:val="nil"/>
                    <w:tr2bl w:val="nil"/>
                  </w:tcBorders>
                  <w:vAlign w:val="center"/>
                </w:tcPr>
                <w:p w14:paraId="3472AA9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2E0717C2">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6</w:t>
                  </w:r>
                </w:p>
              </w:tc>
              <w:tc>
                <w:tcPr>
                  <w:tcW w:w="414" w:type="pct"/>
                  <w:vMerge w:val="continue"/>
                  <w:tcBorders>
                    <w:tl2br w:val="nil"/>
                    <w:tr2bl w:val="nil"/>
                  </w:tcBorders>
                  <w:vAlign w:val="center"/>
                </w:tcPr>
                <w:p w14:paraId="3686B289">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687C071C">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20</w:t>
                  </w:r>
                </w:p>
              </w:tc>
            </w:tr>
            <w:tr w14:paraId="54217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shd w:val="clear" w:color="auto" w:fill="auto"/>
                  <w:vAlign w:val="center"/>
                </w:tcPr>
                <w:p w14:paraId="2A15F2C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7</w:t>
                  </w:r>
                </w:p>
              </w:tc>
              <w:tc>
                <w:tcPr>
                  <w:tcW w:w="345" w:type="pct"/>
                  <w:vMerge w:val="continue"/>
                  <w:tcBorders>
                    <w:tl2br w:val="nil"/>
                    <w:tr2bl w:val="nil"/>
                  </w:tcBorders>
                  <w:vAlign w:val="center"/>
                </w:tcPr>
                <w:p w14:paraId="270FFFE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2BDA316B">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四边磨</w:t>
                  </w:r>
                </w:p>
              </w:tc>
              <w:tc>
                <w:tcPr>
                  <w:tcW w:w="458" w:type="pct"/>
                  <w:tcBorders>
                    <w:tl2br w:val="nil"/>
                    <w:tr2bl w:val="nil"/>
                  </w:tcBorders>
                  <w:shd w:val="clear" w:color="auto" w:fill="auto"/>
                  <w:vAlign w:val="center"/>
                </w:tcPr>
                <w:p w14:paraId="6CA6952F">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2</w:t>
                  </w:r>
                </w:p>
              </w:tc>
              <w:tc>
                <w:tcPr>
                  <w:tcW w:w="587" w:type="pct"/>
                  <w:tcBorders>
                    <w:tl2br w:val="nil"/>
                    <w:tr2bl w:val="nil"/>
                  </w:tcBorders>
                  <w:vAlign w:val="center"/>
                </w:tcPr>
                <w:p w14:paraId="4DB61892">
                  <w:pPr>
                    <w:keepNext w:val="0"/>
                    <w:keepLines w:val="0"/>
                    <w:widowControl/>
                    <w:suppressLineNumbers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70~80</w:t>
                  </w:r>
                </w:p>
              </w:tc>
              <w:tc>
                <w:tcPr>
                  <w:tcW w:w="423" w:type="pct"/>
                  <w:vMerge w:val="continue"/>
                  <w:tcBorders>
                    <w:tl2br w:val="nil"/>
                    <w:tr2bl w:val="nil"/>
                  </w:tcBorders>
                  <w:vAlign w:val="center"/>
                </w:tcPr>
                <w:p w14:paraId="5DD9737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7A2FF25F">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82</w:t>
                  </w:r>
                </w:p>
              </w:tc>
              <w:tc>
                <w:tcPr>
                  <w:tcW w:w="312" w:type="pct"/>
                  <w:tcBorders>
                    <w:tl2br w:val="nil"/>
                    <w:tr2bl w:val="nil"/>
                  </w:tcBorders>
                  <w:vAlign w:val="center"/>
                </w:tcPr>
                <w:p w14:paraId="1C722BA9">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25</w:t>
                  </w:r>
                </w:p>
              </w:tc>
              <w:tc>
                <w:tcPr>
                  <w:tcW w:w="273" w:type="pct"/>
                  <w:tcBorders>
                    <w:tl2br w:val="nil"/>
                    <w:tr2bl w:val="nil"/>
                  </w:tcBorders>
                  <w:vAlign w:val="center"/>
                </w:tcPr>
                <w:p w14:paraId="6301C3B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55BD3A36">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8</w:t>
                  </w:r>
                </w:p>
              </w:tc>
              <w:tc>
                <w:tcPr>
                  <w:tcW w:w="414" w:type="pct"/>
                  <w:vMerge w:val="continue"/>
                  <w:tcBorders>
                    <w:tl2br w:val="nil"/>
                    <w:tr2bl w:val="nil"/>
                  </w:tcBorders>
                  <w:vAlign w:val="center"/>
                </w:tcPr>
                <w:p w14:paraId="5A3D61A8">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7FD8479D">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20</w:t>
                  </w:r>
                </w:p>
              </w:tc>
            </w:tr>
            <w:tr w14:paraId="64727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shd w:val="clear" w:color="auto" w:fill="auto"/>
                  <w:vAlign w:val="center"/>
                </w:tcPr>
                <w:p w14:paraId="21FC813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8</w:t>
                  </w:r>
                </w:p>
              </w:tc>
              <w:tc>
                <w:tcPr>
                  <w:tcW w:w="345" w:type="pct"/>
                  <w:vMerge w:val="continue"/>
                  <w:tcBorders>
                    <w:tl2br w:val="nil"/>
                    <w:tr2bl w:val="nil"/>
                  </w:tcBorders>
                  <w:vAlign w:val="center"/>
                </w:tcPr>
                <w:p w14:paraId="6EF59FC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5FFF60BF">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清洗机</w:t>
                  </w:r>
                </w:p>
              </w:tc>
              <w:tc>
                <w:tcPr>
                  <w:tcW w:w="458" w:type="pct"/>
                  <w:tcBorders>
                    <w:tl2br w:val="nil"/>
                    <w:tr2bl w:val="nil"/>
                  </w:tcBorders>
                  <w:shd w:val="clear" w:color="auto" w:fill="auto"/>
                  <w:vAlign w:val="center"/>
                </w:tcPr>
                <w:p w14:paraId="632F55ED">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2A005D6F">
                  <w:pPr>
                    <w:keepNext w:val="0"/>
                    <w:keepLines w:val="0"/>
                    <w:widowControl/>
                    <w:suppressLineNumbers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70~75</w:t>
                  </w:r>
                </w:p>
              </w:tc>
              <w:tc>
                <w:tcPr>
                  <w:tcW w:w="423" w:type="pct"/>
                  <w:vMerge w:val="continue"/>
                  <w:tcBorders>
                    <w:tl2br w:val="nil"/>
                    <w:tr2bl w:val="nil"/>
                  </w:tcBorders>
                  <w:vAlign w:val="center"/>
                </w:tcPr>
                <w:p w14:paraId="6B0D3A3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757F80CF">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80</w:t>
                  </w:r>
                </w:p>
              </w:tc>
              <w:tc>
                <w:tcPr>
                  <w:tcW w:w="312" w:type="pct"/>
                  <w:tcBorders>
                    <w:tl2br w:val="nil"/>
                    <w:tr2bl w:val="nil"/>
                  </w:tcBorders>
                  <w:vAlign w:val="center"/>
                </w:tcPr>
                <w:p w14:paraId="377D78D0">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25</w:t>
                  </w:r>
                </w:p>
              </w:tc>
              <w:tc>
                <w:tcPr>
                  <w:tcW w:w="273" w:type="pct"/>
                  <w:tcBorders>
                    <w:tl2br w:val="nil"/>
                    <w:tr2bl w:val="nil"/>
                  </w:tcBorders>
                  <w:vAlign w:val="center"/>
                </w:tcPr>
                <w:p w14:paraId="6390A7E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3F85B7FC">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5</w:t>
                  </w:r>
                </w:p>
              </w:tc>
              <w:tc>
                <w:tcPr>
                  <w:tcW w:w="414" w:type="pct"/>
                  <w:vMerge w:val="continue"/>
                  <w:tcBorders>
                    <w:tl2br w:val="nil"/>
                    <w:tr2bl w:val="nil"/>
                  </w:tcBorders>
                  <w:vAlign w:val="center"/>
                </w:tcPr>
                <w:p w14:paraId="2099A300">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410F0873">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20</w:t>
                  </w:r>
                </w:p>
              </w:tc>
            </w:tr>
            <w:tr w14:paraId="13DF8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shd w:val="clear" w:color="auto" w:fill="auto"/>
                  <w:vAlign w:val="center"/>
                </w:tcPr>
                <w:p w14:paraId="156C35C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9</w:t>
                  </w:r>
                </w:p>
              </w:tc>
              <w:tc>
                <w:tcPr>
                  <w:tcW w:w="345" w:type="pct"/>
                  <w:vMerge w:val="continue"/>
                  <w:tcBorders>
                    <w:tl2br w:val="nil"/>
                    <w:tr2bl w:val="nil"/>
                  </w:tcBorders>
                  <w:vAlign w:val="center"/>
                </w:tcPr>
                <w:p w14:paraId="7357946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01E59C26">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旋转台</w:t>
                  </w:r>
                </w:p>
              </w:tc>
              <w:tc>
                <w:tcPr>
                  <w:tcW w:w="458" w:type="pct"/>
                  <w:tcBorders>
                    <w:tl2br w:val="nil"/>
                    <w:tr2bl w:val="nil"/>
                  </w:tcBorders>
                  <w:shd w:val="clear" w:color="auto" w:fill="auto"/>
                  <w:vAlign w:val="center"/>
                </w:tcPr>
                <w:p w14:paraId="60A4182C">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2</w:t>
                  </w:r>
                </w:p>
              </w:tc>
              <w:tc>
                <w:tcPr>
                  <w:tcW w:w="587" w:type="pct"/>
                  <w:tcBorders>
                    <w:tl2br w:val="nil"/>
                    <w:tr2bl w:val="nil"/>
                  </w:tcBorders>
                  <w:vAlign w:val="center"/>
                </w:tcPr>
                <w:p w14:paraId="12403CF0">
                  <w:pPr>
                    <w:keepNext w:val="0"/>
                    <w:keepLines w:val="0"/>
                    <w:widowControl/>
                    <w:suppressLineNumbers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70~75</w:t>
                  </w:r>
                </w:p>
              </w:tc>
              <w:tc>
                <w:tcPr>
                  <w:tcW w:w="423" w:type="pct"/>
                  <w:vMerge w:val="continue"/>
                  <w:tcBorders>
                    <w:tl2br w:val="nil"/>
                    <w:tr2bl w:val="nil"/>
                  </w:tcBorders>
                  <w:vAlign w:val="center"/>
                </w:tcPr>
                <w:p w14:paraId="456E6B5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38191CF5">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80</w:t>
                  </w:r>
                </w:p>
              </w:tc>
              <w:tc>
                <w:tcPr>
                  <w:tcW w:w="312" w:type="pct"/>
                  <w:tcBorders>
                    <w:tl2br w:val="nil"/>
                    <w:tr2bl w:val="nil"/>
                  </w:tcBorders>
                  <w:vAlign w:val="center"/>
                </w:tcPr>
                <w:p w14:paraId="3678C4DC">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25</w:t>
                  </w:r>
                </w:p>
              </w:tc>
              <w:tc>
                <w:tcPr>
                  <w:tcW w:w="273" w:type="pct"/>
                  <w:tcBorders>
                    <w:tl2br w:val="nil"/>
                    <w:tr2bl w:val="nil"/>
                  </w:tcBorders>
                  <w:vAlign w:val="center"/>
                </w:tcPr>
                <w:p w14:paraId="52250E4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72A28CC4">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5</w:t>
                  </w:r>
                </w:p>
              </w:tc>
              <w:tc>
                <w:tcPr>
                  <w:tcW w:w="414" w:type="pct"/>
                  <w:vMerge w:val="continue"/>
                  <w:tcBorders>
                    <w:tl2br w:val="nil"/>
                    <w:tr2bl w:val="nil"/>
                  </w:tcBorders>
                  <w:vAlign w:val="center"/>
                </w:tcPr>
                <w:p w14:paraId="391B679A">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6B623FD5">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20</w:t>
                  </w:r>
                </w:p>
              </w:tc>
            </w:tr>
            <w:tr w14:paraId="612C3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shd w:val="clear" w:color="auto" w:fill="auto"/>
                  <w:vAlign w:val="center"/>
                </w:tcPr>
                <w:p w14:paraId="0205EDD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10</w:t>
                  </w:r>
                </w:p>
              </w:tc>
              <w:tc>
                <w:tcPr>
                  <w:tcW w:w="345" w:type="pct"/>
                  <w:vMerge w:val="continue"/>
                  <w:tcBorders>
                    <w:tl2br w:val="nil"/>
                    <w:tr2bl w:val="nil"/>
                  </w:tcBorders>
                  <w:vAlign w:val="center"/>
                </w:tcPr>
                <w:p w14:paraId="38810B7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49A0E7D0">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钢化炉</w:t>
                  </w:r>
                </w:p>
              </w:tc>
              <w:tc>
                <w:tcPr>
                  <w:tcW w:w="458" w:type="pct"/>
                  <w:tcBorders>
                    <w:tl2br w:val="nil"/>
                    <w:tr2bl w:val="nil"/>
                  </w:tcBorders>
                  <w:shd w:val="clear" w:color="auto" w:fill="auto"/>
                  <w:vAlign w:val="center"/>
                </w:tcPr>
                <w:p w14:paraId="3CE9E769">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745F809B">
                  <w:pPr>
                    <w:keepNext w:val="0"/>
                    <w:keepLines w:val="0"/>
                    <w:widowControl/>
                    <w:suppressLineNumbers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75~80</w:t>
                  </w:r>
                </w:p>
              </w:tc>
              <w:tc>
                <w:tcPr>
                  <w:tcW w:w="423" w:type="pct"/>
                  <w:vMerge w:val="continue"/>
                  <w:tcBorders>
                    <w:tl2br w:val="nil"/>
                    <w:tr2bl w:val="nil"/>
                  </w:tcBorders>
                  <w:vAlign w:val="center"/>
                </w:tcPr>
                <w:p w14:paraId="0ED5B5D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37AECD5B">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96</w:t>
                  </w:r>
                </w:p>
              </w:tc>
              <w:tc>
                <w:tcPr>
                  <w:tcW w:w="312" w:type="pct"/>
                  <w:tcBorders>
                    <w:tl2br w:val="nil"/>
                    <w:tr2bl w:val="nil"/>
                  </w:tcBorders>
                  <w:vAlign w:val="center"/>
                </w:tcPr>
                <w:p w14:paraId="4808EF61">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10</w:t>
                  </w:r>
                </w:p>
              </w:tc>
              <w:tc>
                <w:tcPr>
                  <w:tcW w:w="273" w:type="pct"/>
                  <w:tcBorders>
                    <w:tl2br w:val="nil"/>
                    <w:tr2bl w:val="nil"/>
                  </w:tcBorders>
                  <w:vAlign w:val="center"/>
                </w:tcPr>
                <w:p w14:paraId="19D4357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7D146FF8">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10</w:t>
                  </w:r>
                </w:p>
              </w:tc>
              <w:tc>
                <w:tcPr>
                  <w:tcW w:w="414" w:type="pct"/>
                  <w:vMerge w:val="continue"/>
                  <w:tcBorders>
                    <w:tl2br w:val="nil"/>
                    <w:tr2bl w:val="nil"/>
                  </w:tcBorders>
                  <w:vAlign w:val="center"/>
                </w:tcPr>
                <w:p w14:paraId="09AB6872">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0FD2A5F3">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20</w:t>
                  </w:r>
                </w:p>
              </w:tc>
            </w:tr>
            <w:tr w14:paraId="32C49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vAlign w:val="center"/>
                </w:tcPr>
                <w:p w14:paraId="7894BB8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w:t>
                  </w:r>
                </w:p>
              </w:tc>
              <w:tc>
                <w:tcPr>
                  <w:tcW w:w="345" w:type="pct"/>
                  <w:vMerge w:val="continue"/>
                  <w:tcBorders>
                    <w:tl2br w:val="nil"/>
                    <w:tr2bl w:val="nil"/>
                  </w:tcBorders>
                  <w:vAlign w:val="center"/>
                </w:tcPr>
                <w:p w14:paraId="7CEAF8C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5D5759FD">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铝条折弯机</w:t>
                  </w:r>
                </w:p>
              </w:tc>
              <w:tc>
                <w:tcPr>
                  <w:tcW w:w="458" w:type="pct"/>
                  <w:tcBorders>
                    <w:tl2br w:val="nil"/>
                    <w:tr2bl w:val="nil"/>
                  </w:tcBorders>
                  <w:shd w:val="clear" w:color="auto" w:fill="auto"/>
                  <w:vAlign w:val="center"/>
                </w:tcPr>
                <w:p w14:paraId="7B241B71">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333DCAC4">
                  <w:pPr>
                    <w:keepNext w:val="0"/>
                    <w:keepLines w:val="0"/>
                    <w:widowControl/>
                    <w:suppressLineNumbers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70~75</w:t>
                  </w:r>
                </w:p>
              </w:tc>
              <w:tc>
                <w:tcPr>
                  <w:tcW w:w="423" w:type="pct"/>
                  <w:vMerge w:val="continue"/>
                  <w:tcBorders>
                    <w:tl2br w:val="nil"/>
                    <w:tr2bl w:val="nil"/>
                  </w:tcBorders>
                  <w:vAlign w:val="center"/>
                </w:tcPr>
                <w:p w14:paraId="64989FD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4E38BE64">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71</w:t>
                  </w:r>
                </w:p>
              </w:tc>
              <w:tc>
                <w:tcPr>
                  <w:tcW w:w="312" w:type="pct"/>
                  <w:tcBorders>
                    <w:tl2br w:val="nil"/>
                    <w:tr2bl w:val="nil"/>
                  </w:tcBorders>
                  <w:vAlign w:val="center"/>
                </w:tcPr>
                <w:p w14:paraId="71ECE083">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cs="Times New Roman"/>
                      <w:b w:val="0"/>
                      <w:bCs/>
                      <w:color w:val="auto"/>
                      <w:sz w:val="21"/>
                      <w:szCs w:val="21"/>
                      <w:highlight w:val="none"/>
                      <w:lang w:val="en-US"/>
                    </w:rPr>
                  </w:pPr>
                  <w:r>
                    <w:rPr>
                      <w:rFonts w:hint="default" w:ascii="Times New Roman" w:hAnsi="Times New Roman" w:cs="Times New Roman"/>
                      <w:i w:val="0"/>
                      <w:color w:val="auto"/>
                      <w:kern w:val="0"/>
                      <w:sz w:val="21"/>
                      <w:szCs w:val="21"/>
                      <w:highlight w:val="none"/>
                      <w:u w:val="none"/>
                      <w:lang w:val="en-US" w:eastAsia="zh-CN" w:bidi="ar"/>
                    </w:rPr>
                    <w:t>10</w:t>
                  </w:r>
                </w:p>
              </w:tc>
              <w:tc>
                <w:tcPr>
                  <w:tcW w:w="273" w:type="pct"/>
                  <w:tcBorders>
                    <w:tl2br w:val="nil"/>
                    <w:tr2bl w:val="nil"/>
                  </w:tcBorders>
                  <w:vAlign w:val="center"/>
                </w:tcPr>
                <w:p w14:paraId="276DE7C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3E62274B">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10</w:t>
                  </w:r>
                </w:p>
              </w:tc>
              <w:tc>
                <w:tcPr>
                  <w:tcW w:w="414" w:type="pct"/>
                  <w:vMerge w:val="continue"/>
                  <w:tcBorders>
                    <w:tl2br w:val="nil"/>
                    <w:tr2bl w:val="nil"/>
                  </w:tcBorders>
                  <w:vAlign w:val="center"/>
                </w:tcPr>
                <w:p w14:paraId="129A2635">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3EB88563">
                  <w:pPr>
                    <w:adjustRightInd w:val="0"/>
                    <w:snapToGrid w:val="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Cs/>
                      <w:color w:val="auto"/>
                      <w:spacing w:val="-10"/>
                      <w:sz w:val="21"/>
                      <w:szCs w:val="21"/>
                      <w:highlight w:val="none"/>
                    </w:rPr>
                    <w:t>20</w:t>
                  </w:r>
                </w:p>
              </w:tc>
            </w:tr>
            <w:tr w14:paraId="382FC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vAlign w:val="center"/>
                </w:tcPr>
                <w:p w14:paraId="7982C74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12</w:t>
                  </w:r>
                </w:p>
              </w:tc>
              <w:tc>
                <w:tcPr>
                  <w:tcW w:w="345" w:type="pct"/>
                  <w:vMerge w:val="continue"/>
                  <w:tcBorders>
                    <w:tl2br w:val="nil"/>
                    <w:tr2bl w:val="nil"/>
                  </w:tcBorders>
                  <w:vAlign w:val="center"/>
                </w:tcPr>
                <w:p w14:paraId="300D06F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0B484D38">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分子筛灌装机</w:t>
                  </w:r>
                </w:p>
              </w:tc>
              <w:tc>
                <w:tcPr>
                  <w:tcW w:w="458" w:type="pct"/>
                  <w:tcBorders>
                    <w:tl2br w:val="nil"/>
                    <w:tr2bl w:val="nil"/>
                  </w:tcBorders>
                  <w:shd w:val="clear" w:color="auto" w:fill="auto"/>
                  <w:vAlign w:val="center"/>
                </w:tcPr>
                <w:p w14:paraId="03CBAA60">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39C5A84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70~75</w:t>
                  </w:r>
                </w:p>
              </w:tc>
              <w:tc>
                <w:tcPr>
                  <w:tcW w:w="423" w:type="pct"/>
                  <w:vMerge w:val="continue"/>
                  <w:tcBorders>
                    <w:tl2br w:val="nil"/>
                    <w:tr2bl w:val="nil"/>
                  </w:tcBorders>
                  <w:vAlign w:val="center"/>
                </w:tcPr>
                <w:p w14:paraId="3EB8B5C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25E02E29">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71</w:t>
                  </w:r>
                </w:p>
              </w:tc>
              <w:tc>
                <w:tcPr>
                  <w:tcW w:w="312" w:type="pct"/>
                  <w:tcBorders>
                    <w:tl2br w:val="nil"/>
                    <w:tr2bl w:val="nil"/>
                  </w:tcBorders>
                  <w:vAlign w:val="center"/>
                </w:tcPr>
                <w:p w14:paraId="15F6BC4A">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73" w:type="pct"/>
                  <w:tcBorders>
                    <w:tl2br w:val="nil"/>
                    <w:tr2bl w:val="nil"/>
                  </w:tcBorders>
                  <w:vAlign w:val="center"/>
                </w:tcPr>
                <w:p w14:paraId="71601B6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71B4BB14">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10</w:t>
                  </w:r>
                </w:p>
              </w:tc>
              <w:tc>
                <w:tcPr>
                  <w:tcW w:w="414" w:type="pct"/>
                  <w:vMerge w:val="continue"/>
                  <w:tcBorders>
                    <w:tl2br w:val="nil"/>
                    <w:tr2bl w:val="nil"/>
                  </w:tcBorders>
                  <w:vAlign w:val="center"/>
                </w:tcPr>
                <w:p w14:paraId="717180FE">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5DE2664C">
                  <w:pPr>
                    <w:adjustRightInd w:val="0"/>
                    <w:snapToGrid w:val="0"/>
                    <w:jc w:val="center"/>
                    <w:rPr>
                      <w:rFonts w:hint="default" w:ascii="Times New Roman" w:hAnsi="Times New Roman" w:cs="Times New Roman"/>
                      <w:b/>
                      <w:bCs w:val="0"/>
                      <w:color w:val="auto"/>
                      <w:spacing w:val="-10"/>
                      <w:sz w:val="21"/>
                      <w:szCs w:val="21"/>
                      <w:highlight w:val="none"/>
                    </w:rPr>
                  </w:pPr>
                  <w:r>
                    <w:rPr>
                      <w:rFonts w:hint="default" w:ascii="Times New Roman" w:hAnsi="Times New Roman" w:cs="Times New Roman"/>
                      <w:bCs/>
                      <w:color w:val="auto"/>
                      <w:spacing w:val="-10"/>
                      <w:sz w:val="21"/>
                      <w:szCs w:val="21"/>
                      <w:highlight w:val="none"/>
                    </w:rPr>
                    <w:t>20</w:t>
                  </w:r>
                </w:p>
              </w:tc>
            </w:tr>
            <w:tr w14:paraId="125A9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vAlign w:val="center"/>
                </w:tcPr>
                <w:p w14:paraId="194C223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13</w:t>
                  </w:r>
                </w:p>
              </w:tc>
              <w:tc>
                <w:tcPr>
                  <w:tcW w:w="345" w:type="pct"/>
                  <w:vMerge w:val="continue"/>
                  <w:tcBorders>
                    <w:tl2br w:val="nil"/>
                    <w:tr2bl w:val="nil"/>
                  </w:tcBorders>
                  <w:vAlign w:val="center"/>
                </w:tcPr>
                <w:p w14:paraId="5C6DEBE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7E8E9EF5">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涂胶机</w:t>
                  </w:r>
                </w:p>
              </w:tc>
              <w:tc>
                <w:tcPr>
                  <w:tcW w:w="458" w:type="pct"/>
                  <w:tcBorders>
                    <w:tl2br w:val="nil"/>
                    <w:tr2bl w:val="nil"/>
                  </w:tcBorders>
                  <w:shd w:val="clear" w:color="auto" w:fill="auto"/>
                  <w:vAlign w:val="center"/>
                </w:tcPr>
                <w:p w14:paraId="5D895A79">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2D273FCE">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70~75</w:t>
                  </w:r>
                </w:p>
              </w:tc>
              <w:tc>
                <w:tcPr>
                  <w:tcW w:w="423" w:type="pct"/>
                  <w:vMerge w:val="continue"/>
                  <w:tcBorders>
                    <w:tl2br w:val="nil"/>
                    <w:tr2bl w:val="nil"/>
                  </w:tcBorders>
                  <w:vAlign w:val="center"/>
                </w:tcPr>
                <w:p w14:paraId="0C25E74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75E2F1E4">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71</w:t>
                  </w:r>
                </w:p>
              </w:tc>
              <w:tc>
                <w:tcPr>
                  <w:tcW w:w="312" w:type="pct"/>
                  <w:tcBorders>
                    <w:tl2br w:val="nil"/>
                    <w:tr2bl w:val="nil"/>
                  </w:tcBorders>
                  <w:vAlign w:val="center"/>
                </w:tcPr>
                <w:p w14:paraId="52E4FACF">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73" w:type="pct"/>
                  <w:tcBorders>
                    <w:tl2br w:val="nil"/>
                    <w:tr2bl w:val="nil"/>
                  </w:tcBorders>
                  <w:vAlign w:val="center"/>
                </w:tcPr>
                <w:p w14:paraId="0AB6414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591B1EB7">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10</w:t>
                  </w:r>
                </w:p>
              </w:tc>
              <w:tc>
                <w:tcPr>
                  <w:tcW w:w="414" w:type="pct"/>
                  <w:vMerge w:val="continue"/>
                  <w:tcBorders>
                    <w:tl2br w:val="nil"/>
                    <w:tr2bl w:val="nil"/>
                  </w:tcBorders>
                  <w:vAlign w:val="center"/>
                </w:tcPr>
                <w:p w14:paraId="1C4166E4">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1A1B0F60">
                  <w:pPr>
                    <w:adjustRightInd w:val="0"/>
                    <w:snapToGrid w:val="0"/>
                    <w:jc w:val="center"/>
                    <w:rPr>
                      <w:rFonts w:hint="default" w:ascii="Times New Roman" w:hAnsi="Times New Roman" w:cs="Times New Roman"/>
                      <w:b/>
                      <w:bCs w:val="0"/>
                      <w:color w:val="auto"/>
                      <w:spacing w:val="-10"/>
                      <w:sz w:val="21"/>
                      <w:szCs w:val="21"/>
                      <w:highlight w:val="none"/>
                    </w:rPr>
                  </w:pPr>
                  <w:r>
                    <w:rPr>
                      <w:rFonts w:hint="default" w:ascii="Times New Roman" w:hAnsi="Times New Roman" w:cs="Times New Roman"/>
                      <w:bCs/>
                      <w:color w:val="auto"/>
                      <w:spacing w:val="-10"/>
                      <w:sz w:val="21"/>
                      <w:szCs w:val="21"/>
                      <w:highlight w:val="none"/>
                    </w:rPr>
                    <w:t>20</w:t>
                  </w:r>
                </w:p>
              </w:tc>
            </w:tr>
            <w:tr w14:paraId="018B2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vAlign w:val="center"/>
                </w:tcPr>
                <w:p w14:paraId="0A61CF3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14</w:t>
                  </w:r>
                </w:p>
              </w:tc>
              <w:tc>
                <w:tcPr>
                  <w:tcW w:w="345" w:type="pct"/>
                  <w:vMerge w:val="continue"/>
                  <w:tcBorders>
                    <w:tl2br w:val="nil"/>
                    <w:tr2bl w:val="nil"/>
                  </w:tcBorders>
                  <w:vAlign w:val="center"/>
                </w:tcPr>
                <w:p w14:paraId="0053FEF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061C4514">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充气打码中空玻璃生产线</w:t>
                  </w:r>
                </w:p>
              </w:tc>
              <w:tc>
                <w:tcPr>
                  <w:tcW w:w="458" w:type="pct"/>
                  <w:tcBorders>
                    <w:tl2br w:val="nil"/>
                    <w:tr2bl w:val="nil"/>
                  </w:tcBorders>
                  <w:shd w:val="clear" w:color="auto" w:fill="auto"/>
                  <w:vAlign w:val="center"/>
                </w:tcPr>
                <w:p w14:paraId="39B97347">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2</w:t>
                  </w:r>
                </w:p>
              </w:tc>
              <w:tc>
                <w:tcPr>
                  <w:tcW w:w="587" w:type="pct"/>
                  <w:tcBorders>
                    <w:tl2br w:val="nil"/>
                    <w:tr2bl w:val="nil"/>
                  </w:tcBorders>
                  <w:vAlign w:val="center"/>
                </w:tcPr>
                <w:p w14:paraId="147093B9">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80~85</w:t>
                  </w:r>
                </w:p>
              </w:tc>
              <w:tc>
                <w:tcPr>
                  <w:tcW w:w="423" w:type="pct"/>
                  <w:vMerge w:val="continue"/>
                  <w:tcBorders>
                    <w:tl2br w:val="nil"/>
                    <w:tr2bl w:val="nil"/>
                  </w:tcBorders>
                  <w:vAlign w:val="center"/>
                </w:tcPr>
                <w:p w14:paraId="050F170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33ED6817">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51-80</w:t>
                  </w:r>
                </w:p>
              </w:tc>
              <w:tc>
                <w:tcPr>
                  <w:tcW w:w="312" w:type="pct"/>
                  <w:tcBorders>
                    <w:tl2br w:val="nil"/>
                    <w:tr2bl w:val="nil"/>
                  </w:tcBorders>
                  <w:vAlign w:val="center"/>
                </w:tcPr>
                <w:p w14:paraId="0CE17090">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73" w:type="pct"/>
                  <w:tcBorders>
                    <w:tl2br w:val="nil"/>
                    <w:tr2bl w:val="nil"/>
                  </w:tcBorders>
                  <w:vAlign w:val="center"/>
                </w:tcPr>
                <w:p w14:paraId="6E7E288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6534FAF3">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10</w:t>
                  </w:r>
                </w:p>
              </w:tc>
              <w:tc>
                <w:tcPr>
                  <w:tcW w:w="414" w:type="pct"/>
                  <w:vMerge w:val="continue"/>
                  <w:tcBorders>
                    <w:tl2br w:val="nil"/>
                    <w:tr2bl w:val="nil"/>
                  </w:tcBorders>
                  <w:vAlign w:val="center"/>
                </w:tcPr>
                <w:p w14:paraId="63D20017">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6610570D">
                  <w:pPr>
                    <w:adjustRightInd w:val="0"/>
                    <w:snapToGrid w:val="0"/>
                    <w:jc w:val="center"/>
                    <w:rPr>
                      <w:rFonts w:hint="default" w:ascii="Times New Roman" w:hAnsi="Times New Roman" w:cs="Times New Roman"/>
                      <w:b/>
                      <w:bCs w:val="0"/>
                      <w:color w:val="auto"/>
                      <w:spacing w:val="-10"/>
                      <w:sz w:val="21"/>
                      <w:szCs w:val="21"/>
                      <w:highlight w:val="none"/>
                    </w:rPr>
                  </w:pPr>
                  <w:r>
                    <w:rPr>
                      <w:rFonts w:hint="default" w:ascii="Times New Roman" w:hAnsi="Times New Roman" w:cs="Times New Roman"/>
                      <w:bCs/>
                      <w:color w:val="auto"/>
                      <w:spacing w:val="-10"/>
                      <w:sz w:val="21"/>
                      <w:szCs w:val="21"/>
                      <w:highlight w:val="none"/>
                    </w:rPr>
                    <w:t>20</w:t>
                  </w:r>
                </w:p>
              </w:tc>
            </w:tr>
            <w:tr w14:paraId="51D79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vAlign w:val="center"/>
                </w:tcPr>
                <w:p w14:paraId="59ADC7C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w:t>
                  </w:r>
                </w:p>
              </w:tc>
              <w:tc>
                <w:tcPr>
                  <w:tcW w:w="345" w:type="pct"/>
                  <w:vMerge w:val="continue"/>
                  <w:tcBorders>
                    <w:tl2br w:val="nil"/>
                    <w:tr2bl w:val="nil"/>
                  </w:tcBorders>
                  <w:vAlign w:val="center"/>
                </w:tcPr>
                <w:p w14:paraId="0168176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0B973936">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清洗机</w:t>
                  </w:r>
                </w:p>
              </w:tc>
              <w:tc>
                <w:tcPr>
                  <w:tcW w:w="458" w:type="pct"/>
                  <w:tcBorders>
                    <w:tl2br w:val="nil"/>
                    <w:tr2bl w:val="nil"/>
                  </w:tcBorders>
                  <w:shd w:val="clear" w:color="auto" w:fill="auto"/>
                  <w:vAlign w:val="center"/>
                </w:tcPr>
                <w:p w14:paraId="3E9A2B1A">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7F06A181">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70~75</w:t>
                  </w:r>
                </w:p>
              </w:tc>
              <w:tc>
                <w:tcPr>
                  <w:tcW w:w="423" w:type="pct"/>
                  <w:vMerge w:val="continue"/>
                  <w:tcBorders>
                    <w:tl2br w:val="nil"/>
                    <w:tr2bl w:val="nil"/>
                  </w:tcBorders>
                  <w:vAlign w:val="center"/>
                </w:tcPr>
                <w:p w14:paraId="07FB627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39A87E9D">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83</w:t>
                  </w:r>
                </w:p>
              </w:tc>
              <w:tc>
                <w:tcPr>
                  <w:tcW w:w="312" w:type="pct"/>
                  <w:tcBorders>
                    <w:tl2br w:val="nil"/>
                    <w:tr2bl w:val="nil"/>
                  </w:tcBorders>
                  <w:vAlign w:val="center"/>
                </w:tcPr>
                <w:p w14:paraId="71B0D587">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30</w:t>
                  </w:r>
                </w:p>
              </w:tc>
              <w:tc>
                <w:tcPr>
                  <w:tcW w:w="273" w:type="pct"/>
                  <w:tcBorders>
                    <w:tl2br w:val="nil"/>
                    <w:tr2bl w:val="nil"/>
                  </w:tcBorders>
                  <w:vAlign w:val="center"/>
                </w:tcPr>
                <w:p w14:paraId="721603F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0605FB8F">
                  <w:pPr>
                    <w:adjustRightInd w:val="0"/>
                    <w:snapToGrid w:val="0"/>
                    <w:jc w:val="center"/>
                    <w:rPr>
                      <w:rFonts w:hint="default" w:ascii="Times New Roman" w:hAnsi="Times New Roman" w:cs="Times New Roman"/>
                      <w:b w:val="0"/>
                      <w:bCs w:val="0"/>
                      <w:color w:val="auto"/>
                      <w:spacing w:val="-10"/>
                      <w:sz w:val="21"/>
                      <w:szCs w:val="21"/>
                      <w:highlight w:val="none"/>
                    </w:rPr>
                  </w:pPr>
                  <w:r>
                    <w:rPr>
                      <w:rFonts w:hint="default" w:ascii="Times New Roman" w:hAnsi="Times New Roman" w:cs="Times New Roman"/>
                      <w:bCs/>
                      <w:color w:val="auto"/>
                      <w:spacing w:val="-10"/>
                      <w:sz w:val="21"/>
                      <w:szCs w:val="21"/>
                      <w:highlight w:val="none"/>
                    </w:rPr>
                    <w:t>6</w:t>
                  </w:r>
                </w:p>
              </w:tc>
              <w:tc>
                <w:tcPr>
                  <w:tcW w:w="414" w:type="pct"/>
                  <w:vMerge w:val="continue"/>
                  <w:tcBorders>
                    <w:tl2br w:val="nil"/>
                    <w:tr2bl w:val="nil"/>
                  </w:tcBorders>
                  <w:vAlign w:val="center"/>
                </w:tcPr>
                <w:p w14:paraId="44CF6094">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0345B320">
                  <w:pPr>
                    <w:adjustRightInd w:val="0"/>
                    <w:snapToGrid w:val="0"/>
                    <w:jc w:val="center"/>
                    <w:rPr>
                      <w:rFonts w:hint="default" w:ascii="Times New Roman" w:hAnsi="Times New Roman" w:cs="Times New Roman"/>
                      <w:b/>
                      <w:bCs w:val="0"/>
                      <w:color w:val="auto"/>
                      <w:spacing w:val="-10"/>
                      <w:sz w:val="21"/>
                      <w:szCs w:val="21"/>
                      <w:highlight w:val="none"/>
                    </w:rPr>
                  </w:pPr>
                  <w:r>
                    <w:rPr>
                      <w:rFonts w:hint="default" w:ascii="Times New Roman" w:hAnsi="Times New Roman" w:cs="Times New Roman"/>
                      <w:bCs/>
                      <w:color w:val="auto"/>
                      <w:spacing w:val="-10"/>
                      <w:sz w:val="21"/>
                      <w:szCs w:val="21"/>
                      <w:highlight w:val="none"/>
                    </w:rPr>
                    <w:t>20</w:t>
                  </w:r>
                </w:p>
              </w:tc>
            </w:tr>
            <w:tr w14:paraId="319F1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vAlign w:val="center"/>
                </w:tcPr>
                <w:p w14:paraId="6D11849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16</w:t>
                  </w:r>
                </w:p>
              </w:tc>
              <w:tc>
                <w:tcPr>
                  <w:tcW w:w="345" w:type="pct"/>
                  <w:vMerge w:val="continue"/>
                  <w:tcBorders>
                    <w:tl2br w:val="nil"/>
                    <w:tr2bl w:val="nil"/>
                  </w:tcBorders>
                  <w:vAlign w:val="center"/>
                </w:tcPr>
                <w:p w14:paraId="128A7B2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640CD9C7">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合片机</w:t>
                  </w:r>
                </w:p>
              </w:tc>
              <w:tc>
                <w:tcPr>
                  <w:tcW w:w="458" w:type="pct"/>
                  <w:tcBorders>
                    <w:tl2br w:val="nil"/>
                    <w:tr2bl w:val="nil"/>
                  </w:tcBorders>
                  <w:shd w:val="clear" w:color="auto" w:fill="auto"/>
                  <w:vAlign w:val="center"/>
                </w:tcPr>
                <w:p w14:paraId="31374B40">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701287C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70~75</w:t>
                  </w:r>
                </w:p>
              </w:tc>
              <w:tc>
                <w:tcPr>
                  <w:tcW w:w="423" w:type="pct"/>
                  <w:vMerge w:val="continue"/>
                  <w:tcBorders>
                    <w:tl2br w:val="nil"/>
                    <w:tr2bl w:val="nil"/>
                  </w:tcBorders>
                  <w:vAlign w:val="center"/>
                </w:tcPr>
                <w:p w14:paraId="25D7663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2C6DE537">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90</w:t>
                  </w:r>
                </w:p>
              </w:tc>
              <w:tc>
                <w:tcPr>
                  <w:tcW w:w="312" w:type="pct"/>
                  <w:tcBorders>
                    <w:tl2br w:val="nil"/>
                    <w:tr2bl w:val="nil"/>
                  </w:tcBorders>
                  <w:vAlign w:val="center"/>
                </w:tcPr>
                <w:p w14:paraId="0B5CDA1E">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73" w:type="pct"/>
                  <w:tcBorders>
                    <w:tl2br w:val="nil"/>
                    <w:tr2bl w:val="nil"/>
                  </w:tcBorders>
                  <w:vAlign w:val="center"/>
                </w:tcPr>
                <w:p w14:paraId="173B8F5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5220CC8A">
                  <w:pPr>
                    <w:adjustRightInd w:val="0"/>
                    <w:snapToGrid w:val="0"/>
                    <w:jc w:val="center"/>
                    <w:rPr>
                      <w:rFonts w:hint="default" w:ascii="Times New Roman" w:hAnsi="Times New Roman" w:cs="Times New Roman"/>
                      <w:b w:val="0"/>
                      <w:bCs w:val="0"/>
                      <w:color w:val="auto"/>
                      <w:spacing w:val="-10"/>
                      <w:sz w:val="21"/>
                      <w:szCs w:val="21"/>
                      <w:highlight w:val="none"/>
                    </w:rPr>
                  </w:pPr>
                  <w:r>
                    <w:rPr>
                      <w:rFonts w:hint="default" w:ascii="Times New Roman" w:hAnsi="Times New Roman" w:cs="Times New Roman"/>
                      <w:bCs/>
                      <w:color w:val="auto"/>
                      <w:spacing w:val="-10"/>
                      <w:sz w:val="21"/>
                      <w:szCs w:val="21"/>
                      <w:highlight w:val="none"/>
                    </w:rPr>
                    <w:t>10</w:t>
                  </w:r>
                </w:p>
              </w:tc>
              <w:tc>
                <w:tcPr>
                  <w:tcW w:w="414" w:type="pct"/>
                  <w:vMerge w:val="continue"/>
                  <w:tcBorders>
                    <w:tl2br w:val="nil"/>
                    <w:tr2bl w:val="nil"/>
                  </w:tcBorders>
                  <w:vAlign w:val="center"/>
                </w:tcPr>
                <w:p w14:paraId="5DD6162A">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5A76E1E1">
                  <w:pPr>
                    <w:adjustRightInd w:val="0"/>
                    <w:snapToGrid w:val="0"/>
                    <w:jc w:val="center"/>
                    <w:rPr>
                      <w:rFonts w:hint="default" w:ascii="Times New Roman" w:hAnsi="Times New Roman" w:cs="Times New Roman"/>
                      <w:b/>
                      <w:bCs w:val="0"/>
                      <w:color w:val="auto"/>
                      <w:spacing w:val="-10"/>
                      <w:sz w:val="21"/>
                      <w:szCs w:val="21"/>
                      <w:highlight w:val="none"/>
                    </w:rPr>
                  </w:pPr>
                  <w:r>
                    <w:rPr>
                      <w:rFonts w:hint="default" w:ascii="Times New Roman" w:hAnsi="Times New Roman" w:cs="Times New Roman"/>
                      <w:bCs/>
                      <w:color w:val="auto"/>
                      <w:spacing w:val="-10"/>
                      <w:sz w:val="21"/>
                      <w:szCs w:val="21"/>
                      <w:highlight w:val="none"/>
                    </w:rPr>
                    <w:t>20</w:t>
                  </w:r>
                </w:p>
              </w:tc>
            </w:tr>
            <w:tr w14:paraId="3D05E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vAlign w:val="center"/>
                </w:tcPr>
                <w:p w14:paraId="00F7A2F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17</w:t>
                  </w:r>
                </w:p>
              </w:tc>
              <w:tc>
                <w:tcPr>
                  <w:tcW w:w="345" w:type="pct"/>
                  <w:vMerge w:val="continue"/>
                  <w:tcBorders>
                    <w:tl2br w:val="nil"/>
                    <w:tr2bl w:val="nil"/>
                  </w:tcBorders>
                  <w:vAlign w:val="center"/>
                </w:tcPr>
                <w:p w14:paraId="1D958E7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54BF92B8">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过渡机</w:t>
                  </w:r>
                </w:p>
              </w:tc>
              <w:tc>
                <w:tcPr>
                  <w:tcW w:w="458" w:type="pct"/>
                  <w:tcBorders>
                    <w:tl2br w:val="nil"/>
                    <w:tr2bl w:val="nil"/>
                  </w:tcBorders>
                  <w:shd w:val="clear" w:color="auto" w:fill="auto"/>
                  <w:vAlign w:val="center"/>
                </w:tcPr>
                <w:p w14:paraId="66566620">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34AE9E96">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70~75</w:t>
                  </w:r>
                </w:p>
              </w:tc>
              <w:tc>
                <w:tcPr>
                  <w:tcW w:w="423" w:type="pct"/>
                  <w:vMerge w:val="continue"/>
                  <w:tcBorders>
                    <w:tl2br w:val="nil"/>
                    <w:tr2bl w:val="nil"/>
                  </w:tcBorders>
                  <w:vAlign w:val="center"/>
                </w:tcPr>
                <w:p w14:paraId="3AF3C74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318F8BCC">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69</w:t>
                  </w:r>
                </w:p>
              </w:tc>
              <w:tc>
                <w:tcPr>
                  <w:tcW w:w="312" w:type="pct"/>
                  <w:tcBorders>
                    <w:tl2br w:val="nil"/>
                    <w:tr2bl w:val="nil"/>
                  </w:tcBorders>
                  <w:vAlign w:val="center"/>
                </w:tcPr>
                <w:p w14:paraId="29E2D911">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273" w:type="pct"/>
                  <w:tcBorders>
                    <w:tl2br w:val="nil"/>
                    <w:tr2bl w:val="nil"/>
                  </w:tcBorders>
                  <w:vAlign w:val="center"/>
                </w:tcPr>
                <w:p w14:paraId="34B115F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3A3EE119">
                  <w:pPr>
                    <w:adjustRightInd w:val="0"/>
                    <w:snapToGrid w:val="0"/>
                    <w:jc w:val="center"/>
                    <w:rPr>
                      <w:rFonts w:hint="default" w:ascii="Times New Roman" w:hAnsi="Times New Roman" w:cs="Times New Roman"/>
                      <w:b w:val="0"/>
                      <w:bCs w:val="0"/>
                      <w:color w:val="auto"/>
                      <w:spacing w:val="-10"/>
                      <w:sz w:val="21"/>
                      <w:szCs w:val="21"/>
                      <w:highlight w:val="none"/>
                    </w:rPr>
                  </w:pPr>
                  <w:r>
                    <w:rPr>
                      <w:rFonts w:hint="default" w:ascii="Times New Roman" w:hAnsi="Times New Roman" w:cs="Times New Roman"/>
                      <w:bCs/>
                      <w:color w:val="auto"/>
                      <w:spacing w:val="-10"/>
                      <w:sz w:val="21"/>
                      <w:szCs w:val="21"/>
                      <w:highlight w:val="none"/>
                    </w:rPr>
                    <w:t>10</w:t>
                  </w:r>
                </w:p>
              </w:tc>
              <w:tc>
                <w:tcPr>
                  <w:tcW w:w="414" w:type="pct"/>
                  <w:vMerge w:val="continue"/>
                  <w:tcBorders>
                    <w:tl2br w:val="nil"/>
                    <w:tr2bl w:val="nil"/>
                  </w:tcBorders>
                  <w:vAlign w:val="center"/>
                </w:tcPr>
                <w:p w14:paraId="3DD226C3">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535F66A3">
                  <w:pPr>
                    <w:adjustRightInd w:val="0"/>
                    <w:snapToGrid w:val="0"/>
                    <w:jc w:val="center"/>
                    <w:rPr>
                      <w:rFonts w:hint="default" w:ascii="Times New Roman" w:hAnsi="Times New Roman" w:cs="Times New Roman"/>
                      <w:b/>
                      <w:bCs w:val="0"/>
                      <w:color w:val="auto"/>
                      <w:spacing w:val="-10"/>
                      <w:sz w:val="21"/>
                      <w:szCs w:val="21"/>
                      <w:highlight w:val="none"/>
                    </w:rPr>
                  </w:pPr>
                  <w:r>
                    <w:rPr>
                      <w:rFonts w:hint="default" w:ascii="Times New Roman" w:hAnsi="Times New Roman" w:cs="Times New Roman"/>
                      <w:bCs/>
                      <w:color w:val="auto"/>
                      <w:spacing w:val="-10"/>
                      <w:sz w:val="21"/>
                      <w:szCs w:val="21"/>
                      <w:highlight w:val="none"/>
                    </w:rPr>
                    <w:t>20</w:t>
                  </w:r>
                </w:p>
              </w:tc>
            </w:tr>
            <w:tr w14:paraId="74DBB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3" w:type="pct"/>
                  <w:tcBorders>
                    <w:tl2br w:val="nil"/>
                    <w:tr2bl w:val="nil"/>
                  </w:tcBorders>
                  <w:vAlign w:val="center"/>
                </w:tcPr>
                <w:p w14:paraId="06705EB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18</w:t>
                  </w:r>
                </w:p>
              </w:tc>
              <w:tc>
                <w:tcPr>
                  <w:tcW w:w="345" w:type="pct"/>
                  <w:vMerge w:val="continue"/>
                  <w:tcBorders>
                    <w:tl2br w:val="nil"/>
                    <w:tr2bl w:val="nil"/>
                  </w:tcBorders>
                  <w:vAlign w:val="center"/>
                </w:tcPr>
                <w:p w14:paraId="0DB9490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center"/>
                    <w:textAlignment w:val="auto"/>
                    <w:rPr>
                      <w:rFonts w:hint="default" w:ascii="Times New Roman" w:hAnsi="Times New Roman" w:eastAsia="宋体" w:cs="Times New Roman"/>
                      <w:b w:val="0"/>
                      <w:bCs/>
                      <w:color w:val="auto"/>
                      <w:sz w:val="21"/>
                      <w:szCs w:val="21"/>
                      <w:highlight w:val="none"/>
                    </w:rPr>
                  </w:pPr>
                </w:p>
              </w:tc>
              <w:tc>
                <w:tcPr>
                  <w:tcW w:w="500" w:type="pct"/>
                  <w:tcBorders>
                    <w:tl2br w:val="nil"/>
                    <w:tr2bl w:val="nil"/>
                  </w:tcBorders>
                  <w:shd w:val="clear" w:color="auto" w:fill="auto"/>
                  <w:vAlign w:val="center"/>
                </w:tcPr>
                <w:p w14:paraId="693337EC">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高压釜</w:t>
                  </w:r>
                </w:p>
              </w:tc>
              <w:tc>
                <w:tcPr>
                  <w:tcW w:w="458" w:type="pct"/>
                  <w:tcBorders>
                    <w:tl2br w:val="nil"/>
                    <w:tr2bl w:val="nil"/>
                  </w:tcBorders>
                  <w:shd w:val="clear" w:color="auto" w:fill="auto"/>
                  <w:vAlign w:val="center"/>
                </w:tcPr>
                <w:p w14:paraId="78205829">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587" w:type="pct"/>
                  <w:tcBorders>
                    <w:tl2br w:val="nil"/>
                    <w:tr2bl w:val="nil"/>
                  </w:tcBorders>
                  <w:vAlign w:val="center"/>
                </w:tcPr>
                <w:p w14:paraId="1CDAFF5B">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70~75</w:t>
                  </w:r>
                </w:p>
              </w:tc>
              <w:tc>
                <w:tcPr>
                  <w:tcW w:w="423" w:type="pct"/>
                  <w:vMerge w:val="continue"/>
                  <w:tcBorders>
                    <w:tl2br w:val="nil"/>
                    <w:tr2bl w:val="nil"/>
                  </w:tcBorders>
                  <w:vAlign w:val="center"/>
                </w:tcPr>
                <w:p w14:paraId="4DAF2CE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321" w:type="pct"/>
                  <w:tcBorders>
                    <w:tl2br w:val="nil"/>
                    <w:tr2bl w:val="nil"/>
                  </w:tcBorders>
                  <w:vAlign w:val="center"/>
                </w:tcPr>
                <w:p w14:paraId="70B12ACC">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312" w:type="pct"/>
                  <w:tcBorders>
                    <w:tl2br w:val="nil"/>
                    <w:tr2bl w:val="nil"/>
                  </w:tcBorders>
                  <w:vAlign w:val="center"/>
                </w:tcPr>
                <w:p w14:paraId="71F68705">
                  <w:pPr>
                    <w:keepNext w:val="0"/>
                    <w:keepLines w:val="0"/>
                    <w:pageBreakBefore w:val="0"/>
                    <w:widowControl/>
                    <w:suppressLineNumbers w:val="0"/>
                    <w:kinsoku/>
                    <w:wordWrap/>
                    <w:overflowPunct/>
                    <w:topLinePunct w:val="0"/>
                    <w:autoSpaceDE/>
                    <w:autoSpaceDN/>
                    <w:bidi w:val="0"/>
                    <w:spacing w:line="300" w:lineRule="exact"/>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73" w:type="pct"/>
                  <w:tcBorders>
                    <w:tl2br w:val="nil"/>
                    <w:tr2bl w:val="nil"/>
                  </w:tcBorders>
                  <w:vAlign w:val="center"/>
                </w:tcPr>
                <w:p w14:paraId="7B245EA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480" w:type="pct"/>
                  <w:tcBorders>
                    <w:tl2br w:val="nil"/>
                    <w:tr2bl w:val="nil"/>
                  </w:tcBorders>
                  <w:vAlign w:val="center"/>
                </w:tcPr>
                <w:p w14:paraId="0C14B500">
                  <w:pPr>
                    <w:adjustRightInd w:val="0"/>
                    <w:snapToGrid w:val="0"/>
                    <w:jc w:val="center"/>
                    <w:rPr>
                      <w:rFonts w:hint="default" w:ascii="Times New Roman" w:hAnsi="Times New Roman" w:cs="Times New Roman"/>
                      <w:b w:val="0"/>
                      <w:bCs w:val="0"/>
                      <w:color w:val="auto"/>
                      <w:spacing w:val="-10"/>
                      <w:sz w:val="21"/>
                      <w:szCs w:val="21"/>
                      <w:highlight w:val="none"/>
                    </w:rPr>
                  </w:pPr>
                  <w:r>
                    <w:rPr>
                      <w:rFonts w:hint="default" w:ascii="Times New Roman" w:hAnsi="Times New Roman" w:cs="Times New Roman"/>
                      <w:bCs/>
                      <w:color w:val="auto"/>
                      <w:spacing w:val="-10"/>
                      <w:sz w:val="21"/>
                      <w:szCs w:val="21"/>
                      <w:highlight w:val="none"/>
                    </w:rPr>
                    <w:t>10</w:t>
                  </w:r>
                </w:p>
              </w:tc>
              <w:tc>
                <w:tcPr>
                  <w:tcW w:w="414" w:type="pct"/>
                  <w:vMerge w:val="continue"/>
                  <w:tcBorders>
                    <w:tl2br w:val="nil"/>
                    <w:tr2bl w:val="nil"/>
                  </w:tcBorders>
                  <w:vAlign w:val="center"/>
                </w:tcPr>
                <w:p w14:paraId="2C068D94">
                  <w:pPr>
                    <w:adjustRightInd w:val="0"/>
                    <w:snapToGrid w:val="0"/>
                    <w:jc w:val="center"/>
                    <w:rPr>
                      <w:rFonts w:hint="default" w:ascii="Times New Roman" w:hAnsi="Times New Roman" w:cs="Times New Roman"/>
                      <w:b w:val="0"/>
                      <w:bCs/>
                      <w:color w:val="auto"/>
                      <w:sz w:val="21"/>
                      <w:szCs w:val="21"/>
                      <w:highlight w:val="none"/>
                    </w:rPr>
                  </w:pPr>
                </w:p>
              </w:tc>
              <w:tc>
                <w:tcPr>
                  <w:tcW w:w="631" w:type="pct"/>
                  <w:tcBorders>
                    <w:tl2br w:val="nil"/>
                    <w:tr2bl w:val="nil"/>
                  </w:tcBorders>
                  <w:vAlign w:val="center"/>
                </w:tcPr>
                <w:p w14:paraId="37540DB9">
                  <w:pPr>
                    <w:adjustRightInd w:val="0"/>
                    <w:snapToGrid w:val="0"/>
                    <w:jc w:val="center"/>
                    <w:rPr>
                      <w:rFonts w:hint="default" w:ascii="Times New Roman" w:hAnsi="Times New Roman" w:cs="Times New Roman"/>
                      <w:b/>
                      <w:bCs w:val="0"/>
                      <w:color w:val="auto"/>
                      <w:spacing w:val="-10"/>
                      <w:sz w:val="21"/>
                      <w:szCs w:val="21"/>
                      <w:highlight w:val="none"/>
                    </w:rPr>
                  </w:pPr>
                  <w:r>
                    <w:rPr>
                      <w:rFonts w:hint="default" w:ascii="Times New Roman" w:hAnsi="Times New Roman" w:cs="Times New Roman"/>
                      <w:bCs/>
                      <w:color w:val="auto"/>
                      <w:spacing w:val="-10"/>
                      <w:sz w:val="21"/>
                      <w:szCs w:val="21"/>
                      <w:highlight w:val="none"/>
                    </w:rPr>
                    <w:t>20</w:t>
                  </w:r>
                </w:p>
              </w:tc>
            </w:tr>
            <w:tr w14:paraId="1E685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00" w:type="pct"/>
                  <w:gridSpan w:val="12"/>
                  <w:tcBorders>
                    <w:tl2br w:val="nil"/>
                    <w:tr2bl w:val="nil"/>
                  </w:tcBorders>
                  <w:vAlign w:val="center"/>
                </w:tcPr>
                <w:p w14:paraId="02944F0C">
                  <w:pPr>
                    <w:adjustRightInd w:val="0"/>
                    <w:snapToGrid w:val="0"/>
                    <w:jc w:val="both"/>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注：以厂区西南角为坐标（0，0）。</w:t>
                  </w:r>
                </w:p>
              </w:tc>
            </w:tr>
          </w:tbl>
          <w:p w14:paraId="43F9910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声环境》（HJ2.4-2021）的技术要求，本次评价采取导则上推荐模式。</w:t>
            </w:r>
          </w:p>
          <w:p w14:paraId="583C8929">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（1）室内声源在不能取得倍频带声压级，只能取得A声级的情况下，设靠近开口处（或窗户）室内、室外某倍频带的声压级分别为L</w:t>
            </w:r>
            <w:r>
              <w:rPr>
                <w:rFonts w:hint="default" w:ascii="Times New Roman" w:hAnsi="Times New Roman" w:cs="Times New Roman"/>
                <w:color w:val="auto"/>
                <w:sz w:val="24"/>
                <w:highlight w:val="none"/>
                <w:vertAlign w:val="subscript"/>
              </w:rPr>
              <w:t>p1</w:t>
            </w:r>
            <w:r>
              <w:rPr>
                <w:rFonts w:hint="default" w:ascii="Times New Roman" w:hAnsi="Times New Roman" w:cs="Times New Roman"/>
                <w:color w:val="auto"/>
                <w:sz w:val="24"/>
                <w:highlight w:val="none"/>
              </w:rPr>
              <w:t>和L</w:t>
            </w:r>
            <w:r>
              <w:rPr>
                <w:rFonts w:hint="default" w:ascii="Times New Roman" w:hAnsi="Times New Roman" w:cs="Times New Roman"/>
                <w:color w:val="auto"/>
                <w:sz w:val="24"/>
                <w:highlight w:val="none"/>
                <w:vertAlign w:val="subscript"/>
              </w:rPr>
              <w:t>p2</w:t>
            </w:r>
            <w:r>
              <w:rPr>
                <w:rFonts w:hint="default" w:ascii="Times New Roman" w:hAnsi="Times New Roman" w:cs="Times New Roman"/>
                <w:color w:val="auto"/>
                <w:sz w:val="24"/>
                <w:highlight w:val="none"/>
              </w:rPr>
              <w:t>。室内声源声场近似为扩散声场，则室外的倍频带声压级可按下式近似求出。</w:t>
            </w:r>
          </w:p>
          <w:p w14:paraId="2566D3C5">
            <w:pPr>
              <w:adjustRightInd w:val="0"/>
              <w:snapToGrid w:val="0"/>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10"/>
                <w:sz w:val="24"/>
                <w:highlight w:val="none"/>
              </w:rPr>
              <w:object>
                <v:shape id="_x0000_i1031" o:spt="75" type="#_x0000_t75" style="height:17.25pt;width:99.75pt;" o:ole="t" filled="f" o:preferrelative="t" stroked="f" coordsize="21600,21600">
                  <v:path/>
                  <v:fill on="f" focussize="0,0"/>
                  <v:stroke on="f" joinstyle="miter"/>
                  <v:imagedata r:id="rId25" o:title=""/>
                  <o:lock v:ext="edit" aspectratio="t"/>
                  <w10:wrap type="none"/>
                  <w10:anchorlock/>
                </v:shape>
                <o:OLEObject Type="Embed" ProgID="Equation.KSEE3" ShapeID="_x0000_i1031" DrawAspect="Content" ObjectID="_1468075731" r:id="rId24">
                  <o:LockedField>false</o:LockedField>
                </o:OLEObject>
              </w:object>
            </w:r>
          </w:p>
          <w:p w14:paraId="74D6F94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式中TL——隔墙或窗户倍频带隔声量，dB。</w:t>
            </w:r>
          </w:p>
          <w:p w14:paraId="76268C15">
            <w:pPr>
              <w:adjustRightInd w:val="0"/>
              <w:snapToGrid w:val="0"/>
              <w:spacing w:line="360" w:lineRule="auto"/>
              <w:ind w:firstLine="42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drawing>
                <wp:inline distT="0" distB="0" distL="0" distR="0">
                  <wp:extent cx="2771775" cy="895350"/>
                  <wp:effectExtent l="0" t="0" r="9525" b="0"/>
                  <wp:docPr id="764007670" name="图片 2" descr="说明: QQ截图2017121818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07670" name="图片 2" descr="说明: QQ截图201712181816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71775" cy="895350"/>
                          </a:xfrm>
                          <a:prstGeom prst="rect">
                            <a:avLst/>
                          </a:prstGeom>
                          <a:noFill/>
                          <a:ln>
                            <a:noFill/>
                          </a:ln>
                        </pic:spPr>
                      </pic:pic>
                    </a:graphicData>
                  </a:graphic>
                </wp:inline>
              </w:drawing>
            </w:r>
          </w:p>
          <w:p w14:paraId="12A36F24">
            <w:pPr>
              <w:adjustRightInd w:val="0"/>
              <w:snapToGrid w:val="0"/>
              <w:spacing w:line="360" w:lineRule="auto"/>
              <w:ind w:firstLine="482" w:firstLineChars="2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室内声源等效为室外声源图例</w:t>
            </w:r>
          </w:p>
        </w:tc>
      </w:tr>
    </w:tbl>
    <w:p w14:paraId="33169FA3">
      <w:pPr>
        <w:rPr>
          <w:rFonts w:hint="default" w:ascii="Times New Roman" w:hAnsi="Times New Roman" w:cs="Times New Roman"/>
          <w:color w:val="auto"/>
          <w:highlight w:val="none"/>
        </w:rPr>
        <w:sectPr>
          <w:pgSz w:w="16838" w:h="11906" w:orient="landscape"/>
          <w:pgMar w:top="1418" w:right="1440" w:bottom="1418" w:left="1440"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719DD416">
      <w:pPr>
        <w:rPr>
          <w:rFonts w:hint="default" w:ascii="Times New Roman" w:hAnsi="Times New Roman" w:cs="Times New Roman"/>
          <w:color w:val="auto"/>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6"/>
      </w:tblGrid>
      <w:tr w14:paraId="449FE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14:paraId="55C1EFED">
            <w:pPr>
              <w:adjustRightInd w:val="0"/>
              <w:snapToGrid w:val="0"/>
              <w:spacing w:line="360" w:lineRule="auto"/>
              <w:ind w:firstLine="48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运营期环境影响和保护措施</w:t>
            </w:r>
          </w:p>
        </w:tc>
        <w:tc>
          <w:tcPr>
            <w:tcW w:w="8166" w:type="dxa"/>
            <w:vAlign w:val="center"/>
          </w:tcPr>
          <w:p w14:paraId="78E6E5B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然后按下式计算所有室内声源在靠近围护结构处产生的总倍频带声压级：</w:t>
            </w:r>
          </w:p>
          <w:p w14:paraId="4D06F95D">
            <w:pPr>
              <w:adjustRightInd w:val="0"/>
              <w:snapToGrid w:val="0"/>
              <w:spacing w:line="360" w:lineRule="auto"/>
              <w:ind w:firstLine="480" w:firstLineChars="200"/>
              <w:jc w:val="center"/>
              <w:rPr>
                <w:rFonts w:hint="default" w:ascii="Times New Roman" w:hAnsi="Times New Roman" w:cs="Times New Roman"/>
                <w:b/>
                <w:bCs/>
                <w:color w:val="auto"/>
                <w:sz w:val="24"/>
                <w:highlight w:val="none"/>
              </w:rPr>
            </w:pPr>
            <w:r>
              <w:rPr>
                <w:rFonts w:hint="default" w:ascii="Times New Roman" w:hAnsi="Times New Roman" w:cs="Times New Roman"/>
                <w:color w:val="auto"/>
                <w:kern w:val="0"/>
                <w:position w:val="-30"/>
                <w:sz w:val="24"/>
                <w:highlight w:val="none"/>
              </w:rPr>
              <w:object>
                <v:shape id="_x0000_i1032" o:spt="75" type="#_x0000_t75" style="height:35.25pt;width:126pt;" o:ole="t" filled="f" o:preferrelative="t" stroked="f" coordsize="21600,21600">
                  <v:path/>
                  <v:fill on="f" focussize="0,0"/>
                  <v:stroke on="f" joinstyle="miter"/>
                  <v:imagedata r:id="rId28" o:title=""/>
                  <o:lock v:ext="edit" aspectratio="t"/>
                  <w10:wrap type="none"/>
                  <w10:anchorlock/>
                </v:shape>
                <o:OLEObject Type="Embed" ProgID="Equation.KSEE3" ShapeID="_x0000_i1032" DrawAspect="Content" ObjectID="_1468075732" r:id="rId27">
                  <o:LockedField>false</o:LockedField>
                </o:OLEObject>
              </w:object>
            </w:r>
          </w:p>
          <w:p w14:paraId="1F99500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color w:val="auto"/>
                <w:kern w:val="0"/>
                <w:sz w:val="24"/>
                <w:highlight w:val="none"/>
              </w:rPr>
              <w:drawing>
                <wp:inline distT="0" distB="0" distL="0" distR="0">
                  <wp:extent cx="390525" cy="180975"/>
                  <wp:effectExtent l="0" t="0" r="9525" b="9525"/>
                  <wp:docPr id="9804205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20573"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0525" cy="180975"/>
                          </a:xfrm>
                          <a:prstGeom prst="rect">
                            <a:avLst/>
                          </a:prstGeom>
                          <a:noFill/>
                          <a:ln>
                            <a:noFill/>
                          </a:ln>
                        </pic:spPr>
                      </pic:pic>
                    </a:graphicData>
                  </a:graphic>
                </wp:inline>
              </w:drawing>
            </w:r>
            <w:r>
              <w:rPr>
                <w:rFonts w:hint="default" w:ascii="Times New Roman" w:hAnsi="Times New Roman" w:cs="Times New Roman"/>
                <w:color w:val="auto"/>
                <w:sz w:val="24"/>
                <w:highlight w:val="none"/>
              </w:rPr>
              <w:t>——靠近围护结构处室内N个声源i倍频带的叠加声压级，dB；</w:t>
            </w:r>
          </w:p>
          <w:p w14:paraId="579F33CB">
            <w:pPr>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0" distR="0">
                  <wp:extent cx="295275" cy="238125"/>
                  <wp:effectExtent l="0" t="0" r="9525" b="9525"/>
                  <wp:docPr id="10602412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41255"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5275" cy="238125"/>
                          </a:xfrm>
                          <a:prstGeom prst="rect">
                            <a:avLst/>
                          </a:prstGeom>
                          <a:noFill/>
                          <a:ln>
                            <a:noFill/>
                          </a:ln>
                        </pic:spPr>
                      </pic:pic>
                    </a:graphicData>
                  </a:graphic>
                </wp:inline>
              </w:drawing>
            </w:r>
            <w:r>
              <w:rPr>
                <w:rFonts w:hint="default" w:ascii="Times New Roman" w:hAnsi="Times New Roman" w:cs="Times New Roman"/>
                <w:color w:val="auto"/>
                <w:sz w:val="24"/>
                <w:highlight w:val="none"/>
              </w:rPr>
              <w:t>——室内j声源i倍频带的声压级，dB；</w:t>
            </w:r>
          </w:p>
          <w:p w14:paraId="1192CF2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N——室内声源总数。</w:t>
            </w:r>
          </w:p>
          <w:p w14:paraId="482123C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在室内近似为扩散声场时，按下式计算出靠近室外围护结构处的声压级：</w:t>
            </w:r>
          </w:p>
          <w:p w14:paraId="3A65FCEE">
            <w:pPr>
              <w:adjustRightInd w:val="0"/>
              <w:snapToGrid w:val="0"/>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14"/>
                <w:sz w:val="24"/>
                <w:highlight w:val="none"/>
              </w:rPr>
              <w:object>
                <v:shape id="_x0000_i1033" o:spt="75" type="#_x0000_t75" style="height:18.75pt;width:135pt;" o:ole="t" filled="f" o:preferrelative="t" stroked="f" coordsize="21600,21600">
                  <v:path/>
                  <v:fill on="f" focussize="0,0"/>
                  <v:stroke on="f" joinstyle="miter"/>
                  <v:imagedata r:id="rId32" o:title=""/>
                  <o:lock v:ext="edit" aspectratio="t"/>
                  <w10:wrap type="none"/>
                  <w10:anchorlock/>
                </v:shape>
                <o:OLEObject Type="Embed" ProgID="Equation.KSEE3" ShapeID="_x0000_i1033" DrawAspect="Content" ObjectID="_1468075733" r:id="rId31">
                  <o:LockedField>false</o:LockedField>
                </o:OLEObject>
              </w:object>
            </w:r>
          </w:p>
          <w:p w14:paraId="75A5116C">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（2）噪声贡献值计算：</w:t>
            </w:r>
          </w:p>
          <w:p w14:paraId="589A49B4">
            <w:pPr>
              <w:adjustRightInd w:val="0"/>
              <w:snapToGrid w:val="0"/>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设第i个室外声源在预测点产生的A声级为LAi，在T时间内该声源工作时间为ti；第j个等效室外声源在预测点产生的A声级为LAj，在T时间内该声源工作时间为tj，则拟建工程声源对预测点产生的贡献值（Leqg）为：</w:t>
            </w:r>
            <w:r>
              <w:rPr>
                <w:rFonts w:hint="default" w:ascii="Times New Roman" w:hAnsi="Times New Roman" w:cs="Times New Roman"/>
                <w:color w:val="auto"/>
                <w:position w:val="-30"/>
                <w:sz w:val="24"/>
                <w:highlight w:val="none"/>
              </w:rPr>
              <w:object>
                <v:shape id="_x0000_i1034" o:spt="75" type="#_x0000_t75" style="height:35.25pt;width:198pt;" o:ole="t" filled="f" o:preferrelative="t" stroked="f" coordsize="21600,21600">
                  <v:path/>
                  <v:fill on="f" focussize="0,0"/>
                  <v:stroke on="f" joinstyle="miter"/>
                  <v:imagedata r:id="rId34" o:title=""/>
                  <o:lock v:ext="edit" aspectratio="t"/>
                  <w10:wrap type="none"/>
                  <w10:anchorlock/>
                </v:shape>
                <o:OLEObject Type="Embed" ProgID="Equation.KSEE3" ShapeID="_x0000_i1034" DrawAspect="Content" ObjectID="_1468075734" r:id="rId33">
                  <o:LockedField>false</o:LockedField>
                </o:OLEObject>
              </w:object>
            </w:r>
          </w:p>
          <w:p w14:paraId="320A66C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式中：tj——在T时间内j声源工作时间，s；</w:t>
            </w:r>
          </w:p>
          <w:p w14:paraId="5415480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ti——在T时间内i声源工作时间，s；</w:t>
            </w:r>
          </w:p>
          <w:p w14:paraId="4F78A0FC">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T——用于计算等效声级的时间，s；</w:t>
            </w:r>
          </w:p>
          <w:p w14:paraId="61C4D41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N——室外声源个数；</w:t>
            </w:r>
          </w:p>
          <w:p w14:paraId="5709497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M——等效室外声源个数。</w:t>
            </w:r>
          </w:p>
          <w:p w14:paraId="1A53AB7A">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、预测结果评价</w:t>
            </w:r>
          </w:p>
          <w:p w14:paraId="16E633F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根据《环境影响评价技术导则—声环境》（HJ2.4-2021），本项目50m范围内无声环境保护目标，因此将全厂厂界作为预测点和评价点。</w:t>
            </w:r>
          </w:p>
          <w:p w14:paraId="0FED7A89">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项目运行期预测点噪声贡献值见下表：</w:t>
            </w:r>
          </w:p>
          <w:p w14:paraId="58737513">
            <w:pPr>
              <w:pStyle w:val="34"/>
              <w:rPr>
                <w:rFonts w:hint="default" w:ascii="Times New Roman" w:hAnsi="Times New Roman" w:cs="Times New Roman"/>
                <w:color w:val="auto"/>
                <w:szCs w:val="21"/>
                <w:highlight w:val="none"/>
              </w:rPr>
            </w:pPr>
            <w:r>
              <w:rPr>
                <w:rFonts w:hint="default" w:ascii="Times New Roman" w:hAnsi="Times New Roman" w:cs="Times New Roman"/>
                <w:color w:val="auto"/>
                <w:sz w:val="24"/>
                <w:szCs w:val="32"/>
                <w:highlight w:val="none"/>
              </w:rPr>
              <w:t>表4-</w:t>
            </w:r>
            <w:r>
              <w:rPr>
                <w:rFonts w:hint="default" w:ascii="Times New Roman" w:hAnsi="Times New Roman" w:cs="Times New Roman"/>
                <w:color w:val="auto"/>
                <w:sz w:val="24"/>
                <w:szCs w:val="32"/>
                <w:highlight w:val="none"/>
                <w:lang w:val="en-US" w:eastAsia="zh-CN"/>
              </w:rPr>
              <w:t>13</w:t>
            </w:r>
            <w:r>
              <w:rPr>
                <w:rFonts w:hint="default" w:ascii="Times New Roman" w:hAnsi="Times New Roman" w:cs="Times New Roman"/>
                <w:color w:val="auto"/>
                <w:sz w:val="24"/>
                <w:szCs w:val="32"/>
                <w:highlight w:val="none"/>
              </w:rPr>
              <w:t xml:space="preserve">  </w:t>
            </w:r>
            <w:r>
              <w:rPr>
                <w:rFonts w:hint="default" w:ascii="Times New Roman" w:hAnsi="Times New Roman" w:cs="Times New Roman"/>
                <w:color w:val="auto"/>
                <w:sz w:val="24"/>
                <w:szCs w:val="24"/>
                <w:highlight w:val="none"/>
              </w:rPr>
              <w:t>厂界噪声预测结果及达标判定一览表      单位dB（A）</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550"/>
              <w:gridCol w:w="1366"/>
              <w:gridCol w:w="2160"/>
              <w:gridCol w:w="1271"/>
              <w:gridCol w:w="928"/>
            </w:tblGrid>
            <w:tr w14:paraId="03BB5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vMerge w:val="restart"/>
                  <w:tcBorders>
                    <w:tl2br w:val="nil"/>
                    <w:tr2bl w:val="nil"/>
                  </w:tcBorders>
                  <w:vAlign w:val="center"/>
                </w:tcPr>
                <w:p w14:paraId="605F461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976" w:type="pct"/>
                  <w:vMerge w:val="restart"/>
                  <w:tcBorders>
                    <w:tl2br w:val="nil"/>
                    <w:tr2bl w:val="nil"/>
                  </w:tcBorders>
                  <w:vAlign w:val="center"/>
                </w:tcPr>
                <w:p w14:paraId="4211120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预测点</w:t>
                  </w:r>
                </w:p>
              </w:tc>
              <w:tc>
                <w:tcPr>
                  <w:tcW w:w="860" w:type="pct"/>
                  <w:tcBorders>
                    <w:tl2br w:val="nil"/>
                    <w:tr2bl w:val="nil"/>
                  </w:tcBorders>
                  <w:vAlign w:val="center"/>
                </w:tcPr>
                <w:p w14:paraId="23ECCA4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贡献值</w:t>
                  </w:r>
                </w:p>
              </w:tc>
              <w:tc>
                <w:tcPr>
                  <w:tcW w:w="1360" w:type="pct"/>
                  <w:tcBorders>
                    <w:tl2br w:val="nil"/>
                    <w:tr2bl w:val="nil"/>
                  </w:tcBorders>
                  <w:vAlign w:val="center"/>
                </w:tcPr>
                <w:p w14:paraId="4E186FF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（GB12348-2008）3类区标准</w:t>
                  </w:r>
                </w:p>
              </w:tc>
              <w:tc>
                <w:tcPr>
                  <w:tcW w:w="800" w:type="pct"/>
                  <w:tcBorders>
                    <w:tl2br w:val="nil"/>
                    <w:tr2bl w:val="nil"/>
                  </w:tcBorders>
                  <w:vAlign w:val="center"/>
                </w:tcPr>
                <w:p w14:paraId="1A8D1C3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超达标情况</w:t>
                  </w:r>
                </w:p>
              </w:tc>
              <w:tc>
                <w:tcPr>
                  <w:tcW w:w="584" w:type="pct"/>
                  <w:vMerge w:val="restart"/>
                  <w:tcBorders>
                    <w:tl2br w:val="nil"/>
                    <w:tr2bl w:val="nil"/>
                  </w:tcBorders>
                  <w:vAlign w:val="center"/>
                </w:tcPr>
                <w:p w14:paraId="32806BF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超标原因</w:t>
                  </w:r>
                </w:p>
              </w:tc>
            </w:tr>
            <w:tr w14:paraId="6E71B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vMerge w:val="continue"/>
                  <w:tcBorders>
                    <w:tl2br w:val="nil"/>
                    <w:tr2bl w:val="nil"/>
                  </w:tcBorders>
                  <w:vAlign w:val="center"/>
                </w:tcPr>
                <w:p w14:paraId="45B78C2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p>
              </w:tc>
              <w:tc>
                <w:tcPr>
                  <w:tcW w:w="976" w:type="pct"/>
                  <w:vMerge w:val="continue"/>
                  <w:tcBorders>
                    <w:tl2br w:val="nil"/>
                    <w:tr2bl w:val="nil"/>
                  </w:tcBorders>
                  <w:vAlign w:val="center"/>
                </w:tcPr>
                <w:p w14:paraId="2D888B6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p>
              </w:tc>
              <w:tc>
                <w:tcPr>
                  <w:tcW w:w="860" w:type="pct"/>
                  <w:tcBorders>
                    <w:tl2br w:val="nil"/>
                    <w:tr2bl w:val="nil"/>
                  </w:tcBorders>
                  <w:vAlign w:val="center"/>
                </w:tcPr>
                <w:p w14:paraId="6A5818E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1360" w:type="pct"/>
                  <w:tcBorders>
                    <w:tl2br w:val="nil"/>
                    <w:tr2bl w:val="nil"/>
                  </w:tcBorders>
                  <w:vAlign w:val="center"/>
                </w:tcPr>
                <w:p w14:paraId="50C10C4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昼间</w:t>
                  </w:r>
                </w:p>
              </w:tc>
              <w:tc>
                <w:tcPr>
                  <w:tcW w:w="800" w:type="pct"/>
                  <w:tcBorders>
                    <w:tl2br w:val="nil"/>
                    <w:tr2bl w:val="nil"/>
                  </w:tcBorders>
                  <w:vAlign w:val="center"/>
                </w:tcPr>
                <w:p w14:paraId="19009A8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昼间</w:t>
                  </w:r>
                </w:p>
              </w:tc>
              <w:tc>
                <w:tcPr>
                  <w:tcW w:w="584" w:type="pct"/>
                  <w:vMerge w:val="continue"/>
                  <w:tcBorders>
                    <w:tl2br w:val="nil"/>
                    <w:tr2bl w:val="nil"/>
                  </w:tcBorders>
                  <w:vAlign w:val="center"/>
                </w:tcPr>
                <w:p w14:paraId="47359A6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kern w:val="2"/>
                      <w:highlight w:val="none"/>
                    </w:rPr>
                  </w:pPr>
                </w:p>
              </w:tc>
            </w:tr>
            <w:tr w14:paraId="2A14D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blHeader/>
                <w:jc w:val="center"/>
              </w:trPr>
              <w:tc>
                <w:tcPr>
                  <w:tcW w:w="420" w:type="pct"/>
                  <w:tcBorders>
                    <w:tl2br w:val="nil"/>
                    <w:tr2bl w:val="nil"/>
                  </w:tcBorders>
                  <w:vAlign w:val="center"/>
                </w:tcPr>
                <w:p w14:paraId="1CBE410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1</w:t>
                  </w:r>
                </w:p>
              </w:tc>
              <w:tc>
                <w:tcPr>
                  <w:tcW w:w="976" w:type="pct"/>
                  <w:tcBorders>
                    <w:tl2br w:val="nil"/>
                    <w:tr2bl w:val="nil"/>
                  </w:tcBorders>
                  <w:vAlign w:val="center"/>
                </w:tcPr>
                <w:p w14:paraId="49D1CD6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厂界东侧</w:t>
                  </w:r>
                </w:p>
              </w:tc>
              <w:tc>
                <w:tcPr>
                  <w:tcW w:w="860" w:type="pct"/>
                  <w:tcBorders>
                    <w:tl2br w:val="nil"/>
                    <w:tr2bl w:val="nil"/>
                  </w:tcBorders>
                  <w:vAlign w:val="center"/>
                </w:tcPr>
                <w:p w14:paraId="10C2188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58.4</w:t>
                  </w:r>
                </w:p>
              </w:tc>
              <w:tc>
                <w:tcPr>
                  <w:tcW w:w="1360" w:type="pct"/>
                  <w:vMerge w:val="restart"/>
                  <w:tcBorders>
                    <w:tl2br w:val="nil"/>
                    <w:tr2bl w:val="nil"/>
                  </w:tcBorders>
                  <w:vAlign w:val="center"/>
                </w:tcPr>
                <w:p w14:paraId="0132BAC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65</w:t>
                  </w:r>
                </w:p>
              </w:tc>
              <w:tc>
                <w:tcPr>
                  <w:tcW w:w="800" w:type="pct"/>
                  <w:tcBorders>
                    <w:tl2br w:val="nil"/>
                    <w:tr2bl w:val="nil"/>
                  </w:tcBorders>
                  <w:vAlign w:val="center"/>
                </w:tcPr>
                <w:p w14:paraId="1234E4D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达标</w:t>
                  </w:r>
                </w:p>
              </w:tc>
              <w:tc>
                <w:tcPr>
                  <w:tcW w:w="584" w:type="pct"/>
                  <w:tcBorders>
                    <w:tl2br w:val="nil"/>
                    <w:tr2bl w:val="nil"/>
                  </w:tcBorders>
                  <w:vAlign w:val="center"/>
                </w:tcPr>
                <w:p w14:paraId="123C304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w:t>
                  </w:r>
                </w:p>
              </w:tc>
            </w:tr>
            <w:tr w14:paraId="389D5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tcBorders>
                    <w:tl2br w:val="nil"/>
                    <w:tr2bl w:val="nil"/>
                  </w:tcBorders>
                  <w:vAlign w:val="center"/>
                </w:tcPr>
                <w:p w14:paraId="7BC1519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2</w:t>
                  </w:r>
                </w:p>
              </w:tc>
              <w:tc>
                <w:tcPr>
                  <w:tcW w:w="976" w:type="pct"/>
                  <w:tcBorders>
                    <w:tl2br w:val="nil"/>
                    <w:tr2bl w:val="nil"/>
                  </w:tcBorders>
                  <w:vAlign w:val="center"/>
                </w:tcPr>
                <w:p w14:paraId="426310B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厂界西侧</w:t>
                  </w:r>
                </w:p>
              </w:tc>
              <w:tc>
                <w:tcPr>
                  <w:tcW w:w="860" w:type="pct"/>
                  <w:tcBorders>
                    <w:tl2br w:val="nil"/>
                    <w:tr2bl w:val="nil"/>
                  </w:tcBorders>
                  <w:vAlign w:val="center"/>
                </w:tcPr>
                <w:p w14:paraId="6D840C7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56.4</w:t>
                  </w:r>
                </w:p>
              </w:tc>
              <w:tc>
                <w:tcPr>
                  <w:tcW w:w="1360" w:type="pct"/>
                  <w:vMerge w:val="continue"/>
                  <w:tcBorders>
                    <w:tl2br w:val="nil"/>
                    <w:tr2bl w:val="nil"/>
                  </w:tcBorders>
                  <w:vAlign w:val="center"/>
                </w:tcPr>
                <w:p w14:paraId="7DDF644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p>
              </w:tc>
              <w:tc>
                <w:tcPr>
                  <w:tcW w:w="800" w:type="pct"/>
                  <w:tcBorders>
                    <w:tl2br w:val="nil"/>
                    <w:tr2bl w:val="nil"/>
                  </w:tcBorders>
                  <w:vAlign w:val="center"/>
                </w:tcPr>
                <w:p w14:paraId="7E18095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达标</w:t>
                  </w:r>
                </w:p>
              </w:tc>
              <w:tc>
                <w:tcPr>
                  <w:tcW w:w="584" w:type="pct"/>
                  <w:tcBorders>
                    <w:tl2br w:val="nil"/>
                    <w:tr2bl w:val="nil"/>
                  </w:tcBorders>
                  <w:vAlign w:val="center"/>
                </w:tcPr>
                <w:p w14:paraId="7B2AEB9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w:t>
                  </w:r>
                </w:p>
              </w:tc>
            </w:tr>
            <w:tr w14:paraId="2B6FC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tcBorders>
                    <w:tl2br w:val="nil"/>
                    <w:tr2bl w:val="nil"/>
                  </w:tcBorders>
                  <w:vAlign w:val="center"/>
                </w:tcPr>
                <w:p w14:paraId="074C791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3</w:t>
                  </w:r>
                </w:p>
              </w:tc>
              <w:tc>
                <w:tcPr>
                  <w:tcW w:w="976" w:type="pct"/>
                  <w:tcBorders>
                    <w:tl2br w:val="nil"/>
                    <w:tr2bl w:val="nil"/>
                  </w:tcBorders>
                  <w:vAlign w:val="center"/>
                </w:tcPr>
                <w:p w14:paraId="1BCEFAF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厂界南侧</w:t>
                  </w:r>
                </w:p>
              </w:tc>
              <w:tc>
                <w:tcPr>
                  <w:tcW w:w="860" w:type="pct"/>
                  <w:tcBorders>
                    <w:tl2br w:val="nil"/>
                    <w:tr2bl w:val="nil"/>
                  </w:tcBorders>
                  <w:vAlign w:val="center"/>
                </w:tcPr>
                <w:p w14:paraId="6E7DCC3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56.8</w:t>
                  </w:r>
                </w:p>
              </w:tc>
              <w:tc>
                <w:tcPr>
                  <w:tcW w:w="1360" w:type="pct"/>
                  <w:vMerge w:val="continue"/>
                  <w:tcBorders>
                    <w:tl2br w:val="nil"/>
                    <w:tr2bl w:val="nil"/>
                  </w:tcBorders>
                  <w:vAlign w:val="center"/>
                </w:tcPr>
                <w:p w14:paraId="6B110E1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p>
              </w:tc>
              <w:tc>
                <w:tcPr>
                  <w:tcW w:w="800" w:type="pct"/>
                  <w:tcBorders>
                    <w:tl2br w:val="nil"/>
                    <w:tr2bl w:val="nil"/>
                  </w:tcBorders>
                  <w:vAlign w:val="center"/>
                </w:tcPr>
                <w:p w14:paraId="0856383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达标</w:t>
                  </w:r>
                </w:p>
              </w:tc>
              <w:tc>
                <w:tcPr>
                  <w:tcW w:w="584" w:type="pct"/>
                  <w:tcBorders>
                    <w:tl2br w:val="nil"/>
                    <w:tr2bl w:val="nil"/>
                  </w:tcBorders>
                  <w:vAlign w:val="center"/>
                </w:tcPr>
                <w:p w14:paraId="6EB8325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w:t>
                  </w:r>
                </w:p>
              </w:tc>
            </w:tr>
            <w:tr w14:paraId="11C59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tcBorders>
                    <w:tl2br w:val="nil"/>
                    <w:tr2bl w:val="nil"/>
                  </w:tcBorders>
                  <w:vAlign w:val="center"/>
                </w:tcPr>
                <w:p w14:paraId="7B212F1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4</w:t>
                  </w:r>
                </w:p>
              </w:tc>
              <w:tc>
                <w:tcPr>
                  <w:tcW w:w="976" w:type="pct"/>
                  <w:tcBorders>
                    <w:tl2br w:val="nil"/>
                    <w:tr2bl w:val="nil"/>
                  </w:tcBorders>
                  <w:vAlign w:val="center"/>
                </w:tcPr>
                <w:p w14:paraId="431788D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厂界北侧</w:t>
                  </w:r>
                </w:p>
              </w:tc>
              <w:tc>
                <w:tcPr>
                  <w:tcW w:w="860" w:type="pct"/>
                  <w:tcBorders>
                    <w:tl2br w:val="nil"/>
                    <w:tr2bl w:val="nil"/>
                  </w:tcBorders>
                  <w:vAlign w:val="center"/>
                </w:tcPr>
                <w:p w14:paraId="78E8E4F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55.3</w:t>
                  </w:r>
                </w:p>
              </w:tc>
              <w:tc>
                <w:tcPr>
                  <w:tcW w:w="1360" w:type="pct"/>
                  <w:vMerge w:val="continue"/>
                  <w:tcBorders>
                    <w:tl2br w:val="nil"/>
                    <w:tr2bl w:val="nil"/>
                  </w:tcBorders>
                  <w:vAlign w:val="center"/>
                </w:tcPr>
                <w:p w14:paraId="19A58BB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p>
              </w:tc>
              <w:tc>
                <w:tcPr>
                  <w:tcW w:w="800" w:type="pct"/>
                  <w:tcBorders>
                    <w:tl2br w:val="nil"/>
                    <w:tr2bl w:val="nil"/>
                  </w:tcBorders>
                  <w:vAlign w:val="center"/>
                </w:tcPr>
                <w:p w14:paraId="7EECA76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达标</w:t>
                  </w:r>
                </w:p>
              </w:tc>
              <w:tc>
                <w:tcPr>
                  <w:tcW w:w="584" w:type="pct"/>
                  <w:tcBorders>
                    <w:tl2br w:val="nil"/>
                    <w:tr2bl w:val="nil"/>
                  </w:tcBorders>
                  <w:vAlign w:val="center"/>
                </w:tcPr>
                <w:p w14:paraId="57DE99F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w:t>
                  </w:r>
                </w:p>
              </w:tc>
            </w:tr>
          </w:tbl>
          <w:p w14:paraId="640A602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本项目夜间不生产，综上，项目运营期各厂界昼间噪声排放满足《工业企业厂界环境噪声排放标准》（GB12348-2008）3类标准，项目的建设不会改变区域声环境功能。</w:t>
            </w:r>
          </w:p>
          <w:p w14:paraId="7D18E055">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、噪声污染防治措施</w:t>
            </w:r>
          </w:p>
          <w:p w14:paraId="3E632759">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本项目的噪声源较少，主要为生产设备及风机等环保设备运行噪声，这些噪声源经相应的降噪措施处理后通过建筑物门窗、墙壁的吸收、屏蔽及围墙阻挡作用，将会大幅度地衰减。具体可采取的治理措施如下：</w:t>
            </w:r>
          </w:p>
          <w:p w14:paraId="7CE94E9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（1）选择低噪声设备：项目在满足工艺设计的前提下，尽量选用满足国际标准的低噪声、低振动型号的设备，降低噪声源强。</w:t>
            </w:r>
          </w:p>
          <w:p w14:paraId="1D788E6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（2）隔声、减震或加消声器：建设单位根据噪声产生的性质可分为机械运动噪声，根据其产生的性质和机理不同风机加装了消声器。</w:t>
            </w:r>
          </w:p>
          <w:p w14:paraId="34FB20F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（3）强化生产管理：确保降噪设施的有效运行，并加强对生产设备的保养、检修与润滑，保证设备处于良好的运转状态。</w:t>
            </w:r>
          </w:p>
          <w:p w14:paraId="212B812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（4）合理的车间布局：通过距离衰减使各厂界噪声达标。</w:t>
            </w:r>
          </w:p>
          <w:p w14:paraId="1D05EF6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（5）厂界设置围墙：本项目厂界四周设置约2m高的砖混结构围墙，可作为声屏障起到隔声降噪作用。</w:t>
            </w:r>
          </w:p>
          <w:p w14:paraId="07BE64DE">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经上述治理措施后，可满足保护操作工人的身心健康需要，加上围墙隔音及距离衰减，能够做到厂界噪声达标排放。</w:t>
            </w:r>
          </w:p>
          <w:p w14:paraId="2E304455">
            <w:pPr>
              <w:pStyle w:val="5"/>
              <w:adjustRightInd w:val="0"/>
              <w:snapToGrid w:val="0"/>
              <w:spacing w:before="0" w:after="0" w:line="360" w:lineRule="auto"/>
              <w:ind w:firstLine="482"/>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、噪声环境监测计划</w:t>
            </w:r>
          </w:p>
          <w:p w14:paraId="0CBA46C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根据《排污许可证申清与核发技术规范</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工业噪声》(H</w:t>
            </w:r>
            <w:r>
              <w:rPr>
                <w:rFonts w:hint="eastAsia" w:cs="Times New Roman"/>
                <w:color w:val="auto"/>
                <w:sz w:val="24"/>
                <w:highlight w:val="none"/>
                <w:lang w:val="en-US" w:eastAsia="zh-CN"/>
              </w:rPr>
              <w:t>J</w:t>
            </w:r>
            <w:r>
              <w:rPr>
                <w:rFonts w:hint="default" w:ascii="Times New Roman" w:hAnsi="Times New Roman" w:cs="Times New Roman"/>
                <w:color w:val="auto"/>
                <w:sz w:val="24"/>
                <w:highlight w:val="none"/>
              </w:rPr>
              <w:t>1301-2023)中相关要求，制定本项目噪声监测计划，具体见下表所示。</w:t>
            </w:r>
          </w:p>
          <w:p w14:paraId="6138ED5E">
            <w:pPr>
              <w:pStyle w:val="34"/>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表4-</w:t>
            </w:r>
            <w:r>
              <w:rPr>
                <w:rFonts w:hint="default" w:ascii="Times New Roman" w:hAnsi="Times New Roman" w:cs="Times New Roman"/>
                <w:color w:val="auto"/>
                <w:sz w:val="24"/>
                <w:szCs w:val="32"/>
                <w:highlight w:val="none"/>
                <w:lang w:val="en-US" w:eastAsia="zh-CN"/>
              </w:rPr>
              <w:t>14</w:t>
            </w:r>
            <w:r>
              <w:rPr>
                <w:rFonts w:hint="default" w:ascii="Times New Roman" w:hAnsi="Times New Roman" w:cs="Times New Roman"/>
                <w:color w:val="auto"/>
                <w:sz w:val="24"/>
                <w:szCs w:val="32"/>
                <w:highlight w:val="none"/>
              </w:rPr>
              <w:t xml:space="preserve"> 本项目噪声环境监测计划一览表</w:t>
            </w:r>
          </w:p>
          <w:tbl>
            <w:tblPr>
              <w:tblStyle w:val="25"/>
              <w:tblW w:w="79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210"/>
              <w:gridCol w:w="1476"/>
              <w:gridCol w:w="1499"/>
              <w:gridCol w:w="2980"/>
            </w:tblGrid>
            <w:tr w14:paraId="2C084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tcBorders>
                    <w:tl2br w:val="nil"/>
                    <w:tr2bl w:val="nil"/>
                  </w:tcBorders>
                  <w:vAlign w:val="center"/>
                </w:tcPr>
                <w:p w14:paraId="5FF7232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761" w:type="pct"/>
                  <w:tcBorders>
                    <w:tl2br w:val="nil"/>
                    <w:tr2bl w:val="nil"/>
                  </w:tcBorders>
                  <w:vAlign w:val="center"/>
                </w:tcPr>
                <w:p w14:paraId="270BD67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928" w:type="pct"/>
                  <w:tcBorders>
                    <w:tl2br w:val="nil"/>
                    <w:tr2bl w:val="nil"/>
                  </w:tcBorders>
                  <w:shd w:val="clear" w:color="auto" w:fill="auto"/>
                  <w:vAlign w:val="center"/>
                </w:tcPr>
                <w:p w14:paraId="0C2EC05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eastAsia="宋体" w:cs="Times New Roman"/>
                      <w:b/>
                      <w:color w:val="auto"/>
                      <w:kern w:val="0"/>
                      <w:sz w:val="21"/>
                      <w:szCs w:val="20"/>
                      <w:highlight w:val="none"/>
                      <w:lang w:val="en-US" w:eastAsia="zh-CN" w:bidi="ar-SA"/>
                    </w:rPr>
                  </w:pPr>
                  <w:r>
                    <w:rPr>
                      <w:rFonts w:hint="default" w:ascii="Times New Roman" w:hAnsi="Times New Roman" w:cs="Times New Roman"/>
                      <w:color w:val="auto"/>
                      <w:highlight w:val="none"/>
                    </w:rPr>
                    <w:t>监测因子</w:t>
                  </w:r>
                </w:p>
              </w:tc>
              <w:tc>
                <w:tcPr>
                  <w:tcW w:w="943" w:type="pct"/>
                  <w:tcBorders>
                    <w:tl2br w:val="nil"/>
                    <w:tr2bl w:val="nil"/>
                  </w:tcBorders>
                  <w:shd w:val="clear" w:color="auto" w:fill="auto"/>
                  <w:vAlign w:val="center"/>
                </w:tcPr>
                <w:p w14:paraId="0F4C12E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eastAsia="宋体" w:cs="Times New Roman"/>
                      <w:b/>
                      <w:color w:val="auto"/>
                      <w:kern w:val="0"/>
                      <w:sz w:val="21"/>
                      <w:szCs w:val="20"/>
                      <w:highlight w:val="none"/>
                      <w:lang w:val="en-US" w:eastAsia="zh-CN" w:bidi="ar-SA"/>
                    </w:rPr>
                  </w:pPr>
                  <w:r>
                    <w:rPr>
                      <w:rFonts w:hint="default" w:ascii="Times New Roman" w:hAnsi="Times New Roman" w:cs="Times New Roman"/>
                      <w:color w:val="auto"/>
                      <w:highlight w:val="none"/>
                    </w:rPr>
                    <w:t>监测频次</w:t>
                  </w:r>
                </w:p>
              </w:tc>
              <w:tc>
                <w:tcPr>
                  <w:tcW w:w="1874" w:type="pct"/>
                  <w:tcBorders>
                    <w:tl2br w:val="nil"/>
                    <w:tr2bl w:val="nil"/>
                  </w:tcBorders>
                  <w:vAlign w:val="center"/>
                </w:tcPr>
                <w:p w14:paraId="6FF5BF9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执行标准</w:t>
                  </w:r>
                </w:p>
              </w:tc>
            </w:tr>
            <w:tr w14:paraId="6B433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tcBorders>
                    <w:tl2br w:val="nil"/>
                    <w:tr2bl w:val="nil"/>
                  </w:tcBorders>
                  <w:vAlign w:val="center"/>
                </w:tcPr>
                <w:p w14:paraId="54FB6ED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噪声</w:t>
                  </w:r>
                </w:p>
              </w:tc>
              <w:tc>
                <w:tcPr>
                  <w:tcW w:w="761" w:type="pct"/>
                  <w:tcBorders>
                    <w:tl2br w:val="nil"/>
                    <w:tr2bl w:val="nil"/>
                  </w:tcBorders>
                  <w:vAlign w:val="center"/>
                </w:tcPr>
                <w:p w14:paraId="4CD8BB5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b w:val="0"/>
                      <w:bCs/>
                      <w:color w:val="auto"/>
                      <w:highlight w:val="none"/>
                    </w:rPr>
                    <w:t>厂区四周，界外</w:t>
                  </w:r>
                  <w:r>
                    <w:rPr>
                      <w:rFonts w:hint="default" w:ascii="Times New Roman" w:hAnsi="Times New Roman" w:cs="Times New Roman"/>
                      <w:b w:val="0"/>
                      <w:bCs/>
                      <w:color w:val="auto"/>
                      <w:highlight w:val="none"/>
                      <w:lang w:val="en-US" w:eastAsia="zh-CN"/>
                    </w:rPr>
                    <w:t>1m</w:t>
                  </w:r>
                </w:p>
              </w:tc>
              <w:tc>
                <w:tcPr>
                  <w:tcW w:w="928" w:type="pct"/>
                  <w:tcBorders>
                    <w:tl2br w:val="nil"/>
                    <w:tr2bl w:val="nil"/>
                  </w:tcBorders>
                  <w:shd w:val="clear" w:color="auto" w:fill="auto"/>
                  <w:vAlign w:val="center"/>
                </w:tcPr>
                <w:p w14:paraId="31972AF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eastAsia="宋体" w:cs="Times New Roman"/>
                      <w:b w:val="0"/>
                      <w:bCs/>
                      <w:color w:val="auto"/>
                      <w:kern w:val="0"/>
                      <w:sz w:val="21"/>
                      <w:szCs w:val="20"/>
                      <w:highlight w:val="none"/>
                      <w:lang w:val="en-US" w:eastAsia="zh-CN" w:bidi="ar-SA"/>
                    </w:rPr>
                  </w:pPr>
                  <w:r>
                    <w:rPr>
                      <w:rFonts w:hint="default" w:ascii="Times New Roman" w:hAnsi="Times New Roman" w:cs="Times New Roman"/>
                      <w:b w:val="0"/>
                      <w:bCs/>
                      <w:color w:val="auto"/>
                      <w:highlight w:val="none"/>
                    </w:rPr>
                    <w:t>连续等效声级eq(A)</w:t>
                  </w:r>
                </w:p>
              </w:tc>
              <w:tc>
                <w:tcPr>
                  <w:tcW w:w="943" w:type="pct"/>
                  <w:tcBorders>
                    <w:tl2br w:val="nil"/>
                    <w:tr2bl w:val="nil"/>
                  </w:tcBorders>
                  <w:shd w:val="clear" w:color="auto" w:fill="auto"/>
                  <w:vAlign w:val="center"/>
                </w:tcPr>
                <w:p w14:paraId="57E1D02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eastAsia="宋体" w:cs="Times New Roman"/>
                      <w:b w:val="0"/>
                      <w:bCs/>
                      <w:color w:val="auto"/>
                      <w:kern w:val="0"/>
                      <w:sz w:val="21"/>
                      <w:szCs w:val="20"/>
                      <w:highlight w:val="none"/>
                      <w:lang w:val="en-US" w:eastAsia="zh-CN" w:bidi="ar-SA"/>
                    </w:rPr>
                  </w:pPr>
                  <w:r>
                    <w:rPr>
                      <w:rFonts w:hint="default" w:ascii="Times New Roman" w:hAnsi="Times New Roman" w:cs="Times New Roman"/>
                      <w:b w:val="0"/>
                      <w:bCs/>
                      <w:color w:val="auto"/>
                      <w:highlight w:val="none"/>
                    </w:rPr>
                    <w:t>1次/季</w:t>
                  </w:r>
                </w:p>
              </w:tc>
              <w:tc>
                <w:tcPr>
                  <w:tcW w:w="1874" w:type="pct"/>
                  <w:tcBorders>
                    <w:tl2br w:val="nil"/>
                    <w:tr2bl w:val="nil"/>
                  </w:tcBorders>
                  <w:vAlign w:val="center"/>
                </w:tcPr>
                <w:p w14:paraId="7840B46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《工业企业厂界环境噪声排放标准》（GB12348-2008）</w:t>
                  </w:r>
                </w:p>
                <w:p w14:paraId="745FC41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color w:val="auto"/>
                      <w:highlight w:val="none"/>
                    </w:rPr>
                  </w:pPr>
                  <w:r>
                    <w:rPr>
                      <w:rFonts w:hint="default" w:ascii="Times New Roman" w:hAnsi="Times New Roman" w:cs="Times New Roman"/>
                      <w:b w:val="0"/>
                      <w:bCs/>
                      <w:color w:val="auto"/>
                      <w:highlight w:val="none"/>
                      <w:lang w:val="en-US" w:eastAsia="zh-CN"/>
                    </w:rPr>
                    <w:t>3</w:t>
                  </w:r>
                  <w:r>
                    <w:rPr>
                      <w:rFonts w:hint="default" w:ascii="Times New Roman" w:hAnsi="Times New Roman" w:cs="Times New Roman"/>
                      <w:b w:val="0"/>
                      <w:bCs/>
                      <w:color w:val="auto"/>
                      <w:highlight w:val="none"/>
                    </w:rPr>
                    <w:t>类标准</w:t>
                  </w:r>
                </w:p>
              </w:tc>
            </w:tr>
          </w:tbl>
          <w:p w14:paraId="0C624A6C">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四</w:t>
            </w:r>
            <w:r>
              <w:rPr>
                <w:rFonts w:hint="default" w:ascii="Times New Roman" w:hAnsi="Times New Roman" w:cs="Times New Roman"/>
                <w:b/>
                <w:color w:val="auto"/>
                <w:sz w:val="24"/>
                <w:highlight w:val="none"/>
              </w:rPr>
              <w:t>、固体废物</w:t>
            </w:r>
          </w:p>
          <w:p w14:paraId="43B507C7">
            <w:pPr>
              <w:adjustRightInd w:val="0"/>
              <w:snapToGrid w:val="0"/>
              <w:spacing w:line="360" w:lineRule="auto"/>
              <w:ind w:firstLine="482" w:firstLineChars="200"/>
              <w:rPr>
                <w:rFonts w:hint="default" w:ascii="Times New Roman" w:hAnsi="Times New Roman" w:cs="Times New Roman"/>
                <w:b/>
                <w:bCs w:val="0"/>
                <w:color w:val="auto"/>
                <w:sz w:val="24"/>
                <w:highlight w:val="none"/>
                <w:lang w:val="en-US" w:eastAsia="zh-CN"/>
              </w:rPr>
            </w:pPr>
            <w:r>
              <w:rPr>
                <w:rFonts w:hint="default" w:ascii="Times New Roman" w:hAnsi="Times New Roman" w:cs="Times New Roman"/>
                <w:b/>
                <w:bCs w:val="0"/>
                <w:color w:val="auto"/>
                <w:sz w:val="24"/>
                <w:highlight w:val="none"/>
                <w:lang w:val="en-US" w:eastAsia="zh-CN"/>
              </w:rPr>
              <w:t>1、固体废物源强分析</w:t>
            </w:r>
          </w:p>
          <w:p w14:paraId="6597742D">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本项目固体废物主要包括员工的生活垃圾、废包装材料、</w:t>
            </w:r>
            <w:r>
              <w:rPr>
                <w:rFonts w:hint="default" w:ascii="Times New Roman" w:hAnsi="Times New Roman" w:cs="Times New Roman"/>
                <w:bCs/>
                <w:color w:val="auto"/>
                <w:sz w:val="24"/>
                <w:highlight w:val="none"/>
                <w:lang w:val="en-US" w:eastAsia="zh-CN"/>
              </w:rPr>
              <w:t>玻璃边角料、不合格品</w:t>
            </w:r>
            <w:r>
              <w:rPr>
                <w:rFonts w:hint="default" w:ascii="Times New Roman" w:hAnsi="Times New Roman" w:cs="Times New Roman"/>
                <w:bCs/>
                <w:color w:val="auto"/>
                <w:sz w:val="24"/>
                <w:highlight w:val="none"/>
              </w:rPr>
              <w:t>、玻璃沉渣、废PVB胶片、铝合金边角料、废胶桶、废</w:t>
            </w:r>
            <w:r>
              <w:rPr>
                <w:rFonts w:hint="default" w:ascii="Times New Roman" w:hAnsi="Times New Roman" w:cs="Times New Roman"/>
                <w:bCs/>
                <w:color w:val="auto"/>
                <w:sz w:val="24"/>
                <w:highlight w:val="none"/>
                <w:lang w:val="en-US" w:eastAsia="zh-CN"/>
              </w:rPr>
              <w:t>机油</w:t>
            </w:r>
            <w:r>
              <w:rPr>
                <w:rFonts w:hint="default" w:ascii="Times New Roman" w:hAnsi="Times New Roman" w:cs="Times New Roman"/>
                <w:bCs/>
                <w:color w:val="auto"/>
                <w:sz w:val="24"/>
                <w:highlight w:val="none"/>
              </w:rPr>
              <w:t>、废</w:t>
            </w:r>
            <w:r>
              <w:rPr>
                <w:rFonts w:hint="default" w:ascii="Times New Roman" w:hAnsi="Times New Roman" w:cs="Times New Roman"/>
                <w:bCs/>
                <w:color w:val="auto"/>
                <w:sz w:val="24"/>
                <w:highlight w:val="none"/>
                <w:lang w:val="en-US" w:eastAsia="zh-CN"/>
              </w:rPr>
              <w:t>机油桶</w:t>
            </w:r>
            <w:r>
              <w:rPr>
                <w:rFonts w:hint="default" w:ascii="Times New Roman" w:hAnsi="Times New Roman" w:cs="Times New Roman"/>
                <w:bCs/>
                <w:color w:val="auto"/>
                <w:sz w:val="24"/>
                <w:highlight w:val="none"/>
              </w:rPr>
              <w:t>、废活性炭等。</w:t>
            </w:r>
          </w:p>
          <w:p w14:paraId="3C487F94">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（1）生活垃圾</w:t>
            </w:r>
          </w:p>
          <w:p w14:paraId="44531480">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本项目员工人数</w:t>
            </w:r>
            <w:r>
              <w:rPr>
                <w:rFonts w:hint="default" w:ascii="Times New Roman" w:hAnsi="Times New Roman" w:cs="Times New Roman"/>
                <w:bCs/>
                <w:color w:val="auto"/>
                <w:sz w:val="24"/>
                <w:highlight w:val="none"/>
                <w:lang w:val="en-US" w:eastAsia="zh-CN"/>
              </w:rPr>
              <w:t>20</w:t>
            </w:r>
            <w:r>
              <w:rPr>
                <w:rFonts w:hint="default" w:ascii="Times New Roman" w:hAnsi="Times New Roman" w:cs="Times New Roman"/>
                <w:bCs/>
                <w:color w:val="auto"/>
                <w:sz w:val="24"/>
                <w:highlight w:val="none"/>
              </w:rPr>
              <w:t>人，年工作日为</w:t>
            </w:r>
            <w:r>
              <w:rPr>
                <w:rFonts w:hint="default" w:ascii="Times New Roman" w:hAnsi="Times New Roman" w:cs="Times New Roman"/>
                <w:bCs/>
                <w:color w:val="auto"/>
                <w:sz w:val="24"/>
                <w:highlight w:val="none"/>
                <w:lang w:val="en-US" w:eastAsia="zh-CN"/>
              </w:rPr>
              <w:t>300</w:t>
            </w:r>
            <w:r>
              <w:rPr>
                <w:rFonts w:hint="default" w:ascii="Times New Roman" w:hAnsi="Times New Roman" w:cs="Times New Roman"/>
                <w:bCs/>
                <w:color w:val="auto"/>
                <w:sz w:val="24"/>
                <w:highlight w:val="none"/>
              </w:rPr>
              <w:t>天，根据我国生活污染物排放系数，不住厂的生活垃圾按每人每天0.5kg/人·d计算，则项目生活垃圾产生量为</w:t>
            </w:r>
            <w:r>
              <w:rPr>
                <w:rFonts w:hint="default"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rPr>
              <w:t>t/a。生活垃圾交由环卫部门统一收集处置。</w:t>
            </w:r>
          </w:p>
          <w:p w14:paraId="0E11B717">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kern w:val="2"/>
                <w:sz w:val="24"/>
                <w:szCs w:val="24"/>
                <w:highlight w:val="none"/>
                <w:lang w:val="en-US" w:eastAsia="zh-CN" w:bidi="ar-SA"/>
              </w:rPr>
              <w:t>（2）</w:t>
            </w:r>
            <w:r>
              <w:rPr>
                <w:rFonts w:hint="default" w:ascii="Times New Roman" w:hAnsi="Times New Roman" w:cs="Times New Roman"/>
                <w:bCs/>
                <w:color w:val="auto"/>
                <w:sz w:val="24"/>
                <w:highlight w:val="none"/>
              </w:rPr>
              <w:t>废包装材料</w:t>
            </w:r>
          </w:p>
          <w:p w14:paraId="10DB4E19">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项目部分原料采用箱装，会产生一定量的废包装材料，</w:t>
            </w:r>
            <w:r>
              <w:rPr>
                <w:rFonts w:hint="default" w:ascii="Times New Roman" w:hAnsi="Times New Roman" w:cs="Times New Roman"/>
                <w:bCs/>
                <w:color w:val="auto"/>
                <w:sz w:val="24"/>
                <w:highlight w:val="none"/>
                <w:lang w:val="en-US" w:eastAsia="zh-CN"/>
              </w:rPr>
              <w:t>根据建设单位提供资料，</w:t>
            </w:r>
            <w:r>
              <w:rPr>
                <w:rFonts w:hint="default" w:ascii="Times New Roman" w:hAnsi="Times New Roman" w:cs="Times New Roman"/>
                <w:bCs/>
                <w:color w:val="auto"/>
                <w:sz w:val="24"/>
                <w:highlight w:val="none"/>
              </w:rPr>
              <w:t>产生量约0.2</w:t>
            </w:r>
            <w:r>
              <w:rPr>
                <w:rFonts w:hint="default" w:ascii="Times New Roman" w:hAnsi="Times New Roman" w:cs="Times New Roman"/>
                <w:bCs/>
                <w:color w:val="auto"/>
                <w:sz w:val="24"/>
                <w:highlight w:val="none"/>
                <w:lang w:val="en-US" w:eastAsia="zh-CN"/>
              </w:rPr>
              <w:t>t/a</w:t>
            </w:r>
            <w:r>
              <w:rPr>
                <w:rFonts w:hint="default" w:ascii="Times New Roman" w:hAnsi="Times New Roman" w:cs="Times New Roman"/>
                <w:bCs/>
                <w:color w:val="auto"/>
                <w:sz w:val="24"/>
                <w:highlight w:val="none"/>
              </w:rPr>
              <w:t>，收集后放置一般固废库内，外售处置。</w:t>
            </w:r>
          </w:p>
          <w:p w14:paraId="400B99C9">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玻璃边角料、不合格品</w:t>
            </w:r>
            <w:r>
              <w:rPr>
                <w:rFonts w:hint="default" w:ascii="Times New Roman" w:hAnsi="Times New Roman" w:cs="Times New Roman"/>
                <w:bCs/>
                <w:color w:val="auto"/>
                <w:sz w:val="24"/>
                <w:highlight w:val="none"/>
              </w:rPr>
              <w:t>、玻璃沉渣</w:t>
            </w:r>
          </w:p>
          <w:p w14:paraId="4FB65702">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项目玻璃加工过程中会产生一定量的玻璃废料，根据建设单位提供资料，废品率约占产品产量的</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%，则产生量为</w:t>
            </w:r>
            <w:r>
              <w:rPr>
                <w:rFonts w:hint="default" w:ascii="Times New Roman" w:hAnsi="Times New Roman" w:cs="Times New Roman"/>
                <w:bCs/>
                <w:color w:val="auto"/>
                <w:sz w:val="24"/>
                <w:highlight w:val="none"/>
                <w:lang w:val="en-US" w:eastAsia="zh-CN"/>
              </w:rPr>
              <w:t>1.5</w:t>
            </w:r>
            <w:r>
              <w:rPr>
                <w:rFonts w:hint="default" w:ascii="Times New Roman" w:hAnsi="Times New Roman" w:cs="Times New Roman"/>
                <w:bCs/>
                <w:color w:val="auto"/>
                <w:sz w:val="24"/>
                <w:highlight w:val="none"/>
              </w:rPr>
              <w:t>万m</w:t>
            </w:r>
            <w:r>
              <w:rPr>
                <w:rFonts w:hint="default" w:ascii="Times New Roman" w:hAnsi="Times New Roman" w:cs="Times New Roman"/>
                <w:bCs/>
                <w:color w:val="auto"/>
                <w:sz w:val="24"/>
                <w:highlight w:val="none"/>
                <w:vertAlign w:val="superscript"/>
                <w:lang w:val="en-US" w:eastAsia="zh-CN"/>
              </w:rPr>
              <w:t>2</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一平方玻璃重量按20kg计，则玻璃废品、玻璃沉渣产生量为</w:t>
            </w:r>
            <w:r>
              <w:rPr>
                <w:rFonts w:hint="default" w:ascii="Times New Roman" w:hAnsi="Times New Roman" w:cs="Times New Roman"/>
                <w:bCs/>
                <w:color w:val="auto"/>
                <w:sz w:val="24"/>
                <w:highlight w:val="none"/>
                <w:lang w:val="en-US" w:eastAsia="zh-CN"/>
              </w:rPr>
              <w:t>300</w:t>
            </w:r>
            <w:r>
              <w:rPr>
                <w:rFonts w:hint="default" w:ascii="Times New Roman" w:hAnsi="Times New Roman" w:cs="Times New Roman"/>
                <w:bCs/>
                <w:color w:val="auto"/>
                <w:sz w:val="24"/>
                <w:highlight w:val="none"/>
              </w:rPr>
              <w:t>t/a</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收集后放置一般固废库内，外售处置。</w:t>
            </w:r>
          </w:p>
          <w:p w14:paraId="79809487">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kern w:val="2"/>
                <w:sz w:val="24"/>
                <w:szCs w:val="24"/>
                <w:highlight w:val="none"/>
                <w:lang w:val="en-US" w:eastAsia="zh-CN" w:bidi="ar-SA"/>
              </w:rPr>
              <w:t>（4）</w:t>
            </w:r>
            <w:r>
              <w:rPr>
                <w:rFonts w:hint="default" w:ascii="Times New Roman" w:hAnsi="Times New Roman" w:cs="Times New Roman"/>
                <w:bCs/>
                <w:color w:val="auto"/>
                <w:sz w:val="24"/>
                <w:highlight w:val="none"/>
              </w:rPr>
              <w:t>废PVB胶片</w:t>
            </w:r>
          </w:p>
          <w:p w14:paraId="48271C27">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根据建设单位提供资料，本项目PVB胶片用量为</w:t>
            </w:r>
            <w:r>
              <w:rPr>
                <w:rFonts w:hint="default" w:ascii="Times New Roman" w:hAnsi="Times New Roman" w:cs="Times New Roman"/>
                <w:bCs/>
                <w:color w:val="auto"/>
                <w:sz w:val="24"/>
                <w:highlight w:val="none"/>
                <w:lang w:val="en-US" w:eastAsia="zh-CN"/>
              </w:rPr>
              <w:t>22.86</w:t>
            </w:r>
            <w:r>
              <w:rPr>
                <w:rFonts w:hint="default" w:ascii="Times New Roman" w:hAnsi="Times New Roman" w:cs="Times New Roman"/>
                <w:bCs/>
                <w:color w:val="auto"/>
                <w:sz w:val="24"/>
                <w:highlight w:val="none"/>
              </w:rPr>
              <w:t>t/a</w:t>
            </w:r>
            <w:r>
              <w:rPr>
                <w:rFonts w:hint="default" w:ascii="Times New Roman" w:hAnsi="Times New Roman" w:cs="Times New Roman"/>
                <w:bCs/>
                <w:color w:val="auto"/>
                <w:sz w:val="24"/>
                <w:highlight w:val="none"/>
                <w:lang w:eastAsia="zh-CN"/>
              </w:rPr>
              <w:t>，实际生产中可能增加5%-10%的损耗余量，</w:t>
            </w:r>
            <w:r>
              <w:rPr>
                <w:rFonts w:hint="default" w:ascii="Times New Roman" w:hAnsi="Times New Roman" w:cs="Times New Roman"/>
                <w:bCs/>
                <w:color w:val="auto"/>
                <w:sz w:val="24"/>
                <w:highlight w:val="none"/>
                <w:lang w:val="en-US" w:eastAsia="zh-CN"/>
              </w:rPr>
              <w:t>则</w:t>
            </w:r>
            <w:r>
              <w:rPr>
                <w:rFonts w:hint="default" w:ascii="Times New Roman" w:hAnsi="Times New Roman" w:cs="Times New Roman"/>
                <w:bCs/>
                <w:color w:val="auto"/>
                <w:sz w:val="24"/>
                <w:highlight w:val="none"/>
              </w:rPr>
              <w:t>废PVB胶片产生量为</w:t>
            </w:r>
            <w:r>
              <w:rPr>
                <w:rFonts w:hint="default" w:ascii="Times New Roman" w:hAnsi="Times New Roman" w:cs="Times New Roman"/>
                <w:bCs/>
                <w:color w:val="auto"/>
                <w:sz w:val="24"/>
                <w:highlight w:val="none"/>
                <w:lang w:val="en-US" w:eastAsia="zh-CN"/>
              </w:rPr>
              <w:t>1.69</w:t>
            </w:r>
            <w:r>
              <w:rPr>
                <w:rFonts w:hint="default" w:ascii="Times New Roman" w:hAnsi="Times New Roman" w:cs="Times New Roman"/>
                <w:bCs/>
                <w:color w:val="auto"/>
                <w:sz w:val="24"/>
                <w:highlight w:val="none"/>
              </w:rPr>
              <w:t>t/a</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收集后放置一般固废库内，外售处置。</w:t>
            </w:r>
          </w:p>
          <w:p w14:paraId="194B7874">
            <w:pPr>
              <w:numPr>
                <w:ilvl w:val="0"/>
                <w:numId w:val="0"/>
              </w:numPr>
              <w:adjustRightInd w:val="0"/>
              <w:snapToGrid w:val="0"/>
              <w:spacing w:line="360" w:lineRule="auto"/>
              <w:ind w:left="0" w:leftChars="0" w:firstLine="482" w:firstLineChars="0"/>
              <w:rPr>
                <w:rFonts w:hint="default" w:ascii="Times New Roman" w:hAnsi="Times New Roman" w:cs="Times New Roman"/>
                <w:bCs/>
                <w:color w:val="auto"/>
                <w:sz w:val="24"/>
                <w:highlight w:val="none"/>
              </w:rPr>
            </w:pPr>
            <w:r>
              <w:rPr>
                <w:rFonts w:hint="default"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cs="Times New Roman"/>
                <w:bCs/>
                <w:color w:val="auto"/>
                <w:kern w:val="2"/>
                <w:sz w:val="24"/>
                <w:szCs w:val="24"/>
                <w:highlight w:val="none"/>
                <w:lang w:val="en-US" w:eastAsia="zh-CN" w:bidi="ar-SA"/>
              </w:rPr>
              <w:t>5</w:t>
            </w:r>
            <w:r>
              <w:rPr>
                <w:rFonts w:hint="default"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cs="Times New Roman"/>
                <w:bCs/>
                <w:color w:val="auto"/>
                <w:sz w:val="24"/>
                <w:highlight w:val="none"/>
              </w:rPr>
              <w:t>铝合金边角料</w:t>
            </w:r>
          </w:p>
          <w:p w14:paraId="07F88AA6">
            <w:pPr>
              <w:numPr>
                <w:ilvl w:val="0"/>
                <w:numId w:val="0"/>
              </w:numPr>
              <w:adjustRightInd w:val="0"/>
              <w:snapToGrid w:val="0"/>
              <w:spacing w:line="360" w:lineRule="auto"/>
              <w:ind w:left="0" w:leftChars="0" w:firstLine="482" w:firstLineChars="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根据建设单位提供资料，本项目铝合金型材年用量</w:t>
            </w:r>
            <w:r>
              <w:rPr>
                <w:rFonts w:hint="default" w:ascii="Times New Roman" w:hAnsi="Times New Roman" w:cs="Times New Roman"/>
                <w:bCs/>
                <w:color w:val="auto"/>
                <w:sz w:val="24"/>
                <w:highlight w:val="none"/>
                <w:lang w:val="en-US" w:eastAsia="zh-CN"/>
              </w:rPr>
              <w:t>3.8</w:t>
            </w:r>
            <w:r>
              <w:rPr>
                <w:rFonts w:hint="default" w:ascii="Times New Roman" w:hAnsi="Times New Roman" w:cs="Times New Roman"/>
                <w:bCs/>
                <w:color w:val="auto"/>
                <w:sz w:val="24"/>
                <w:highlight w:val="none"/>
              </w:rPr>
              <w:t>t/a</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铝合金边角料产生量为</w:t>
            </w:r>
            <w:r>
              <w:rPr>
                <w:rFonts w:hint="default" w:ascii="Times New Roman" w:hAnsi="Times New Roman" w:cs="Times New Roman"/>
                <w:bCs/>
                <w:color w:val="auto"/>
                <w:sz w:val="24"/>
                <w:highlight w:val="none"/>
                <w:lang w:val="en-US" w:eastAsia="zh-CN"/>
              </w:rPr>
              <w:t>0.4</w:t>
            </w:r>
            <w:r>
              <w:rPr>
                <w:rFonts w:hint="default" w:ascii="Times New Roman" w:hAnsi="Times New Roman" w:cs="Times New Roman"/>
                <w:bCs/>
                <w:color w:val="auto"/>
                <w:sz w:val="24"/>
                <w:highlight w:val="none"/>
              </w:rPr>
              <w:t>t/a</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收集后放置在一般固废库内，外售处置。</w:t>
            </w:r>
          </w:p>
          <w:p w14:paraId="3643063C">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kern w:val="2"/>
                <w:sz w:val="24"/>
                <w:szCs w:val="24"/>
                <w:highlight w:val="none"/>
                <w:lang w:val="en-US" w:eastAsia="zh-CN" w:bidi="ar-SA"/>
              </w:rPr>
              <w:t>（6）</w:t>
            </w:r>
            <w:r>
              <w:rPr>
                <w:rFonts w:hint="default" w:ascii="Times New Roman" w:hAnsi="Times New Roman" w:cs="Times New Roman"/>
                <w:bCs/>
                <w:color w:val="auto"/>
                <w:sz w:val="24"/>
                <w:highlight w:val="none"/>
              </w:rPr>
              <w:t>废胶桶、</w:t>
            </w:r>
            <w:r>
              <w:rPr>
                <w:rFonts w:hint="default" w:ascii="Times New Roman" w:hAnsi="Times New Roman" w:cs="Times New Roman"/>
                <w:bCs/>
                <w:color w:val="auto"/>
                <w:sz w:val="24"/>
                <w:highlight w:val="none"/>
                <w:lang w:eastAsia="zh-CN"/>
              </w:rPr>
              <w:t>废机油</w:t>
            </w:r>
            <w:r>
              <w:rPr>
                <w:rFonts w:hint="default" w:ascii="Times New Roman" w:hAnsi="Times New Roman" w:cs="Times New Roman"/>
                <w:bCs/>
                <w:color w:val="auto"/>
                <w:sz w:val="24"/>
                <w:highlight w:val="none"/>
              </w:rPr>
              <w:t>桶</w:t>
            </w:r>
          </w:p>
          <w:p w14:paraId="40FCBD2C">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项目双组份密封胶为桶装，在生产过程中会产生一定量的废胶桶，产生量约2t/a。根据《国家危险废物名录》(202</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年本)进行鉴别，以上废包装桶属于危险废物，其中废</w:t>
            </w:r>
            <w:r>
              <w:rPr>
                <w:rFonts w:hint="default" w:ascii="Times New Roman" w:hAnsi="Times New Roman" w:cs="Times New Roman"/>
                <w:bCs/>
                <w:color w:val="auto"/>
                <w:sz w:val="24"/>
                <w:highlight w:val="none"/>
                <w:lang w:val="en-US" w:eastAsia="zh-CN"/>
              </w:rPr>
              <w:t>机油</w:t>
            </w:r>
            <w:r>
              <w:rPr>
                <w:rFonts w:hint="default" w:ascii="Times New Roman" w:hAnsi="Times New Roman" w:cs="Times New Roman"/>
                <w:bCs/>
                <w:color w:val="auto"/>
                <w:sz w:val="24"/>
                <w:highlight w:val="none"/>
              </w:rPr>
              <w:t>油桶的废物类别为“HW08废矿物油与含矿物油废物”，废物代码为“900-249-08”，废胶桶类别为“HW49其他废物”，废物代码为“900-041-49”。</w:t>
            </w:r>
          </w:p>
          <w:p w14:paraId="40374EE6">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根据部长信箱2020.01.16《关于产品周转桶是否属于固体废物的咨询函》回复以及《固体废物鉴别标准通则》(GB34330-2017)</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本项目废胶桶、</w:t>
            </w:r>
            <w:r>
              <w:rPr>
                <w:rFonts w:hint="default" w:ascii="Times New Roman" w:hAnsi="Times New Roman" w:cs="Times New Roman"/>
                <w:bCs/>
                <w:color w:val="auto"/>
                <w:sz w:val="24"/>
                <w:highlight w:val="none"/>
                <w:lang w:eastAsia="zh-CN"/>
              </w:rPr>
              <w:t>废机油</w:t>
            </w:r>
            <w:r>
              <w:rPr>
                <w:rFonts w:hint="default" w:ascii="Times New Roman" w:hAnsi="Times New Roman" w:cs="Times New Roman"/>
                <w:bCs/>
                <w:color w:val="auto"/>
                <w:sz w:val="24"/>
                <w:highlight w:val="none"/>
              </w:rPr>
              <w:t>桶可直接由厂家定期回收重复利用，不作为固体废物管理。</w:t>
            </w:r>
          </w:p>
          <w:p w14:paraId="236EEAF9">
            <w:pPr>
              <w:numPr>
                <w:ilvl w:val="0"/>
                <w:numId w:val="0"/>
              </w:numPr>
              <w:adjustRightInd w:val="0"/>
              <w:snapToGrid w:val="0"/>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kern w:val="2"/>
                <w:sz w:val="24"/>
                <w:szCs w:val="24"/>
                <w:highlight w:val="none"/>
                <w:lang w:val="en-US" w:eastAsia="zh-CN" w:bidi="ar-SA"/>
              </w:rPr>
              <w:t>（7）</w:t>
            </w:r>
            <w:r>
              <w:rPr>
                <w:rFonts w:hint="default" w:ascii="Times New Roman" w:hAnsi="Times New Roman" w:cs="Times New Roman"/>
                <w:bCs/>
                <w:color w:val="auto"/>
                <w:sz w:val="24"/>
                <w:highlight w:val="none"/>
                <w:lang w:eastAsia="zh-CN"/>
              </w:rPr>
              <w:t>废机油</w:t>
            </w:r>
          </w:p>
          <w:p w14:paraId="1FB48504">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w:t>
            </w:r>
            <w:r>
              <w:rPr>
                <w:rFonts w:hint="default" w:ascii="Times New Roman" w:hAnsi="Times New Roman" w:cs="Times New Roman"/>
                <w:bCs/>
                <w:color w:val="auto"/>
                <w:sz w:val="24"/>
                <w:highlight w:val="none"/>
                <w:lang w:eastAsia="zh-CN"/>
              </w:rPr>
              <w:t>机油</w:t>
            </w:r>
            <w:r>
              <w:rPr>
                <w:rFonts w:hint="default" w:ascii="Times New Roman" w:hAnsi="Times New Roman" w:cs="Times New Roman"/>
                <w:bCs/>
                <w:color w:val="auto"/>
                <w:sz w:val="24"/>
                <w:highlight w:val="none"/>
              </w:rPr>
              <w:t>用量为0.</w:t>
            </w:r>
            <w:r>
              <w:rPr>
                <w:rFonts w:hint="default"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rPr>
              <w:t>t/</w:t>
            </w:r>
            <w:r>
              <w:rPr>
                <w:rFonts w:hint="default" w:ascii="Times New Roman" w:hAnsi="Times New Roman" w:cs="Times New Roman"/>
                <w:bCs/>
                <w:color w:val="auto"/>
                <w:sz w:val="24"/>
                <w:highlight w:val="none"/>
                <w:lang w:val="en-US" w:eastAsia="zh-CN"/>
              </w:rPr>
              <w:t>a</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由于在使用过程中不停</w:t>
            </w:r>
            <w:r>
              <w:rPr>
                <w:rFonts w:hint="default" w:ascii="Times New Roman" w:hAnsi="Times New Roman" w:cs="Times New Roman"/>
                <w:bCs/>
                <w:color w:val="auto"/>
                <w:sz w:val="24"/>
                <w:highlight w:val="none"/>
                <w:lang w:eastAsia="zh-CN"/>
              </w:rPr>
              <w:t>地</w:t>
            </w:r>
            <w:r>
              <w:rPr>
                <w:rFonts w:hint="default" w:ascii="Times New Roman" w:hAnsi="Times New Roman" w:cs="Times New Roman"/>
                <w:bCs/>
                <w:color w:val="auto"/>
                <w:sz w:val="24"/>
                <w:highlight w:val="none"/>
              </w:rPr>
              <w:t>混入粉尘等杂物，需要定期更换，约产生80%的废液，本项目</w:t>
            </w:r>
            <w:r>
              <w:rPr>
                <w:rFonts w:hint="default" w:ascii="Times New Roman" w:hAnsi="Times New Roman" w:cs="Times New Roman"/>
                <w:bCs/>
                <w:color w:val="auto"/>
                <w:sz w:val="24"/>
                <w:highlight w:val="none"/>
                <w:lang w:eastAsia="zh-CN"/>
              </w:rPr>
              <w:t>废机油</w:t>
            </w:r>
            <w:r>
              <w:rPr>
                <w:rFonts w:hint="default" w:ascii="Times New Roman" w:hAnsi="Times New Roman" w:cs="Times New Roman"/>
                <w:bCs/>
                <w:color w:val="auto"/>
                <w:sz w:val="24"/>
                <w:highlight w:val="none"/>
              </w:rPr>
              <w:t>产生量为0.</w:t>
            </w:r>
            <w:r>
              <w:rPr>
                <w:rFonts w:hint="default" w:ascii="Times New Roman" w:hAnsi="Times New Roman" w:cs="Times New Roman"/>
                <w:bCs/>
                <w:color w:val="auto"/>
                <w:sz w:val="24"/>
                <w:highlight w:val="none"/>
                <w:lang w:val="en-US" w:eastAsia="zh-CN"/>
              </w:rPr>
              <w:t>32t</w:t>
            </w:r>
            <w:r>
              <w:rPr>
                <w:rFonts w:hint="default" w:ascii="Times New Roman" w:hAnsi="Times New Roman" w:cs="Times New Roman"/>
                <w:bCs/>
                <w:color w:val="auto"/>
                <w:sz w:val="24"/>
                <w:highlight w:val="none"/>
              </w:rPr>
              <w:t>/a。根据《国家危险废物名录》(202</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年本)进行鉴别，</w:t>
            </w:r>
            <w:r>
              <w:rPr>
                <w:rFonts w:hint="default" w:ascii="Times New Roman" w:hAnsi="Times New Roman" w:cs="Times New Roman"/>
                <w:bCs/>
                <w:color w:val="auto"/>
                <w:sz w:val="24"/>
                <w:highlight w:val="none"/>
                <w:lang w:eastAsia="zh-CN"/>
              </w:rPr>
              <w:t>废机油</w:t>
            </w:r>
            <w:r>
              <w:rPr>
                <w:rFonts w:hint="default" w:ascii="Times New Roman" w:hAnsi="Times New Roman" w:cs="Times New Roman"/>
                <w:bCs/>
                <w:color w:val="auto"/>
                <w:sz w:val="24"/>
                <w:highlight w:val="none"/>
              </w:rPr>
              <w:t>废物类别为“HW08废矿物油与含矿物油废物”，废物代码为“900-249-08”。</w:t>
            </w:r>
            <w:r>
              <w:rPr>
                <w:rFonts w:hint="default" w:ascii="Times New Roman" w:hAnsi="Times New Roman" w:cs="Times New Roman"/>
                <w:bCs/>
                <w:color w:val="auto"/>
                <w:sz w:val="24"/>
                <w:highlight w:val="none"/>
                <w:lang w:eastAsia="zh-CN"/>
              </w:rPr>
              <w:t>废机油</w:t>
            </w:r>
            <w:r>
              <w:rPr>
                <w:rFonts w:hint="default" w:ascii="Times New Roman" w:hAnsi="Times New Roman" w:cs="Times New Roman"/>
                <w:bCs/>
                <w:color w:val="auto"/>
                <w:sz w:val="24"/>
                <w:highlight w:val="none"/>
              </w:rPr>
              <w:t>采用专用容器集中收集后，暂存于危废暂存间，定期交由有资质单位处理。</w:t>
            </w:r>
          </w:p>
          <w:p w14:paraId="269B6158">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kern w:val="2"/>
                <w:sz w:val="24"/>
                <w:szCs w:val="24"/>
                <w:highlight w:val="none"/>
                <w:lang w:val="en-US" w:eastAsia="zh-CN" w:bidi="ar-SA"/>
              </w:rPr>
              <w:t>（8）</w:t>
            </w:r>
            <w:r>
              <w:rPr>
                <w:rFonts w:hint="default" w:ascii="Times New Roman" w:hAnsi="Times New Roman" w:cs="Times New Roman"/>
                <w:bCs/>
                <w:color w:val="auto"/>
                <w:sz w:val="24"/>
                <w:highlight w:val="none"/>
              </w:rPr>
              <w:t>废活性炭</w:t>
            </w:r>
          </w:p>
          <w:p w14:paraId="5FCE1152">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有机废气采用二级活性炭吸附装置处理，活性炭使用一段时间后需要更换，会产生废活性炭。根据《简明通风手册》P510页，活性炭有效吸附量为0.25kg(有机废气)kg(活性炭)，活性炭吸附装置中的活性炭应在达到吸附饱和度的80%时进行更换。根据废气源强分析，活性炭吸附有机废气量约为</w:t>
            </w:r>
            <w:r>
              <w:rPr>
                <w:rFonts w:hint="eastAsia" w:cs="Times New Roman"/>
                <w:bCs/>
                <w:color w:val="auto"/>
                <w:sz w:val="24"/>
                <w:highlight w:val="none"/>
                <w:lang w:val="en-US" w:eastAsia="zh-CN"/>
              </w:rPr>
              <w:t>1.382</w:t>
            </w:r>
            <w:r>
              <w:rPr>
                <w:rFonts w:hint="default" w:ascii="Times New Roman" w:hAnsi="Times New Roman" w:cs="Times New Roman"/>
                <w:bCs/>
                <w:color w:val="auto"/>
                <w:sz w:val="24"/>
                <w:highlight w:val="none"/>
                <w:lang w:val="en-US" w:eastAsia="zh-CN"/>
              </w:rPr>
              <w:t>t/a</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szCs w:val="24"/>
                <w:highlight w:val="none"/>
                <w:lang w:val="en-US" w:eastAsia="zh-CN" w:bidi="ar"/>
              </w:rPr>
              <w:t>则需理论活性炭用量</w:t>
            </w:r>
            <w:r>
              <w:rPr>
                <w:rFonts w:hint="default" w:ascii="Times New Roman" w:hAnsi="Times New Roman" w:cs="Times New Roman"/>
                <w:bCs/>
                <w:color w:val="auto"/>
                <w:sz w:val="24"/>
                <w:highlight w:val="none"/>
              </w:rPr>
              <w:t>约为</w:t>
            </w:r>
            <w:r>
              <w:rPr>
                <w:rFonts w:hint="eastAsia" w:cs="Times New Roman"/>
                <w:bCs/>
                <w:color w:val="auto"/>
                <w:sz w:val="24"/>
                <w:highlight w:val="none"/>
                <w:lang w:val="en-US" w:eastAsia="zh-CN"/>
              </w:rPr>
              <w:t>5.528</w:t>
            </w:r>
            <w:r>
              <w:rPr>
                <w:rFonts w:hint="default" w:ascii="Times New Roman" w:hAnsi="Times New Roman" w:cs="Times New Roman"/>
                <w:bCs/>
                <w:color w:val="auto"/>
                <w:sz w:val="24"/>
                <w:highlight w:val="none"/>
              </w:rPr>
              <w:t>t/a。</w:t>
            </w:r>
            <w:r>
              <w:rPr>
                <w:rFonts w:hint="default" w:ascii="Times New Roman" w:hAnsi="Times New Roman" w:cs="Times New Roman"/>
                <w:bCs/>
                <w:color w:val="auto"/>
                <w:sz w:val="24"/>
                <w:highlight w:val="none"/>
                <w:lang w:val="en-US" w:eastAsia="zh-CN"/>
              </w:rPr>
              <w:t>每半年更换一次，则</w:t>
            </w:r>
            <w:r>
              <w:rPr>
                <w:rFonts w:hint="default" w:ascii="Times New Roman" w:hAnsi="Times New Roman" w:cs="Times New Roman"/>
                <w:color w:val="auto"/>
                <w:sz w:val="24"/>
                <w:szCs w:val="24"/>
                <w:highlight w:val="none"/>
                <w:lang w:val="en-US" w:eastAsia="zh-CN" w:bidi="ar"/>
              </w:rPr>
              <w:t>废活性炭产生量为（</w:t>
            </w:r>
            <w:r>
              <w:rPr>
                <w:rFonts w:hint="eastAsia" w:cs="Times New Roman"/>
                <w:color w:val="auto"/>
                <w:sz w:val="24"/>
                <w:szCs w:val="24"/>
                <w:highlight w:val="none"/>
                <w:lang w:val="en-US" w:eastAsia="zh-CN" w:bidi="ar"/>
              </w:rPr>
              <w:t>1.382</w:t>
            </w:r>
            <w:r>
              <w:rPr>
                <w:rFonts w:hint="default" w:ascii="Times New Roman" w:hAnsi="Times New Roman" w:cs="Times New Roman"/>
                <w:color w:val="auto"/>
                <w:sz w:val="24"/>
                <w:szCs w:val="24"/>
                <w:highlight w:val="none"/>
                <w:lang w:val="en-US" w:eastAsia="zh-CN" w:bidi="ar"/>
              </w:rPr>
              <w:t>+</w:t>
            </w:r>
            <w:r>
              <w:rPr>
                <w:rFonts w:hint="eastAsia" w:cs="Times New Roman"/>
                <w:color w:val="auto"/>
                <w:sz w:val="24"/>
                <w:szCs w:val="24"/>
                <w:highlight w:val="none"/>
                <w:lang w:val="en-US" w:eastAsia="zh-CN" w:bidi="ar"/>
              </w:rPr>
              <w:t>5.528</w:t>
            </w:r>
            <w:r>
              <w:rPr>
                <w:rFonts w:hint="default" w:ascii="Times New Roman" w:hAnsi="Times New Roman" w:cs="Times New Roman"/>
                <w:color w:val="auto"/>
                <w:sz w:val="24"/>
                <w:szCs w:val="24"/>
                <w:highlight w:val="none"/>
                <w:lang w:val="en-US" w:eastAsia="zh-CN" w:bidi="ar"/>
              </w:rPr>
              <w:t>）×2=</w:t>
            </w:r>
            <w:r>
              <w:rPr>
                <w:rFonts w:hint="eastAsia" w:cs="Times New Roman"/>
                <w:color w:val="auto"/>
                <w:sz w:val="24"/>
                <w:szCs w:val="24"/>
                <w:highlight w:val="none"/>
                <w:lang w:val="en-US" w:eastAsia="zh-CN" w:bidi="ar"/>
              </w:rPr>
              <w:t>13.82t/a</w:t>
            </w:r>
            <w:r>
              <w:rPr>
                <w:rFonts w:hint="default" w:ascii="Times New Roman" w:hAnsi="Times New Roman" w:cs="Times New Roman"/>
                <w:color w:val="auto"/>
                <w:sz w:val="24"/>
                <w:szCs w:val="24"/>
                <w:highlight w:val="none"/>
                <w:lang w:val="en-US" w:eastAsia="zh-CN" w:bidi="ar"/>
              </w:rPr>
              <w:t>。</w:t>
            </w:r>
            <w:r>
              <w:rPr>
                <w:rFonts w:hint="default" w:ascii="Times New Roman" w:hAnsi="Times New Roman" w:cs="Times New Roman"/>
                <w:bCs/>
                <w:color w:val="auto"/>
                <w:sz w:val="24"/>
                <w:highlight w:val="none"/>
              </w:rPr>
              <w:t>根据《国家危险废物名录》(202</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年本)进行鉴别，废活性炭属于危险废物，废物类别属于“HW49其他废物”，废物代码为“900-039-49”。废活性炭采用专用容器集中收集后，暂存于危废暂存间，定期交由有资质单位处理。</w:t>
            </w:r>
          </w:p>
          <w:p w14:paraId="0F6CECFB">
            <w:pPr>
              <w:numPr>
                <w:ilvl w:val="0"/>
                <w:numId w:val="0"/>
              </w:num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本项目固体废物分析情况汇总见下表。</w:t>
            </w:r>
          </w:p>
          <w:p w14:paraId="60CC113A">
            <w:pPr>
              <w:adjustRightInd w:val="0"/>
              <w:snapToGrid w:val="0"/>
              <w:spacing w:before="120" w:beforeLines="50" w:line="240" w:lineRule="auto"/>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表4-1</w:t>
            </w:r>
            <w:r>
              <w:rPr>
                <w:rFonts w:hint="default" w:ascii="Times New Roman" w:hAnsi="Times New Roman"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固体废弃物处理措施一览表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649"/>
              <w:gridCol w:w="1150"/>
              <w:gridCol w:w="523"/>
              <w:gridCol w:w="1405"/>
              <w:gridCol w:w="887"/>
              <w:gridCol w:w="650"/>
              <w:gridCol w:w="1206"/>
            </w:tblGrid>
            <w:tr w14:paraId="47E1D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0" w:type="pct"/>
                  <w:tcBorders>
                    <w:tl2br w:val="nil"/>
                    <w:tr2bl w:val="nil"/>
                  </w:tcBorders>
                  <w:vAlign w:val="center"/>
                </w:tcPr>
                <w:p w14:paraId="0FBDD92E">
                  <w:pPr>
                    <w:keepNext w:val="0"/>
                    <w:keepLines w:val="0"/>
                    <w:widowControl/>
                    <w:suppressLineNumbers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编号</w:t>
                  </w:r>
                </w:p>
              </w:tc>
              <w:tc>
                <w:tcPr>
                  <w:tcW w:w="1037" w:type="pct"/>
                  <w:tcBorders>
                    <w:tl2br w:val="nil"/>
                    <w:tr2bl w:val="nil"/>
                  </w:tcBorders>
                  <w:vAlign w:val="center"/>
                </w:tcPr>
                <w:p w14:paraId="01417DE6">
                  <w:pPr>
                    <w:keepNext w:val="0"/>
                    <w:keepLines w:val="0"/>
                    <w:widowControl/>
                    <w:suppressLineNumbers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固废名称</w:t>
                  </w:r>
                </w:p>
              </w:tc>
              <w:tc>
                <w:tcPr>
                  <w:tcW w:w="723" w:type="pct"/>
                  <w:tcBorders>
                    <w:tl2br w:val="nil"/>
                    <w:tr2bl w:val="nil"/>
                  </w:tcBorders>
                  <w:vAlign w:val="center"/>
                </w:tcPr>
                <w:p w14:paraId="15F5F52F">
                  <w:pPr>
                    <w:keepNext w:val="0"/>
                    <w:keepLines w:val="0"/>
                    <w:widowControl/>
                    <w:suppressLineNumbers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产生工序</w:t>
                  </w:r>
                </w:p>
              </w:tc>
              <w:tc>
                <w:tcPr>
                  <w:tcW w:w="329" w:type="pct"/>
                  <w:tcBorders>
                    <w:tl2br w:val="nil"/>
                    <w:tr2bl w:val="nil"/>
                  </w:tcBorders>
                  <w:vAlign w:val="center"/>
                </w:tcPr>
                <w:p w14:paraId="17CBC639">
                  <w:pPr>
                    <w:keepNext w:val="0"/>
                    <w:keepLines w:val="0"/>
                    <w:widowControl/>
                    <w:suppressLineNumbers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形态</w:t>
                  </w:r>
                </w:p>
              </w:tc>
              <w:tc>
                <w:tcPr>
                  <w:tcW w:w="883" w:type="pct"/>
                  <w:tcBorders>
                    <w:tl2br w:val="nil"/>
                    <w:tr2bl w:val="nil"/>
                  </w:tcBorders>
                  <w:shd w:val="clear" w:color="auto" w:fill="auto"/>
                  <w:vAlign w:val="center"/>
                </w:tcPr>
                <w:p w14:paraId="17994EE3">
                  <w:pPr>
                    <w:keepNext w:val="0"/>
                    <w:keepLines w:val="0"/>
                    <w:widowControl/>
                    <w:suppressLineNumbers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
                    </w:rPr>
                    <w:t>废物类别</w:t>
                  </w:r>
                </w:p>
              </w:tc>
              <w:tc>
                <w:tcPr>
                  <w:tcW w:w="558" w:type="pct"/>
                  <w:tcBorders>
                    <w:tl2br w:val="nil"/>
                    <w:tr2bl w:val="nil"/>
                  </w:tcBorders>
                  <w:shd w:val="clear" w:color="auto" w:fill="auto"/>
                  <w:vAlign w:val="center"/>
                </w:tcPr>
                <w:p w14:paraId="1DF58AC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
                    </w:rPr>
                    <w:t>产生量（t/a）</w:t>
                  </w:r>
                </w:p>
              </w:tc>
              <w:tc>
                <w:tcPr>
                  <w:tcW w:w="408" w:type="pct"/>
                  <w:tcBorders>
                    <w:tl2br w:val="nil"/>
                    <w:tr2bl w:val="nil"/>
                  </w:tcBorders>
                  <w:shd w:val="clear" w:color="auto" w:fill="auto"/>
                  <w:vAlign w:val="center"/>
                </w:tcPr>
                <w:p w14:paraId="64242C58">
                  <w:pPr>
                    <w:keepNext w:val="0"/>
                    <w:keepLines w:val="0"/>
                    <w:widowControl/>
                    <w:suppressLineNumbers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
                    </w:rPr>
                    <w:t>贮存方式</w:t>
                  </w:r>
                </w:p>
              </w:tc>
              <w:tc>
                <w:tcPr>
                  <w:tcW w:w="758" w:type="pct"/>
                  <w:tcBorders>
                    <w:tl2br w:val="nil"/>
                    <w:tr2bl w:val="nil"/>
                  </w:tcBorders>
                  <w:vAlign w:val="center"/>
                </w:tcPr>
                <w:p w14:paraId="36F6BD85">
                  <w:pPr>
                    <w:keepNext w:val="0"/>
                    <w:keepLines w:val="0"/>
                    <w:widowControl/>
                    <w:suppressLineNumbers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w:t>
                  </w:r>
                </w:p>
                <w:p w14:paraId="2C16DC43">
                  <w:pPr>
                    <w:keepNext w:val="0"/>
                    <w:keepLines w:val="0"/>
                    <w:widowControl/>
                    <w:suppressLineNumbers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方式</w:t>
                  </w:r>
                </w:p>
              </w:tc>
            </w:tr>
            <w:tr w14:paraId="4A974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0" w:type="pct"/>
                  <w:tcBorders>
                    <w:tl2br w:val="nil"/>
                    <w:tr2bl w:val="nil"/>
                  </w:tcBorders>
                  <w:vAlign w:val="center"/>
                </w:tcPr>
                <w:p w14:paraId="72E6DBD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1037" w:type="pct"/>
                  <w:tcBorders>
                    <w:tl2br w:val="nil"/>
                    <w:tr2bl w:val="nil"/>
                  </w:tcBorders>
                  <w:vAlign w:val="center"/>
                </w:tcPr>
                <w:p w14:paraId="1D8D038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生活垃圾</w:t>
                  </w:r>
                </w:p>
              </w:tc>
              <w:tc>
                <w:tcPr>
                  <w:tcW w:w="723" w:type="pct"/>
                  <w:tcBorders>
                    <w:tl2br w:val="nil"/>
                    <w:tr2bl w:val="nil"/>
                  </w:tcBorders>
                  <w:vAlign w:val="center"/>
                </w:tcPr>
                <w:p w14:paraId="0C9ACCD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办公生活</w:t>
                  </w:r>
                </w:p>
              </w:tc>
              <w:tc>
                <w:tcPr>
                  <w:tcW w:w="329" w:type="pct"/>
                  <w:tcBorders>
                    <w:tl2br w:val="nil"/>
                    <w:tr2bl w:val="nil"/>
                  </w:tcBorders>
                  <w:vAlign w:val="center"/>
                </w:tcPr>
                <w:p w14:paraId="29B2250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固</w:t>
                  </w:r>
                </w:p>
              </w:tc>
              <w:tc>
                <w:tcPr>
                  <w:tcW w:w="883" w:type="pct"/>
                  <w:tcBorders>
                    <w:tl2br w:val="nil"/>
                    <w:tr2bl w:val="nil"/>
                  </w:tcBorders>
                  <w:vAlign w:val="center"/>
                </w:tcPr>
                <w:p w14:paraId="116BD708">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Cs w:val="21"/>
                      <w:highlight w:val="none"/>
                    </w:rPr>
                    <w:t>/</w:t>
                  </w:r>
                </w:p>
              </w:tc>
              <w:tc>
                <w:tcPr>
                  <w:tcW w:w="558" w:type="pct"/>
                  <w:tcBorders>
                    <w:tl2br w:val="nil"/>
                    <w:tr2bl w:val="nil"/>
                  </w:tcBorders>
                  <w:vAlign w:val="center"/>
                </w:tcPr>
                <w:p w14:paraId="18639C08">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408" w:type="pct"/>
                  <w:tcBorders>
                    <w:tl2br w:val="nil"/>
                    <w:tr2bl w:val="nil"/>
                  </w:tcBorders>
                  <w:vAlign w:val="center"/>
                </w:tcPr>
                <w:p w14:paraId="02462B4B">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垃圾桶</w:t>
                  </w:r>
                </w:p>
              </w:tc>
              <w:tc>
                <w:tcPr>
                  <w:tcW w:w="758" w:type="pct"/>
                  <w:tcBorders>
                    <w:tl2br w:val="nil"/>
                    <w:tr2bl w:val="nil"/>
                  </w:tcBorders>
                  <w:vAlign w:val="center"/>
                </w:tcPr>
                <w:p w14:paraId="5DD6D525">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环卫部门处置</w:t>
                  </w:r>
                </w:p>
              </w:tc>
            </w:tr>
            <w:tr w14:paraId="65F42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0" w:type="pct"/>
                  <w:tcBorders>
                    <w:tl2br w:val="nil"/>
                    <w:tr2bl w:val="nil"/>
                  </w:tcBorders>
                  <w:vAlign w:val="center"/>
                </w:tcPr>
                <w:p w14:paraId="098B754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p>
              </w:tc>
              <w:tc>
                <w:tcPr>
                  <w:tcW w:w="1037" w:type="pct"/>
                  <w:tcBorders>
                    <w:tl2br w:val="nil"/>
                    <w:tr2bl w:val="nil"/>
                  </w:tcBorders>
                  <w:vAlign w:val="center"/>
                </w:tcPr>
                <w:p w14:paraId="461F6E0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废包装材料</w:t>
                  </w:r>
                </w:p>
              </w:tc>
              <w:tc>
                <w:tcPr>
                  <w:tcW w:w="723" w:type="pct"/>
                  <w:tcBorders>
                    <w:tl2br w:val="nil"/>
                    <w:tr2bl w:val="nil"/>
                  </w:tcBorders>
                  <w:vAlign w:val="center"/>
                </w:tcPr>
                <w:p w14:paraId="7607277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原料拆包</w:t>
                  </w:r>
                </w:p>
              </w:tc>
              <w:tc>
                <w:tcPr>
                  <w:tcW w:w="329" w:type="pct"/>
                  <w:tcBorders>
                    <w:tl2br w:val="nil"/>
                    <w:tr2bl w:val="nil"/>
                  </w:tcBorders>
                  <w:vAlign w:val="center"/>
                </w:tcPr>
                <w:p w14:paraId="0B82A24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固</w:t>
                  </w:r>
                </w:p>
              </w:tc>
              <w:tc>
                <w:tcPr>
                  <w:tcW w:w="883" w:type="pct"/>
                  <w:vMerge w:val="restart"/>
                  <w:tcBorders>
                    <w:tl2br w:val="nil"/>
                    <w:tr2bl w:val="nil"/>
                  </w:tcBorders>
                  <w:vAlign w:val="center"/>
                </w:tcPr>
                <w:p w14:paraId="7ADEA5C4">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Cs w:val="21"/>
                      <w:highlight w:val="none"/>
                    </w:rPr>
                    <w:t>一般固废</w:t>
                  </w:r>
                </w:p>
              </w:tc>
              <w:tc>
                <w:tcPr>
                  <w:tcW w:w="558" w:type="pct"/>
                  <w:tcBorders>
                    <w:tl2br w:val="nil"/>
                    <w:tr2bl w:val="nil"/>
                  </w:tcBorders>
                  <w:vAlign w:val="center"/>
                </w:tcPr>
                <w:p w14:paraId="1A0865E9">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w:t>
                  </w:r>
                </w:p>
              </w:tc>
              <w:tc>
                <w:tcPr>
                  <w:tcW w:w="408" w:type="pct"/>
                  <w:vMerge w:val="restart"/>
                  <w:tcBorders>
                    <w:tl2br w:val="nil"/>
                    <w:tr2bl w:val="nil"/>
                  </w:tcBorders>
                  <w:vAlign w:val="center"/>
                </w:tcPr>
                <w:p w14:paraId="67E06C54">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一般固废暂存间</w:t>
                  </w:r>
                </w:p>
              </w:tc>
              <w:tc>
                <w:tcPr>
                  <w:tcW w:w="758" w:type="pct"/>
                  <w:vMerge w:val="restart"/>
                  <w:tcBorders>
                    <w:tl2br w:val="nil"/>
                    <w:tr2bl w:val="nil"/>
                  </w:tcBorders>
                  <w:vAlign w:val="center"/>
                </w:tcPr>
                <w:p w14:paraId="048E78E1">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外售综合利用</w:t>
                  </w:r>
                </w:p>
              </w:tc>
            </w:tr>
            <w:tr w14:paraId="6BC83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300" w:type="pct"/>
                  <w:tcBorders>
                    <w:tl2br w:val="nil"/>
                    <w:tr2bl w:val="nil"/>
                  </w:tcBorders>
                  <w:vAlign w:val="center"/>
                </w:tcPr>
                <w:p w14:paraId="492A2AB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p>
              </w:tc>
              <w:tc>
                <w:tcPr>
                  <w:tcW w:w="1037" w:type="pct"/>
                  <w:tcBorders>
                    <w:tl2br w:val="nil"/>
                    <w:tr2bl w:val="nil"/>
                  </w:tcBorders>
                  <w:vAlign w:val="center"/>
                </w:tcPr>
                <w:p w14:paraId="71B615A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不合格品、边角料、玻璃沉渣</w:t>
                  </w:r>
                </w:p>
              </w:tc>
              <w:tc>
                <w:tcPr>
                  <w:tcW w:w="723" w:type="pct"/>
                  <w:tcBorders>
                    <w:tl2br w:val="nil"/>
                    <w:tr2bl w:val="nil"/>
                  </w:tcBorders>
                  <w:vAlign w:val="center"/>
                </w:tcPr>
                <w:p w14:paraId="5CEF3D0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切割、磨边</w:t>
                  </w:r>
                </w:p>
              </w:tc>
              <w:tc>
                <w:tcPr>
                  <w:tcW w:w="329" w:type="pct"/>
                  <w:tcBorders>
                    <w:tl2br w:val="nil"/>
                    <w:tr2bl w:val="nil"/>
                  </w:tcBorders>
                  <w:vAlign w:val="center"/>
                </w:tcPr>
                <w:p w14:paraId="6105D3B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固</w:t>
                  </w:r>
                </w:p>
              </w:tc>
              <w:tc>
                <w:tcPr>
                  <w:tcW w:w="883" w:type="pct"/>
                  <w:vMerge w:val="continue"/>
                  <w:tcBorders>
                    <w:tl2br w:val="nil"/>
                    <w:tr2bl w:val="nil"/>
                  </w:tcBorders>
                  <w:vAlign w:val="center"/>
                </w:tcPr>
                <w:p w14:paraId="0EFB5017">
                  <w:pPr>
                    <w:adjustRightInd w:val="0"/>
                    <w:snapToGrid w:val="0"/>
                    <w:jc w:val="center"/>
                    <w:rPr>
                      <w:rFonts w:hint="default" w:ascii="Times New Roman" w:hAnsi="Times New Roman" w:eastAsia="宋体" w:cs="Times New Roman"/>
                      <w:bCs/>
                      <w:color w:val="auto"/>
                      <w:sz w:val="21"/>
                      <w:szCs w:val="21"/>
                      <w:highlight w:val="none"/>
                      <w:lang w:val="en-US" w:eastAsia="zh-CN"/>
                    </w:rPr>
                  </w:pPr>
                </w:p>
              </w:tc>
              <w:tc>
                <w:tcPr>
                  <w:tcW w:w="558" w:type="pct"/>
                  <w:tcBorders>
                    <w:tl2br w:val="nil"/>
                    <w:tr2bl w:val="nil"/>
                  </w:tcBorders>
                  <w:vAlign w:val="center"/>
                </w:tcPr>
                <w:p w14:paraId="669D6711">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300</w:t>
                  </w:r>
                </w:p>
              </w:tc>
              <w:tc>
                <w:tcPr>
                  <w:tcW w:w="408" w:type="pct"/>
                  <w:vMerge w:val="continue"/>
                  <w:tcBorders>
                    <w:tl2br w:val="nil"/>
                    <w:tr2bl w:val="nil"/>
                  </w:tcBorders>
                  <w:vAlign w:val="center"/>
                </w:tcPr>
                <w:p w14:paraId="32AEE5B7">
                  <w:pPr>
                    <w:adjustRightInd w:val="0"/>
                    <w:snapToGrid w:val="0"/>
                    <w:jc w:val="center"/>
                    <w:rPr>
                      <w:rFonts w:hint="default" w:ascii="Times New Roman" w:hAnsi="Times New Roman" w:eastAsia="宋体" w:cs="Times New Roman"/>
                      <w:bCs/>
                      <w:color w:val="auto"/>
                      <w:sz w:val="21"/>
                      <w:szCs w:val="21"/>
                      <w:highlight w:val="none"/>
                    </w:rPr>
                  </w:pPr>
                </w:p>
              </w:tc>
              <w:tc>
                <w:tcPr>
                  <w:tcW w:w="758" w:type="pct"/>
                  <w:vMerge w:val="continue"/>
                  <w:tcBorders>
                    <w:tl2br w:val="nil"/>
                    <w:tr2bl w:val="nil"/>
                  </w:tcBorders>
                  <w:vAlign w:val="center"/>
                </w:tcPr>
                <w:p w14:paraId="408D1A37">
                  <w:pPr>
                    <w:adjustRightInd w:val="0"/>
                    <w:snapToGrid w:val="0"/>
                    <w:jc w:val="center"/>
                    <w:rPr>
                      <w:rFonts w:hint="default" w:ascii="Times New Roman" w:hAnsi="Times New Roman" w:eastAsia="宋体" w:cs="Times New Roman"/>
                      <w:bCs/>
                      <w:color w:val="auto"/>
                      <w:sz w:val="21"/>
                      <w:szCs w:val="21"/>
                      <w:highlight w:val="none"/>
                    </w:rPr>
                  </w:pPr>
                </w:p>
              </w:tc>
            </w:tr>
            <w:tr w14:paraId="471FF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9" w:hRule="atLeast"/>
              </w:trPr>
              <w:tc>
                <w:tcPr>
                  <w:tcW w:w="300" w:type="pct"/>
                  <w:tcBorders>
                    <w:tl2br w:val="nil"/>
                    <w:tr2bl w:val="nil"/>
                  </w:tcBorders>
                  <w:vAlign w:val="center"/>
                </w:tcPr>
                <w:p w14:paraId="3BEAB45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w:t>
                  </w:r>
                </w:p>
              </w:tc>
              <w:tc>
                <w:tcPr>
                  <w:tcW w:w="1037" w:type="pct"/>
                  <w:tcBorders>
                    <w:tl2br w:val="nil"/>
                    <w:tr2bl w:val="nil"/>
                  </w:tcBorders>
                  <w:vAlign w:val="center"/>
                </w:tcPr>
                <w:p w14:paraId="3615EBC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废PVB胶片</w:t>
                  </w:r>
                </w:p>
              </w:tc>
              <w:tc>
                <w:tcPr>
                  <w:tcW w:w="723" w:type="pct"/>
                  <w:tcBorders>
                    <w:tl2br w:val="nil"/>
                    <w:tr2bl w:val="nil"/>
                  </w:tcBorders>
                  <w:vAlign w:val="center"/>
                </w:tcPr>
                <w:p w14:paraId="3387E99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夹胶</w:t>
                  </w:r>
                </w:p>
              </w:tc>
              <w:tc>
                <w:tcPr>
                  <w:tcW w:w="329" w:type="pct"/>
                  <w:tcBorders>
                    <w:tl2br w:val="nil"/>
                    <w:tr2bl w:val="nil"/>
                  </w:tcBorders>
                  <w:vAlign w:val="center"/>
                </w:tcPr>
                <w:p w14:paraId="0019BD8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固</w:t>
                  </w:r>
                </w:p>
              </w:tc>
              <w:tc>
                <w:tcPr>
                  <w:tcW w:w="883" w:type="pct"/>
                  <w:vMerge w:val="continue"/>
                  <w:tcBorders>
                    <w:tl2br w:val="nil"/>
                    <w:tr2bl w:val="nil"/>
                  </w:tcBorders>
                  <w:vAlign w:val="center"/>
                </w:tcPr>
                <w:p w14:paraId="70E17753">
                  <w:pPr>
                    <w:adjustRightInd w:val="0"/>
                    <w:snapToGrid w:val="0"/>
                    <w:jc w:val="center"/>
                    <w:rPr>
                      <w:rFonts w:hint="default" w:ascii="Times New Roman" w:hAnsi="Times New Roman" w:eastAsia="宋体" w:cs="Times New Roman"/>
                      <w:bCs/>
                      <w:color w:val="auto"/>
                      <w:sz w:val="21"/>
                      <w:szCs w:val="21"/>
                      <w:highlight w:val="none"/>
                      <w:lang w:val="en-US" w:eastAsia="zh-CN"/>
                    </w:rPr>
                  </w:pPr>
                </w:p>
              </w:tc>
              <w:tc>
                <w:tcPr>
                  <w:tcW w:w="558" w:type="pct"/>
                  <w:tcBorders>
                    <w:tl2br w:val="nil"/>
                    <w:tr2bl w:val="nil"/>
                  </w:tcBorders>
                  <w:vAlign w:val="center"/>
                </w:tcPr>
                <w:p w14:paraId="0A05B082">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1.69</w:t>
                  </w:r>
                </w:p>
              </w:tc>
              <w:tc>
                <w:tcPr>
                  <w:tcW w:w="408" w:type="pct"/>
                  <w:vMerge w:val="continue"/>
                  <w:tcBorders>
                    <w:tl2br w:val="nil"/>
                    <w:tr2bl w:val="nil"/>
                  </w:tcBorders>
                  <w:vAlign w:val="center"/>
                </w:tcPr>
                <w:p w14:paraId="24A6F066">
                  <w:pPr>
                    <w:adjustRightInd w:val="0"/>
                    <w:snapToGrid w:val="0"/>
                    <w:jc w:val="center"/>
                    <w:rPr>
                      <w:rFonts w:hint="default" w:ascii="Times New Roman" w:hAnsi="Times New Roman" w:eastAsia="宋体" w:cs="Times New Roman"/>
                      <w:bCs/>
                      <w:color w:val="auto"/>
                      <w:sz w:val="21"/>
                      <w:szCs w:val="21"/>
                      <w:highlight w:val="none"/>
                    </w:rPr>
                  </w:pPr>
                </w:p>
              </w:tc>
              <w:tc>
                <w:tcPr>
                  <w:tcW w:w="758" w:type="pct"/>
                  <w:vMerge w:val="continue"/>
                  <w:tcBorders>
                    <w:tl2br w:val="nil"/>
                    <w:tr2bl w:val="nil"/>
                  </w:tcBorders>
                  <w:vAlign w:val="center"/>
                </w:tcPr>
                <w:p w14:paraId="78FDE41E">
                  <w:pPr>
                    <w:adjustRightInd w:val="0"/>
                    <w:snapToGrid w:val="0"/>
                    <w:jc w:val="center"/>
                    <w:rPr>
                      <w:rFonts w:hint="default" w:ascii="Times New Roman" w:hAnsi="Times New Roman" w:eastAsia="宋体" w:cs="Times New Roman"/>
                      <w:bCs/>
                      <w:color w:val="auto"/>
                      <w:sz w:val="21"/>
                      <w:szCs w:val="21"/>
                      <w:highlight w:val="none"/>
                    </w:rPr>
                  </w:pPr>
                </w:p>
              </w:tc>
            </w:tr>
            <w:tr w14:paraId="6F8CF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00" w:type="pct"/>
                  <w:tcBorders>
                    <w:tl2br w:val="nil"/>
                    <w:tr2bl w:val="nil"/>
                  </w:tcBorders>
                  <w:vAlign w:val="center"/>
                </w:tcPr>
                <w:p w14:paraId="4EAFF0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w:t>
                  </w:r>
                </w:p>
              </w:tc>
              <w:tc>
                <w:tcPr>
                  <w:tcW w:w="1037" w:type="pct"/>
                  <w:tcBorders>
                    <w:tl2br w:val="nil"/>
                    <w:tr2bl w:val="nil"/>
                  </w:tcBorders>
                  <w:vAlign w:val="center"/>
                </w:tcPr>
                <w:p w14:paraId="4EA4DF0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铝合金边角料</w:t>
                  </w:r>
                </w:p>
              </w:tc>
              <w:tc>
                <w:tcPr>
                  <w:tcW w:w="723" w:type="pct"/>
                  <w:tcBorders>
                    <w:tl2br w:val="nil"/>
                    <w:tr2bl w:val="nil"/>
                  </w:tcBorders>
                  <w:vAlign w:val="center"/>
                </w:tcPr>
                <w:p w14:paraId="5462D45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机加工</w:t>
                  </w:r>
                </w:p>
              </w:tc>
              <w:tc>
                <w:tcPr>
                  <w:tcW w:w="329" w:type="pct"/>
                  <w:tcBorders>
                    <w:tl2br w:val="nil"/>
                    <w:tr2bl w:val="nil"/>
                  </w:tcBorders>
                  <w:vAlign w:val="center"/>
                </w:tcPr>
                <w:p w14:paraId="6E77E3B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固</w:t>
                  </w:r>
                </w:p>
              </w:tc>
              <w:tc>
                <w:tcPr>
                  <w:tcW w:w="883" w:type="pct"/>
                  <w:vMerge w:val="continue"/>
                  <w:tcBorders>
                    <w:tl2br w:val="nil"/>
                    <w:tr2bl w:val="nil"/>
                  </w:tcBorders>
                  <w:vAlign w:val="center"/>
                </w:tcPr>
                <w:p w14:paraId="21B99FDA">
                  <w:pPr>
                    <w:adjustRightInd w:val="0"/>
                    <w:snapToGrid w:val="0"/>
                    <w:jc w:val="center"/>
                    <w:rPr>
                      <w:rFonts w:hint="default" w:ascii="Times New Roman" w:hAnsi="Times New Roman" w:eastAsia="宋体" w:cs="Times New Roman"/>
                      <w:bCs/>
                      <w:color w:val="auto"/>
                      <w:sz w:val="21"/>
                      <w:szCs w:val="21"/>
                      <w:highlight w:val="none"/>
                      <w:lang w:val="en-US" w:eastAsia="zh-CN"/>
                    </w:rPr>
                  </w:pPr>
                </w:p>
              </w:tc>
              <w:tc>
                <w:tcPr>
                  <w:tcW w:w="558" w:type="pct"/>
                  <w:tcBorders>
                    <w:tl2br w:val="nil"/>
                    <w:tr2bl w:val="nil"/>
                  </w:tcBorders>
                  <w:vAlign w:val="center"/>
                </w:tcPr>
                <w:p w14:paraId="49492A75">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0.4</w:t>
                  </w:r>
                </w:p>
              </w:tc>
              <w:tc>
                <w:tcPr>
                  <w:tcW w:w="408" w:type="pct"/>
                  <w:vMerge w:val="continue"/>
                  <w:tcBorders>
                    <w:tl2br w:val="nil"/>
                    <w:tr2bl w:val="nil"/>
                  </w:tcBorders>
                  <w:vAlign w:val="center"/>
                </w:tcPr>
                <w:p w14:paraId="18A1A4D5">
                  <w:pPr>
                    <w:adjustRightInd w:val="0"/>
                    <w:snapToGrid w:val="0"/>
                    <w:jc w:val="center"/>
                    <w:rPr>
                      <w:rFonts w:hint="default" w:ascii="Times New Roman" w:hAnsi="Times New Roman" w:eastAsia="宋体" w:cs="Times New Roman"/>
                      <w:bCs/>
                      <w:color w:val="auto"/>
                      <w:sz w:val="21"/>
                      <w:szCs w:val="21"/>
                      <w:highlight w:val="none"/>
                    </w:rPr>
                  </w:pPr>
                </w:p>
              </w:tc>
              <w:tc>
                <w:tcPr>
                  <w:tcW w:w="758" w:type="pct"/>
                  <w:vMerge w:val="continue"/>
                  <w:tcBorders>
                    <w:tl2br w:val="nil"/>
                    <w:tr2bl w:val="nil"/>
                  </w:tcBorders>
                  <w:vAlign w:val="center"/>
                </w:tcPr>
                <w:p w14:paraId="5BEAD62F">
                  <w:pPr>
                    <w:adjustRightInd w:val="0"/>
                    <w:snapToGrid w:val="0"/>
                    <w:jc w:val="center"/>
                    <w:rPr>
                      <w:rFonts w:hint="default" w:ascii="Times New Roman" w:hAnsi="Times New Roman" w:eastAsia="宋体" w:cs="Times New Roman"/>
                      <w:bCs/>
                      <w:color w:val="auto"/>
                      <w:sz w:val="21"/>
                      <w:szCs w:val="21"/>
                      <w:highlight w:val="none"/>
                    </w:rPr>
                  </w:pPr>
                </w:p>
              </w:tc>
            </w:tr>
            <w:tr w14:paraId="737C2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00" w:type="pct"/>
                  <w:tcBorders>
                    <w:tl2br w:val="nil"/>
                    <w:tr2bl w:val="nil"/>
                  </w:tcBorders>
                  <w:vAlign w:val="center"/>
                </w:tcPr>
                <w:p w14:paraId="1320FFB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w:t>
                  </w:r>
                </w:p>
              </w:tc>
              <w:tc>
                <w:tcPr>
                  <w:tcW w:w="1037" w:type="pct"/>
                  <w:tcBorders>
                    <w:tl2br w:val="nil"/>
                    <w:tr2bl w:val="nil"/>
                  </w:tcBorders>
                  <w:vAlign w:val="center"/>
                </w:tcPr>
                <w:p w14:paraId="73FDF8F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废胶桶</w:t>
                  </w:r>
                </w:p>
              </w:tc>
              <w:tc>
                <w:tcPr>
                  <w:tcW w:w="723" w:type="pct"/>
                  <w:tcBorders>
                    <w:tl2br w:val="nil"/>
                    <w:tr2bl w:val="nil"/>
                  </w:tcBorders>
                  <w:vAlign w:val="center"/>
                </w:tcPr>
                <w:p w14:paraId="670A572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涂布</w:t>
                  </w:r>
                </w:p>
              </w:tc>
              <w:tc>
                <w:tcPr>
                  <w:tcW w:w="329" w:type="pct"/>
                  <w:tcBorders>
                    <w:tl2br w:val="nil"/>
                    <w:tr2bl w:val="nil"/>
                  </w:tcBorders>
                  <w:vAlign w:val="center"/>
                </w:tcPr>
                <w:p w14:paraId="12BE8F8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固</w:t>
                  </w:r>
                </w:p>
              </w:tc>
              <w:tc>
                <w:tcPr>
                  <w:tcW w:w="883" w:type="pct"/>
                  <w:tcBorders>
                    <w:tl2br w:val="nil"/>
                    <w:tr2bl w:val="nil"/>
                  </w:tcBorders>
                  <w:vAlign w:val="center"/>
                </w:tcPr>
                <w:p w14:paraId="0BEFD2CE">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HW49</w:t>
                  </w:r>
                </w:p>
                <w:p w14:paraId="6019BAE5">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900-041-49</w:t>
                  </w:r>
                </w:p>
              </w:tc>
              <w:tc>
                <w:tcPr>
                  <w:tcW w:w="558" w:type="pct"/>
                  <w:tcBorders>
                    <w:tl2br w:val="nil"/>
                    <w:tr2bl w:val="nil"/>
                  </w:tcBorders>
                  <w:vAlign w:val="center"/>
                </w:tcPr>
                <w:p w14:paraId="391C10B3">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w:t>
                  </w:r>
                </w:p>
              </w:tc>
              <w:tc>
                <w:tcPr>
                  <w:tcW w:w="408" w:type="pct"/>
                  <w:vMerge w:val="restart"/>
                  <w:tcBorders>
                    <w:tl2br w:val="nil"/>
                    <w:tr2bl w:val="nil"/>
                  </w:tcBorders>
                  <w:vAlign w:val="center"/>
                </w:tcPr>
                <w:p w14:paraId="6C82FBA6">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危废库</w:t>
                  </w:r>
                </w:p>
              </w:tc>
              <w:tc>
                <w:tcPr>
                  <w:tcW w:w="758" w:type="pct"/>
                  <w:vMerge w:val="restart"/>
                  <w:tcBorders>
                    <w:tl2br w:val="nil"/>
                    <w:tr2bl w:val="nil"/>
                  </w:tcBorders>
                  <w:vAlign w:val="center"/>
                </w:tcPr>
                <w:p w14:paraId="65293A76">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厂家定期回收</w:t>
                  </w:r>
                </w:p>
              </w:tc>
            </w:tr>
            <w:tr w14:paraId="00846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00" w:type="pct"/>
                  <w:tcBorders>
                    <w:tl2br w:val="nil"/>
                    <w:tr2bl w:val="nil"/>
                  </w:tcBorders>
                  <w:vAlign w:val="center"/>
                </w:tcPr>
                <w:p w14:paraId="69DFC3A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w:t>
                  </w:r>
                </w:p>
              </w:tc>
              <w:tc>
                <w:tcPr>
                  <w:tcW w:w="1037" w:type="pct"/>
                  <w:tcBorders>
                    <w:tl2br w:val="nil"/>
                    <w:tr2bl w:val="nil"/>
                  </w:tcBorders>
                  <w:vAlign w:val="center"/>
                </w:tcPr>
                <w:p w14:paraId="4863046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废机油桶</w:t>
                  </w:r>
                </w:p>
              </w:tc>
              <w:tc>
                <w:tcPr>
                  <w:tcW w:w="723" w:type="pct"/>
                  <w:tcBorders>
                    <w:tl2br w:val="nil"/>
                    <w:tr2bl w:val="nil"/>
                  </w:tcBorders>
                  <w:vAlign w:val="center"/>
                </w:tcPr>
                <w:p w14:paraId="231664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设备保养</w:t>
                  </w:r>
                </w:p>
              </w:tc>
              <w:tc>
                <w:tcPr>
                  <w:tcW w:w="329" w:type="pct"/>
                  <w:tcBorders>
                    <w:tl2br w:val="nil"/>
                    <w:tr2bl w:val="nil"/>
                  </w:tcBorders>
                  <w:vAlign w:val="center"/>
                </w:tcPr>
                <w:p w14:paraId="2D0D560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固</w:t>
                  </w:r>
                </w:p>
              </w:tc>
              <w:tc>
                <w:tcPr>
                  <w:tcW w:w="883" w:type="pct"/>
                  <w:tcBorders>
                    <w:tl2br w:val="nil"/>
                    <w:tr2bl w:val="nil"/>
                  </w:tcBorders>
                  <w:vAlign w:val="center"/>
                </w:tcPr>
                <w:p w14:paraId="5FEEFDE6">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HW08</w:t>
                  </w:r>
                </w:p>
                <w:p w14:paraId="152F7AC3">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9</w:t>
                  </w:r>
                  <w:r>
                    <w:rPr>
                      <w:rFonts w:hint="default" w:ascii="Times New Roman" w:hAnsi="Times New Roman" w:eastAsia="宋体" w:cs="Times New Roman"/>
                      <w:bCs/>
                      <w:color w:val="auto"/>
                      <w:szCs w:val="21"/>
                      <w:highlight w:val="none"/>
                    </w:rPr>
                    <w:t>00-041-49</w:t>
                  </w:r>
                </w:p>
              </w:tc>
              <w:tc>
                <w:tcPr>
                  <w:tcW w:w="558" w:type="pct"/>
                  <w:tcBorders>
                    <w:tl2br w:val="nil"/>
                    <w:tr2bl w:val="nil"/>
                  </w:tcBorders>
                  <w:vAlign w:val="center"/>
                </w:tcPr>
                <w:p w14:paraId="4BAD8CAE">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0.02</w:t>
                  </w:r>
                </w:p>
              </w:tc>
              <w:tc>
                <w:tcPr>
                  <w:tcW w:w="408" w:type="pct"/>
                  <w:vMerge w:val="continue"/>
                  <w:tcBorders>
                    <w:tl2br w:val="nil"/>
                    <w:tr2bl w:val="nil"/>
                  </w:tcBorders>
                  <w:vAlign w:val="center"/>
                </w:tcPr>
                <w:p w14:paraId="2FF0EFA9">
                  <w:pPr>
                    <w:adjustRightInd w:val="0"/>
                    <w:snapToGrid w:val="0"/>
                    <w:jc w:val="center"/>
                    <w:rPr>
                      <w:rFonts w:hint="default" w:ascii="Times New Roman" w:hAnsi="Times New Roman" w:eastAsia="宋体" w:cs="Times New Roman"/>
                      <w:bCs/>
                      <w:color w:val="auto"/>
                      <w:szCs w:val="21"/>
                      <w:highlight w:val="none"/>
                    </w:rPr>
                  </w:pPr>
                </w:p>
              </w:tc>
              <w:tc>
                <w:tcPr>
                  <w:tcW w:w="758" w:type="pct"/>
                  <w:vMerge w:val="continue"/>
                  <w:tcBorders>
                    <w:tl2br w:val="nil"/>
                    <w:tr2bl w:val="nil"/>
                  </w:tcBorders>
                  <w:vAlign w:val="center"/>
                </w:tcPr>
                <w:p w14:paraId="163848BD">
                  <w:pPr>
                    <w:adjustRightInd w:val="0"/>
                    <w:snapToGrid w:val="0"/>
                    <w:jc w:val="center"/>
                    <w:rPr>
                      <w:rFonts w:hint="default" w:ascii="Times New Roman" w:hAnsi="Times New Roman" w:eastAsia="宋体" w:cs="Times New Roman"/>
                      <w:bCs/>
                      <w:color w:val="auto"/>
                      <w:szCs w:val="21"/>
                      <w:highlight w:val="none"/>
                    </w:rPr>
                  </w:pPr>
                </w:p>
              </w:tc>
            </w:tr>
            <w:tr w14:paraId="49249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00" w:type="pct"/>
                  <w:tcBorders>
                    <w:tl2br w:val="nil"/>
                    <w:tr2bl w:val="nil"/>
                  </w:tcBorders>
                  <w:vAlign w:val="center"/>
                </w:tcPr>
                <w:p w14:paraId="3D048B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w:t>
                  </w:r>
                </w:p>
              </w:tc>
              <w:tc>
                <w:tcPr>
                  <w:tcW w:w="1037" w:type="pct"/>
                  <w:tcBorders>
                    <w:tl2br w:val="nil"/>
                    <w:tr2bl w:val="nil"/>
                  </w:tcBorders>
                  <w:vAlign w:val="center"/>
                </w:tcPr>
                <w:p w14:paraId="726923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废机油</w:t>
                  </w:r>
                </w:p>
              </w:tc>
              <w:tc>
                <w:tcPr>
                  <w:tcW w:w="723" w:type="pct"/>
                  <w:tcBorders>
                    <w:tl2br w:val="nil"/>
                    <w:tr2bl w:val="nil"/>
                  </w:tcBorders>
                  <w:vAlign w:val="center"/>
                </w:tcPr>
                <w:p w14:paraId="4D978AA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设备保养</w:t>
                  </w:r>
                </w:p>
              </w:tc>
              <w:tc>
                <w:tcPr>
                  <w:tcW w:w="329" w:type="pct"/>
                  <w:tcBorders>
                    <w:tl2br w:val="nil"/>
                    <w:tr2bl w:val="nil"/>
                  </w:tcBorders>
                  <w:vAlign w:val="center"/>
                </w:tcPr>
                <w:p w14:paraId="49AFA01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液</w:t>
                  </w:r>
                </w:p>
              </w:tc>
              <w:tc>
                <w:tcPr>
                  <w:tcW w:w="883" w:type="pct"/>
                  <w:tcBorders>
                    <w:tl2br w:val="nil"/>
                    <w:tr2bl w:val="nil"/>
                  </w:tcBorders>
                  <w:vAlign w:val="center"/>
                </w:tcPr>
                <w:p w14:paraId="33A86C11">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HW08</w:t>
                  </w:r>
                </w:p>
                <w:p w14:paraId="583D5B79">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900-2</w:t>
                  </w:r>
                  <w:r>
                    <w:rPr>
                      <w:rFonts w:hint="default" w:ascii="Times New Roman" w:hAnsi="Times New Roman" w:eastAsia="宋体" w:cs="Times New Roman"/>
                      <w:bCs/>
                      <w:color w:val="auto"/>
                      <w:szCs w:val="21"/>
                      <w:highlight w:val="none"/>
                      <w:lang w:val="en-US" w:eastAsia="zh-CN"/>
                    </w:rPr>
                    <w:t>49</w:t>
                  </w:r>
                  <w:r>
                    <w:rPr>
                      <w:rFonts w:hint="default" w:ascii="Times New Roman" w:hAnsi="Times New Roman" w:eastAsia="宋体" w:cs="Times New Roman"/>
                      <w:bCs/>
                      <w:color w:val="auto"/>
                      <w:szCs w:val="21"/>
                      <w:highlight w:val="none"/>
                    </w:rPr>
                    <w:t>-08</w:t>
                  </w:r>
                </w:p>
              </w:tc>
              <w:tc>
                <w:tcPr>
                  <w:tcW w:w="558" w:type="pct"/>
                  <w:tcBorders>
                    <w:tl2br w:val="nil"/>
                    <w:tr2bl w:val="nil"/>
                  </w:tcBorders>
                  <w:vAlign w:val="center"/>
                </w:tcPr>
                <w:p w14:paraId="675042B6">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0.32</w:t>
                  </w:r>
                </w:p>
              </w:tc>
              <w:tc>
                <w:tcPr>
                  <w:tcW w:w="408" w:type="pct"/>
                  <w:vMerge w:val="continue"/>
                  <w:tcBorders>
                    <w:tl2br w:val="nil"/>
                    <w:tr2bl w:val="nil"/>
                  </w:tcBorders>
                  <w:vAlign w:val="center"/>
                </w:tcPr>
                <w:p w14:paraId="737AAA4B">
                  <w:pPr>
                    <w:adjustRightInd w:val="0"/>
                    <w:snapToGrid w:val="0"/>
                    <w:jc w:val="center"/>
                    <w:rPr>
                      <w:rFonts w:hint="default" w:ascii="Times New Roman" w:hAnsi="Times New Roman" w:eastAsia="宋体" w:cs="Times New Roman"/>
                      <w:bCs/>
                      <w:color w:val="auto"/>
                      <w:szCs w:val="21"/>
                      <w:highlight w:val="none"/>
                    </w:rPr>
                  </w:pPr>
                </w:p>
              </w:tc>
              <w:tc>
                <w:tcPr>
                  <w:tcW w:w="758" w:type="pct"/>
                  <w:vMerge w:val="restart"/>
                  <w:tcBorders>
                    <w:tl2br w:val="nil"/>
                    <w:tr2bl w:val="nil"/>
                  </w:tcBorders>
                  <w:vAlign w:val="center"/>
                </w:tcPr>
                <w:p w14:paraId="20284EF6">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cs="Times New Roman"/>
                      <w:color w:val="auto"/>
                      <w:highlight w:val="none"/>
                      <w:lang w:val="en-US" w:eastAsia="zh-CN"/>
                    </w:rPr>
                    <w:t>定期</w:t>
                  </w:r>
                  <w:r>
                    <w:rPr>
                      <w:rFonts w:hint="default" w:ascii="Times New Roman" w:hAnsi="Times New Roman" w:cs="Times New Roman"/>
                      <w:color w:val="auto"/>
                      <w:highlight w:val="none"/>
                    </w:rPr>
                    <w:t>交给有资质单位处置</w:t>
                  </w:r>
                </w:p>
              </w:tc>
            </w:tr>
            <w:tr w14:paraId="66A3B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0" w:type="pct"/>
                  <w:tcBorders>
                    <w:tl2br w:val="nil"/>
                    <w:tr2bl w:val="nil"/>
                  </w:tcBorders>
                  <w:vAlign w:val="center"/>
                </w:tcPr>
                <w:p w14:paraId="17F4597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w:t>
                  </w:r>
                </w:p>
              </w:tc>
              <w:tc>
                <w:tcPr>
                  <w:tcW w:w="1037" w:type="pct"/>
                  <w:tcBorders>
                    <w:tl2br w:val="nil"/>
                    <w:tr2bl w:val="nil"/>
                  </w:tcBorders>
                  <w:vAlign w:val="center"/>
                </w:tcPr>
                <w:p w14:paraId="141951C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废活性炭</w:t>
                  </w:r>
                </w:p>
              </w:tc>
              <w:tc>
                <w:tcPr>
                  <w:tcW w:w="723" w:type="pct"/>
                  <w:tcBorders>
                    <w:tl2br w:val="nil"/>
                    <w:tr2bl w:val="nil"/>
                  </w:tcBorders>
                  <w:vAlign w:val="center"/>
                </w:tcPr>
                <w:p w14:paraId="2C22F9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废气处理</w:t>
                  </w:r>
                </w:p>
              </w:tc>
              <w:tc>
                <w:tcPr>
                  <w:tcW w:w="329" w:type="pct"/>
                  <w:tcBorders>
                    <w:tl2br w:val="nil"/>
                    <w:tr2bl w:val="nil"/>
                  </w:tcBorders>
                  <w:vAlign w:val="center"/>
                </w:tcPr>
                <w:p w14:paraId="54CF423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固</w:t>
                  </w:r>
                </w:p>
              </w:tc>
              <w:tc>
                <w:tcPr>
                  <w:tcW w:w="883" w:type="pct"/>
                  <w:tcBorders>
                    <w:tl2br w:val="nil"/>
                    <w:tr2bl w:val="nil"/>
                  </w:tcBorders>
                  <w:vAlign w:val="center"/>
                </w:tcPr>
                <w:p w14:paraId="640320F5">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HW49</w:t>
                  </w:r>
                </w:p>
                <w:p w14:paraId="2363EDFD">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900-039-49</w:t>
                  </w:r>
                </w:p>
              </w:tc>
              <w:tc>
                <w:tcPr>
                  <w:tcW w:w="558" w:type="pct"/>
                  <w:tcBorders>
                    <w:tl2br w:val="nil"/>
                    <w:tr2bl w:val="nil"/>
                  </w:tcBorders>
                  <w:vAlign w:val="center"/>
                </w:tcPr>
                <w:p w14:paraId="5A24F4E3">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13.82</w:t>
                  </w:r>
                </w:p>
              </w:tc>
              <w:tc>
                <w:tcPr>
                  <w:tcW w:w="408" w:type="pct"/>
                  <w:vMerge w:val="continue"/>
                  <w:tcBorders>
                    <w:tl2br w:val="nil"/>
                    <w:tr2bl w:val="nil"/>
                  </w:tcBorders>
                  <w:vAlign w:val="center"/>
                </w:tcPr>
                <w:p w14:paraId="0D44F345">
                  <w:pPr>
                    <w:adjustRightInd w:val="0"/>
                    <w:snapToGrid w:val="0"/>
                    <w:jc w:val="center"/>
                    <w:rPr>
                      <w:rFonts w:hint="default" w:ascii="Times New Roman" w:hAnsi="Times New Roman" w:eastAsia="宋体" w:cs="Times New Roman"/>
                      <w:bCs/>
                      <w:color w:val="auto"/>
                      <w:szCs w:val="21"/>
                      <w:highlight w:val="none"/>
                    </w:rPr>
                  </w:pPr>
                </w:p>
              </w:tc>
              <w:tc>
                <w:tcPr>
                  <w:tcW w:w="758" w:type="pct"/>
                  <w:vMerge w:val="continue"/>
                  <w:tcBorders>
                    <w:tl2br w:val="nil"/>
                    <w:tr2bl w:val="nil"/>
                  </w:tcBorders>
                  <w:vAlign w:val="center"/>
                </w:tcPr>
                <w:p w14:paraId="23D89394">
                  <w:pPr>
                    <w:adjustRightInd w:val="0"/>
                    <w:snapToGrid w:val="0"/>
                    <w:jc w:val="center"/>
                    <w:rPr>
                      <w:rFonts w:hint="default" w:ascii="Times New Roman" w:hAnsi="Times New Roman" w:eastAsia="宋体" w:cs="Times New Roman"/>
                      <w:bCs/>
                      <w:color w:val="auto"/>
                      <w:szCs w:val="21"/>
                      <w:highlight w:val="none"/>
                    </w:rPr>
                  </w:pPr>
                </w:p>
              </w:tc>
            </w:tr>
          </w:tbl>
          <w:p w14:paraId="691A32F9">
            <w:pPr>
              <w:adjustRightInd w:val="0"/>
              <w:snapToGrid w:val="0"/>
              <w:spacing w:line="360" w:lineRule="auto"/>
              <w:ind w:firstLine="482" w:firstLineChars="200"/>
              <w:rPr>
                <w:rFonts w:hint="default" w:ascii="Times New Roman" w:hAnsi="Times New Roman" w:cs="Times New Roman"/>
                <w:bCs/>
                <w:color w:val="auto"/>
                <w:sz w:val="24"/>
                <w:highlight w:val="none"/>
              </w:rPr>
            </w:pPr>
            <w:r>
              <w:rPr>
                <w:rFonts w:hint="default" w:ascii="Times New Roman" w:hAnsi="Times New Roman" w:cs="Times New Roman"/>
                <w:b/>
                <w:bCs w:val="0"/>
                <w:color w:val="auto"/>
                <w:sz w:val="24"/>
                <w:highlight w:val="none"/>
              </w:rPr>
              <w:t>2、危险废物属性判定</w:t>
            </w:r>
          </w:p>
          <w:p w14:paraId="2D227B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bCs/>
                <w:color w:val="auto"/>
                <w:sz w:val="24"/>
                <w:highlight w:val="none"/>
              </w:rPr>
              <w:t>根据《国家危险废物名录》（202</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年）、《危险废物鉴别标准》和《建设项目危险废物环境影响评价指南》（环境保护部公告2017年第43号），判定建设项目的固体废物是否属于危险废物，判定结果详见下表：</w:t>
            </w:r>
          </w:p>
          <w:p w14:paraId="1EE815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
                <w:color w:val="auto"/>
                <w:sz w:val="24"/>
                <w:szCs w:val="24"/>
                <w:highlight w:val="none"/>
              </w:rPr>
              <w:t>表4-1</w:t>
            </w:r>
            <w:r>
              <w:rPr>
                <w:rFonts w:hint="default" w:ascii="Times New Roman" w:hAnsi="Times New Roman"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危险废物属性判定表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4"/>
              <w:gridCol w:w="750"/>
              <w:gridCol w:w="800"/>
              <w:gridCol w:w="1212"/>
              <w:gridCol w:w="713"/>
              <w:gridCol w:w="687"/>
              <w:gridCol w:w="750"/>
              <w:gridCol w:w="863"/>
              <w:gridCol w:w="765"/>
              <w:gridCol w:w="846"/>
            </w:tblGrid>
            <w:tr w14:paraId="02025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tcBorders>
                    <w:tl2br w:val="nil"/>
                    <w:tr2bl w:val="nil"/>
                  </w:tcBorders>
                  <w:vAlign w:val="center"/>
                </w:tcPr>
                <w:p w14:paraId="48932D5D">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750" w:type="dxa"/>
                  <w:tcBorders>
                    <w:tl2br w:val="nil"/>
                    <w:tr2bl w:val="nil"/>
                  </w:tcBorders>
                  <w:vAlign w:val="center"/>
                </w:tcPr>
                <w:p w14:paraId="51401B21">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危废名称</w:t>
                  </w:r>
                </w:p>
              </w:tc>
              <w:tc>
                <w:tcPr>
                  <w:tcW w:w="800" w:type="dxa"/>
                  <w:tcBorders>
                    <w:tl2br w:val="nil"/>
                    <w:tr2bl w:val="nil"/>
                  </w:tcBorders>
                  <w:vAlign w:val="center"/>
                </w:tcPr>
                <w:p w14:paraId="235DB2BB">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危废类型</w:t>
                  </w:r>
                </w:p>
              </w:tc>
              <w:tc>
                <w:tcPr>
                  <w:tcW w:w="1212" w:type="dxa"/>
                  <w:tcBorders>
                    <w:tl2br w:val="nil"/>
                    <w:tr2bl w:val="nil"/>
                  </w:tcBorders>
                  <w:vAlign w:val="center"/>
                </w:tcPr>
                <w:p w14:paraId="5C9E7F6E">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危废代码</w:t>
                  </w:r>
                </w:p>
              </w:tc>
              <w:tc>
                <w:tcPr>
                  <w:tcW w:w="713" w:type="dxa"/>
                  <w:tcBorders>
                    <w:tl2br w:val="nil"/>
                    <w:tr2bl w:val="nil"/>
                  </w:tcBorders>
                  <w:vAlign w:val="center"/>
                </w:tcPr>
                <w:p w14:paraId="478B9473">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状态</w:t>
                  </w:r>
                </w:p>
              </w:tc>
              <w:tc>
                <w:tcPr>
                  <w:tcW w:w="687" w:type="dxa"/>
                  <w:tcBorders>
                    <w:tl2br w:val="nil"/>
                    <w:tr2bl w:val="nil"/>
                  </w:tcBorders>
                  <w:vAlign w:val="center"/>
                </w:tcPr>
                <w:p w14:paraId="50CAD26C">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收集措施</w:t>
                  </w:r>
                </w:p>
              </w:tc>
              <w:tc>
                <w:tcPr>
                  <w:tcW w:w="750" w:type="dxa"/>
                  <w:tcBorders>
                    <w:tl2br w:val="nil"/>
                    <w:tr2bl w:val="nil"/>
                  </w:tcBorders>
                  <w:vAlign w:val="center"/>
                </w:tcPr>
                <w:p w14:paraId="0FF7607D">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储存地点</w:t>
                  </w:r>
                </w:p>
              </w:tc>
              <w:tc>
                <w:tcPr>
                  <w:tcW w:w="863" w:type="dxa"/>
                  <w:tcBorders>
                    <w:tl2br w:val="nil"/>
                    <w:tr2bl w:val="nil"/>
                  </w:tcBorders>
                  <w:vAlign w:val="center"/>
                </w:tcPr>
                <w:p w14:paraId="203D5A6D">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产生量t/a</w:t>
                  </w:r>
                </w:p>
              </w:tc>
              <w:tc>
                <w:tcPr>
                  <w:tcW w:w="765" w:type="dxa"/>
                  <w:tcBorders>
                    <w:tl2br w:val="nil"/>
                    <w:tr2bl w:val="nil"/>
                  </w:tcBorders>
                  <w:vAlign w:val="center"/>
                </w:tcPr>
                <w:p w14:paraId="6CC2D838">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危险特性</w:t>
                  </w:r>
                </w:p>
              </w:tc>
              <w:tc>
                <w:tcPr>
                  <w:tcW w:w="846" w:type="dxa"/>
                  <w:tcBorders>
                    <w:tl2br w:val="nil"/>
                    <w:tr2bl w:val="nil"/>
                  </w:tcBorders>
                  <w:vAlign w:val="center"/>
                </w:tcPr>
                <w:p w14:paraId="09EDC745">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处置方式</w:t>
                  </w:r>
                </w:p>
              </w:tc>
            </w:tr>
            <w:tr w14:paraId="0837E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tcBorders>
                    <w:tl2br w:val="nil"/>
                    <w:tr2bl w:val="nil"/>
                  </w:tcBorders>
                  <w:vAlign w:val="center"/>
                </w:tcPr>
                <w:p w14:paraId="11E9CB3A">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750" w:type="dxa"/>
                  <w:tcBorders>
                    <w:tl2br w:val="nil"/>
                    <w:tr2bl w:val="nil"/>
                  </w:tcBorders>
                  <w:vAlign w:val="center"/>
                </w:tcPr>
                <w:p w14:paraId="51263A4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废活性炭</w:t>
                  </w:r>
                </w:p>
              </w:tc>
              <w:tc>
                <w:tcPr>
                  <w:tcW w:w="800" w:type="dxa"/>
                  <w:tcBorders>
                    <w:tl2br w:val="nil"/>
                    <w:tr2bl w:val="nil"/>
                  </w:tcBorders>
                  <w:vAlign w:val="center"/>
                </w:tcPr>
                <w:p w14:paraId="4295935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HW49</w:t>
                  </w:r>
                </w:p>
              </w:tc>
              <w:tc>
                <w:tcPr>
                  <w:tcW w:w="1212" w:type="dxa"/>
                  <w:tcBorders>
                    <w:tl2br w:val="nil"/>
                    <w:tr2bl w:val="nil"/>
                  </w:tcBorders>
                  <w:vAlign w:val="center"/>
                </w:tcPr>
                <w:p w14:paraId="7F429EF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900-039-49</w:t>
                  </w:r>
                </w:p>
              </w:tc>
              <w:tc>
                <w:tcPr>
                  <w:tcW w:w="713" w:type="dxa"/>
                  <w:tcBorders>
                    <w:tl2br w:val="nil"/>
                    <w:tr2bl w:val="nil"/>
                  </w:tcBorders>
                  <w:vAlign w:val="center"/>
                </w:tcPr>
                <w:p w14:paraId="39D93735">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固体</w:t>
                  </w:r>
                </w:p>
              </w:tc>
              <w:tc>
                <w:tcPr>
                  <w:tcW w:w="687" w:type="dxa"/>
                  <w:tcBorders>
                    <w:tl2br w:val="nil"/>
                    <w:tr2bl w:val="nil"/>
                  </w:tcBorders>
                  <w:vAlign w:val="center"/>
                </w:tcPr>
                <w:p w14:paraId="5D27BF3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袋装</w:t>
                  </w:r>
                </w:p>
              </w:tc>
              <w:tc>
                <w:tcPr>
                  <w:tcW w:w="750" w:type="dxa"/>
                  <w:vMerge w:val="restart"/>
                  <w:tcBorders>
                    <w:tl2br w:val="nil"/>
                    <w:tr2bl w:val="nil"/>
                  </w:tcBorders>
                  <w:vAlign w:val="center"/>
                </w:tcPr>
                <w:p w14:paraId="58DEE44A">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危废暂存间位于</w:t>
                  </w:r>
                  <w:r>
                    <w:rPr>
                      <w:rFonts w:hint="default" w:ascii="Times New Roman" w:hAnsi="Times New Roman" w:cs="Times New Roman"/>
                      <w:bCs/>
                      <w:color w:val="auto"/>
                      <w:szCs w:val="21"/>
                      <w:highlight w:val="none"/>
                      <w:lang w:val="en-US" w:eastAsia="zh-CN"/>
                    </w:rPr>
                    <w:t>东北角</w:t>
                  </w:r>
                  <w:r>
                    <w:rPr>
                      <w:rFonts w:hint="default" w:ascii="Times New Roman" w:hAnsi="Times New Roman" w:cs="Times New Roman"/>
                      <w:bCs/>
                      <w:color w:val="auto"/>
                      <w:szCs w:val="21"/>
                      <w:highlight w:val="none"/>
                    </w:rPr>
                    <w:t>，面积</w:t>
                  </w:r>
                  <w:r>
                    <w:rPr>
                      <w:rFonts w:hint="default" w:ascii="Times New Roman" w:hAnsi="Times New Roman" w:cs="Times New Roman"/>
                      <w:bCs/>
                      <w:color w:val="auto"/>
                      <w:szCs w:val="21"/>
                      <w:highlight w:val="none"/>
                      <w:lang w:val="en-US" w:eastAsia="zh-CN"/>
                    </w:rPr>
                    <w:t>8</w:t>
                  </w:r>
                  <w:r>
                    <w:rPr>
                      <w:rFonts w:hint="default" w:ascii="Times New Roman" w:hAnsi="Times New Roman" w:cs="Times New Roman"/>
                      <w:bCs/>
                      <w:color w:val="auto"/>
                      <w:szCs w:val="21"/>
                      <w:highlight w:val="none"/>
                    </w:rPr>
                    <w:t>m</w:t>
                  </w:r>
                  <w:r>
                    <w:rPr>
                      <w:rFonts w:hint="default" w:ascii="Times New Roman" w:hAnsi="Times New Roman" w:cs="Times New Roman"/>
                      <w:bCs/>
                      <w:color w:val="auto"/>
                      <w:szCs w:val="21"/>
                      <w:highlight w:val="none"/>
                      <w:vertAlign w:val="superscript"/>
                    </w:rPr>
                    <w:t>2</w:t>
                  </w:r>
                </w:p>
              </w:tc>
              <w:tc>
                <w:tcPr>
                  <w:tcW w:w="863" w:type="dxa"/>
                  <w:tcBorders>
                    <w:tl2br w:val="nil"/>
                    <w:tr2bl w:val="nil"/>
                  </w:tcBorders>
                  <w:vAlign w:val="center"/>
                </w:tcPr>
                <w:p w14:paraId="79E8BFC6">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13.82</w:t>
                  </w:r>
                </w:p>
              </w:tc>
              <w:tc>
                <w:tcPr>
                  <w:tcW w:w="765" w:type="dxa"/>
                  <w:tcBorders>
                    <w:tl2br w:val="nil"/>
                    <w:tr2bl w:val="nil"/>
                  </w:tcBorders>
                  <w:vAlign w:val="center"/>
                </w:tcPr>
                <w:p w14:paraId="7112076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T</w:t>
                  </w:r>
                </w:p>
              </w:tc>
              <w:tc>
                <w:tcPr>
                  <w:tcW w:w="846" w:type="dxa"/>
                  <w:vMerge w:val="restart"/>
                  <w:tcBorders>
                    <w:tl2br w:val="nil"/>
                    <w:tr2bl w:val="nil"/>
                  </w:tcBorders>
                  <w:vAlign w:val="center"/>
                </w:tcPr>
                <w:p w14:paraId="5BB34A58">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委托有资质单位进行处理</w:t>
                  </w:r>
                </w:p>
              </w:tc>
            </w:tr>
            <w:tr w14:paraId="69F7D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tcBorders>
                    <w:tl2br w:val="nil"/>
                    <w:tr2bl w:val="nil"/>
                  </w:tcBorders>
                  <w:vAlign w:val="center"/>
                </w:tcPr>
                <w:p w14:paraId="2FC379B8">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p>
              </w:tc>
              <w:tc>
                <w:tcPr>
                  <w:tcW w:w="750" w:type="dxa"/>
                  <w:tcBorders>
                    <w:tl2br w:val="nil"/>
                    <w:tr2bl w:val="nil"/>
                  </w:tcBorders>
                  <w:vAlign w:val="center"/>
                </w:tcPr>
                <w:p w14:paraId="79215AA4">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废机油</w:t>
                  </w:r>
                </w:p>
              </w:tc>
              <w:tc>
                <w:tcPr>
                  <w:tcW w:w="800" w:type="dxa"/>
                  <w:tcBorders>
                    <w:tl2br w:val="nil"/>
                    <w:tr2bl w:val="nil"/>
                  </w:tcBorders>
                  <w:vAlign w:val="center"/>
                </w:tcPr>
                <w:p w14:paraId="0F9F2B6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HW08</w:t>
                  </w:r>
                </w:p>
              </w:tc>
              <w:tc>
                <w:tcPr>
                  <w:tcW w:w="1212" w:type="dxa"/>
                  <w:tcBorders>
                    <w:tl2br w:val="nil"/>
                    <w:tr2bl w:val="nil"/>
                  </w:tcBorders>
                  <w:vAlign w:val="center"/>
                </w:tcPr>
                <w:p w14:paraId="685108E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900-249-08</w:t>
                  </w:r>
                </w:p>
              </w:tc>
              <w:tc>
                <w:tcPr>
                  <w:tcW w:w="713" w:type="dxa"/>
                  <w:tcBorders>
                    <w:tl2br w:val="nil"/>
                    <w:tr2bl w:val="nil"/>
                  </w:tcBorders>
                  <w:vAlign w:val="center"/>
                </w:tcPr>
                <w:p w14:paraId="07D04544">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液体</w:t>
                  </w:r>
                </w:p>
              </w:tc>
              <w:tc>
                <w:tcPr>
                  <w:tcW w:w="687" w:type="dxa"/>
                  <w:tcBorders>
                    <w:tl2br w:val="nil"/>
                    <w:tr2bl w:val="nil"/>
                  </w:tcBorders>
                  <w:vAlign w:val="center"/>
                </w:tcPr>
                <w:p w14:paraId="5BFDFB0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桶装</w:t>
                  </w:r>
                </w:p>
              </w:tc>
              <w:tc>
                <w:tcPr>
                  <w:tcW w:w="750" w:type="dxa"/>
                  <w:vMerge w:val="continue"/>
                  <w:tcBorders>
                    <w:tl2br w:val="nil"/>
                    <w:tr2bl w:val="nil"/>
                  </w:tcBorders>
                  <w:vAlign w:val="center"/>
                </w:tcPr>
                <w:p w14:paraId="3993ED4C">
                  <w:pPr>
                    <w:adjustRightInd w:val="0"/>
                    <w:snapToGrid w:val="0"/>
                    <w:jc w:val="center"/>
                    <w:rPr>
                      <w:rFonts w:hint="default" w:ascii="Times New Roman" w:hAnsi="Times New Roman" w:cs="Times New Roman"/>
                      <w:bCs/>
                      <w:color w:val="auto"/>
                      <w:szCs w:val="21"/>
                      <w:highlight w:val="none"/>
                    </w:rPr>
                  </w:pPr>
                </w:p>
              </w:tc>
              <w:tc>
                <w:tcPr>
                  <w:tcW w:w="863" w:type="dxa"/>
                  <w:tcBorders>
                    <w:tl2br w:val="nil"/>
                    <w:tr2bl w:val="nil"/>
                  </w:tcBorders>
                  <w:vAlign w:val="center"/>
                </w:tcPr>
                <w:p w14:paraId="7B034776">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32</w:t>
                  </w:r>
                </w:p>
              </w:tc>
              <w:tc>
                <w:tcPr>
                  <w:tcW w:w="765" w:type="dxa"/>
                  <w:tcBorders>
                    <w:bottom w:val="single" w:color="000000" w:sz="4" w:space="0"/>
                    <w:tl2br w:val="nil"/>
                    <w:tr2bl w:val="nil"/>
                  </w:tcBorders>
                  <w:vAlign w:val="center"/>
                </w:tcPr>
                <w:p w14:paraId="47D9655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T，I</w:t>
                  </w:r>
                </w:p>
              </w:tc>
              <w:tc>
                <w:tcPr>
                  <w:tcW w:w="846" w:type="dxa"/>
                  <w:vMerge w:val="continue"/>
                  <w:tcBorders>
                    <w:bottom w:val="single" w:color="000000" w:sz="4" w:space="0"/>
                    <w:tl2br w:val="nil"/>
                    <w:tr2bl w:val="nil"/>
                  </w:tcBorders>
                  <w:vAlign w:val="center"/>
                </w:tcPr>
                <w:p w14:paraId="7A109A2E">
                  <w:pPr>
                    <w:adjustRightInd w:val="0"/>
                    <w:snapToGrid w:val="0"/>
                    <w:jc w:val="center"/>
                    <w:rPr>
                      <w:rFonts w:hint="default" w:ascii="Times New Roman" w:hAnsi="Times New Roman" w:cs="Times New Roman"/>
                      <w:bCs/>
                      <w:color w:val="auto"/>
                      <w:szCs w:val="21"/>
                      <w:highlight w:val="none"/>
                    </w:rPr>
                  </w:pPr>
                </w:p>
              </w:tc>
            </w:tr>
            <w:tr w14:paraId="24868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tcBorders>
                    <w:tl2br w:val="nil"/>
                    <w:tr2bl w:val="nil"/>
                  </w:tcBorders>
                  <w:vAlign w:val="center"/>
                </w:tcPr>
                <w:p w14:paraId="649AB9B7">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val="en-US" w:eastAsia="zh-CN"/>
                    </w:rPr>
                    <w:t>3</w:t>
                  </w:r>
                </w:p>
              </w:tc>
              <w:tc>
                <w:tcPr>
                  <w:tcW w:w="750" w:type="dxa"/>
                  <w:tcBorders>
                    <w:tl2br w:val="nil"/>
                    <w:tr2bl w:val="nil"/>
                  </w:tcBorders>
                  <w:vAlign w:val="center"/>
                </w:tcPr>
                <w:p w14:paraId="1ED38C55">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废机油桶</w:t>
                  </w:r>
                </w:p>
              </w:tc>
              <w:tc>
                <w:tcPr>
                  <w:tcW w:w="800" w:type="dxa"/>
                  <w:tcBorders>
                    <w:tl2br w:val="nil"/>
                    <w:tr2bl w:val="nil"/>
                  </w:tcBorders>
                  <w:vAlign w:val="center"/>
                </w:tcPr>
                <w:p w14:paraId="34BB4D1B">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HW0</w:t>
                  </w:r>
                  <w:r>
                    <w:rPr>
                      <w:rFonts w:hint="default" w:ascii="Times New Roman" w:hAnsi="Times New Roman" w:cs="Times New Roman"/>
                      <w:bCs/>
                      <w:color w:val="auto"/>
                      <w:szCs w:val="21"/>
                      <w:highlight w:val="none"/>
                      <w:lang w:val="en-US" w:eastAsia="zh-CN"/>
                    </w:rPr>
                    <w:t>9</w:t>
                  </w:r>
                </w:p>
              </w:tc>
              <w:tc>
                <w:tcPr>
                  <w:tcW w:w="1212" w:type="dxa"/>
                  <w:tcBorders>
                    <w:tl2br w:val="nil"/>
                    <w:tr2bl w:val="nil"/>
                  </w:tcBorders>
                  <w:vAlign w:val="center"/>
                </w:tcPr>
                <w:p w14:paraId="1089CF71">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900-</w:t>
                  </w:r>
                  <w:r>
                    <w:rPr>
                      <w:rFonts w:hint="default" w:ascii="Times New Roman" w:hAnsi="Times New Roman" w:cs="Times New Roman"/>
                      <w:bCs/>
                      <w:color w:val="auto"/>
                      <w:szCs w:val="21"/>
                      <w:highlight w:val="none"/>
                      <w:lang w:val="en-US" w:eastAsia="zh-CN"/>
                    </w:rPr>
                    <w:t>041</w: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49</w:t>
                  </w:r>
                </w:p>
              </w:tc>
              <w:tc>
                <w:tcPr>
                  <w:tcW w:w="713" w:type="dxa"/>
                  <w:tcBorders>
                    <w:tl2br w:val="nil"/>
                    <w:tr2bl w:val="nil"/>
                  </w:tcBorders>
                  <w:vAlign w:val="center"/>
                </w:tcPr>
                <w:p w14:paraId="11E7D23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固体</w:t>
                  </w:r>
                </w:p>
              </w:tc>
              <w:tc>
                <w:tcPr>
                  <w:tcW w:w="687" w:type="dxa"/>
                  <w:tcBorders>
                    <w:tl2br w:val="nil"/>
                    <w:tr2bl w:val="nil"/>
                  </w:tcBorders>
                  <w:vAlign w:val="center"/>
                </w:tcPr>
                <w:p w14:paraId="0578F36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托盘</w:t>
                  </w:r>
                </w:p>
              </w:tc>
              <w:tc>
                <w:tcPr>
                  <w:tcW w:w="750" w:type="dxa"/>
                  <w:vMerge w:val="continue"/>
                  <w:tcBorders>
                    <w:tl2br w:val="nil"/>
                    <w:tr2bl w:val="nil"/>
                  </w:tcBorders>
                  <w:vAlign w:val="center"/>
                </w:tcPr>
                <w:p w14:paraId="0C1EABAF">
                  <w:pPr>
                    <w:adjustRightInd w:val="0"/>
                    <w:snapToGrid w:val="0"/>
                    <w:jc w:val="center"/>
                    <w:rPr>
                      <w:rFonts w:hint="default" w:ascii="Times New Roman" w:hAnsi="Times New Roman" w:cs="Times New Roman"/>
                      <w:bCs/>
                      <w:color w:val="auto"/>
                      <w:szCs w:val="21"/>
                      <w:highlight w:val="none"/>
                    </w:rPr>
                  </w:pPr>
                </w:p>
              </w:tc>
              <w:tc>
                <w:tcPr>
                  <w:tcW w:w="863" w:type="dxa"/>
                  <w:tcBorders>
                    <w:tl2br w:val="nil"/>
                    <w:tr2bl w:val="nil"/>
                  </w:tcBorders>
                  <w:vAlign w:val="center"/>
                </w:tcPr>
                <w:p w14:paraId="0FAD1652">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val="en-US" w:eastAsia="zh-CN"/>
                    </w:rPr>
                    <w:t>2</w:t>
                  </w:r>
                </w:p>
              </w:tc>
              <w:tc>
                <w:tcPr>
                  <w:tcW w:w="765" w:type="dxa"/>
                  <w:tcBorders>
                    <w:top w:val="single" w:color="000000" w:sz="4" w:space="0"/>
                    <w:tl2br w:val="nil"/>
                    <w:tr2bl w:val="nil"/>
                  </w:tcBorders>
                  <w:vAlign w:val="center"/>
                </w:tcPr>
                <w:p w14:paraId="7E3DEEA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T，I</w:t>
                  </w:r>
                </w:p>
              </w:tc>
              <w:tc>
                <w:tcPr>
                  <w:tcW w:w="846" w:type="dxa"/>
                  <w:vMerge w:val="restart"/>
                  <w:tcBorders>
                    <w:top w:val="single" w:color="000000" w:sz="4" w:space="0"/>
                    <w:tl2br w:val="nil"/>
                    <w:tr2bl w:val="nil"/>
                  </w:tcBorders>
                  <w:vAlign w:val="center"/>
                </w:tcPr>
                <w:p w14:paraId="28FA471A">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厂家定期回收</w:t>
                  </w:r>
                </w:p>
              </w:tc>
            </w:tr>
            <w:tr w14:paraId="5B348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tcBorders>
                    <w:tl2br w:val="nil"/>
                    <w:tr2bl w:val="nil"/>
                  </w:tcBorders>
                  <w:vAlign w:val="center"/>
                </w:tcPr>
                <w:p w14:paraId="7D9180A6">
                  <w:pPr>
                    <w:adjustRightInd w:val="0"/>
                    <w:snapToGrid w:val="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w:t>
                  </w:r>
                </w:p>
              </w:tc>
              <w:tc>
                <w:tcPr>
                  <w:tcW w:w="750" w:type="dxa"/>
                  <w:tcBorders>
                    <w:tl2br w:val="nil"/>
                    <w:tr2bl w:val="nil"/>
                  </w:tcBorders>
                  <w:vAlign w:val="center"/>
                </w:tcPr>
                <w:p w14:paraId="42D97FDF">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废胶桶</w:t>
                  </w:r>
                </w:p>
              </w:tc>
              <w:tc>
                <w:tcPr>
                  <w:tcW w:w="800" w:type="dxa"/>
                  <w:tcBorders>
                    <w:tl2br w:val="nil"/>
                    <w:tr2bl w:val="nil"/>
                  </w:tcBorders>
                  <w:vAlign w:val="center"/>
                </w:tcPr>
                <w:p w14:paraId="643F3A4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HW08</w:t>
                  </w:r>
                </w:p>
              </w:tc>
              <w:tc>
                <w:tcPr>
                  <w:tcW w:w="1212" w:type="dxa"/>
                  <w:tcBorders>
                    <w:tl2br w:val="nil"/>
                    <w:tr2bl w:val="nil"/>
                  </w:tcBorders>
                  <w:vAlign w:val="center"/>
                </w:tcPr>
                <w:p w14:paraId="629DECFE">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900-249-08</w:t>
                  </w:r>
                </w:p>
              </w:tc>
              <w:tc>
                <w:tcPr>
                  <w:tcW w:w="713" w:type="dxa"/>
                  <w:tcBorders>
                    <w:tl2br w:val="nil"/>
                    <w:tr2bl w:val="nil"/>
                  </w:tcBorders>
                  <w:vAlign w:val="center"/>
                </w:tcPr>
                <w:p w14:paraId="6908B2E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固体</w:t>
                  </w:r>
                </w:p>
              </w:tc>
              <w:tc>
                <w:tcPr>
                  <w:tcW w:w="687" w:type="dxa"/>
                  <w:tcBorders>
                    <w:tl2br w:val="nil"/>
                    <w:tr2bl w:val="nil"/>
                  </w:tcBorders>
                  <w:vAlign w:val="center"/>
                </w:tcPr>
                <w:p w14:paraId="60ED252E">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托盘</w:t>
                  </w:r>
                </w:p>
              </w:tc>
              <w:tc>
                <w:tcPr>
                  <w:tcW w:w="750" w:type="dxa"/>
                  <w:vMerge w:val="continue"/>
                  <w:tcBorders>
                    <w:tl2br w:val="nil"/>
                    <w:tr2bl w:val="nil"/>
                  </w:tcBorders>
                  <w:vAlign w:val="center"/>
                </w:tcPr>
                <w:p w14:paraId="7F83DCF3">
                  <w:pPr>
                    <w:adjustRightInd w:val="0"/>
                    <w:snapToGrid w:val="0"/>
                    <w:jc w:val="center"/>
                    <w:rPr>
                      <w:rFonts w:hint="default" w:ascii="Times New Roman" w:hAnsi="Times New Roman" w:cs="Times New Roman"/>
                      <w:bCs/>
                      <w:color w:val="auto"/>
                      <w:szCs w:val="21"/>
                      <w:highlight w:val="none"/>
                    </w:rPr>
                  </w:pPr>
                </w:p>
              </w:tc>
              <w:tc>
                <w:tcPr>
                  <w:tcW w:w="863" w:type="dxa"/>
                  <w:tcBorders>
                    <w:tl2br w:val="nil"/>
                    <w:tr2bl w:val="nil"/>
                  </w:tcBorders>
                  <w:vAlign w:val="center"/>
                </w:tcPr>
                <w:p w14:paraId="71224394">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765" w:type="dxa"/>
                  <w:tcBorders>
                    <w:tl2br w:val="nil"/>
                    <w:tr2bl w:val="nil"/>
                  </w:tcBorders>
                  <w:vAlign w:val="center"/>
                </w:tcPr>
                <w:p w14:paraId="51143FFA">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T，I</w:t>
                  </w:r>
                </w:p>
              </w:tc>
              <w:tc>
                <w:tcPr>
                  <w:tcW w:w="846" w:type="dxa"/>
                  <w:vMerge w:val="continue"/>
                  <w:tcBorders>
                    <w:tl2br w:val="nil"/>
                    <w:tr2bl w:val="nil"/>
                  </w:tcBorders>
                  <w:vAlign w:val="center"/>
                </w:tcPr>
                <w:p w14:paraId="5BB807E9">
                  <w:pPr>
                    <w:adjustRightInd w:val="0"/>
                    <w:snapToGrid w:val="0"/>
                    <w:jc w:val="center"/>
                    <w:rPr>
                      <w:rFonts w:hint="default" w:ascii="Times New Roman" w:hAnsi="Times New Roman" w:cs="Times New Roman"/>
                      <w:bCs/>
                      <w:color w:val="auto"/>
                      <w:szCs w:val="21"/>
                      <w:highlight w:val="none"/>
                    </w:rPr>
                  </w:pPr>
                </w:p>
              </w:tc>
            </w:tr>
          </w:tbl>
          <w:p w14:paraId="1ADF22EC">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3、一般固废环境影响分析</w:t>
            </w:r>
          </w:p>
          <w:p w14:paraId="7D4B73D3">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本项目产生的一般工业固体废物集中收集暂存于一般固废间，一般固废间设置在</w:t>
            </w:r>
            <w:r>
              <w:rPr>
                <w:rFonts w:hint="default" w:ascii="Times New Roman" w:hAnsi="Times New Roman" w:cs="Times New Roman"/>
                <w:bCs/>
                <w:color w:val="auto"/>
                <w:sz w:val="24"/>
                <w:highlight w:val="none"/>
                <w:lang w:val="en-US" w:eastAsia="zh-CN"/>
              </w:rPr>
              <w:t>厂房东</w:t>
            </w:r>
            <w:r>
              <w:rPr>
                <w:rFonts w:hint="default" w:ascii="Times New Roman" w:hAnsi="Times New Roman" w:cs="Times New Roman"/>
                <w:bCs/>
                <w:color w:val="auto"/>
                <w:sz w:val="24"/>
                <w:highlight w:val="none"/>
              </w:rPr>
              <w:t>北</w:t>
            </w:r>
            <w:r>
              <w:rPr>
                <w:rFonts w:hint="default" w:ascii="Times New Roman" w:hAnsi="Times New Roman" w:cs="Times New Roman"/>
                <w:bCs/>
                <w:color w:val="auto"/>
                <w:sz w:val="24"/>
                <w:highlight w:val="none"/>
                <w:lang w:val="en-US" w:eastAsia="zh-CN"/>
              </w:rPr>
              <w:t>角</w:t>
            </w:r>
            <w:r>
              <w:rPr>
                <w:rFonts w:hint="default" w:ascii="Times New Roman" w:hAnsi="Times New Roman" w:cs="Times New Roman"/>
                <w:bCs/>
                <w:color w:val="auto"/>
                <w:sz w:val="24"/>
                <w:highlight w:val="none"/>
              </w:rPr>
              <w:t>，面积约</w:t>
            </w:r>
            <w:r>
              <w:rPr>
                <w:rFonts w:hint="default" w:ascii="Times New Roman" w:hAnsi="Times New Roman" w:cs="Times New Roman"/>
                <w:bCs/>
                <w:color w:val="auto"/>
                <w:sz w:val="24"/>
                <w:highlight w:val="none"/>
                <w:lang w:val="en-US" w:eastAsia="zh-CN"/>
              </w:rPr>
              <w:t>50</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。企业在生产过程中，应加强一般固废间的管理，定点收集堆存，并及时处理，不会对环境造成不利影响。</w:t>
            </w:r>
          </w:p>
          <w:p w14:paraId="52A7596A">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4、危险废物环境影响分析</w:t>
            </w:r>
          </w:p>
          <w:p w14:paraId="791E29C5">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本项目产生的危险废物在转运之前暂存于危废暂存间，危废暂存间设置在</w:t>
            </w:r>
            <w:r>
              <w:rPr>
                <w:rFonts w:hint="default" w:ascii="Times New Roman" w:hAnsi="Times New Roman" w:cs="Times New Roman"/>
                <w:bCs/>
                <w:color w:val="auto"/>
                <w:sz w:val="24"/>
                <w:highlight w:val="none"/>
                <w:lang w:val="en-US" w:eastAsia="zh-CN"/>
              </w:rPr>
              <w:t>厂房东</w:t>
            </w:r>
            <w:r>
              <w:rPr>
                <w:rFonts w:hint="default" w:ascii="Times New Roman" w:hAnsi="Times New Roman" w:cs="Times New Roman"/>
                <w:bCs/>
                <w:color w:val="auto"/>
                <w:sz w:val="24"/>
                <w:highlight w:val="none"/>
              </w:rPr>
              <w:t>北</w:t>
            </w:r>
            <w:r>
              <w:rPr>
                <w:rFonts w:hint="default" w:ascii="Times New Roman" w:hAnsi="Times New Roman" w:cs="Times New Roman"/>
                <w:bCs/>
                <w:color w:val="auto"/>
                <w:sz w:val="24"/>
                <w:highlight w:val="none"/>
                <w:lang w:val="en-US" w:eastAsia="zh-CN"/>
              </w:rPr>
              <w:t>角</w:t>
            </w:r>
            <w:r>
              <w:rPr>
                <w:rFonts w:hint="default" w:ascii="Times New Roman" w:hAnsi="Times New Roman" w:cs="Times New Roman"/>
                <w:bCs/>
                <w:color w:val="auto"/>
                <w:sz w:val="24"/>
                <w:highlight w:val="none"/>
              </w:rPr>
              <w:t>，面积约</w:t>
            </w:r>
            <w:r>
              <w:rPr>
                <w:rFonts w:hint="default" w:ascii="Times New Roman" w:hAnsi="Times New Roman" w:cs="Times New Roman"/>
                <w:bCs/>
                <w:color w:val="auto"/>
                <w:sz w:val="24"/>
                <w:highlight w:val="none"/>
                <w:lang w:val="en-US" w:eastAsia="zh-CN"/>
              </w:rPr>
              <w:t>8</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。储存类别：废活性炭、废机油、废机油桶</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废胶桶</w:t>
            </w:r>
            <w:r>
              <w:rPr>
                <w:rFonts w:hint="default" w:ascii="Times New Roman" w:hAnsi="Times New Roman" w:cs="Times New Roman"/>
                <w:bCs/>
                <w:color w:val="auto"/>
                <w:sz w:val="24"/>
                <w:highlight w:val="none"/>
              </w:rPr>
              <w:t>。本项目危险废物贮存场所的名称、位置、占地面积、贮存方式、贮存容积、贮存周期等基本信息见下表。</w:t>
            </w:r>
          </w:p>
          <w:p w14:paraId="15356AD9">
            <w:pPr>
              <w:adjustRightInd w:val="0"/>
              <w:snapToGrid w:val="0"/>
              <w:spacing w:before="120" w:beforeLines="50"/>
              <w:jc w:val="center"/>
              <w:rPr>
                <w:rFonts w:hint="default" w:ascii="Times New Roman" w:hAnsi="Times New Roman" w:cs="Times New Roman"/>
                <w:bCs/>
                <w:color w:val="auto"/>
                <w:szCs w:val="21"/>
                <w:highlight w:val="none"/>
              </w:rPr>
            </w:pPr>
            <w:r>
              <w:rPr>
                <w:rFonts w:hint="default" w:ascii="Times New Roman" w:hAnsi="Times New Roman" w:cs="Times New Roman"/>
                <w:b/>
                <w:color w:val="auto"/>
                <w:szCs w:val="21"/>
                <w:highlight w:val="none"/>
              </w:rPr>
              <w:t>表4-15建设项目危险废物贮存场所（设施）基本情况</w:t>
            </w:r>
          </w:p>
          <w:tbl>
            <w:tblPr>
              <w:tblStyle w:val="2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267"/>
              <w:gridCol w:w="719"/>
              <w:gridCol w:w="851"/>
              <w:gridCol w:w="1276"/>
              <w:gridCol w:w="708"/>
              <w:gridCol w:w="709"/>
              <w:gridCol w:w="992"/>
              <w:gridCol w:w="877"/>
            </w:tblGrid>
            <w:tr w14:paraId="23106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3D50B91C">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267" w:type="dxa"/>
                  <w:tcBorders>
                    <w:tl2br w:val="nil"/>
                    <w:tr2bl w:val="nil"/>
                  </w:tcBorders>
                  <w:vAlign w:val="center"/>
                </w:tcPr>
                <w:p w14:paraId="5CDA3C70">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危险废物名称</w:t>
                  </w:r>
                </w:p>
              </w:tc>
              <w:tc>
                <w:tcPr>
                  <w:tcW w:w="719" w:type="dxa"/>
                  <w:tcBorders>
                    <w:tl2br w:val="nil"/>
                    <w:tr2bl w:val="nil"/>
                  </w:tcBorders>
                  <w:vAlign w:val="center"/>
                </w:tcPr>
                <w:p w14:paraId="3B4D89A7">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贮存场所</w:t>
                  </w:r>
                </w:p>
              </w:tc>
              <w:tc>
                <w:tcPr>
                  <w:tcW w:w="851" w:type="dxa"/>
                  <w:tcBorders>
                    <w:tl2br w:val="nil"/>
                    <w:tr2bl w:val="nil"/>
                  </w:tcBorders>
                  <w:vAlign w:val="center"/>
                </w:tcPr>
                <w:p w14:paraId="28A693E7">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危险废物类别</w:t>
                  </w:r>
                </w:p>
              </w:tc>
              <w:tc>
                <w:tcPr>
                  <w:tcW w:w="1276" w:type="dxa"/>
                  <w:tcBorders>
                    <w:tl2br w:val="nil"/>
                    <w:tr2bl w:val="nil"/>
                  </w:tcBorders>
                  <w:vAlign w:val="center"/>
                </w:tcPr>
                <w:p w14:paraId="1984BC4B">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危险废物代码</w:t>
                  </w:r>
                </w:p>
              </w:tc>
              <w:tc>
                <w:tcPr>
                  <w:tcW w:w="708" w:type="dxa"/>
                  <w:tcBorders>
                    <w:tl2br w:val="nil"/>
                    <w:tr2bl w:val="nil"/>
                  </w:tcBorders>
                  <w:vAlign w:val="center"/>
                </w:tcPr>
                <w:p w14:paraId="143845A4">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占地面积</w:t>
                  </w:r>
                </w:p>
              </w:tc>
              <w:tc>
                <w:tcPr>
                  <w:tcW w:w="709" w:type="dxa"/>
                  <w:tcBorders>
                    <w:tl2br w:val="nil"/>
                    <w:tr2bl w:val="nil"/>
                  </w:tcBorders>
                  <w:vAlign w:val="center"/>
                </w:tcPr>
                <w:p w14:paraId="4DD4677D">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贮存方式</w:t>
                  </w:r>
                </w:p>
              </w:tc>
              <w:tc>
                <w:tcPr>
                  <w:tcW w:w="992" w:type="dxa"/>
                  <w:tcBorders>
                    <w:tl2br w:val="nil"/>
                    <w:tr2bl w:val="nil"/>
                  </w:tcBorders>
                  <w:vAlign w:val="center"/>
                </w:tcPr>
                <w:p w14:paraId="6893081D">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贮存能力t</w:t>
                  </w:r>
                </w:p>
              </w:tc>
              <w:tc>
                <w:tcPr>
                  <w:tcW w:w="877" w:type="dxa"/>
                  <w:tcBorders>
                    <w:tl2br w:val="nil"/>
                    <w:tr2bl w:val="nil"/>
                  </w:tcBorders>
                  <w:vAlign w:val="center"/>
                </w:tcPr>
                <w:p w14:paraId="6BAB3B57">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贮存周期</w:t>
                  </w:r>
                </w:p>
              </w:tc>
            </w:tr>
            <w:tr w14:paraId="02263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67EB62DE">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1267" w:type="dxa"/>
                  <w:tcBorders>
                    <w:tl2br w:val="nil"/>
                    <w:tr2bl w:val="nil"/>
                  </w:tcBorders>
                  <w:vAlign w:val="center"/>
                </w:tcPr>
                <w:p w14:paraId="4C3CCC45">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废活性炭</w:t>
                  </w:r>
                </w:p>
              </w:tc>
              <w:tc>
                <w:tcPr>
                  <w:tcW w:w="719" w:type="dxa"/>
                  <w:vMerge w:val="restart"/>
                  <w:tcBorders>
                    <w:tl2br w:val="nil"/>
                    <w:tr2bl w:val="nil"/>
                  </w:tcBorders>
                  <w:vAlign w:val="center"/>
                </w:tcPr>
                <w:p w14:paraId="537542F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危废暂存间</w:t>
                  </w:r>
                </w:p>
              </w:tc>
              <w:tc>
                <w:tcPr>
                  <w:tcW w:w="851" w:type="dxa"/>
                  <w:tcBorders>
                    <w:tl2br w:val="nil"/>
                    <w:tr2bl w:val="nil"/>
                  </w:tcBorders>
                  <w:vAlign w:val="center"/>
                </w:tcPr>
                <w:p w14:paraId="5495E327">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highlight w:val="none"/>
                    </w:rPr>
                    <w:t>HW49</w:t>
                  </w:r>
                </w:p>
              </w:tc>
              <w:tc>
                <w:tcPr>
                  <w:tcW w:w="1276" w:type="dxa"/>
                  <w:tcBorders>
                    <w:tl2br w:val="nil"/>
                    <w:tr2bl w:val="nil"/>
                  </w:tcBorders>
                  <w:vAlign w:val="center"/>
                </w:tcPr>
                <w:p w14:paraId="1538339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highlight w:val="none"/>
                    </w:rPr>
                    <w:t>900-039-49</w:t>
                  </w:r>
                </w:p>
              </w:tc>
              <w:tc>
                <w:tcPr>
                  <w:tcW w:w="708" w:type="dxa"/>
                  <w:vMerge w:val="restart"/>
                  <w:tcBorders>
                    <w:tl2br w:val="nil"/>
                    <w:tr2bl w:val="nil"/>
                  </w:tcBorders>
                  <w:vAlign w:val="center"/>
                </w:tcPr>
                <w:p w14:paraId="281F512A">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8</w:t>
                  </w:r>
                  <w:r>
                    <w:rPr>
                      <w:rFonts w:hint="default" w:ascii="Times New Roman" w:hAnsi="Times New Roman" w:cs="Times New Roman"/>
                      <w:bCs/>
                      <w:color w:val="auto"/>
                      <w:szCs w:val="21"/>
                      <w:highlight w:val="none"/>
                    </w:rPr>
                    <w:t>m</w:t>
                  </w:r>
                  <w:r>
                    <w:rPr>
                      <w:rFonts w:hint="default" w:ascii="Times New Roman" w:hAnsi="Times New Roman" w:cs="Times New Roman"/>
                      <w:bCs/>
                      <w:color w:val="auto"/>
                      <w:szCs w:val="21"/>
                      <w:highlight w:val="none"/>
                      <w:vertAlign w:val="superscript"/>
                    </w:rPr>
                    <w:t>2</w:t>
                  </w:r>
                </w:p>
              </w:tc>
              <w:tc>
                <w:tcPr>
                  <w:tcW w:w="709" w:type="dxa"/>
                  <w:tcBorders>
                    <w:tl2br w:val="nil"/>
                    <w:tr2bl w:val="nil"/>
                  </w:tcBorders>
                  <w:vAlign w:val="center"/>
                </w:tcPr>
                <w:p w14:paraId="54798C07">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袋装</w:t>
                  </w:r>
                </w:p>
              </w:tc>
              <w:tc>
                <w:tcPr>
                  <w:tcW w:w="992" w:type="dxa"/>
                  <w:tcBorders>
                    <w:tl2br w:val="nil"/>
                    <w:tr2bl w:val="nil"/>
                  </w:tcBorders>
                  <w:vAlign w:val="center"/>
                </w:tcPr>
                <w:p w14:paraId="55FDC53A">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13.82</w:t>
                  </w:r>
                </w:p>
              </w:tc>
              <w:tc>
                <w:tcPr>
                  <w:tcW w:w="877" w:type="dxa"/>
                  <w:vMerge w:val="restart"/>
                  <w:tcBorders>
                    <w:tl2br w:val="nil"/>
                    <w:tr2bl w:val="nil"/>
                  </w:tcBorders>
                  <w:vAlign w:val="center"/>
                </w:tcPr>
                <w:p w14:paraId="0384365D">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1年</w:t>
                  </w:r>
                </w:p>
              </w:tc>
            </w:tr>
            <w:tr w14:paraId="50DFF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484B224A">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1267" w:type="dxa"/>
                  <w:tcBorders>
                    <w:tl2br w:val="nil"/>
                    <w:tr2bl w:val="nil"/>
                  </w:tcBorders>
                  <w:vAlign w:val="center"/>
                </w:tcPr>
                <w:p w14:paraId="056F587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废机油</w:t>
                  </w:r>
                </w:p>
              </w:tc>
              <w:tc>
                <w:tcPr>
                  <w:tcW w:w="719" w:type="dxa"/>
                  <w:vMerge w:val="continue"/>
                  <w:tcBorders>
                    <w:tl2br w:val="nil"/>
                    <w:tr2bl w:val="nil"/>
                  </w:tcBorders>
                  <w:vAlign w:val="center"/>
                </w:tcPr>
                <w:p w14:paraId="1BA07537">
                  <w:pPr>
                    <w:adjustRightInd w:val="0"/>
                    <w:snapToGrid w:val="0"/>
                    <w:jc w:val="center"/>
                    <w:rPr>
                      <w:rFonts w:hint="default" w:ascii="Times New Roman" w:hAnsi="Times New Roman" w:cs="Times New Roman"/>
                      <w:bCs/>
                      <w:color w:val="auto"/>
                      <w:szCs w:val="21"/>
                      <w:highlight w:val="none"/>
                    </w:rPr>
                  </w:pPr>
                </w:p>
              </w:tc>
              <w:tc>
                <w:tcPr>
                  <w:tcW w:w="851" w:type="dxa"/>
                  <w:tcBorders>
                    <w:tl2br w:val="nil"/>
                    <w:tr2bl w:val="nil"/>
                  </w:tcBorders>
                  <w:vAlign w:val="center"/>
                </w:tcPr>
                <w:p w14:paraId="75BD7F1E">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HW08</w:t>
                  </w:r>
                </w:p>
              </w:tc>
              <w:tc>
                <w:tcPr>
                  <w:tcW w:w="1276" w:type="dxa"/>
                  <w:tcBorders>
                    <w:tl2br w:val="nil"/>
                    <w:tr2bl w:val="nil"/>
                  </w:tcBorders>
                  <w:vAlign w:val="center"/>
                </w:tcPr>
                <w:p w14:paraId="01C28E5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900-217-08</w:t>
                  </w:r>
                </w:p>
              </w:tc>
              <w:tc>
                <w:tcPr>
                  <w:tcW w:w="708" w:type="dxa"/>
                  <w:vMerge w:val="continue"/>
                  <w:tcBorders>
                    <w:tl2br w:val="nil"/>
                    <w:tr2bl w:val="nil"/>
                  </w:tcBorders>
                  <w:vAlign w:val="center"/>
                </w:tcPr>
                <w:p w14:paraId="1FDAB356">
                  <w:pPr>
                    <w:adjustRightInd w:val="0"/>
                    <w:snapToGrid w:val="0"/>
                    <w:jc w:val="center"/>
                    <w:rPr>
                      <w:rFonts w:hint="default" w:ascii="Times New Roman" w:hAnsi="Times New Roman" w:cs="Times New Roman"/>
                      <w:bCs/>
                      <w:color w:val="auto"/>
                      <w:szCs w:val="21"/>
                      <w:highlight w:val="none"/>
                    </w:rPr>
                  </w:pPr>
                </w:p>
              </w:tc>
              <w:tc>
                <w:tcPr>
                  <w:tcW w:w="709" w:type="dxa"/>
                  <w:tcBorders>
                    <w:tl2br w:val="nil"/>
                    <w:tr2bl w:val="nil"/>
                  </w:tcBorders>
                  <w:vAlign w:val="center"/>
                </w:tcPr>
                <w:p w14:paraId="241EB207">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桶装</w:t>
                  </w:r>
                </w:p>
              </w:tc>
              <w:tc>
                <w:tcPr>
                  <w:tcW w:w="992" w:type="dxa"/>
                  <w:tcBorders>
                    <w:tl2br w:val="nil"/>
                    <w:tr2bl w:val="nil"/>
                  </w:tcBorders>
                  <w:vAlign w:val="center"/>
                </w:tcPr>
                <w:p w14:paraId="48A0817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32</w:t>
                  </w:r>
                </w:p>
              </w:tc>
              <w:tc>
                <w:tcPr>
                  <w:tcW w:w="877" w:type="dxa"/>
                  <w:vMerge w:val="continue"/>
                  <w:tcBorders>
                    <w:tl2br w:val="nil"/>
                    <w:tr2bl w:val="nil"/>
                  </w:tcBorders>
                  <w:vAlign w:val="center"/>
                </w:tcPr>
                <w:p w14:paraId="5093CB02">
                  <w:pPr>
                    <w:adjustRightInd w:val="0"/>
                    <w:snapToGrid w:val="0"/>
                    <w:jc w:val="center"/>
                    <w:rPr>
                      <w:rFonts w:hint="default" w:ascii="Times New Roman" w:hAnsi="Times New Roman" w:cs="Times New Roman"/>
                      <w:bCs/>
                      <w:color w:val="auto"/>
                      <w:szCs w:val="21"/>
                      <w:highlight w:val="none"/>
                    </w:rPr>
                  </w:pPr>
                </w:p>
              </w:tc>
            </w:tr>
            <w:tr w14:paraId="26FB1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3A90452A">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w:t>
                  </w:r>
                </w:p>
              </w:tc>
              <w:tc>
                <w:tcPr>
                  <w:tcW w:w="1267" w:type="dxa"/>
                  <w:tcBorders>
                    <w:tl2br w:val="nil"/>
                    <w:tr2bl w:val="nil"/>
                  </w:tcBorders>
                  <w:vAlign w:val="center"/>
                </w:tcPr>
                <w:p w14:paraId="4BBA324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废机油桶</w:t>
                  </w:r>
                </w:p>
              </w:tc>
              <w:tc>
                <w:tcPr>
                  <w:tcW w:w="719" w:type="dxa"/>
                  <w:vMerge w:val="continue"/>
                  <w:tcBorders>
                    <w:tl2br w:val="nil"/>
                    <w:tr2bl w:val="nil"/>
                  </w:tcBorders>
                  <w:vAlign w:val="center"/>
                </w:tcPr>
                <w:p w14:paraId="4127955A">
                  <w:pPr>
                    <w:adjustRightInd w:val="0"/>
                    <w:snapToGrid w:val="0"/>
                    <w:jc w:val="center"/>
                    <w:rPr>
                      <w:rFonts w:hint="default" w:ascii="Times New Roman" w:hAnsi="Times New Roman" w:cs="Times New Roman"/>
                      <w:bCs/>
                      <w:color w:val="auto"/>
                      <w:szCs w:val="21"/>
                      <w:highlight w:val="none"/>
                    </w:rPr>
                  </w:pPr>
                </w:p>
              </w:tc>
              <w:tc>
                <w:tcPr>
                  <w:tcW w:w="851" w:type="dxa"/>
                  <w:tcBorders>
                    <w:tl2br w:val="nil"/>
                    <w:tr2bl w:val="nil"/>
                  </w:tcBorders>
                  <w:vAlign w:val="center"/>
                </w:tcPr>
                <w:p w14:paraId="26996315">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HW08</w:t>
                  </w:r>
                </w:p>
              </w:tc>
              <w:tc>
                <w:tcPr>
                  <w:tcW w:w="1276" w:type="dxa"/>
                  <w:tcBorders>
                    <w:tl2br w:val="nil"/>
                    <w:tr2bl w:val="nil"/>
                  </w:tcBorders>
                  <w:vAlign w:val="center"/>
                </w:tcPr>
                <w:p w14:paraId="657AD7BF">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900-249-08</w:t>
                  </w:r>
                </w:p>
              </w:tc>
              <w:tc>
                <w:tcPr>
                  <w:tcW w:w="708" w:type="dxa"/>
                  <w:vMerge w:val="continue"/>
                  <w:tcBorders>
                    <w:tl2br w:val="nil"/>
                    <w:tr2bl w:val="nil"/>
                  </w:tcBorders>
                  <w:vAlign w:val="center"/>
                </w:tcPr>
                <w:p w14:paraId="34B3A04A">
                  <w:pPr>
                    <w:adjustRightInd w:val="0"/>
                    <w:snapToGrid w:val="0"/>
                    <w:jc w:val="center"/>
                    <w:rPr>
                      <w:rFonts w:hint="default" w:ascii="Times New Roman" w:hAnsi="Times New Roman" w:cs="Times New Roman"/>
                      <w:bCs/>
                      <w:color w:val="auto"/>
                      <w:szCs w:val="21"/>
                      <w:highlight w:val="none"/>
                    </w:rPr>
                  </w:pPr>
                </w:p>
              </w:tc>
              <w:tc>
                <w:tcPr>
                  <w:tcW w:w="709" w:type="dxa"/>
                  <w:tcBorders>
                    <w:tl2br w:val="nil"/>
                    <w:tr2bl w:val="nil"/>
                  </w:tcBorders>
                  <w:vAlign w:val="center"/>
                </w:tcPr>
                <w:p w14:paraId="6A1911EB">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托盘</w:t>
                  </w:r>
                </w:p>
              </w:tc>
              <w:tc>
                <w:tcPr>
                  <w:tcW w:w="992" w:type="dxa"/>
                  <w:tcBorders>
                    <w:tl2br w:val="nil"/>
                    <w:tr2bl w:val="nil"/>
                  </w:tcBorders>
                  <w:vAlign w:val="center"/>
                </w:tcPr>
                <w:p w14:paraId="5ED158CF">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0.0</w:t>
                  </w:r>
                  <w:r>
                    <w:rPr>
                      <w:rFonts w:hint="default" w:ascii="Times New Roman" w:hAnsi="Times New Roman" w:cs="Times New Roman"/>
                      <w:color w:val="auto"/>
                      <w:highlight w:val="none"/>
                      <w:lang w:val="en-US" w:eastAsia="zh-CN"/>
                    </w:rPr>
                    <w:t>2</w:t>
                  </w:r>
                </w:p>
              </w:tc>
              <w:tc>
                <w:tcPr>
                  <w:tcW w:w="877" w:type="dxa"/>
                  <w:vMerge w:val="continue"/>
                  <w:tcBorders>
                    <w:tl2br w:val="nil"/>
                    <w:tr2bl w:val="nil"/>
                  </w:tcBorders>
                  <w:vAlign w:val="center"/>
                </w:tcPr>
                <w:p w14:paraId="2048E161">
                  <w:pPr>
                    <w:adjustRightInd w:val="0"/>
                    <w:snapToGrid w:val="0"/>
                    <w:jc w:val="center"/>
                    <w:rPr>
                      <w:rFonts w:hint="default" w:ascii="Times New Roman" w:hAnsi="Times New Roman" w:cs="Times New Roman"/>
                      <w:bCs/>
                      <w:color w:val="auto"/>
                      <w:szCs w:val="21"/>
                      <w:highlight w:val="none"/>
                    </w:rPr>
                  </w:pPr>
                </w:p>
              </w:tc>
            </w:tr>
            <w:tr w14:paraId="1B8C3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0A32DAA4">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w:t>
                  </w:r>
                </w:p>
              </w:tc>
              <w:tc>
                <w:tcPr>
                  <w:tcW w:w="1267" w:type="dxa"/>
                  <w:tcBorders>
                    <w:tl2br w:val="nil"/>
                    <w:tr2bl w:val="nil"/>
                  </w:tcBorders>
                  <w:vAlign w:val="center"/>
                </w:tcPr>
                <w:p w14:paraId="5BFA7AC7">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废胶桶</w:t>
                  </w:r>
                </w:p>
              </w:tc>
              <w:tc>
                <w:tcPr>
                  <w:tcW w:w="719" w:type="dxa"/>
                  <w:vMerge w:val="continue"/>
                  <w:tcBorders>
                    <w:tl2br w:val="nil"/>
                    <w:tr2bl w:val="nil"/>
                  </w:tcBorders>
                  <w:vAlign w:val="center"/>
                </w:tcPr>
                <w:p w14:paraId="3344FCC9">
                  <w:pPr>
                    <w:adjustRightInd w:val="0"/>
                    <w:snapToGrid w:val="0"/>
                    <w:jc w:val="center"/>
                    <w:rPr>
                      <w:rFonts w:hint="default" w:ascii="Times New Roman" w:hAnsi="Times New Roman" w:cs="Times New Roman"/>
                      <w:bCs/>
                      <w:color w:val="auto"/>
                      <w:szCs w:val="21"/>
                      <w:highlight w:val="none"/>
                    </w:rPr>
                  </w:pPr>
                </w:p>
              </w:tc>
              <w:tc>
                <w:tcPr>
                  <w:tcW w:w="851" w:type="dxa"/>
                  <w:tcBorders>
                    <w:tl2br w:val="nil"/>
                    <w:tr2bl w:val="nil"/>
                  </w:tcBorders>
                  <w:vAlign w:val="center"/>
                </w:tcPr>
                <w:p w14:paraId="78A2725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HW49</w:t>
                  </w:r>
                </w:p>
              </w:tc>
              <w:tc>
                <w:tcPr>
                  <w:tcW w:w="1276" w:type="dxa"/>
                  <w:tcBorders>
                    <w:tl2br w:val="nil"/>
                    <w:tr2bl w:val="nil"/>
                  </w:tcBorders>
                  <w:vAlign w:val="center"/>
                </w:tcPr>
                <w:p w14:paraId="0B09BD8A">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900-041-49</w:t>
                  </w:r>
                </w:p>
              </w:tc>
              <w:tc>
                <w:tcPr>
                  <w:tcW w:w="708" w:type="dxa"/>
                  <w:vMerge w:val="continue"/>
                  <w:tcBorders>
                    <w:tl2br w:val="nil"/>
                    <w:tr2bl w:val="nil"/>
                  </w:tcBorders>
                  <w:vAlign w:val="center"/>
                </w:tcPr>
                <w:p w14:paraId="0FB91EB1">
                  <w:pPr>
                    <w:adjustRightInd w:val="0"/>
                    <w:snapToGrid w:val="0"/>
                    <w:jc w:val="center"/>
                    <w:rPr>
                      <w:rFonts w:hint="default" w:ascii="Times New Roman" w:hAnsi="Times New Roman" w:cs="Times New Roman"/>
                      <w:bCs/>
                      <w:color w:val="auto"/>
                      <w:szCs w:val="21"/>
                      <w:highlight w:val="none"/>
                    </w:rPr>
                  </w:pPr>
                </w:p>
              </w:tc>
              <w:tc>
                <w:tcPr>
                  <w:tcW w:w="709" w:type="dxa"/>
                  <w:tcBorders>
                    <w:tl2br w:val="nil"/>
                    <w:tr2bl w:val="nil"/>
                  </w:tcBorders>
                  <w:vAlign w:val="center"/>
                </w:tcPr>
                <w:p w14:paraId="4BDB31AF">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托盘</w:t>
                  </w:r>
                </w:p>
              </w:tc>
              <w:tc>
                <w:tcPr>
                  <w:tcW w:w="992" w:type="dxa"/>
                  <w:tcBorders>
                    <w:tl2br w:val="nil"/>
                    <w:tr2bl w:val="nil"/>
                  </w:tcBorders>
                  <w:vAlign w:val="center"/>
                </w:tcPr>
                <w:p w14:paraId="330DE80F">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lang w:val="en-US" w:eastAsia="zh-CN"/>
                    </w:rPr>
                    <w:t>2</w:t>
                  </w:r>
                </w:p>
              </w:tc>
              <w:tc>
                <w:tcPr>
                  <w:tcW w:w="877" w:type="dxa"/>
                  <w:vMerge w:val="continue"/>
                  <w:tcBorders>
                    <w:tl2br w:val="nil"/>
                    <w:tr2bl w:val="nil"/>
                  </w:tcBorders>
                  <w:vAlign w:val="center"/>
                </w:tcPr>
                <w:p w14:paraId="378C46FD">
                  <w:pPr>
                    <w:adjustRightInd w:val="0"/>
                    <w:snapToGrid w:val="0"/>
                    <w:jc w:val="center"/>
                    <w:rPr>
                      <w:rFonts w:hint="default" w:ascii="Times New Roman" w:hAnsi="Times New Roman" w:cs="Times New Roman"/>
                      <w:bCs/>
                      <w:color w:val="auto"/>
                      <w:szCs w:val="21"/>
                      <w:highlight w:val="none"/>
                    </w:rPr>
                  </w:pPr>
                </w:p>
              </w:tc>
            </w:tr>
          </w:tbl>
          <w:p w14:paraId="6C8B625A">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危废暂存间设置在</w:t>
            </w:r>
            <w:r>
              <w:rPr>
                <w:rFonts w:hint="default" w:ascii="Times New Roman" w:hAnsi="Times New Roman" w:cs="Times New Roman"/>
                <w:bCs/>
                <w:color w:val="auto"/>
                <w:sz w:val="24"/>
                <w:highlight w:val="none"/>
                <w:lang w:val="en-US" w:eastAsia="zh-CN"/>
              </w:rPr>
              <w:t>厂房东</w:t>
            </w:r>
            <w:r>
              <w:rPr>
                <w:rFonts w:hint="default" w:ascii="Times New Roman" w:hAnsi="Times New Roman" w:cs="Times New Roman"/>
                <w:bCs/>
                <w:color w:val="auto"/>
                <w:sz w:val="24"/>
                <w:highlight w:val="none"/>
              </w:rPr>
              <w:t>北</w:t>
            </w:r>
            <w:r>
              <w:rPr>
                <w:rFonts w:hint="default" w:ascii="Times New Roman" w:hAnsi="Times New Roman" w:cs="Times New Roman"/>
                <w:bCs/>
                <w:color w:val="auto"/>
                <w:sz w:val="24"/>
                <w:highlight w:val="none"/>
                <w:lang w:val="en-US" w:eastAsia="zh-CN"/>
              </w:rPr>
              <w:t>角</w:t>
            </w:r>
            <w:r>
              <w:rPr>
                <w:rFonts w:hint="default" w:ascii="Times New Roman" w:hAnsi="Times New Roman" w:cs="Times New Roman"/>
                <w:bCs/>
                <w:color w:val="auto"/>
                <w:sz w:val="24"/>
                <w:highlight w:val="none"/>
              </w:rPr>
              <w:t>，面积约</w:t>
            </w:r>
            <w:r>
              <w:rPr>
                <w:rFonts w:hint="default" w:ascii="Times New Roman" w:hAnsi="Times New Roman" w:cs="Times New Roman"/>
                <w:bCs/>
                <w:color w:val="auto"/>
                <w:sz w:val="24"/>
                <w:highlight w:val="none"/>
                <w:lang w:val="en-US" w:eastAsia="zh-CN"/>
              </w:rPr>
              <w:t>8</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，要求企业运营期加强危废的管理，建设过程中对危废暂存间的建设按照《危险废物贮存污染控制标准》（GB18597-2023）中相关规定，规范建设危废暂存间建设。</w:t>
            </w:r>
          </w:p>
          <w:p w14:paraId="3A48FAE0">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厂区集中设置1座</w:t>
            </w:r>
            <w:r>
              <w:rPr>
                <w:rFonts w:hint="default" w:ascii="Times New Roman" w:hAnsi="Times New Roman" w:cs="Times New Roman"/>
                <w:bCs/>
                <w:color w:val="auto"/>
                <w:sz w:val="24"/>
                <w:highlight w:val="none"/>
                <w:lang w:val="en-US" w:eastAsia="zh-CN"/>
              </w:rPr>
              <w:t>8</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危险废物暂存间，按照设计暂存量系数1t/m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，危险废物暂存间一次最大暂存量为5t，危险废物按1年最长暂存时间考虑，全年危险废物暂存间可暂存危废量为5t。综上，危废暂存间暂存量可以满足全厂危险废物暂存的需求。</w:t>
            </w:r>
          </w:p>
          <w:p w14:paraId="1CCD37AC">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拟建项目危险废物在厂内贮存时，执行《危险废物贮存污染控制标准》（GB18597-2023）中相关规定，规范建设危废暂存间，一般措施如下：</w:t>
            </w:r>
          </w:p>
          <w:p w14:paraId="07DD823A">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①贮存设施应根据危险废物的形态、物理化学性质、包装形式和污染物迁移途径，采取必要的防风、防晒、防雨、防漏、防渗、防腐以及其他环境污染防治措施，不应露天堆放危险废物。</w:t>
            </w:r>
          </w:p>
          <w:p w14:paraId="57D99C26">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②贮存设施应根据危险废物的类别、数量、形态、物理化学性质和污染防治等要求设置必要的贮存分区，避免不相容的危险废物接触、混合。</w:t>
            </w:r>
          </w:p>
          <w:p w14:paraId="524836AB">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③贮存设施或贮存分区内地面、墙面裙脚、堵截泄漏的围堰、接触危险废物的隔板和墙体等应采用坚固的材料建造，表面无裂缝。</w:t>
            </w:r>
          </w:p>
          <w:p w14:paraId="3766284C">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层（渗透系数不大于10</w:t>
            </w:r>
            <w:r>
              <w:rPr>
                <w:rFonts w:hint="default" w:ascii="Times New Roman" w:hAnsi="Times New Roman" w:cs="Times New Roman"/>
                <w:bCs/>
                <w:color w:val="auto"/>
                <w:sz w:val="24"/>
                <w:highlight w:val="none"/>
                <w:vertAlign w:val="superscript"/>
              </w:rPr>
              <w:t>-7</w:t>
            </w:r>
            <w:r>
              <w:rPr>
                <w:rFonts w:hint="default" w:ascii="Times New Roman" w:hAnsi="Times New Roman" w:cs="Times New Roman"/>
                <w:bCs/>
                <w:color w:val="auto"/>
                <w:sz w:val="24"/>
                <w:highlight w:val="none"/>
              </w:rPr>
              <w:t>cm/s），或至少2mm厚高密度聚乙烯膜等人工防渗材料（渗透系数不大于10</w:t>
            </w:r>
            <w:r>
              <w:rPr>
                <w:rFonts w:hint="default" w:ascii="Times New Roman" w:hAnsi="Times New Roman" w:cs="Times New Roman"/>
                <w:bCs/>
                <w:color w:val="auto"/>
                <w:sz w:val="24"/>
                <w:highlight w:val="none"/>
                <w:vertAlign w:val="superscript"/>
              </w:rPr>
              <w:t>-10</w:t>
            </w:r>
            <w:r>
              <w:rPr>
                <w:rFonts w:hint="default" w:ascii="Times New Roman" w:hAnsi="Times New Roman" w:cs="Times New Roman"/>
                <w:bCs/>
                <w:color w:val="auto"/>
                <w:sz w:val="24"/>
                <w:highlight w:val="none"/>
              </w:rPr>
              <w:t>cm/s），或其他防渗性能等效的材料。</w:t>
            </w:r>
          </w:p>
          <w:p w14:paraId="6524ADD8">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14:paraId="4B2E2730">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⑥贮存设施应采取技术和管理措施防止无关人员进入。</w:t>
            </w:r>
          </w:p>
          <w:p w14:paraId="44A22F9C">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本项目属于危废暂存间，其加强污染控制措施如下：</w:t>
            </w:r>
          </w:p>
          <w:p w14:paraId="1D093EFA">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①暂存间内不同贮存分区之间应采取隔离措施。隔离措施可根据危险废物特性采用过道、隔板或隔墙等方式。</w:t>
            </w:r>
          </w:p>
          <w:p w14:paraId="06C1C55B">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在暂存间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52BCE0F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③贮存VOCs的危废暂存间，应设置气体收集装置和气体净化设施；气体净化设施的排气筒高度应符合GB16297要求。</w:t>
            </w:r>
          </w:p>
          <w:p w14:paraId="330E4FD3">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采取上述措施后，能够确保本项目危险废物在厂内贮存时得到有效的处置，对环境影响较小。</w:t>
            </w:r>
          </w:p>
          <w:p w14:paraId="47191610">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（2）危险废物运输及转移过程环境影响分析</w:t>
            </w:r>
          </w:p>
          <w:p w14:paraId="2870376F">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危险废物外运时严格按照中华人民共和国生态环境部令第23号文件《危险废物转移管理办法》的相关规定报批危险废物转移计划，转移危险废物时按照规定填报危险废物转移联单，并向危险废物移出地和接受地的县级以上地方人民政府生态环境主管部门报告。运输危险废物的人员接受专业培训经考核合格后从事运输危险废物的工作；运输危险废物的资质单位应当制定在发生意外事故时采取的应急措施和防范措施方可运输；运输时，发生突发性事故必须立即采取措施消除或者减轻对环境的污染危害，及时通报给附近的单位和居民，并向事故发生地县级以上人民政府生态环境主管部门和有关部门报告，接受调查处理。运输过程中做到密闭，沿途不抛洒，应有明显的标志，并有防雨、防晒等设施。运输路线按照主管部门</w:t>
            </w:r>
            <w:r>
              <w:rPr>
                <w:rFonts w:hint="default" w:ascii="Times New Roman" w:hAnsi="Times New Roman" w:cs="Times New Roman"/>
                <w:bCs/>
                <w:color w:val="auto"/>
                <w:sz w:val="24"/>
                <w:highlight w:val="none"/>
                <w:lang w:eastAsia="zh-CN"/>
              </w:rPr>
              <w:t>指定</w:t>
            </w:r>
            <w:r>
              <w:rPr>
                <w:rFonts w:hint="default" w:ascii="Times New Roman" w:hAnsi="Times New Roman" w:cs="Times New Roman"/>
                <w:bCs/>
                <w:color w:val="auto"/>
                <w:sz w:val="24"/>
                <w:highlight w:val="none"/>
              </w:rPr>
              <w:t>路线进行运输，同时应配备全球卫星定位和事故报警装置。</w:t>
            </w:r>
          </w:p>
          <w:p w14:paraId="740B6C12">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综上所述，项目运输过程做好相关工作对外环境的影响是可以控制的。</w:t>
            </w:r>
          </w:p>
          <w:p w14:paraId="753DEB1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环评要求危险废物应及时转运，废物的转运过程中应封闭，以防散落，转运车辆应加盖</w:t>
            </w:r>
            <w:r>
              <w:rPr>
                <w:rFonts w:hint="default" w:ascii="Times New Roman" w:hAnsi="Times New Roman" w:cs="Times New Roman"/>
                <w:bCs/>
                <w:color w:val="auto"/>
                <w:sz w:val="24"/>
                <w:highlight w:val="none"/>
                <w:lang w:eastAsia="zh-CN"/>
              </w:rPr>
              <w:t>篷布</w:t>
            </w:r>
            <w:r>
              <w:rPr>
                <w:rFonts w:hint="default" w:ascii="Times New Roman" w:hAnsi="Times New Roman" w:cs="Times New Roman"/>
                <w:bCs/>
                <w:color w:val="auto"/>
                <w:sz w:val="24"/>
                <w:highlight w:val="none"/>
              </w:rPr>
              <w:t>，以防散入路面。危险废物内部转运应综合考虑厂区的实际情况确定转运路线，尽量避开生活区和办公区；危险废物内部转运应采用专用的工具。危险废物和一般固废严格按照管理要求在危废暂存间和一般固废暂存间内暂存，及时外运处置。</w:t>
            </w:r>
          </w:p>
          <w:p w14:paraId="636FE72E">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五</w:t>
            </w:r>
            <w:r>
              <w:rPr>
                <w:rFonts w:hint="default" w:ascii="Times New Roman" w:hAnsi="Times New Roman" w:cs="Times New Roman"/>
                <w:b/>
                <w:color w:val="auto"/>
                <w:sz w:val="24"/>
                <w:highlight w:val="none"/>
              </w:rPr>
              <w:t>、地下水、土壤</w:t>
            </w:r>
          </w:p>
          <w:p w14:paraId="5704C13A">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（1）污染源及污染途径</w:t>
            </w:r>
          </w:p>
          <w:p w14:paraId="6C75AF06">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本项目污染物可能造成地下水和土壤污染的主要污染源和途径为危废暂存间、油类暂存区防渗措施不到位，在危废和油类贮存及转运过程中操作不当引起物料泄漏，造成污染。</w:t>
            </w:r>
          </w:p>
          <w:p w14:paraId="79C87B07">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（2）污染防控措施</w:t>
            </w:r>
          </w:p>
          <w:p w14:paraId="1B24B38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项目危废暂存间的危废容器均根据物料性质选择相容材质的容器存放；建立巡检制度，定期对危废暂存间、</w:t>
            </w:r>
            <w:r>
              <w:rPr>
                <w:rFonts w:hint="eastAsia" w:cs="Times New Roman"/>
                <w:bCs/>
                <w:color w:val="auto"/>
                <w:sz w:val="24"/>
                <w:highlight w:val="none"/>
                <w:lang w:val="en-US" w:eastAsia="zh-CN"/>
              </w:rPr>
              <w:t>沉淀</w:t>
            </w:r>
            <w:r>
              <w:rPr>
                <w:rFonts w:hint="default" w:ascii="Times New Roman" w:hAnsi="Times New Roman" w:cs="Times New Roman"/>
                <w:bCs/>
                <w:color w:val="auto"/>
                <w:sz w:val="24"/>
                <w:highlight w:val="none"/>
              </w:rPr>
              <w:t>池进行检查，确保设施设备状况良好</w:t>
            </w:r>
          </w:p>
          <w:p w14:paraId="6A072E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危废暂存间按重点防渗区进行防渗，危险废物暂存场所的设置和管理严格执行《危险废物贮存污染控制标准》（GB18597-2023）的规定；具体分区防治措施详见下表。</w:t>
            </w:r>
          </w:p>
          <w:p w14:paraId="308A58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表4-1</w:t>
            </w:r>
            <w:r>
              <w:rPr>
                <w:rFonts w:hint="default" w:ascii="Times New Roman" w:hAnsi="Times New Roman" w:cs="Times New Roman"/>
                <w:b/>
                <w:color w:val="auto"/>
                <w:sz w:val="24"/>
                <w:szCs w:val="24"/>
                <w:highlight w:val="none"/>
                <w:lang w:val="en-US" w:eastAsia="zh-CN"/>
              </w:rPr>
              <w:t>7</w:t>
            </w:r>
            <w:r>
              <w:rPr>
                <w:rFonts w:hint="default" w:ascii="Times New Roman" w:hAnsi="Times New Roman" w:cs="Times New Roman"/>
                <w:b/>
                <w:color w:val="auto"/>
                <w:sz w:val="24"/>
                <w:szCs w:val="24"/>
                <w:highlight w:val="none"/>
              </w:rPr>
              <w:t>项目防渗分区</w:t>
            </w:r>
          </w:p>
          <w:tbl>
            <w:tblPr>
              <w:tblStyle w:val="2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980"/>
              <w:gridCol w:w="1929"/>
              <w:gridCol w:w="2625"/>
            </w:tblGrid>
            <w:tr w14:paraId="1ABED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2" w:type="dxa"/>
                  <w:tcBorders>
                    <w:tl2br w:val="nil"/>
                    <w:tr2bl w:val="nil"/>
                  </w:tcBorders>
                  <w:vAlign w:val="center"/>
                </w:tcPr>
                <w:p w14:paraId="467B11EB">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防渗区</w:t>
                  </w:r>
                </w:p>
              </w:tc>
              <w:tc>
                <w:tcPr>
                  <w:tcW w:w="1980" w:type="dxa"/>
                  <w:tcBorders>
                    <w:tl2br w:val="nil"/>
                    <w:tr2bl w:val="nil"/>
                  </w:tcBorders>
                  <w:vAlign w:val="center"/>
                </w:tcPr>
                <w:p w14:paraId="7A6B343E">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构筑物名称</w:t>
                  </w:r>
                </w:p>
              </w:tc>
              <w:tc>
                <w:tcPr>
                  <w:tcW w:w="1929" w:type="dxa"/>
                  <w:tcBorders>
                    <w:tl2br w:val="nil"/>
                    <w:tr2bl w:val="nil"/>
                  </w:tcBorders>
                  <w:vAlign w:val="center"/>
                </w:tcPr>
                <w:p w14:paraId="7DC0207C">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防腐防渗措施</w:t>
                  </w:r>
                </w:p>
              </w:tc>
              <w:tc>
                <w:tcPr>
                  <w:tcW w:w="2625" w:type="dxa"/>
                  <w:tcBorders>
                    <w:tl2br w:val="nil"/>
                    <w:tr2bl w:val="nil"/>
                  </w:tcBorders>
                  <w:vAlign w:val="center"/>
                </w:tcPr>
                <w:p w14:paraId="4EAB3FE3">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2DF81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2" w:type="dxa"/>
                  <w:tcBorders>
                    <w:tl2br w:val="nil"/>
                    <w:tr2bl w:val="nil"/>
                  </w:tcBorders>
                  <w:vAlign w:val="center"/>
                </w:tcPr>
                <w:p w14:paraId="26633878">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重点防渗区</w:t>
                  </w:r>
                </w:p>
              </w:tc>
              <w:tc>
                <w:tcPr>
                  <w:tcW w:w="1980" w:type="dxa"/>
                  <w:tcBorders>
                    <w:tl2br w:val="nil"/>
                    <w:tr2bl w:val="nil"/>
                  </w:tcBorders>
                  <w:vAlign w:val="center"/>
                </w:tcPr>
                <w:p w14:paraId="477A2C89">
                  <w:pPr>
                    <w:adjustRightInd w:val="0"/>
                    <w:snapToGrid w:val="0"/>
                    <w:jc w:val="center"/>
                    <w:rPr>
                      <w:rFonts w:hint="default" w:ascii="Times New Roman" w:hAnsi="Times New Roman" w:cs="Times New Roman"/>
                      <w:bCs/>
                      <w:color w:val="auto"/>
                      <w:szCs w:val="21"/>
                      <w:highlight w:val="none"/>
                    </w:rPr>
                  </w:pPr>
                  <w:r>
                    <w:rPr>
                      <w:rFonts w:hint="eastAsia" w:cs="Times New Roman"/>
                      <w:bCs/>
                      <w:color w:val="auto"/>
                      <w:szCs w:val="21"/>
                      <w:highlight w:val="none"/>
                      <w:lang w:val="en-US" w:eastAsia="zh-CN"/>
                    </w:rPr>
                    <w:t>一般固体废物暂存间</w:t>
                  </w:r>
                  <w:r>
                    <w:rPr>
                      <w:rFonts w:hint="default" w:ascii="Times New Roman" w:hAnsi="Times New Roman" w:cs="Times New Roman"/>
                      <w:bCs/>
                      <w:color w:val="auto"/>
                      <w:szCs w:val="21"/>
                      <w:highlight w:val="none"/>
                      <w:lang w:val="en-US" w:eastAsia="zh-CN"/>
                    </w:rPr>
                    <w:t>、</w:t>
                  </w:r>
                  <w:r>
                    <w:rPr>
                      <w:rFonts w:hint="default" w:ascii="Times New Roman" w:hAnsi="Times New Roman" w:cs="Times New Roman"/>
                      <w:bCs/>
                      <w:color w:val="auto"/>
                      <w:szCs w:val="21"/>
                      <w:highlight w:val="none"/>
                    </w:rPr>
                    <w:t>危废暂存间</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沉淀池</w:t>
                  </w:r>
                </w:p>
              </w:tc>
              <w:tc>
                <w:tcPr>
                  <w:tcW w:w="1929" w:type="dxa"/>
                  <w:tcBorders>
                    <w:tl2br w:val="nil"/>
                    <w:tr2bl w:val="nil"/>
                  </w:tcBorders>
                  <w:vAlign w:val="center"/>
                </w:tcPr>
                <w:p w14:paraId="350B4E8D">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等效黏土防渗层Mb≥6.0m，K≤1×10</w:t>
                  </w:r>
                  <w:r>
                    <w:rPr>
                      <w:rFonts w:hint="default" w:ascii="Times New Roman" w:hAnsi="Times New Roman" w:cs="Times New Roman"/>
                      <w:bCs/>
                      <w:color w:val="auto"/>
                      <w:szCs w:val="21"/>
                      <w:highlight w:val="none"/>
                      <w:vertAlign w:val="superscript"/>
                    </w:rPr>
                    <w:t>-7</w:t>
                  </w:r>
                  <w:r>
                    <w:rPr>
                      <w:rFonts w:hint="default" w:ascii="Times New Roman" w:hAnsi="Times New Roman" w:cs="Times New Roman"/>
                      <w:bCs/>
                      <w:color w:val="auto"/>
                      <w:szCs w:val="21"/>
                      <w:highlight w:val="none"/>
                    </w:rPr>
                    <w:t>cm/s；或参照GB18598执行</w:t>
                  </w:r>
                </w:p>
              </w:tc>
              <w:tc>
                <w:tcPr>
                  <w:tcW w:w="2625" w:type="dxa"/>
                  <w:tcBorders>
                    <w:tl2br w:val="nil"/>
                    <w:tr2bl w:val="nil"/>
                  </w:tcBorders>
                  <w:vAlign w:val="center"/>
                </w:tcPr>
                <w:p w14:paraId="0DD1355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等效黏土防渗层Mb≥6.0m，K≤1×10</w:t>
                  </w:r>
                  <w:r>
                    <w:rPr>
                      <w:rFonts w:hint="default" w:ascii="Times New Roman" w:hAnsi="Times New Roman" w:cs="Times New Roman"/>
                      <w:bCs/>
                      <w:color w:val="auto"/>
                      <w:szCs w:val="21"/>
                      <w:highlight w:val="none"/>
                      <w:vertAlign w:val="superscript"/>
                    </w:rPr>
                    <w:t>-7</w:t>
                  </w:r>
                  <w:r>
                    <w:rPr>
                      <w:rFonts w:hint="default" w:ascii="Times New Roman" w:hAnsi="Times New Roman" w:cs="Times New Roman"/>
                      <w:bCs/>
                      <w:color w:val="auto"/>
                      <w:szCs w:val="21"/>
                      <w:highlight w:val="none"/>
                    </w:rPr>
                    <w:t>cm/s；或参照GB18598执行</w:t>
                  </w:r>
                </w:p>
              </w:tc>
            </w:tr>
            <w:tr w14:paraId="10761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2" w:type="dxa"/>
                  <w:tcBorders>
                    <w:tl2br w:val="nil"/>
                    <w:tr2bl w:val="nil"/>
                  </w:tcBorders>
                  <w:vAlign w:val="center"/>
                </w:tcPr>
                <w:p w14:paraId="2130F6E5">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一般防渗区</w:t>
                  </w:r>
                </w:p>
              </w:tc>
              <w:tc>
                <w:tcPr>
                  <w:tcW w:w="1980" w:type="dxa"/>
                  <w:tcBorders>
                    <w:tl2br w:val="nil"/>
                    <w:tr2bl w:val="nil"/>
                  </w:tcBorders>
                  <w:vAlign w:val="center"/>
                </w:tcPr>
                <w:p w14:paraId="6E7C65E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生产车间、原料区、成品区</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办公区等</w:t>
                  </w:r>
                </w:p>
              </w:tc>
              <w:tc>
                <w:tcPr>
                  <w:tcW w:w="1929" w:type="dxa"/>
                  <w:tcBorders>
                    <w:tl2br w:val="nil"/>
                    <w:tr2bl w:val="nil"/>
                  </w:tcBorders>
                  <w:vAlign w:val="center"/>
                </w:tcPr>
                <w:p w14:paraId="355DA63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抗渗混凝土</w:t>
                  </w:r>
                </w:p>
              </w:tc>
              <w:tc>
                <w:tcPr>
                  <w:tcW w:w="2625" w:type="dxa"/>
                  <w:tcBorders>
                    <w:tl2br w:val="nil"/>
                    <w:tr2bl w:val="nil"/>
                  </w:tcBorders>
                  <w:vAlign w:val="center"/>
                </w:tcPr>
                <w:p w14:paraId="64BF0D82">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依托厂房抗渗混凝土</w:t>
                  </w:r>
                </w:p>
              </w:tc>
            </w:tr>
          </w:tbl>
          <w:p w14:paraId="1D040F8A">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①运行期严格管理，加强巡检，及时发现污染物泄漏；一旦出现泄漏及时处理，检查检修设备，将污染物泄漏的环境风险事故降到最低。</w:t>
            </w:r>
          </w:p>
          <w:p w14:paraId="3FD4ED2F">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②固体废物转运、贮存等各环节做好防风、防雨、防渗措施，禁止随意弃置、堆放、填埋。</w:t>
            </w:r>
          </w:p>
          <w:p w14:paraId="669C0BEC">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按照有关的规范要求采取上述污染防治措施，可以避免项目对周边地下水和土壤产生明显影响，营运期地下水和土壤污染防治措施是可行的。</w:t>
            </w:r>
          </w:p>
          <w:p w14:paraId="0B825380">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六</w:t>
            </w:r>
            <w:r>
              <w:rPr>
                <w:rFonts w:hint="default" w:ascii="Times New Roman" w:hAnsi="Times New Roman" w:cs="Times New Roman"/>
                <w:b/>
                <w:color w:val="auto"/>
                <w:sz w:val="24"/>
                <w:highlight w:val="none"/>
              </w:rPr>
              <w:t>、环境风险影响分析</w:t>
            </w:r>
          </w:p>
          <w:p w14:paraId="21CA0528">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危险物质识别</w:t>
            </w:r>
          </w:p>
          <w:p w14:paraId="5E349716">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根据《建设项目环境风险评价技术导则》（HJ169-2018）附录B。通过对本项目的原、辅材料及中间产品进行识别分析，项目危险因素分布于运输、贮存环节。</w:t>
            </w:r>
          </w:p>
          <w:p w14:paraId="229512BE">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危险物质数量与临界量的比值（Q）计算方法见如下公式：</w:t>
            </w:r>
          </w:p>
          <w:p w14:paraId="4BFCBE24">
            <w:pPr>
              <w:adjustRightInd w:val="0"/>
              <w:snapToGrid w:val="0"/>
              <w:spacing w:line="360" w:lineRule="auto"/>
              <w:ind w:firstLine="480" w:firstLineChars="200"/>
              <w:rPr>
                <w:rFonts w:hint="default" w:ascii="Times New Roman" w:hAnsi="Times New Roman" w:cs="Times New Roman"/>
                <w:bCs/>
                <w:color w:val="auto"/>
                <w:sz w:val="24"/>
                <w:highlight w:val="none"/>
              </w:rPr>
            </w:pPr>
            <m:oMathPara>
              <m:oMath>
                <m:r>
                  <m:rPr/>
                  <w:rPr>
                    <w:rFonts w:hint="default" w:ascii="Cambria Math" w:hAnsi="Cambria Math" w:cs="Times New Roman"/>
                    <w:color w:val="auto"/>
                    <w:sz w:val="24"/>
                    <w:highlight w:val="none"/>
                  </w:rPr>
                  <m:t>Q=</m:t>
                </m:r>
                <m:f>
                  <m:fPr>
                    <m:ctrlPr>
                      <w:rPr>
                        <w:rFonts w:hint="default" w:ascii="Cambria Math" w:hAnsi="Cambria Math" w:cs="Times New Roman"/>
                        <w:bCs/>
                        <w:i/>
                        <w:color w:val="auto"/>
                        <w:sz w:val="24"/>
                        <w:highlight w:val="none"/>
                      </w:rPr>
                    </m:ctrlPr>
                  </m:fPr>
                  <m:num>
                    <m:sSub>
                      <m:sSubPr>
                        <m:ctrlPr>
                          <w:rPr>
                            <w:rFonts w:hint="default" w:ascii="Cambria Math" w:hAnsi="Cambria Math" w:cs="Times New Roman"/>
                            <w:bCs/>
                            <w:i/>
                            <w:color w:val="auto"/>
                            <w:sz w:val="24"/>
                            <w:highlight w:val="none"/>
                          </w:rPr>
                        </m:ctrlPr>
                      </m:sSubPr>
                      <m:e>
                        <m:r>
                          <m:rPr/>
                          <w:rPr>
                            <w:rFonts w:hint="default" w:ascii="Cambria Math" w:hAnsi="Cambria Math" w:cs="Times New Roman"/>
                            <w:color w:val="auto"/>
                            <w:sz w:val="24"/>
                            <w:highlight w:val="none"/>
                          </w:rPr>
                          <m:t>q</m:t>
                        </m:r>
                        <m:ctrlPr>
                          <w:rPr>
                            <w:rFonts w:hint="default" w:ascii="Cambria Math" w:hAnsi="Cambria Math" w:cs="Times New Roman"/>
                            <w:bCs/>
                            <w:i/>
                            <w:color w:val="auto"/>
                            <w:sz w:val="24"/>
                            <w:highlight w:val="none"/>
                          </w:rPr>
                        </m:ctrlPr>
                      </m:e>
                      <m:sub>
                        <m:r>
                          <m:rPr/>
                          <w:rPr>
                            <w:rFonts w:hint="default" w:ascii="Cambria Math" w:hAnsi="Cambria Math" w:cs="Times New Roman"/>
                            <w:color w:val="auto"/>
                            <w:sz w:val="24"/>
                            <w:highlight w:val="none"/>
                          </w:rPr>
                          <m:t>1</m:t>
                        </m:r>
                        <m:ctrlPr>
                          <w:rPr>
                            <w:rFonts w:hint="default" w:ascii="Cambria Math" w:hAnsi="Cambria Math" w:cs="Times New Roman"/>
                            <w:bCs/>
                            <w:i/>
                            <w:color w:val="auto"/>
                            <w:sz w:val="24"/>
                            <w:highlight w:val="none"/>
                          </w:rPr>
                        </m:ctrlPr>
                      </m:sub>
                    </m:sSub>
                    <m:ctrlPr>
                      <w:rPr>
                        <w:rFonts w:hint="default" w:ascii="Cambria Math" w:hAnsi="Cambria Math" w:cs="Times New Roman"/>
                        <w:bCs/>
                        <w:i/>
                        <w:color w:val="auto"/>
                        <w:sz w:val="24"/>
                        <w:highlight w:val="none"/>
                      </w:rPr>
                    </m:ctrlPr>
                  </m:num>
                  <m:den>
                    <m:sSub>
                      <m:sSubPr>
                        <m:ctrlPr>
                          <w:rPr>
                            <w:rFonts w:hint="default" w:ascii="Cambria Math" w:hAnsi="Cambria Math" w:cs="Times New Roman"/>
                            <w:bCs/>
                            <w:i/>
                            <w:color w:val="auto"/>
                            <w:sz w:val="24"/>
                            <w:highlight w:val="none"/>
                          </w:rPr>
                        </m:ctrlPr>
                      </m:sSubPr>
                      <m:e>
                        <m:r>
                          <m:rPr/>
                          <w:rPr>
                            <w:rFonts w:hint="default" w:ascii="Cambria Math" w:hAnsi="Cambria Math" w:cs="Times New Roman"/>
                            <w:color w:val="auto"/>
                            <w:sz w:val="24"/>
                            <w:highlight w:val="none"/>
                          </w:rPr>
                          <m:t>Q</m:t>
                        </m:r>
                        <m:ctrlPr>
                          <w:rPr>
                            <w:rFonts w:hint="default" w:ascii="Cambria Math" w:hAnsi="Cambria Math" w:cs="Times New Roman"/>
                            <w:bCs/>
                            <w:i/>
                            <w:color w:val="auto"/>
                            <w:sz w:val="24"/>
                            <w:highlight w:val="none"/>
                          </w:rPr>
                        </m:ctrlPr>
                      </m:e>
                      <m:sub>
                        <m:r>
                          <m:rPr/>
                          <w:rPr>
                            <w:rFonts w:hint="default" w:ascii="Cambria Math" w:hAnsi="Cambria Math" w:cs="Times New Roman"/>
                            <w:color w:val="auto"/>
                            <w:sz w:val="24"/>
                            <w:highlight w:val="none"/>
                          </w:rPr>
                          <m:t>1</m:t>
                        </m:r>
                        <m:ctrlPr>
                          <w:rPr>
                            <w:rFonts w:hint="default" w:ascii="Cambria Math" w:hAnsi="Cambria Math" w:cs="Times New Roman"/>
                            <w:bCs/>
                            <w:i/>
                            <w:color w:val="auto"/>
                            <w:sz w:val="24"/>
                            <w:highlight w:val="none"/>
                          </w:rPr>
                        </m:ctrlPr>
                      </m:sub>
                    </m:sSub>
                    <m:ctrlPr>
                      <w:rPr>
                        <w:rFonts w:hint="default" w:ascii="Cambria Math" w:hAnsi="Cambria Math" w:cs="Times New Roman"/>
                        <w:bCs/>
                        <w:i/>
                        <w:color w:val="auto"/>
                        <w:sz w:val="24"/>
                        <w:highlight w:val="none"/>
                      </w:rPr>
                    </m:ctrlPr>
                  </m:den>
                </m:f>
                <m:r>
                  <m:rPr/>
                  <w:rPr>
                    <w:rFonts w:hint="default" w:ascii="Cambria Math" w:hAnsi="Cambria Math" w:cs="Times New Roman"/>
                    <w:color w:val="auto"/>
                    <w:sz w:val="24"/>
                    <w:highlight w:val="none"/>
                  </w:rPr>
                  <m:t>+</m:t>
                </m:r>
                <m:f>
                  <m:fPr>
                    <m:ctrlPr>
                      <w:rPr>
                        <w:rFonts w:hint="default" w:ascii="Cambria Math" w:hAnsi="Cambria Math" w:cs="Times New Roman"/>
                        <w:bCs/>
                        <w:i/>
                        <w:color w:val="auto"/>
                        <w:sz w:val="24"/>
                        <w:highlight w:val="none"/>
                      </w:rPr>
                    </m:ctrlPr>
                  </m:fPr>
                  <m:num>
                    <m:sSub>
                      <m:sSubPr>
                        <m:ctrlPr>
                          <w:rPr>
                            <w:rFonts w:hint="default" w:ascii="Cambria Math" w:hAnsi="Cambria Math" w:cs="Times New Roman"/>
                            <w:bCs/>
                            <w:i/>
                            <w:color w:val="auto"/>
                            <w:sz w:val="24"/>
                            <w:highlight w:val="none"/>
                          </w:rPr>
                        </m:ctrlPr>
                      </m:sSubPr>
                      <m:e>
                        <m:r>
                          <m:rPr/>
                          <w:rPr>
                            <w:rFonts w:hint="default" w:ascii="Cambria Math" w:hAnsi="Cambria Math" w:cs="Times New Roman"/>
                            <w:color w:val="auto"/>
                            <w:sz w:val="24"/>
                            <w:highlight w:val="none"/>
                          </w:rPr>
                          <m:t>q</m:t>
                        </m:r>
                        <m:ctrlPr>
                          <w:rPr>
                            <w:rFonts w:hint="default" w:ascii="Cambria Math" w:hAnsi="Cambria Math" w:cs="Times New Roman"/>
                            <w:bCs/>
                            <w:i/>
                            <w:color w:val="auto"/>
                            <w:sz w:val="24"/>
                            <w:highlight w:val="none"/>
                          </w:rPr>
                        </m:ctrlPr>
                      </m:e>
                      <m:sub>
                        <m:r>
                          <m:rPr/>
                          <w:rPr>
                            <w:rFonts w:hint="default" w:ascii="Cambria Math" w:hAnsi="Cambria Math" w:cs="Times New Roman"/>
                            <w:color w:val="auto"/>
                            <w:sz w:val="24"/>
                            <w:highlight w:val="none"/>
                          </w:rPr>
                          <m:t>2</m:t>
                        </m:r>
                        <m:ctrlPr>
                          <w:rPr>
                            <w:rFonts w:hint="default" w:ascii="Cambria Math" w:hAnsi="Cambria Math" w:cs="Times New Roman"/>
                            <w:bCs/>
                            <w:i/>
                            <w:color w:val="auto"/>
                            <w:sz w:val="24"/>
                            <w:highlight w:val="none"/>
                          </w:rPr>
                        </m:ctrlPr>
                      </m:sub>
                    </m:sSub>
                    <m:ctrlPr>
                      <w:rPr>
                        <w:rFonts w:hint="default" w:ascii="Cambria Math" w:hAnsi="Cambria Math" w:cs="Times New Roman"/>
                        <w:bCs/>
                        <w:i/>
                        <w:color w:val="auto"/>
                        <w:sz w:val="24"/>
                        <w:highlight w:val="none"/>
                      </w:rPr>
                    </m:ctrlPr>
                  </m:num>
                  <m:den>
                    <m:sSub>
                      <m:sSubPr>
                        <m:ctrlPr>
                          <w:rPr>
                            <w:rFonts w:hint="default" w:ascii="Cambria Math" w:hAnsi="Cambria Math" w:cs="Times New Roman"/>
                            <w:bCs/>
                            <w:i/>
                            <w:color w:val="auto"/>
                            <w:sz w:val="24"/>
                            <w:highlight w:val="none"/>
                          </w:rPr>
                        </m:ctrlPr>
                      </m:sSubPr>
                      <m:e>
                        <m:r>
                          <m:rPr/>
                          <w:rPr>
                            <w:rFonts w:hint="default" w:ascii="Cambria Math" w:hAnsi="Cambria Math" w:cs="Times New Roman"/>
                            <w:color w:val="auto"/>
                            <w:sz w:val="24"/>
                            <w:highlight w:val="none"/>
                          </w:rPr>
                          <m:t>Q</m:t>
                        </m:r>
                        <m:ctrlPr>
                          <w:rPr>
                            <w:rFonts w:hint="default" w:ascii="Cambria Math" w:hAnsi="Cambria Math" w:cs="Times New Roman"/>
                            <w:bCs/>
                            <w:i/>
                            <w:color w:val="auto"/>
                            <w:sz w:val="24"/>
                            <w:highlight w:val="none"/>
                          </w:rPr>
                        </m:ctrlPr>
                      </m:e>
                      <m:sub>
                        <m:r>
                          <m:rPr/>
                          <w:rPr>
                            <w:rFonts w:hint="default" w:ascii="Cambria Math" w:hAnsi="Cambria Math" w:cs="Times New Roman"/>
                            <w:color w:val="auto"/>
                            <w:sz w:val="24"/>
                            <w:highlight w:val="none"/>
                          </w:rPr>
                          <m:t>2</m:t>
                        </m:r>
                        <m:ctrlPr>
                          <w:rPr>
                            <w:rFonts w:hint="default" w:ascii="Cambria Math" w:hAnsi="Cambria Math" w:cs="Times New Roman"/>
                            <w:bCs/>
                            <w:i/>
                            <w:color w:val="auto"/>
                            <w:sz w:val="24"/>
                            <w:highlight w:val="none"/>
                          </w:rPr>
                        </m:ctrlPr>
                      </m:sub>
                    </m:sSub>
                    <m:ctrlPr>
                      <w:rPr>
                        <w:rFonts w:hint="default" w:ascii="Cambria Math" w:hAnsi="Cambria Math" w:cs="Times New Roman"/>
                        <w:bCs/>
                        <w:i/>
                        <w:color w:val="auto"/>
                        <w:sz w:val="24"/>
                        <w:highlight w:val="none"/>
                      </w:rPr>
                    </m:ctrlPr>
                  </m:den>
                </m:f>
                <m:r>
                  <m:rPr/>
                  <w:rPr>
                    <w:rFonts w:hint="default" w:ascii="Cambria Math" w:hAnsi="Cambria Math" w:cs="Times New Roman"/>
                    <w:color w:val="auto"/>
                    <w:sz w:val="24"/>
                    <w:highlight w:val="none"/>
                  </w:rPr>
                  <m:t>+⋯+</m:t>
                </m:r>
                <m:f>
                  <m:fPr>
                    <m:ctrlPr>
                      <w:rPr>
                        <w:rFonts w:hint="default" w:ascii="Cambria Math" w:hAnsi="Cambria Math" w:cs="Times New Roman"/>
                        <w:bCs/>
                        <w:i/>
                        <w:color w:val="auto"/>
                        <w:sz w:val="24"/>
                        <w:highlight w:val="none"/>
                      </w:rPr>
                    </m:ctrlPr>
                  </m:fPr>
                  <m:num>
                    <m:sSub>
                      <m:sSubPr>
                        <m:ctrlPr>
                          <w:rPr>
                            <w:rFonts w:hint="default" w:ascii="Cambria Math" w:hAnsi="Cambria Math" w:cs="Times New Roman"/>
                            <w:bCs/>
                            <w:i/>
                            <w:color w:val="auto"/>
                            <w:sz w:val="24"/>
                            <w:highlight w:val="none"/>
                          </w:rPr>
                        </m:ctrlPr>
                      </m:sSubPr>
                      <m:e>
                        <m:r>
                          <m:rPr/>
                          <w:rPr>
                            <w:rFonts w:hint="default" w:ascii="Cambria Math" w:hAnsi="Cambria Math" w:cs="Times New Roman"/>
                            <w:color w:val="auto"/>
                            <w:sz w:val="24"/>
                            <w:highlight w:val="none"/>
                          </w:rPr>
                          <m:t>q</m:t>
                        </m:r>
                        <m:ctrlPr>
                          <w:rPr>
                            <w:rFonts w:hint="default" w:ascii="Cambria Math" w:hAnsi="Cambria Math" w:cs="Times New Roman"/>
                            <w:bCs/>
                            <w:i/>
                            <w:color w:val="auto"/>
                            <w:sz w:val="24"/>
                            <w:highlight w:val="none"/>
                          </w:rPr>
                        </m:ctrlPr>
                      </m:e>
                      <m:sub>
                        <m:r>
                          <m:rPr/>
                          <w:rPr>
                            <w:rFonts w:hint="default" w:ascii="Cambria Math" w:hAnsi="Cambria Math" w:cs="Times New Roman"/>
                            <w:color w:val="auto"/>
                            <w:sz w:val="24"/>
                            <w:highlight w:val="none"/>
                          </w:rPr>
                          <m:t>n</m:t>
                        </m:r>
                        <m:ctrlPr>
                          <w:rPr>
                            <w:rFonts w:hint="default" w:ascii="Cambria Math" w:hAnsi="Cambria Math" w:cs="Times New Roman"/>
                            <w:bCs/>
                            <w:i/>
                            <w:color w:val="auto"/>
                            <w:sz w:val="24"/>
                            <w:highlight w:val="none"/>
                          </w:rPr>
                        </m:ctrlPr>
                      </m:sub>
                    </m:sSub>
                    <m:ctrlPr>
                      <w:rPr>
                        <w:rFonts w:hint="default" w:ascii="Cambria Math" w:hAnsi="Cambria Math" w:cs="Times New Roman"/>
                        <w:bCs/>
                        <w:i/>
                        <w:color w:val="auto"/>
                        <w:sz w:val="24"/>
                        <w:highlight w:val="none"/>
                      </w:rPr>
                    </m:ctrlPr>
                  </m:num>
                  <m:den>
                    <m:sSub>
                      <m:sSubPr>
                        <m:ctrlPr>
                          <w:rPr>
                            <w:rFonts w:hint="default" w:ascii="Cambria Math" w:hAnsi="Cambria Math" w:cs="Times New Roman"/>
                            <w:bCs/>
                            <w:i/>
                            <w:color w:val="auto"/>
                            <w:sz w:val="24"/>
                            <w:highlight w:val="none"/>
                          </w:rPr>
                        </m:ctrlPr>
                      </m:sSubPr>
                      <m:e>
                        <m:r>
                          <m:rPr/>
                          <w:rPr>
                            <w:rFonts w:hint="default" w:ascii="Cambria Math" w:hAnsi="Cambria Math" w:cs="Times New Roman"/>
                            <w:color w:val="auto"/>
                            <w:sz w:val="24"/>
                            <w:highlight w:val="none"/>
                          </w:rPr>
                          <m:t>Q</m:t>
                        </m:r>
                        <m:ctrlPr>
                          <w:rPr>
                            <w:rFonts w:hint="default" w:ascii="Cambria Math" w:hAnsi="Cambria Math" w:cs="Times New Roman"/>
                            <w:bCs/>
                            <w:i/>
                            <w:color w:val="auto"/>
                            <w:sz w:val="24"/>
                            <w:highlight w:val="none"/>
                          </w:rPr>
                        </m:ctrlPr>
                      </m:e>
                      <m:sub>
                        <m:r>
                          <m:rPr/>
                          <w:rPr>
                            <w:rFonts w:hint="default" w:ascii="Cambria Math" w:hAnsi="Cambria Math" w:cs="Times New Roman"/>
                            <w:color w:val="auto"/>
                            <w:sz w:val="24"/>
                            <w:highlight w:val="none"/>
                          </w:rPr>
                          <m:t>n</m:t>
                        </m:r>
                        <m:ctrlPr>
                          <w:rPr>
                            <w:rFonts w:hint="default" w:ascii="Cambria Math" w:hAnsi="Cambria Math" w:cs="Times New Roman"/>
                            <w:bCs/>
                            <w:i/>
                            <w:color w:val="auto"/>
                            <w:sz w:val="24"/>
                            <w:highlight w:val="none"/>
                          </w:rPr>
                        </m:ctrlPr>
                      </m:sub>
                    </m:sSub>
                    <m:ctrlPr>
                      <w:rPr>
                        <w:rFonts w:hint="default" w:ascii="Cambria Math" w:hAnsi="Cambria Math" w:cs="Times New Roman"/>
                        <w:bCs/>
                        <w:i/>
                        <w:color w:val="auto"/>
                        <w:sz w:val="24"/>
                        <w:highlight w:val="none"/>
                      </w:rPr>
                    </m:ctrlPr>
                  </m:den>
                </m:f>
              </m:oMath>
            </m:oMathPara>
          </w:p>
          <w:p w14:paraId="3A1750FB">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式中：q</w:t>
            </w:r>
            <w:r>
              <w:rPr>
                <w:rFonts w:hint="default" w:ascii="Times New Roman" w:hAnsi="Times New Roman" w:cs="Times New Roman"/>
                <w:bCs/>
                <w:color w:val="auto"/>
                <w:sz w:val="24"/>
                <w:highlight w:val="none"/>
                <w:vertAlign w:val="subscript"/>
              </w:rPr>
              <w:t>1</w:t>
            </w:r>
            <w:r>
              <w:rPr>
                <w:rFonts w:hint="default" w:ascii="Times New Roman" w:hAnsi="Times New Roman" w:cs="Times New Roman"/>
                <w:bCs/>
                <w:color w:val="auto"/>
                <w:sz w:val="24"/>
                <w:highlight w:val="none"/>
              </w:rPr>
              <w:t>、q</w:t>
            </w:r>
            <w:r>
              <w:rPr>
                <w:rFonts w:hint="default" w:ascii="Times New Roman" w:hAnsi="Times New Roman" w:cs="Times New Roman"/>
                <w:bCs/>
                <w:color w:val="auto"/>
                <w:sz w:val="24"/>
                <w:highlight w:val="none"/>
                <w:vertAlign w:val="subscript"/>
              </w:rPr>
              <w:t>2</w:t>
            </w:r>
            <w:r>
              <w:rPr>
                <w:rFonts w:hint="default" w:ascii="Times New Roman" w:hAnsi="Times New Roman" w:cs="Times New Roman"/>
                <w:bCs/>
                <w:color w:val="auto"/>
                <w:sz w:val="24"/>
                <w:highlight w:val="none"/>
              </w:rPr>
              <w:t>、…q</w:t>
            </w:r>
            <w:r>
              <w:rPr>
                <w:rFonts w:hint="default" w:ascii="Times New Roman" w:hAnsi="Times New Roman" w:cs="Times New Roman"/>
                <w:bCs/>
                <w:color w:val="auto"/>
                <w:sz w:val="24"/>
                <w:highlight w:val="none"/>
                <w:vertAlign w:val="subscript"/>
              </w:rPr>
              <w:t>n</w:t>
            </w:r>
            <w:r>
              <w:rPr>
                <w:rFonts w:hint="default" w:ascii="Times New Roman" w:hAnsi="Times New Roman" w:cs="Times New Roman"/>
                <w:bCs/>
                <w:color w:val="auto"/>
                <w:sz w:val="24"/>
                <w:highlight w:val="none"/>
              </w:rPr>
              <w:t>—每种危险物质的最大存在总量，t；</w:t>
            </w:r>
          </w:p>
          <w:p w14:paraId="2B8A88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Q</w:t>
            </w:r>
            <w:r>
              <w:rPr>
                <w:rFonts w:hint="default" w:ascii="Times New Roman" w:hAnsi="Times New Roman" w:cs="Times New Roman"/>
                <w:bCs/>
                <w:color w:val="auto"/>
                <w:sz w:val="24"/>
                <w:highlight w:val="none"/>
                <w:vertAlign w:val="subscript"/>
              </w:rPr>
              <w:t>1</w:t>
            </w:r>
            <w:r>
              <w:rPr>
                <w:rFonts w:hint="default" w:ascii="Times New Roman" w:hAnsi="Times New Roman" w:cs="Times New Roman"/>
                <w:bCs/>
                <w:color w:val="auto"/>
                <w:sz w:val="24"/>
                <w:highlight w:val="none"/>
              </w:rPr>
              <w:t>、Q</w:t>
            </w:r>
            <w:r>
              <w:rPr>
                <w:rFonts w:hint="default" w:ascii="Times New Roman" w:hAnsi="Times New Roman" w:cs="Times New Roman"/>
                <w:bCs/>
                <w:color w:val="auto"/>
                <w:sz w:val="24"/>
                <w:highlight w:val="none"/>
                <w:vertAlign w:val="subscript"/>
              </w:rPr>
              <w:t>2</w:t>
            </w:r>
            <w:r>
              <w:rPr>
                <w:rFonts w:hint="default" w:ascii="Times New Roman" w:hAnsi="Times New Roman" w:cs="Times New Roman"/>
                <w:bCs/>
                <w:color w:val="auto"/>
                <w:sz w:val="24"/>
                <w:highlight w:val="none"/>
              </w:rPr>
              <w:t>、…Q</w:t>
            </w:r>
            <w:r>
              <w:rPr>
                <w:rFonts w:hint="default" w:ascii="Times New Roman" w:hAnsi="Times New Roman" w:cs="Times New Roman"/>
                <w:bCs/>
                <w:color w:val="auto"/>
                <w:sz w:val="24"/>
                <w:highlight w:val="none"/>
                <w:vertAlign w:val="subscript"/>
              </w:rPr>
              <w:t>n</w:t>
            </w:r>
            <w:r>
              <w:rPr>
                <w:rFonts w:hint="default" w:ascii="Times New Roman" w:hAnsi="Times New Roman" w:cs="Times New Roman"/>
                <w:bCs/>
                <w:color w:val="auto"/>
                <w:sz w:val="24"/>
                <w:highlight w:val="none"/>
              </w:rPr>
              <w:t>—每种危险物质的临界量，t。</w:t>
            </w:r>
          </w:p>
          <w:p w14:paraId="7C98C0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rPr>
              <w:t>本项目涉及的风险物质识别见表4-1</w:t>
            </w:r>
            <w:r>
              <w:rPr>
                <w:rFonts w:hint="default" w:ascii="Times New Roman" w:hAnsi="Times New Roman" w:cs="Times New Roman"/>
                <w:bCs/>
                <w:color w:val="auto"/>
                <w:sz w:val="24"/>
                <w:highlight w:val="none"/>
                <w:lang w:val="en-US" w:eastAsia="zh-CN"/>
              </w:rPr>
              <w:t>8</w:t>
            </w:r>
          </w:p>
          <w:p w14:paraId="0B289C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表4-1</w:t>
            </w:r>
            <w:r>
              <w:rPr>
                <w:rFonts w:hint="default" w:ascii="Times New Roman" w:hAnsi="Times New Roman" w:cs="Times New Roman"/>
                <w:b/>
                <w:color w:val="auto"/>
                <w:sz w:val="24"/>
                <w:szCs w:val="24"/>
                <w:highlight w:val="none"/>
                <w:lang w:val="en-US" w:eastAsia="zh-CN"/>
              </w:rPr>
              <w:t>8</w:t>
            </w:r>
            <w:r>
              <w:rPr>
                <w:rFonts w:hint="default" w:ascii="Times New Roman" w:hAnsi="Times New Roman" w:cs="Times New Roman"/>
                <w:b/>
                <w:color w:val="auto"/>
                <w:sz w:val="24"/>
                <w:szCs w:val="24"/>
                <w:highlight w:val="none"/>
              </w:rPr>
              <w:t>项目涉及的危险物料最大使用量及储存方式</w:t>
            </w:r>
          </w:p>
          <w:tbl>
            <w:tblPr>
              <w:tblStyle w:val="2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617"/>
              <w:gridCol w:w="1063"/>
              <w:gridCol w:w="1120"/>
              <w:gridCol w:w="1788"/>
              <w:gridCol w:w="1432"/>
              <w:gridCol w:w="1214"/>
            </w:tblGrid>
            <w:tr w14:paraId="51815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702" w:type="dxa"/>
                  <w:tcBorders>
                    <w:tl2br w:val="nil"/>
                    <w:tr2bl w:val="nil"/>
                  </w:tcBorders>
                  <w:vAlign w:val="center"/>
                </w:tcPr>
                <w:p w14:paraId="3015920A">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680" w:type="dxa"/>
                  <w:gridSpan w:val="2"/>
                  <w:tcBorders>
                    <w:tl2br w:val="nil"/>
                    <w:tr2bl w:val="nil"/>
                  </w:tcBorders>
                  <w:vAlign w:val="center"/>
                </w:tcPr>
                <w:p w14:paraId="46904A5F">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名称</w:t>
                  </w:r>
                </w:p>
              </w:tc>
              <w:tc>
                <w:tcPr>
                  <w:tcW w:w="1120" w:type="dxa"/>
                  <w:tcBorders>
                    <w:tl2br w:val="nil"/>
                    <w:tr2bl w:val="nil"/>
                  </w:tcBorders>
                  <w:vAlign w:val="center"/>
                </w:tcPr>
                <w:p w14:paraId="2881F5F4">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CAS号</w:t>
                  </w:r>
                </w:p>
              </w:tc>
              <w:tc>
                <w:tcPr>
                  <w:tcW w:w="1788" w:type="dxa"/>
                  <w:tcBorders>
                    <w:tl2br w:val="nil"/>
                    <w:tr2bl w:val="nil"/>
                  </w:tcBorders>
                  <w:vAlign w:val="center"/>
                </w:tcPr>
                <w:p w14:paraId="1CC56A82">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最大储存量q（t）</w:t>
                  </w:r>
                </w:p>
              </w:tc>
              <w:tc>
                <w:tcPr>
                  <w:tcW w:w="1432" w:type="dxa"/>
                  <w:tcBorders>
                    <w:tl2br w:val="nil"/>
                    <w:tr2bl w:val="nil"/>
                  </w:tcBorders>
                  <w:vAlign w:val="center"/>
                </w:tcPr>
                <w:p w14:paraId="5C93C109">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临界量Q（t）</w:t>
                  </w:r>
                </w:p>
              </w:tc>
              <w:tc>
                <w:tcPr>
                  <w:tcW w:w="1214" w:type="dxa"/>
                  <w:tcBorders>
                    <w:tl2br w:val="nil"/>
                    <w:tr2bl w:val="nil"/>
                  </w:tcBorders>
                  <w:vAlign w:val="center"/>
                </w:tcPr>
                <w:p w14:paraId="2B615EDF">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q/Q</w:t>
                  </w:r>
                </w:p>
              </w:tc>
            </w:tr>
            <w:tr w14:paraId="3D550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2" w:type="dxa"/>
                  <w:tcBorders>
                    <w:tl2br w:val="nil"/>
                    <w:tr2bl w:val="nil"/>
                  </w:tcBorders>
                  <w:vAlign w:val="center"/>
                </w:tcPr>
                <w:p w14:paraId="6A749B51">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1680" w:type="dxa"/>
                  <w:gridSpan w:val="2"/>
                  <w:tcBorders>
                    <w:tl2br w:val="nil"/>
                    <w:tr2bl w:val="nil"/>
                  </w:tcBorders>
                  <w:vAlign w:val="center"/>
                </w:tcPr>
                <w:p w14:paraId="16776418">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机油</w:t>
                  </w:r>
                </w:p>
              </w:tc>
              <w:tc>
                <w:tcPr>
                  <w:tcW w:w="1120" w:type="dxa"/>
                  <w:tcBorders>
                    <w:tl2br w:val="nil"/>
                    <w:tr2bl w:val="nil"/>
                  </w:tcBorders>
                  <w:vAlign w:val="center"/>
                </w:tcPr>
                <w:p w14:paraId="7D47B53F">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p>
              </w:tc>
              <w:tc>
                <w:tcPr>
                  <w:tcW w:w="1788" w:type="dxa"/>
                  <w:tcBorders>
                    <w:tl2br w:val="nil"/>
                    <w:tr2bl w:val="nil"/>
                  </w:tcBorders>
                  <w:vAlign w:val="center"/>
                </w:tcPr>
                <w:p w14:paraId="43012B7F">
                  <w:pPr>
                    <w:adjustRightInd w:val="0"/>
                    <w:snapToGrid w:val="0"/>
                    <w:jc w:val="center"/>
                    <w:rPr>
                      <w:rFonts w:hint="eastAsia"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0.</w:t>
                  </w:r>
                  <w:r>
                    <w:rPr>
                      <w:rFonts w:hint="eastAsia" w:cs="Times New Roman"/>
                      <w:bCs/>
                      <w:color w:val="auto"/>
                      <w:szCs w:val="21"/>
                      <w:highlight w:val="none"/>
                      <w:lang w:val="en-US" w:eastAsia="zh-CN"/>
                    </w:rPr>
                    <w:t>4</w:t>
                  </w:r>
                </w:p>
              </w:tc>
              <w:tc>
                <w:tcPr>
                  <w:tcW w:w="1432" w:type="dxa"/>
                  <w:tcBorders>
                    <w:tl2br w:val="nil"/>
                    <w:tr2bl w:val="nil"/>
                  </w:tcBorders>
                  <w:vAlign w:val="center"/>
                </w:tcPr>
                <w:p w14:paraId="1EEE797C">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2500</w:t>
                  </w:r>
                </w:p>
              </w:tc>
              <w:tc>
                <w:tcPr>
                  <w:tcW w:w="1214" w:type="dxa"/>
                  <w:tcBorders>
                    <w:tl2br w:val="nil"/>
                    <w:tr2bl w:val="nil"/>
                  </w:tcBorders>
                  <w:vAlign w:val="center"/>
                </w:tcPr>
                <w:p w14:paraId="3DB7556D">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0.000</w:t>
                  </w:r>
                  <w:r>
                    <w:rPr>
                      <w:rFonts w:hint="eastAsia" w:cs="Times New Roman"/>
                      <w:bCs/>
                      <w:color w:val="auto"/>
                      <w:szCs w:val="21"/>
                      <w:highlight w:val="none"/>
                      <w:lang w:val="en-US" w:eastAsia="zh-CN"/>
                    </w:rPr>
                    <w:t>16</w:t>
                  </w:r>
                </w:p>
              </w:tc>
            </w:tr>
            <w:tr w14:paraId="4B808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2" w:type="dxa"/>
                  <w:tcBorders>
                    <w:tl2br w:val="nil"/>
                    <w:tr2bl w:val="nil"/>
                  </w:tcBorders>
                  <w:vAlign w:val="center"/>
                </w:tcPr>
                <w:p w14:paraId="01D7BC36">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p>
              </w:tc>
              <w:tc>
                <w:tcPr>
                  <w:tcW w:w="617" w:type="dxa"/>
                  <w:vMerge w:val="restart"/>
                  <w:tcBorders>
                    <w:tl2br w:val="nil"/>
                    <w:tr2bl w:val="nil"/>
                  </w:tcBorders>
                  <w:vAlign w:val="center"/>
                </w:tcPr>
                <w:p w14:paraId="4C5C0FE6">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危险废物</w:t>
                  </w:r>
                </w:p>
              </w:tc>
              <w:tc>
                <w:tcPr>
                  <w:tcW w:w="1063" w:type="dxa"/>
                  <w:tcBorders>
                    <w:tl2br w:val="nil"/>
                    <w:tr2bl w:val="nil"/>
                  </w:tcBorders>
                  <w:shd w:val="clear" w:color="auto" w:fill="auto"/>
                  <w:vAlign w:val="center"/>
                </w:tcPr>
                <w:p w14:paraId="2584B4CB">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废机油</w:t>
                  </w:r>
                </w:p>
              </w:tc>
              <w:tc>
                <w:tcPr>
                  <w:tcW w:w="1120" w:type="dxa"/>
                  <w:tcBorders>
                    <w:tl2br w:val="nil"/>
                    <w:tr2bl w:val="nil"/>
                  </w:tcBorders>
                  <w:vAlign w:val="center"/>
                </w:tcPr>
                <w:p w14:paraId="02DAD1D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p>
              </w:tc>
              <w:tc>
                <w:tcPr>
                  <w:tcW w:w="1788" w:type="dxa"/>
                  <w:tcBorders>
                    <w:tl2br w:val="nil"/>
                    <w:tr2bl w:val="nil"/>
                  </w:tcBorders>
                  <w:vAlign w:val="center"/>
                </w:tcPr>
                <w:p w14:paraId="1FAFC838">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0.</w:t>
                  </w:r>
                  <w:r>
                    <w:rPr>
                      <w:rFonts w:hint="default" w:ascii="Times New Roman" w:hAnsi="Times New Roman" w:cs="Times New Roman"/>
                      <w:bCs/>
                      <w:color w:val="auto"/>
                      <w:szCs w:val="21"/>
                      <w:highlight w:val="none"/>
                      <w:lang w:val="en-US" w:eastAsia="zh-CN"/>
                    </w:rPr>
                    <w:t>32</w:t>
                  </w:r>
                </w:p>
              </w:tc>
              <w:tc>
                <w:tcPr>
                  <w:tcW w:w="1432" w:type="dxa"/>
                  <w:vMerge w:val="restart"/>
                  <w:tcBorders>
                    <w:tl2br w:val="nil"/>
                    <w:tr2bl w:val="nil"/>
                  </w:tcBorders>
                  <w:vAlign w:val="center"/>
                </w:tcPr>
                <w:p w14:paraId="35A0D3E7">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50</w:t>
                  </w:r>
                </w:p>
              </w:tc>
              <w:tc>
                <w:tcPr>
                  <w:tcW w:w="1214" w:type="dxa"/>
                  <w:tcBorders>
                    <w:tl2br w:val="nil"/>
                    <w:tr2bl w:val="nil"/>
                  </w:tcBorders>
                  <w:vAlign w:val="center"/>
                </w:tcPr>
                <w:p w14:paraId="75EE214D">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0.00</w:t>
                  </w:r>
                  <w:r>
                    <w:rPr>
                      <w:rFonts w:hint="default" w:ascii="Times New Roman" w:hAnsi="Times New Roman" w:cs="Times New Roman"/>
                      <w:bCs/>
                      <w:color w:val="auto"/>
                      <w:szCs w:val="21"/>
                      <w:highlight w:val="none"/>
                      <w:lang w:val="en-US" w:eastAsia="zh-CN"/>
                    </w:rPr>
                    <w:t>64</w:t>
                  </w:r>
                </w:p>
              </w:tc>
            </w:tr>
            <w:tr w14:paraId="290F0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2" w:type="dxa"/>
                  <w:tcBorders>
                    <w:tl2br w:val="nil"/>
                    <w:tr2bl w:val="nil"/>
                  </w:tcBorders>
                  <w:vAlign w:val="center"/>
                </w:tcPr>
                <w:p w14:paraId="2B0F9FB0">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w:t>
                  </w:r>
                </w:p>
              </w:tc>
              <w:tc>
                <w:tcPr>
                  <w:tcW w:w="617" w:type="dxa"/>
                  <w:vMerge w:val="continue"/>
                  <w:tcBorders>
                    <w:tl2br w:val="nil"/>
                    <w:tr2bl w:val="nil"/>
                  </w:tcBorders>
                  <w:vAlign w:val="center"/>
                </w:tcPr>
                <w:p w14:paraId="30192701">
                  <w:pPr>
                    <w:adjustRightInd w:val="0"/>
                    <w:snapToGrid w:val="0"/>
                    <w:jc w:val="center"/>
                    <w:rPr>
                      <w:rFonts w:hint="default" w:ascii="Times New Roman" w:hAnsi="Times New Roman" w:eastAsia="宋体" w:cs="Times New Roman"/>
                      <w:bCs/>
                      <w:color w:val="auto"/>
                      <w:szCs w:val="21"/>
                      <w:highlight w:val="none"/>
                      <w:lang w:val="en-US" w:eastAsia="zh-CN"/>
                    </w:rPr>
                  </w:pPr>
                </w:p>
              </w:tc>
              <w:tc>
                <w:tcPr>
                  <w:tcW w:w="1063" w:type="dxa"/>
                  <w:tcBorders>
                    <w:tl2br w:val="nil"/>
                    <w:tr2bl w:val="nil"/>
                  </w:tcBorders>
                  <w:shd w:val="clear" w:color="auto" w:fill="auto"/>
                  <w:vAlign w:val="center"/>
                </w:tcPr>
                <w:p w14:paraId="3B37B5E6">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废活性炭</w:t>
                  </w:r>
                </w:p>
              </w:tc>
              <w:tc>
                <w:tcPr>
                  <w:tcW w:w="1120" w:type="dxa"/>
                  <w:tcBorders>
                    <w:tl2br w:val="nil"/>
                    <w:tr2bl w:val="nil"/>
                  </w:tcBorders>
                  <w:vAlign w:val="center"/>
                </w:tcPr>
                <w:p w14:paraId="77044D05">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w:t>
                  </w:r>
                </w:p>
              </w:tc>
              <w:tc>
                <w:tcPr>
                  <w:tcW w:w="1788" w:type="dxa"/>
                  <w:tcBorders>
                    <w:tl2br w:val="nil"/>
                    <w:tr2bl w:val="nil"/>
                  </w:tcBorders>
                  <w:vAlign w:val="center"/>
                </w:tcPr>
                <w:p w14:paraId="57734BE9">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13.82</w:t>
                  </w:r>
                </w:p>
              </w:tc>
              <w:tc>
                <w:tcPr>
                  <w:tcW w:w="1432" w:type="dxa"/>
                  <w:vMerge w:val="continue"/>
                  <w:tcBorders>
                    <w:tl2br w:val="nil"/>
                    <w:tr2bl w:val="nil"/>
                  </w:tcBorders>
                  <w:vAlign w:val="center"/>
                </w:tcPr>
                <w:p w14:paraId="7A4E223A">
                  <w:pPr>
                    <w:adjustRightInd w:val="0"/>
                    <w:snapToGrid w:val="0"/>
                    <w:jc w:val="center"/>
                    <w:rPr>
                      <w:rFonts w:hint="default" w:ascii="Times New Roman" w:hAnsi="Times New Roman" w:cs="Times New Roman"/>
                      <w:bCs/>
                      <w:color w:val="auto"/>
                      <w:szCs w:val="21"/>
                      <w:highlight w:val="none"/>
                    </w:rPr>
                  </w:pPr>
                </w:p>
              </w:tc>
              <w:tc>
                <w:tcPr>
                  <w:tcW w:w="1214" w:type="dxa"/>
                  <w:tcBorders>
                    <w:tl2br w:val="nil"/>
                    <w:tr2bl w:val="nil"/>
                  </w:tcBorders>
                  <w:vAlign w:val="center"/>
                </w:tcPr>
                <w:p w14:paraId="0CFC406C">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0.2764</w:t>
                  </w:r>
                </w:p>
              </w:tc>
            </w:tr>
            <w:tr w14:paraId="0C7D3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2" w:type="dxa"/>
                  <w:tcBorders>
                    <w:tl2br w:val="nil"/>
                    <w:tr2bl w:val="nil"/>
                  </w:tcBorders>
                  <w:vAlign w:val="center"/>
                </w:tcPr>
                <w:p w14:paraId="33F8E9A1">
                  <w:pPr>
                    <w:adjustRightInd w:val="0"/>
                    <w:snapToGrid w:val="0"/>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4</w:t>
                  </w:r>
                </w:p>
              </w:tc>
              <w:tc>
                <w:tcPr>
                  <w:tcW w:w="617" w:type="dxa"/>
                  <w:vMerge w:val="continue"/>
                  <w:tcBorders>
                    <w:tl2br w:val="nil"/>
                    <w:tr2bl w:val="nil"/>
                  </w:tcBorders>
                  <w:vAlign w:val="center"/>
                </w:tcPr>
                <w:p w14:paraId="5E158087">
                  <w:pPr>
                    <w:adjustRightInd w:val="0"/>
                    <w:snapToGrid w:val="0"/>
                    <w:jc w:val="center"/>
                    <w:rPr>
                      <w:rFonts w:hint="default" w:cs="Times New Roman"/>
                      <w:bCs/>
                      <w:color w:val="auto"/>
                      <w:szCs w:val="21"/>
                      <w:highlight w:val="none"/>
                      <w:lang w:val="en-US" w:eastAsia="zh-CN"/>
                    </w:rPr>
                  </w:pPr>
                </w:p>
              </w:tc>
              <w:tc>
                <w:tcPr>
                  <w:tcW w:w="1063" w:type="dxa"/>
                  <w:tcBorders>
                    <w:tl2br w:val="nil"/>
                    <w:tr2bl w:val="nil"/>
                  </w:tcBorders>
                  <w:shd w:val="clear" w:color="auto" w:fill="auto"/>
                  <w:vAlign w:val="center"/>
                </w:tcPr>
                <w:p w14:paraId="66C5E8CF">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废胶桶</w:t>
                  </w:r>
                </w:p>
              </w:tc>
              <w:tc>
                <w:tcPr>
                  <w:tcW w:w="1120" w:type="dxa"/>
                  <w:tcBorders>
                    <w:tl2br w:val="nil"/>
                    <w:tr2bl w:val="nil"/>
                  </w:tcBorders>
                  <w:vAlign w:val="center"/>
                </w:tcPr>
                <w:p w14:paraId="1283E0F6">
                  <w:pPr>
                    <w:adjustRightInd w:val="0"/>
                    <w:snapToGrid w:val="0"/>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w:t>
                  </w:r>
                </w:p>
              </w:tc>
              <w:tc>
                <w:tcPr>
                  <w:tcW w:w="1788" w:type="dxa"/>
                  <w:tcBorders>
                    <w:tl2br w:val="nil"/>
                    <w:tr2bl w:val="nil"/>
                  </w:tcBorders>
                  <w:vAlign w:val="center"/>
                </w:tcPr>
                <w:p w14:paraId="1DBC84A1">
                  <w:pPr>
                    <w:adjustRightInd w:val="0"/>
                    <w:snapToGrid w:val="0"/>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2</w:t>
                  </w:r>
                </w:p>
              </w:tc>
              <w:tc>
                <w:tcPr>
                  <w:tcW w:w="1432" w:type="dxa"/>
                  <w:vMerge w:val="continue"/>
                  <w:tcBorders>
                    <w:tl2br w:val="nil"/>
                    <w:tr2bl w:val="nil"/>
                  </w:tcBorders>
                  <w:vAlign w:val="center"/>
                </w:tcPr>
                <w:p w14:paraId="34291CC3">
                  <w:pPr>
                    <w:adjustRightInd w:val="0"/>
                    <w:snapToGrid w:val="0"/>
                    <w:jc w:val="center"/>
                    <w:rPr>
                      <w:rFonts w:hint="default" w:ascii="Times New Roman" w:hAnsi="Times New Roman" w:cs="Times New Roman"/>
                      <w:bCs/>
                      <w:color w:val="auto"/>
                      <w:szCs w:val="21"/>
                      <w:highlight w:val="none"/>
                    </w:rPr>
                  </w:pPr>
                </w:p>
              </w:tc>
              <w:tc>
                <w:tcPr>
                  <w:tcW w:w="1214" w:type="dxa"/>
                  <w:tcBorders>
                    <w:tl2br w:val="nil"/>
                    <w:tr2bl w:val="nil"/>
                  </w:tcBorders>
                  <w:vAlign w:val="center"/>
                </w:tcPr>
                <w:p w14:paraId="7AC2681F">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0.04</w:t>
                  </w:r>
                </w:p>
              </w:tc>
            </w:tr>
            <w:tr w14:paraId="30216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2" w:type="dxa"/>
                  <w:tcBorders>
                    <w:tl2br w:val="nil"/>
                    <w:tr2bl w:val="nil"/>
                  </w:tcBorders>
                  <w:vAlign w:val="center"/>
                </w:tcPr>
                <w:p w14:paraId="26D35378">
                  <w:pPr>
                    <w:adjustRightInd w:val="0"/>
                    <w:snapToGrid w:val="0"/>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5</w:t>
                  </w:r>
                </w:p>
              </w:tc>
              <w:tc>
                <w:tcPr>
                  <w:tcW w:w="617" w:type="dxa"/>
                  <w:vMerge w:val="continue"/>
                  <w:tcBorders>
                    <w:tl2br w:val="nil"/>
                    <w:tr2bl w:val="nil"/>
                  </w:tcBorders>
                  <w:vAlign w:val="center"/>
                </w:tcPr>
                <w:p w14:paraId="4E40B148">
                  <w:pPr>
                    <w:adjustRightInd w:val="0"/>
                    <w:snapToGrid w:val="0"/>
                    <w:jc w:val="center"/>
                    <w:rPr>
                      <w:rFonts w:hint="default" w:cs="Times New Roman"/>
                      <w:bCs/>
                      <w:color w:val="auto"/>
                      <w:szCs w:val="21"/>
                      <w:highlight w:val="none"/>
                      <w:lang w:val="en-US" w:eastAsia="zh-CN"/>
                    </w:rPr>
                  </w:pPr>
                </w:p>
              </w:tc>
              <w:tc>
                <w:tcPr>
                  <w:tcW w:w="1063" w:type="dxa"/>
                  <w:tcBorders>
                    <w:tl2br w:val="nil"/>
                    <w:tr2bl w:val="nil"/>
                  </w:tcBorders>
                  <w:shd w:val="clear" w:color="auto" w:fill="auto"/>
                  <w:vAlign w:val="center"/>
                </w:tcPr>
                <w:p w14:paraId="459DE817">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废机油桶</w:t>
                  </w:r>
                </w:p>
              </w:tc>
              <w:tc>
                <w:tcPr>
                  <w:tcW w:w="1120" w:type="dxa"/>
                  <w:tcBorders>
                    <w:tl2br w:val="nil"/>
                    <w:tr2bl w:val="nil"/>
                  </w:tcBorders>
                  <w:vAlign w:val="center"/>
                </w:tcPr>
                <w:p w14:paraId="5C82AA80">
                  <w:pPr>
                    <w:adjustRightInd w:val="0"/>
                    <w:snapToGrid w:val="0"/>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w:t>
                  </w:r>
                </w:p>
              </w:tc>
              <w:tc>
                <w:tcPr>
                  <w:tcW w:w="1788" w:type="dxa"/>
                  <w:tcBorders>
                    <w:tl2br w:val="nil"/>
                    <w:tr2bl w:val="nil"/>
                  </w:tcBorders>
                  <w:vAlign w:val="center"/>
                </w:tcPr>
                <w:p w14:paraId="46053163">
                  <w:pPr>
                    <w:adjustRightInd w:val="0"/>
                    <w:snapToGrid w:val="0"/>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0.02</w:t>
                  </w:r>
                </w:p>
              </w:tc>
              <w:tc>
                <w:tcPr>
                  <w:tcW w:w="1432" w:type="dxa"/>
                  <w:vMerge w:val="continue"/>
                  <w:tcBorders>
                    <w:tl2br w:val="nil"/>
                    <w:tr2bl w:val="nil"/>
                  </w:tcBorders>
                  <w:vAlign w:val="center"/>
                </w:tcPr>
                <w:p w14:paraId="0C474B90">
                  <w:pPr>
                    <w:adjustRightInd w:val="0"/>
                    <w:snapToGrid w:val="0"/>
                    <w:jc w:val="center"/>
                    <w:rPr>
                      <w:rFonts w:hint="default" w:ascii="Times New Roman" w:hAnsi="Times New Roman" w:cs="Times New Roman"/>
                      <w:bCs/>
                      <w:color w:val="auto"/>
                      <w:szCs w:val="21"/>
                      <w:highlight w:val="none"/>
                    </w:rPr>
                  </w:pPr>
                </w:p>
              </w:tc>
              <w:tc>
                <w:tcPr>
                  <w:tcW w:w="1214" w:type="dxa"/>
                  <w:tcBorders>
                    <w:tl2br w:val="nil"/>
                    <w:tr2bl w:val="nil"/>
                  </w:tcBorders>
                  <w:vAlign w:val="center"/>
                </w:tcPr>
                <w:p w14:paraId="388ABCC3">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0.0004</w:t>
                  </w:r>
                </w:p>
              </w:tc>
            </w:tr>
            <w:tr w14:paraId="00B81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22" w:type="dxa"/>
                  <w:gridSpan w:val="6"/>
                  <w:tcBorders>
                    <w:tl2br w:val="nil"/>
                    <w:tr2bl w:val="nil"/>
                  </w:tcBorders>
                  <w:vAlign w:val="center"/>
                </w:tcPr>
                <w:p w14:paraId="1C97FD7B">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合计</w:t>
                  </w:r>
                </w:p>
              </w:tc>
              <w:tc>
                <w:tcPr>
                  <w:tcW w:w="1214" w:type="dxa"/>
                  <w:tcBorders>
                    <w:tl2br w:val="nil"/>
                    <w:tr2bl w:val="nil"/>
                  </w:tcBorders>
                  <w:vAlign w:val="center"/>
                </w:tcPr>
                <w:p w14:paraId="0DE40C49">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0.32336</w:t>
                  </w:r>
                </w:p>
              </w:tc>
            </w:tr>
          </w:tbl>
          <w:p w14:paraId="30D5C96D">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本项目环境风险源分布及影响途径</w:t>
            </w:r>
          </w:p>
          <w:p w14:paraId="149D2E72">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（1）危险废物收集过程潜在风险识别</w:t>
            </w:r>
          </w:p>
          <w:p w14:paraId="6D0B9434">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拟建项目的危险废物收集工作由本单位自行收集。企业在收集过程中由于操作不当、容器破裂等原因，可能造成危险废物的泄漏、火灾、中毒等风险事故。</w:t>
            </w:r>
          </w:p>
          <w:p w14:paraId="70418DB4">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（2）危险废物运输过程潜在风险识别</w:t>
            </w:r>
          </w:p>
          <w:p w14:paraId="1DE62FE6">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拟建项目从外单位收集的危险废物全部由汽车运入，运输依托外界运输力量，对于危险废物委托具备相应资质的运输公司承担运输任务，本项目不配备运输车辆。本项目运输风险主要为汽车运输外来危险废物至项目地过程中可能存在的泄漏风险。</w:t>
            </w:r>
          </w:p>
          <w:p w14:paraId="22C847A0">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（3）危险废物暂存过程潜在风险识别</w:t>
            </w:r>
          </w:p>
          <w:p w14:paraId="78707A05">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拟建项目暂存过程的潜在风险主要为半固态、液态危险废物。在厂内装卸和暂存过程中，若管理不善或操作失误，易造成泄漏、燃烧、爆炸等事故。袋装固态危险废物在暂存过程中由于包装袋的破裂等，可能造成危险废物的泄漏。</w:t>
            </w:r>
          </w:p>
          <w:p w14:paraId="0E061B2A">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（4）可能影响环境的途径</w:t>
            </w:r>
          </w:p>
          <w:p w14:paraId="1B4CCBCA">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①地表水风险分析</w:t>
            </w:r>
          </w:p>
          <w:p w14:paraId="6C32BA54">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项目所使用的机油发生泄漏，若进入地表水体，将污染地表水水质。</w:t>
            </w:r>
          </w:p>
          <w:p w14:paraId="71232053">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②地下水环境风险分析</w:t>
            </w:r>
          </w:p>
          <w:p w14:paraId="6B9BFB13">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项目所使用的机油发生泄漏，若进入土壤渗漏，污染物进入地层包气带，随着大气降水下渗进入地下含水层，形成一个污团从上向下扩散，对区域地下水环境造成污染。</w:t>
            </w:r>
          </w:p>
          <w:p w14:paraId="59FBE988">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③危险废物贮存和转运过程中产生的环境风险</w:t>
            </w:r>
          </w:p>
          <w:p w14:paraId="303AFA52">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产生的危险固废含有部分有毒有害物质，如不加强管理、随意丢弃，或者转运过程中出现泄漏，流散到人们生活环境中，就会污染大气、水源、土地，严重危害人们的身体健康。所以应加强本项目危废的暂存与转运的管理。</w:t>
            </w:r>
          </w:p>
          <w:p w14:paraId="61A1F58D">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3、</w:t>
            </w:r>
            <w:r>
              <w:rPr>
                <w:rFonts w:hint="default" w:ascii="Times New Roman" w:hAnsi="Times New Roman" w:cs="Times New Roman"/>
                <w:b/>
                <w:color w:val="auto"/>
                <w:sz w:val="24"/>
                <w:highlight w:val="none"/>
              </w:rPr>
              <w:t>环境风险防范措施</w:t>
            </w:r>
          </w:p>
          <w:p w14:paraId="1D56134B">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为使环境风险减小到最低限度，必须加强劳动安全卫生管理，制定完善、有效的安全防范措施，尽可能降低本项目环境风险事故发生的概率。</w:t>
            </w:r>
          </w:p>
          <w:p w14:paraId="0A2EDB66">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（1）加强宣传教育</w:t>
            </w:r>
          </w:p>
          <w:p w14:paraId="42A37F8B">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实践证明，许多环境污染事故平时只要提高警惕，加强管理和防范是完全可以避免的。因此项目首要的是加强事故防范措施的宣传教育，防止风险事故的发生。此外应根据环评及实际生产情况对安全事故隐患进行调查登记，对企业的安全措施常抓不懈，将本项目风险事故的发生概率控制在最小范围内。</w:t>
            </w:r>
          </w:p>
          <w:p w14:paraId="1560C6C6">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（2）总图布置和建筑安全防范措施</w:t>
            </w:r>
          </w:p>
          <w:p w14:paraId="3CB65426">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功能分区布置，充分考虑安全防护距离，厂房内实现消防和疏散通道以及人货分流等问题。在消防设计方面以“预防为主、防消结合”的原则，严格执行国家颁布的消防法规。完善厂区消防管理体系和消防人员的建制，配置对外联络的通讯设备和网站。</w:t>
            </w:r>
          </w:p>
          <w:p w14:paraId="39C714D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（3）贮运风险防范措施</w:t>
            </w:r>
          </w:p>
          <w:p w14:paraId="257655B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运输危险品的车辆应有特殊标志，机油装卸前后，必须对车辆和储存设备进行检查，一旦发现有破损现象，应及时进行维修，直至消除隐患为止。</w:t>
            </w:r>
          </w:p>
          <w:p w14:paraId="47C230E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贮存机油的区域应有明显标志，入柜时应严格检验物品质量、数量、包装等情况，应采取适当的防护措施，定期检查，还应建立严格的收发管理制度。对于装卸直接对人体有毒害及腐蚀性的物品时，操作人员应穿戴相应的防护用品。油类化学品必须设置于阴凉、通风的库房，库房必须防渗、防漏、防雨；油类暂存区严禁火源进入；采用防爆型电气、电讯设施和通风设施；禁止使用易产生火花的机械设备和工具；应设置泄漏收集装置，当泄漏事故发生时，可以做到有效收集至桶内暂存，最终作为危险废物处理；配备干粉灭火器、黄土、惰性吸附剂等材料，防止发生事故时能对事故进行应急处理。</w:t>
            </w:r>
          </w:p>
          <w:p w14:paraId="7FDA0FCF">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（4）火灾防范措施</w:t>
            </w:r>
          </w:p>
          <w:p w14:paraId="6B9D83DD">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工业项目建设要求设计、建造和运行要科学规划、合理布局、严格执行防火安全设计规范，保证建造质量，严格安全生产制度、严格管理，提高操作人员的素质和水平，以减少事故的发生。一旦发生事故，则要根据具体情况采取应急措施，控制事故扩大；立即报警；采取遏制污染物进入环境的紧急措施等。本次环评提出以下火灾风险防范措施：</w:t>
            </w:r>
          </w:p>
          <w:p w14:paraId="14D8A54E">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①厂房内应配备个人防护用品及应急处置设施，一旦发生化学品或危废泄漏，现场人员应立即佩戴防护用品，及时清除泄漏物，避免对环境及人员健康造成危害；</w:t>
            </w:r>
          </w:p>
          <w:p w14:paraId="564A6A17">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②贮存场所应设置禁止牌和防火标志，禁止非工作人员进入并严禁明火；</w:t>
            </w:r>
          </w:p>
          <w:p w14:paraId="7FD4DC8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③严禁动用明火、电热器和能引起电火花的电气设备，门上挂“严禁烟火”警告牌；</w:t>
            </w:r>
          </w:p>
          <w:p w14:paraId="241C2D23">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④每日生产结束后必须关闭水、电，检查水池和下水管道是否有堵塞。严防漏水漏电和电气设备处于长时间通电、通水而无人照管的状态；</w:t>
            </w:r>
          </w:p>
          <w:p w14:paraId="67FC5D52">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⑤如发现火情，现场工作人员应立即采取措施处理，防止火势蔓延；并迅速报告，并马上确定火灾发生位置，判断出火灾发生的原因；</w:t>
            </w:r>
          </w:p>
          <w:p w14:paraId="5795092D">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⑥工作人员应定期培训，熟悉火灾处理方法、灭火器材使用方法，做到冷静处理，不慌不乱；</w:t>
            </w:r>
          </w:p>
          <w:p w14:paraId="0B8DDCE4">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⑦建立事故管理和经过优化的应急处理计划，包括各种应急处理设备器材、事故现场指挥、救护、通讯等系统建立，设立急救指挥小组，由公司有关部门负责，一旦发生事故，进行统一指挥和协调。</w:t>
            </w:r>
          </w:p>
          <w:p w14:paraId="5C5FCCA0">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（5）废气事故风险防范措施</w:t>
            </w:r>
          </w:p>
          <w:p w14:paraId="6239FFFF">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①平时加强废气处理设施的维护保养，及时发现处理设备的隐患并进行维修，确保废气处理系统正常运行；</w:t>
            </w:r>
          </w:p>
          <w:p w14:paraId="661ECCB9">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②建立健全的环保机构，对管理人员和技术人员进行岗位培训，对废气处理实行全过程跟踪控制。</w:t>
            </w:r>
          </w:p>
          <w:p w14:paraId="46A0D569">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6</w:t>
            </w:r>
            <w:r>
              <w:rPr>
                <w:rFonts w:hint="default" w:ascii="Times New Roman" w:hAnsi="Times New Roman" w:cs="Times New Roman"/>
                <w:bCs/>
                <w:color w:val="auto"/>
                <w:sz w:val="24"/>
                <w:highlight w:val="none"/>
              </w:rPr>
              <w:t>）固废收集、贮存事故风险防范措施</w:t>
            </w:r>
          </w:p>
          <w:p w14:paraId="2327EED2">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全厂一般工业固废分类收集至一般固废间，不被雨淋、风吹、专车运送，定期外售综合利用，危险废物暂存于厂区的危废暂存间，委托有资质的单位处置，固废实现“零排放”是有保证的，不会对环境产生二次污染。为避免危废对环境造成危害，建议采用以下措施：</w:t>
            </w:r>
          </w:p>
          <w:p w14:paraId="4E01A15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①在收集过程中要根据各种危险废物的性质进行分类、分别收集和贮存。危废暂存间应严格按照《危险废物贮存污染控制标准》（GBl8597-2023）的要求规范建设，并做好防雨、防风、防渗、防漏等措施。</w:t>
            </w:r>
          </w:p>
          <w:p w14:paraId="2F966EA7">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厂内应设置专门的废物贮存场所、以便贮存不能及时送出处理的固废，避免在露天堆放中产生的泄漏、渗透、蒸发、雨水淋溶等产生二次污染；各种危险废物要有单独的贮存室、贮存罐，并贴上标签；装载液体、半固体危险废物的容器顶与液面间需要保留100mm以上的空间，容器及容器的材质要满足相应强度要求，并必须完整无损。</w:t>
            </w:r>
          </w:p>
          <w:p w14:paraId="391FC86C">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③运输过程中要注意不同的危险废物要单独运输，固废的包装容器要注意密闭，以免在运输途中发生危险废物的泄漏，从而产生二次污染。</w:t>
            </w:r>
          </w:p>
          <w:p w14:paraId="1358A337">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④项目应严格执行《危险废物收集贮存运输技术规范》（HJ2025-2012）和《危险废物转移管理办法》（生态环境部、公安部、交通运输部令第23号），危险废物转移前向环保主管部门报批危险废物转移计划，经批准后，向生态环境主管部门申请领取联单，并在转移前三日内报告移出地生态环境主管部门，并同时将预期到达时间报告接受地生态环境主管部门。同时，危险废物装卸、运输应委托有资质单位进行，编制《危险废物运输车辆事故应急预案》，杜绝包装、运输过程中危险废物散落、泄漏的环境影响。</w:t>
            </w:r>
          </w:p>
          <w:p w14:paraId="4A7A2F80">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⑤项目厂区内危废暂存间应由专业人员操作，单独收集和贮运，严格执行转移联单管理制度及国家和省有关转移管理的相关规定、处置过程安全操作规程、人员培训考核制度、档案管理制度、处置全过程管理制度等，严格按照要求办理有关手续。</w:t>
            </w:r>
          </w:p>
          <w:p w14:paraId="4FCB1140">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7</w:t>
            </w:r>
            <w:r>
              <w:rPr>
                <w:rFonts w:hint="default" w:ascii="Times New Roman" w:hAnsi="Times New Roman" w:cs="Times New Roman"/>
                <w:bCs/>
                <w:color w:val="auto"/>
                <w:sz w:val="24"/>
                <w:highlight w:val="none"/>
              </w:rPr>
              <w:t>）制定应急预案</w:t>
            </w:r>
          </w:p>
          <w:p w14:paraId="27849941">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制定环境事件风险应急预案，并报相关部门备案，加强预案演练，配备应急物资。</w:t>
            </w:r>
          </w:p>
          <w:p w14:paraId="4C7D1605">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结论</w:t>
            </w:r>
          </w:p>
          <w:p w14:paraId="75C29375">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在严格落实评价提出的各项风险防范措施后，能将事故的环境风险降到最低，该项目的风险水平是可防控的。</w:t>
            </w:r>
          </w:p>
          <w:p w14:paraId="193CF28D">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七、项目环评与排污许可联动内容</w:t>
            </w:r>
          </w:p>
          <w:p w14:paraId="216B1590">
            <w:pPr>
              <w:spacing w:line="360" w:lineRule="auto"/>
              <w:ind w:firstLine="424" w:firstLineChars="17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根据安徽省生态环境厅于2021年1月30日发布的《安徽省生态环境厅关于统筹做好固定污染源排污许可日常监管工作的通知》（皖环发〔2021〕7号），属于现行《固定污染源排</w:t>
            </w:r>
            <w:r>
              <w:rPr>
                <w:rFonts w:hint="default" w:ascii="Times New Roman" w:hAnsi="Times New Roman" w:cs="Times New Roman"/>
                <w:bCs/>
                <w:color w:val="auto"/>
                <w:sz w:val="24"/>
                <w:highlight w:val="none"/>
              </w:rPr>
              <w:t>污许可分类管理名录》内重点管理和简化管理的行业，在环评文件中应明确“建设项目环境影响评价与排污许可联动内容”和《建设项目排污许可</w:t>
            </w:r>
            <w:r>
              <w:rPr>
                <w:rFonts w:hint="default" w:ascii="Times New Roman" w:hAnsi="Times New Roman" w:cs="Times New Roman"/>
                <w:color w:val="auto"/>
                <w:sz w:val="24"/>
                <w:highlight w:val="none"/>
              </w:rPr>
              <w:t>申请与填发信息表》。</w:t>
            </w:r>
          </w:p>
          <w:p w14:paraId="709F9488">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highlight w:val="none"/>
              </w:rPr>
              <w:t>根据《国民经济行业分类》（GB 4754-2017），本项目行业类别为：C3670 汽车零部件及配件制造；对照《固定污染源排污许可分类管理名录》（2019年版），本项目属于《名录》中：“二十五、非金属矿物制品业30，66.玻璃制造 304”中“特种玻璃制造3042”，属于</w:t>
            </w:r>
            <w:r>
              <w:rPr>
                <w:rFonts w:hint="default" w:ascii="Times New Roman" w:hAnsi="Times New Roman" w:cs="Times New Roman"/>
                <w:color w:val="auto"/>
                <w:sz w:val="24"/>
                <w:highlight w:val="none"/>
                <w:lang w:val="en-US" w:eastAsia="zh-CN"/>
              </w:rPr>
              <w:t>简化</w:t>
            </w:r>
            <w:r>
              <w:rPr>
                <w:rFonts w:hint="default" w:ascii="Times New Roman" w:hAnsi="Times New Roman" w:cs="Times New Roman"/>
                <w:color w:val="auto"/>
                <w:sz w:val="24"/>
                <w:highlight w:val="none"/>
              </w:rPr>
              <w:t>管理</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需进行建设项目环境影响评价与排污许可联动（见附件）。</w:t>
            </w:r>
          </w:p>
          <w:p w14:paraId="21D4BB93">
            <w:pPr>
              <w:adjustRightInd w:val="0"/>
              <w:snapToGrid w:val="0"/>
              <w:spacing w:line="360" w:lineRule="auto"/>
              <w:ind w:firstLine="480" w:firstLineChars="200"/>
              <w:rPr>
                <w:rFonts w:hint="default" w:ascii="Times New Roman" w:hAnsi="Times New Roman" w:cs="Times New Roman"/>
                <w:bCs/>
                <w:color w:val="auto"/>
                <w:sz w:val="24"/>
                <w:highlight w:val="none"/>
              </w:rPr>
            </w:pPr>
          </w:p>
        </w:tc>
      </w:tr>
    </w:tbl>
    <w:p w14:paraId="0E83A031">
      <w:pPr>
        <w:rPr>
          <w:rFonts w:hint="default" w:ascii="Times New Roman" w:hAnsi="Times New Roman" w:cs="Times New Roman"/>
          <w:color w:val="auto"/>
          <w:highlight w:val="none"/>
        </w:rPr>
      </w:pPr>
    </w:p>
    <w:p w14:paraId="7EE89C39">
      <w:pPr>
        <w:rPr>
          <w:rFonts w:hint="default" w:ascii="Times New Roman" w:hAnsi="Times New Roman" w:cs="Times New Roman"/>
          <w:b/>
          <w:bCs/>
          <w:snapToGrid w:val="0"/>
          <w:color w:val="auto"/>
          <w:sz w:val="30"/>
          <w:szCs w:val="30"/>
          <w:highlight w:val="none"/>
        </w:rPr>
      </w:pPr>
      <w:r>
        <w:rPr>
          <w:rFonts w:hint="default" w:ascii="Times New Roman" w:hAnsi="Times New Roman" w:cs="Times New Roman"/>
          <w:b/>
          <w:bCs/>
          <w:snapToGrid w:val="0"/>
          <w:color w:val="auto"/>
          <w:sz w:val="30"/>
          <w:szCs w:val="30"/>
          <w:highlight w:val="none"/>
        </w:rPr>
        <w:br w:type="page"/>
      </w:r>
    </w:p>
    <w:p w14:paraId="6AA52ECC">
      <w:pPr>
        <w:pStyle w:val="23"/>
        <w:jc w:val="center"/>
        <w:outlineLvl w:val="0"/>
        <w:rPr>
          <w:rFonts w:hint="default" w:ascii="Times New Roman" w:hAnsi="Times New Roman" w:cs="Times New Roman"/>
          <w:b/>
          <w:bCs/>
          <w:snapToGrid w:val="0"/>
          <w:color w:val="auto"/>
          <w:sz w:val="30"/>
          <w:szCs w:val="30"/>
          <w:highlight w:val="none"/>
        </w:rPr>
      </w:pPr>
      <w:r>
        <w:rPr>
          <w:rFonts w:hint="default" w:ascii="Times New Roman" w:hAnsi="Times New Roman" w:cs="Times New Roman"/>
          <w:b/>
          <w:bCs/>
          <w:snapToGrid w:val="0"/>
          <w:color w:val="auto"/>
          <w:sz w:val="30"/>
          <w:szCs w:val="30"/>
          <w:highlight w:val="none"/>
        </w:rPr>
        <w:t>五、</w:t>
      </w:r>
      <w:bookmarkStart w:id="21" w:name="_Hlk54167917"/>
      <w:r>
        <w:rPr>
          <w:rFonts w:hint="default" w:ascii="Times New Roman" w:hAnsi="Times New Roman" w:cs="Times New Roman"/>
          <w:b/>
          <w:bCs/>
          <w:snapToGrid w:val="0"/>
          <w:color w:val="auto"/>
          <w:sz w:val="30"/>
          <w:szCs w:val="30"/>
          <w:highlight w:val="none"/>
        </w:rPr>
        <w:t>环境保护措施监督检查清单</w:t>
      </w:r>
      <w:bookmarkEnd w:id="21"/>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1750"/>
        <w:gridCol w:w="1405"/>
        <w:gridCol w:w="2257"/>
        <w:gridCol w:w="2616"/>
      </w:tblGrid>
      <w:tr w14:paraId="00CCE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22" w:type="dxa"/>
            <w:tcBorders>
              <w:tl2br w:val="single" w:color="auto" w:sz="4" w:space="0"/>
            </w:tcBorders>
          </w:tcPr>
          <w:p w14:paraId="5E012E63">
            <w:pPr>
              <w:adjustRightInd w:val="0"/>
              <w:snapToGrid w:val="0"/>
              <w:jc w:val="righ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14:paraId="6E5D637B">
            <w:pPr>
              <w:adjustRightInd w:val="0"/>
              <w:snapToGrid w:val="0"/>
              <w:jc w:val="lef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750" w:type="dxa"/>
            <w:vAlign w:val="center"/>
          </w:tcPr>
          <w:p w14:paraId="117DBF15">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排放口（编号、名称）/污染源</w:t>
            </w:r>
          </w:p>
        </w:tc>
        <w:tc>
          <w:tcPr>
            <w:tcW w:w="1405" w:type="dxa"/>
            <w:vAlign w:val="center"/>
          </w:tcPr>
          <w:p w14:paraId="20185236">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257" w:type="dxa"/>
            <w:vAlign w:val="center"/>
          </w:tcPr>
          <w:p w14:paraId="6016A354">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616" w:type="dxa"/>
            <w:vAlign w:val="center"/>
          </w:tcPr>
          <w:p w14:paraId="5F84B2D1">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3863B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1722" w:type="dxa"/>
            <w:vAlign w:val="center"/>
          </w:tcPr>
          <w:p w14:paraId="50846B9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750" w:type="dxa"/>
            <w:vAlign w:val="center"/>
          </w:tcPr>
          <w:p w14:paraId="0320876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厂房废气排放口（DA001）</w:t>
            </w:r>
          </w:p>
        </w:tc>
        <w:tc>
          <w:tcPr>
            <w:tcW w:w="1405" w:type="dxa"/>
            <w:vAlign w:val="center"/>
          </w:tcPr>
          <w:p w14:paraId="11F74FE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2257" w:type="dxa"/>
            <w:vAlign w:val="center"/>
          </w:tcPr>
          <w:p w14:paraId="57C18127">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废气集气罩收集，通过二级活性炭处理，处理后的废气通过1根15m高的排气筒（DA001）达标排放</w:t>
            </w:r>
          </w:p>
        </w:tc>
        <w:tc>
          <w:tcPr>
            <w:tcW w:w="2616" w:type="dxa"/>
            <w:vAlign w:val="center"/>
          </w:tcPr>
          <w:p w14:paraId="1C7EF073">
            <w:pPr>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《玻璃工业大气污染</w:t>
            </w:r>
          </w:p>
          <w:p w14:paraId="3584880A">
            <w:pPr>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物排放标准》（DB34/4295-2022）、《挥发性有机物无组织排放污染控制标准》（GB37822-2019）</w:t>
            </w:r>
          </w:p>
        </w:tc>
      </w:tr>
      <w:tr w14:paraId="343FB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1722" w:type="dxa"/>
            <w:vAlign w:val="center"/>
          </w:tcPr>
          <w:p w14:paraId="6566D79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750" w:type="dxa"/>
            <w:vAlign w:val="center"/>
          </w:tcPr>
          <w:p w14:paraId="356A73C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1405" w:type="dxa"/>
            <w:vAlign w:val="center"/>
          </w:tcPr>
          <w:p w14:paraId="4FE8A00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、SS、氨氮、pH</w:t>
            </w:r>
          </w:p>
        </w:tc>
        <w:tc>
          <w:tcPr>
            <w:tcW w:w="2257" w:type="dxa"/>
            <w:vAlign w:val="center"/>
          </w:tcPr>
          <w:p w14:paraId="2A4F838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生活污水经厂区内化粪池预处理+接管园区污水管网+进入</w:t>
            </w:r>
            <w:r>
              <w:rPr>
                <w:rFonts w:hint="eastAsia" w:cs="Times New Roman"/>
                <w:color w:val="auto"/>
                <w:sz w:val="21"/>
                <w:szCs w:val="21"/>
                <w:highlight w:val="none"/>
                <w:lang w:eastAsia="zh-CN"/>
              </w:rPr>
              <w:t>淮南现代产业园污水处理站</w:t>
            </w:r>
            <w:r>
              <w:rPr>
                <w:rFonts w:hint="default" w:ascii="Times New Roman" w:hAnsi="Times New Roman" w:eastAsia="宋体" w:cs="Times New Roman"/>
                <w:color w:val="auto"/>
                <w:sz w:val="21"/>
                <w:szCs w:val="21"/>
                <w:highlight w:val="none"/>
              </w:rPr>
              <w:t>处理</w:t>
            </w:r>
          </w:p>
        </w:tc>
        <w:tc>
          <w:tcPr>
            <w:tcW w:w="2616" w:type="dxa"/>
            <w:vAlign w:val="center"/>
          </w:tcPr>
          <w:p w14:paraId="4776D114">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淮南现代产业园污水处理站</w:t>
            </w:r>
            <w:r>
              <w:rPr>
                <w:rFonts w:hint="default" w:ascii="Times New Roman" w:hAnsi="Times New Roman" w:eastAsia="宋体" w:cs="Times New Roman"/>
                <w:color w:val="auto"/>
                <w:sz w:val="21"/>
                <w:szCs w:val="21"/>
                <w:highlight w:val="none"/>
              </w:rPr>
              <w:t>接管标准</w:t>
            </w:r>
          </w:p>
        </w:tc>
      </w:tr>
      <w:tr w14:paraId="5ACF0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722" w:type="dxa"/>
            <w:vAlign w:val="center"/>
          </w:tcPr>
          <w:p w14:paraId="2B990C8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50" w:type="dxa"/>
            <w:vAlign w:val="center"/>
          </w:tcPr>
          <w:p w14:paraId="2982C24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w:t>
            </w:r>
          </w:p>
        </w:tc>
        <w:tc>
          <w:tcPr>
            <w:tcW w:w="1405" w:type="dxa"/>
            <w:vAlign w:val="center"/>
          </w:tcPr>
          <w:p w14:paraId="1863135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257" w:type="dxa"/>
            <w:vAlign w:val="center"/>
          </w:tcPr>
          <w:p w14:paraId="2BE93D9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置于室内、构筑物隔声</w:t>
            </w:r>
          </w:p>
        </w:tc>
        <w:tc>
          <w:tcPr>
            <w:tcW w:w="2616" w:type="dxa"/>
            <w:vAlign w:val="center"/>
          </w:tcPr>
          <w:p w14:paraId="2DEC3C3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《工业企业厂界环境噪声排放标准》（GB12348-2008）中3类标准</w:t>
            </w:r>
          </w:p>
        </w:tc>
      </w:tr>
      <w:tr w14:paraId="11F8C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722" w:type="dxa"/>
            <w:vAlign w:val="center"/>
          </w:tcPr>
          <w:p w14:paraId="537042A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8028" w:type="dxa"/>
            <w:gridSpan w:val="4"/>
            <w:vAlign w:val="center"/>
          </w:tcPr>
          <w:p w14:paraId="14B8D60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B4BE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722" w:type="dxa"/>
            <w:vAlign w:val="center"/>
          </w:tcPr>
          <w:p w14:paraId="0EFB4B0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8028" w:type="dxa"/>
            <w:gridSpan w:val="4"/>
            <w:vAlign w:val="center"/>
          </w:tcPr>
          <w:p w14:paraId="59790F52">
            <w:pPr>
              <w:adjustRightInd w:val="0"/>
              <w:snapToGrid w:val="0"/>
              <w:spacing w:line="360" w:lineRule="auto"/>
              <w:ind w:firstLine="422"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危险废物：</w:t>
            </w:r>
            <w:r>
              <w:rPr>
                <w:rFonts w:hint="default" w:ascii="Times New Roman" w:hAnsi="Times New Roman" w:eastAsia="宋体" w:cs="Times New Roman"/>
                <w:color w:val="auto"/>
                <w:sz w:val="21"/>
                <w:szCs w:val="21"/>
                <w:highlight w:val="none"/>
              </w:rPr>
              <w:t>废胶桶、</w:t>
            </w: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rPr>
              <w:t>桶、</w:t>
            </w: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rPr>
              <w:t>、废活性炭由建设单位集中收集后，暂存于</w:t>
            </w:r>
            <w:r>
              <w:rPr>
                <w:rFonts w:hint="default" w:ascii="Times New Roman" w:hAnsi="Times New Roman" w:eastAsia="宋体" w:cs="Times New Roman"/>
                <w:color w:val="auto"/>
                <w:sz w:val="21"/>
                <w:szCs w:val="21"/>
                <w:highlight w:val="none"/>
                <w:lang w:val="en-US" w:eastAsia="zh-CN"/>
              </w:rPr>
              <w:t>厂房东北角</w:t>
            </w:r>
            <w:r>
              <w:rPr>
                <w:rFonts w:hint="default" w:ascii="Times New Roman" w:hAnsi="Times New Roman" w:eastAsia="宋体" w:cs="Times New Roman"/>
                <w:color w:val="auto"/>
                <w:sz w:val="21"/>
                <w:szCs w:val="21"/>
                <w:highlight w:val="none"/>
              </w:rPr>
              <w:t>的危废暂存间（</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）内，定期交由有资质单位处置。</w:t>
            </w:r>
          </w:p>
          <w:p w14:paraId="144DB234">
            <w:pPr>
              <w:adjustRightInd w:val="0"/>
              <w:snapToGrid w:val="0"/>
              <w:spacing w:line="360" w:lineRule="auto"/>
              <w:ind w:firstLine="422" w:firstLineChars="20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一般固废：</w:t>
            </w:r>
            <w:r>
              <w:rPr>
                <w:rFonts w:hint="default" w:ascii="Times New Roman" w:hAnsi="Times New Roman" w:eastAsia="宋体" w:cs="Times New Roman"/>
                <w:color w:val="auto"/>
                <w:sz w:val="21"/>
                <w:szCs w:val="21"/>
                <w:highlight w:val="none"/>
              </w:rPr>
              <w:t>废包装材料、</w:t>
            </w:r>
            <w:r>
              <w:rPr>
                <w:rFonts w:hint="default" w:ascii="Times New Roman" w:hAnsi="Times New Roman" w:eastAsia="宋体" w:cs="Times New Roman"/>
                <w:color w:val="auto"/>
                <w:sz w:val="21"/>
                <w:szCs w:val="21"/>
                <w:highlight w:val="none"/>
                <w:lang w:val="en-US" w:eastAsia="zh-CN"/>
              </w:rPr>
              <w:t>玻璃边角料、不合格品</w:t>
            </w:r>
            <w:r>
              <w:rPr>
                <w:rFonts w:hint="default" w:ascii="Times New Roman" w:hAnsi="Times New Roman" w:eastAsia="宋体" w:cs="Times New Roman"/>
                <w:color w:val="auto"/>
                <w:sz w:val="21"/>
                <w:szCs w:val="21"/>
                <w:highlight w:val="none"/>
              </w:rPr>
              <w:t>、玻璃沉渣、废PVB胶片、铝合金边角料</w:t>
            </w:r>
            <w:r>
              <w:rPr>
                <w:rFonts w:hint="default" w:ascii="Times New Roman" w:hAnsi="Times New Roman" w:eastAsia="宋体" w:cs="Times New Roman"/>
                <w:color w:val="auto"/>
                <w:sz w:val="21"/>
                <w:szCs w:val="21"/>
                <w:highlight w:val="none"/>
                <w:lang w:val="en-US" w:eastAsia="zh-CN"/>
              </w:rPr>
              <w:t>暂存于厂房东北角</w:t>
            </w:r>
            <w:r>
              <w:rPr>
                <w:rFonts w:hint="default" w:ascii="Times New Roman" w:hAnsi="Times New Roman"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一般固废间（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）后外售综合处置。</w:t>
            </w:r>
          </w:p>
          <w:p w14:paraId="03BA4092">
            <w:pPr>
              <w:adjustRightInd w:val="0"/>
              <w:snapToGrid w:val="0"/>
              <w:spacing w:line="360" w:lineRule="auto"/>
              <w:ind w:firstLine="422"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生活垃圾</w:t>
            </w:r>
            <w:r>
              <w:rPr>
                <w:rFonts w:hint="default" w:ascii="Times New Roman" w:hAnsi="Times New Roman" w:eastAsia="宋体" w:cs="Times New Roman"/>
                <w:color w:val="auto"/>
                <w:sz w:val="21"/>
                <w:szCs w:val="21"/>
                <w:highlight w:val="none"/>
              </w:rPr>
              <w:t>：交由当地环卫部门处理。</w:t>
            </w:r>
          </w:p>
        </w:tc>
      </w:tr>
      <w:tr w14:paraId="74ABD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22" w:type="dxa"/>
            <w:vAlign w:val="center"/>
          </w:tcPr>
          <w:p w14:paraId="49C53F5D">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8028" w:type="dxa"/>
            <w:gridSpan w:val="4"/>
            <w:vAlign w:val="center"/>
          </w:tcPr>
          <w:p w14:paraId="2F1CA6EE">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1、地下水污染控制措施</w:t>
            </w:r>
          </w:p>
          <w:p w14:paraId="793CD19F">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结合本项目污染源的特点，采取以下地下水污染防治措施：</w:t>
            </w:r>
          </w:p>
          <w:p w14:paraId="2D42C6CF">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①源头控制措施</w:t>
            </w:r>
          </w:p>
          <w:p w14:paraId="75D1CB63">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为了保护地下水环境，实施清洁生产和循环经济，减少污染物的排放量。从设计、管理各种工艺设备和物料运输管线上，防止和减少污染物的跑冒滴漏；合理布局，减少污染物泄漏途径。</w:t>
            </w:r>
          </w:p>
          <w:p w14:paraId="0C748D27">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②过程控制措施</w:t>
            </w:r>
          </w:p>
          <w:p w14:paraId="6E57D221">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分区防控。厂区要采取综合防渗措施，防止污染物下渗。</w:t>
            </w:r>
          </w:p>
          <w:p w14:paraId="3A252856">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对照《环境影响评价技术导则地下水环境》（HJ610-2016）的要求对厂区进行防渗区域划分，通常分为重点防渗区、一般防渗区和简单防渗区。</w:t>
            </w:r>
          </w:p>
          <w:p w14:paraId="3E8937E5">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2、土壤污染控制措施</w:t>
            </w:r>
          </w:p>
          <w:p w14:paraId="31321F10">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①加强对</w:t>
            </w:r>
            <w:r>
              <w:rPr>
                <w:rFonts w:hint="default" w:ascii="Times New Roman" w:hAnsi="Times New Roman" w:cs="Times New Roman"/>
                <w:color w:val="auto"/>
                <w:sz w:val="21"/>
                <w:szCs w:val="21"/>
                <w:highlight w:val="none"/>
                <w:lang w:eastAsia="zh-CN"/>
              </w:rPr>
              <w:t>安全生产责任制</w:t>
            </w:r>
            <w:r>
              <w:rPr>
                <w:rFonts w:hint="default" w:ascii="Times New Roman" w:hAnsi="Times New Roman" w:eastAsia="宋体" w:cs="Times New Roman"/>
                <w:color w:val="auto"/>
                <w:sz w:val="21"/>
                <w:szCs w:val="21"/>
                <w:highlight w:val="none"/>
              </w:rPr>
              <w:t>，及时检修废气处理装置运行情况，减少废气事故性排放。</w:t>
            </w:r>
          </w:p>
          <w:p w14:paraId="6ADE7E9A">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②一旦发生土壤污染事故，立即启动企业环境风险应急预案，采取应急措施控制土壤污染，并使污染得到治理。</w:t>
            </w:r>
          </w:p>
        </w:tc>
      </w:tr>
      <w:tr w14:paraId="51039C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722" w:type="dxa"/>
            <w:vAlign w:val="center"/>
          </w:tcPr>
          <w:p w14:paraId="7FBD16E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8028" w:type="dxa"/>
            <w:gridSpan w:val="4"/>
            <w:vAlign w:val="center"/>
          </w:tcPr>
          <w:p w14:paraId="142455F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FADC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22" w:type="dxa"/>
            <w:vAlign w:val="center"/>
          </w:tcPr>
          <w:p w14:paraId="1286BA6D">
            <w:pPr>
              <w:adjustRightInd w:val="0"/>
              <w:snapToGrid w:val="0"/>
              <w:spacing w:line="360"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环境风险防范措施</w:t>
            </w:r>
          </w:p>
        </w:tc>
        <w:tc>
          <w:tcPr>
            <w:tcW w:w="8028" w:type="dxa"/>
            <w:gridSpan w:val="4"/>
            <w:vAlign w:val="center"/>
          </w:tcPr>
          <w:p w14:paraId="55AAAC4E">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（1）加强宣传教育</w:t>
            </w:r>
          </w:p>
          <w:p w14:paraId="0FA11BD5">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实践证明，许多环境污染事故平时只要提高警惕，加强管理和防范是完全可以避免的。因此项目首要的是加强事故防范措施的宣传教育，防止风险事故的发生。此外应根据环评及实际生产情况对安全事故隐患进行调查登记，对企业的安全措施常抓不懈，将本项目风险事故的发生概率控制在最小范围内。</w:t>
            </w:r>
          </w:p>
          <w:p w14:paraId="32B578A5">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（2）总图布置和建筑安全防范措施</w:t>
            </w:r>
          </w:p>
          <w:p w14:paraId="76E2299B">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根据功能分区布置，充分考虑安全防护距离，厂房内实现消防和疏散通道以及人货分流等问题。在消防设计方面以“预防为主、防消结合”的原则，严格执行国家颁布的消防法规。完善厂区消防管理体系和消防人员的建制，配置对外联络的通讯设备和网站。</w:t>
            </w:r>
          </w:p>
          <w:p w14:paraId="5D630D14">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（3）贮运风险防范措施</w:t>
            </w:r>
          </w:p>
          <w:p w14:paraId="3BF99627">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运输危险品的车辆应有特殊标志机油装卸前后，必须对车辆和储存设备进行检查，一旦发现有破损现象，应及时进行维修，直至消除隐患为止。</w:t>
            </w:r>
          </w:p>
          <w:p w14:paraId="7102207F">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贮存机油的区域应有明显标志，入柜时应严格检验物品质量、数量、包装等情况，应采取适当的防护措施，定期检查，还应建立严格的收发管理制度。对于装卸直接对人体有毒害及腐蚀性的物品时，操作人员应穿戴相应的防护用品。油类化学品必须设置于阴凉、通风的库房，库房必须防渗、防漏、防雨；油类暂存区严禁火源进入；采用防爆型电气、电讯设施和通风设施；禁止使用易产生火花的机械设备和工具；应设置泄漏收集装置，当泄漏事故发生时，可以做到有效收集至桶内暂存，最终作为危险废物处理；配备干粉灭火器、黄土、惰性吸附剂等材料，防止发生事故时能对事故进行应急处理。</w:t>
            </w:r>
          </w:p>
          <w:p w14:paraId="79A5892A">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（4）火灾防范措施</w:t>
            </w:r>
          </w:p>
          <w:p w14:paraId="5E8C1926">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工业项目建设要求设计、建造和运行要科学规划、合理布局、严格执行防火安全设计规范，保证建造质量，严格安全生产制度、严格管理，提高操作人员的素质和水平，以减少事故的发生。一旦发生事故，则要根据具体情况采取应急措施，控制事故扩大；立即报警；采取遏制污染物进入环境的紧急措施等。</w:t>
            </w:r>
          </w:p>
        </w:tc>
      </w:tr>
      <w:tr w14:paraId="7F85A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22" w:type="dxa"/>
            <w:vAlign w:val="center"/>
          </w:tcPr>
          <w:p w14:paraId="07E972B7">
            <w:pPr>
              <w:adjustRightInd w:val="0"/>
              <w:snapToGrid w:val="0"/>
              <w:spacing w:line="360"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8028" w:type="dxa"/>
            <w:gridSpan w:val="4"/>
            <w:vAlign w:val="center"/>
          </w:tcPr>
          <w:p w14:paraId="21E27F52">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1、建设项目应按照《排污许可管理条例》（国务院令第736号）要求依法进行排污许可登记，未进行排污许可登记的，不得排放污染物。</w:t>
            </w:r>
          </w:p>
          <w:p w14:paraId="093B200B">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2、除需要取得排污许可证的水和大气污染防治设施外，其他环境保护设施的验收期限一般不超过3个月；需要对该类环境保护设施进行调试或者整改的，验收期限可以适当延期，但最长不超过12个月。</w:t>
            </w:r>
          </w:p>
          <w:p w14:paraId="57FBD897">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排污口规范化设置：根据国家环保总局《关于开展排污口规范化整治试点工作的意见》《关于加快排污口规范化整治试点工作的通知》和《安徽省污染源排放口规范化整治管理办法》精神，企业所有排放口（包括水、气、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对治理设施安装运行监控装置、排污口的规范化要符合有关要求。</w:t>
            </w:r>
          </w:p>
          <w:p w14:paraId="088C0716">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（1）合理设置排污口位置，排污口应按规范设计，并按《污染源监测技术规范》设置采样点</w:t>
            </w:r>
            <w:r>
              <w:rPr>
                <w:rFonts w:hint="default" w:ascii="Times New Roman" w:hAnsi="Times New Roman" w:eastAsia="宋体" w:cs="Times New Roman"/>
                <w:color w:val="auto"/>
                <w:sz w:val="21"/>
                <w:szCs w:val="21"/>
                <w:highlight w:val="none"/>
                <w:lang w:eastAsia="zh-CN"/>
              </w:rPr>
              <w:t>。</w:t>
            </w:r>
          </w:p>
          <w:p w14:paraId="6A327C1B">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（2）按照GB15562.1-1995及《环境保护图形标志固体废物贮存（处置）场》（GB15562.2-1995）及2023修改单的规定，规范化设置废气排气筒、噪声排放口、危险废物暂存间等。</w:t>
            </w:r>
          </w:p>
          <w:p w14:paraId="2DCFFB3D">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企业车间废气处理装置的排口分别设置平面固定式提示标志牌或竖立式固定式提示标志牌，平面固定式标志牌为0.48cm×0.3cm的长方形冷轧钢板，竖立式提示标志牌为0.42cm×0.42cm的正方形冷轧钢板，提示牌的背景和立柱为绿色，图案、边框、支架和辅助标志的文字为白色，文字字型为黑体，标志牌辅助标志内容包括排污单位名称、标志牌名称、排污口编号和主要污染物名称，并交付当地环保部门注明。</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477"/>
              <w:gridCol w:w="1416"/>
              <w:gridCol w:w="1326"/>
              <w:gridCol w:w="1259"/>
              <w:gridCol w:w="1297"/>
            </w:tblGrid>
            <w:tr w14:paraId="3867B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tcBorders>
                    <w:tl2br w:val="nil"/>
                    <w:tr2bl w:val="nil"/>
                  </w:tcBorders>
                  <w:vAlign w:val="center"/>
                </w:tcPr>
                <w:p w14:paraId="1EE62E6D">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973" w:type="pct"/>
                  <w:tcBorders>
                    <w:tl2br w:val="nil"/>
                    <w:tr2bl w:val="nil"/>
                  </w:tcBorders>
                  <w:vAlign w:val="center"/>
                </w:tcPr>
                <w:p w14:paraId="7F8FC836">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废水排放口</w:t>
                  </w:r>
                </w:p>
              </w:tc>
              <w:tc>
                <w:tcPr>
                  <w:tcW w:w="834" w:type="pct"/>
                  <w:tcBorders>
                    <w:tl2br w:val="nil"/>
                    <w:tr2bl w:val="nil"/>
                  </w:tcBorders>
                  <w:vAlign w:val="center"/>
                </w:tcPr>
                <w:p w14:paraId="4A00BDCC">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废气排放口</w:t>
                  </w:r>
                </w:p>
              </w:tc>
              <w:tc>
                <w:tcPr>
                  <w:tcW w:w="834" w:type="pct"/>
                  <w:tcBorders>
                    <w:tl2br w:val="nil"/>
                    <w:tr2bl w:val="nil"/>
                  </w:tcBorders>
                  <w:vAlign w:val="center"/>
                </w:tcPr>
                <w:p w14:paraId="197E1075">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噪声排放源</w:t>
                  </w:r>
                </w:p>
              </w:tc>
              <w:tc>
                <w:tcPr>
                  <w:tcW w:w="834" w:type="pct"/>
                  <w:tcBorders>
                    <w:tl2br w:val="nil"/>
                    <w:tr2bl w:val="nil"/>
                  </w:tcBorders>
                  <w:vAlign w:val="center"/>
                </w:tcPr>
                <w:p w14:paraId="144A07B6">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一般固体废物</w:t>
                  </w:r>
                </w:p>
              </w:tc>
              <w:tc>
                <w:tcPr>
                  <w:tcW w:w="832" w:type="pct"/>
                  <w:tcBorders>
                    <w:tl2br w:val="nil"/>
                    <w:tr2bl w:val="nil"/>
                  </w:tcBorders>
                  <w:vAlign w:val="center"/>
                </w:tcPr>
                <w:p w14:paraId="77169539">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r>
            <w:tr w14:paraId="01BD5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tcBorders>
                    <w:tl2br w:val="nil"/>
                    <w:tr2bl w:val="nil"/>
                  </w:tcBorders>
                  <w:vAlign w:val="center"/>
                </w:tcPr>
                <w:p w14:paraId="7CDEB3F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提示图形符号</w:t>
                  </w:r>
                </w:p>
              </w:tc>
              <w:tc>
                <w:tcPr>
                  <w:tcW w:w="973" w:type="pct"/>
                  <w:tcBorders>
                    <w:tl2br w:val="nil"/>
                    <w:tr2bl w:val="nil"/>
                  </w:tcBorders>
                  <w:vAlign w:val="center"/>
                </w:tcPr>
                <w:p w14:paraId="06AA1F9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628650" cy="815340"/>
                        <wp:effectExtent l="0" t="0" r="0" b="3810"/>
                        <wp:docPr id="1503484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84759"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41712" cy="832490"/>
                                </a:xfrm>
                                <a:prstGeom prst="rect">
                                  <a:avLst/>
                                </a:prstGeom>
                                <a:noFill/>
                                <a:ln>
                                  <a:noFill/>
                                </a:ln>
                              </pic:spPr>
                            </pic:pic>
                          </a:graphicData>
                        </a:graphic>
                      </wp:inline>
                    </w:drawing>
                  </w:r>
                </w:p>
              </w:tc>
              <w:tc>
                <w:tcPr>
                  <w:tcW w:w="834" w:type="pct"/>
                  <w:tcBorders>
                    <w:tl2br w:val="nil"/>
                    <w:tr2bl w:val="nil"/>
                  </w:tcBorders>
                  <w:vAlign w:val="center"/>
                </w:tcPr>
                <w:p w14:paraId="478A7AD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58190" cy="758190"/>
                        <wp:effectExtent l="0" t="0" r="3810" b="3810"/>
                        <wp:docPr id="7438090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09026" name="图片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58190" cy="758190"/>
                                </a:xfrm>
                                <a:prstGeom prst="rect">
                                  <a:avLst/>
                                </a:prstGeom>
                                <a:noFill/>
                                <a:ln>
                                  <a:noFill/>
                                </a:ln>
                              </pic:spPr>
                            </pic:pic>
                          </a:graphicData>
                        </a:graphic>
                      </wp:inline>
                    </w:drawing>
                  </w:r>
                </w:p>
              </w:tc>
              <w:tc>
                <w:tcPr>
                  <w:tcW w:w="834" w:type="pct"/>
                  <w:tcBorders>
                    <w:tl2br w:val="nil"/>
                    <w:tr2bl w:val="nil"/>
                  </w:tcBorders>
                  <w:vAlign w:val="center"/>
                </w:tcPr>
                <w:p w14:paraId="26981AB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04850" cy="704850"/>
                        <wp:effectExtent l="0" t="0" r="0" b="0"/>
                        <wp:docPr id="256208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8314" name="图片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5011" cy="705011"/>
                                </a:xfrm>
                                <a:prstGeom prst="rect">
                                  <a:avLst/>
                                </a:prstGeom>
                              </pic:spPr>
                            </pic:pic>
                          </a:graphicData>
                        </a:graphic>
                      </wp:inline>
                    </w:drawing>
                  </w:r>
                </w:p>
              </w:tc>
              <w:tc>
                <w:tcPr>
                  <w:tcW w:w="834" w:type="pct"/>
                  <w:tcBorders>
                    <w:tl2br w:val="nil"/>
                    <w:tr2bl w:val="nil"/>
                  </w:tcBorders>
                  <w:vAlign w:val="center"/>
                </w:tcPr>
                <w:p w14:paraId="3444F12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638175" cy="852170"/>
                        <wp:effectExtent l="0" t="0" r="0" b="5080"/>
                        <wp:docPr id="3846125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12590"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57112" cy="877962"/>
                                </a:xfrm>
                                <a:prstGeom prst="rect">
                                  <a:avLst/>
                                </a:prstGeom>
                                <a:noFill/>
                                <a:ln>
                                  <a:noFill/>
                                </a:ln>
                              </pic:spPr>
                            </pic:pic>
                          </a:graphicData>
                        </a:graphic>
                      </wp:inline>
                    </w:drawing>
                  </w:r>
                </w:p>
              </w:tc>
              <w:tc>
                <w:tcPr>
                  <w:tcW w:w="832" w:type="pct"/>
                  <w:tcBorders>
                    <w:tl2br w:val="nil"/>
                    <w:tr2bl w:val="nil"/>
                  </w:tcBorders>
                  <w:vAlign w:val="center"/>
                </w:tcPr>
                <w:p w14:paraId="53E48B3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685800" cy="685800"/>
                        <wp:effectExtent l="0" t="0" r="0" b="0"/>
                        <wp:docPr id="9377967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96789" name="图片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97" cy="685897"/>
                                </a:xfrm>
                                <a:prstGeom prst="rect">
                                  <a:avLst/>
                                </a:prstGeom>
                              </pic:spPr>
                            </pic:pic>
                          </a:graphicData>
                        </a:graphic>
                      </wp:inline>
                    </w:drawing>
                  </w:r>
                </w:p>
              </w:tc>
            </w:tr>
            <w:tr w14:paraId="2AAD9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tcBorders>
                    <w:tl2br w:val="nil"/>
                    <w:tr2bl w:val="nil"/>
                  </w:tcBorders>
                  <w:vAlign w:val="center"/>
                </w:tcPr>
                <w:p w14:paraId="58C72A3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w:t>
                  </w:r>
                </w:p>
              </w:tc>
              <w:tc>
                <w:tcPr>
                  <w:tcW w:w="973" w:type="pct"/>
                  <w:tcBorders>
                    <w:tl2br w:val="nil"/>
                    <w:tr2bl w:val="nil"/>
                  </w:tcBorders>
                  <w:vAlign w:val="center"/>
                </w:tcPr>
                <w:p w14:paraId="6BACA4D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表示污水向水体排放</w:t>
                  </w:r>
                </w:p>
              </w:tc>
              <w:tc>
                <w:tcPr>
                  <w:tcW w:w="834" w:type="pct"/>
                  <w:tcBorders>
                    <w:tl2br w:val="nil"/>
                    <w:tr2bl w:val="nil"/>
                  </w:tcBorders>
                  <w:vAlign w:val="center"/>
                </w:tcPr>
                <w:p w14:paraId="593D3A9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表示废气向大气环境排放</w:t>
                  </w:r>
                </w:p>
              </w:tc>
              <w:tc>
                <w:tcPr>
                  <w:tcW w:w="834" w:type="pct"/>
                  <w:tcBorders>
                    <w:tl2br w:val="nil"/>
                    <w:tr2bl w:val="nil"/>
                  </w:tcBorders>
                  <w:vAlign w:val="center"/>
                </w:tcPr>
                <w:p w14:paraId="1CFE061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表示噪声向外环境排放</w:t>
                  </w:r>
                </w:p>
              </w:tc>
              <w:tc>
                <w:tcPr>
                  <w:tcW w:w="834" w:type="pct"/>
                  <w:tcBorders>
                    <w:tl2br w:val="nil"/>
                    <w:tr2bl w:val="nil"/>
                  </w:tcBorders>
                  <w:vAlign w:val="center"/>
                </w:tcPr>
                <w:p w14:paraId="583C08D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表示一般固体贮存、处置场</w:t>
                  </w:r>
                </w:p>
              </w:tc>
              <w:tc>
                <w:tcPr>
                  <w:tcW w:w="832" w:type="pct"/>
                  <w:tcBorders>
                    <w:tl2br w:val="nil"/>
                    <w:tr2bl w:val="nil"/>
                  </w:tcBorders>
                  <w:vAlign w:val="center"/>
                </w:tcPr>
                <w:p w14:paraId="122B858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表示危险废物贮存、处置场</w:t>
                  </w:r>
                </w:p>
              </w:tc>
            </w:tr>
          </w:tbl>
          <w:p w14:paraId="6002ABCA">
            <w:pPr>
              <w:adjustRightInd w:val="0"/>
              <w:snapToGrid w:val="0"/>
              <w:spacing w:after="120" w:afterLines="5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图5-1  各排污口（源）标志牌设置示意图</w:t>
            </w:r>
          </w:p>
          <w:p w14:paraId="6185523A">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（3）按照要求填写由原国家环保部统一印制的《中华人民共和国规范化排污口标志登记证》</w:t>
            </w:r>
          </w:p>
          <w:p w14:paraId="52B05FD9">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（4）规范化设置的排污口有关设置属于环境保护设施，应将其纳入本单位设备管理，并选派具有专业知识的专职或兼职人员对排污口进行管理。</w:t>
            </w:r>
          </w:p>
          <w:p w14:paraId="5359ED6F">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另外，项目建成投入运行后，应向环保主管部门进行排污申报。</w:t>
            </w:r>
          </w:p>
          <w:p w14:paraId="3BF6A0DA">
            <w:pPr>
              <w:adjustRightInd w:val="0"/>
              <w:snapToGrid w:val="0"/>
              <w:spacing w:line="360" w:lineRule="auto"/>
              <w:rPr>
                <w:rFonts w:hint="default" w:ascii="Times New Roman" w:hAnsi="Times New Roman" w:eastAsia="宋体" w:cs="Times New Roman"/>
                <w:color w:val="auto"/>
                <w:sz w:val="21"/>
                <w:szCs w:val="21"/>
                <w:highlight w:val="none"/>
              </w:rPr>
            </w:pPr>
          </w:p>
        </w:tc>
      </w:tr>
    </w:tbl>
    <w:p w14:paraId="45CE33CB">
      <w:pPr>
        <w:pStyle w:val="23"/>
        <w:jc w:val="center"/>
        <w:outlineLvl w:val="0"/>
        <w:rPr>
          <w:rFonts w:hint="default" w:ascii="Times New Roman" w:hAnsi="Times New Roman"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cs="Times New Roman"/>
          <w:b/>
          <w:bCs/>
          <w:snapToGrid w:val="0"/>
          <w:color w:val="auto"/>
          <w:sz w:val="30"/>
          <w:szCs w:val="30"/>
          <w:highlight w:val="none"/>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EEE1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81" w:hRule="atLeast"/>
          <w:jc w:val="center"/>
        </w:trPr>
        <w:tc>
          <w:tcPr>
            <w:tcW w:w="8865" w:type="dxa"/>
          </w:tcPr>
          <w:p w14:paraId="12A5D52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项目的建设单位在切实落实各项污染防治措施，严格执行国家和地方各项环保</w:t>
            </w:r>
            <w:r>
              <w:rPr>
                <w:rFonts w:hint="default" w:ascii="Times New Roman" w:hAnsi="Times New Roman" w:cs="Times New Roman"/>
                <w:color w:val="auto"/>
                <w:sz w:val="24"/>
                <w:highlight w:val="none"/>
                <w:lang w:eastAsia="zh-CN"/>
              </w:rPr>
              <w:t>法律法规</w:t>
            </w:r>
            <w:r>
              <w:rPr>
                <w:rFonts w:hint="default" w:ascii="Times New Roman" w:hAnsi="Times New Roman" w:cs="Times New Roman"/>
                <w:color w:val="auto"/>
                <w:sz w:val="24"/>
                <w:highlight w:val="none"/>
              </w:rPr>
              <w:t>和标准的前提下，从环境影响角度分析，</w:t>
            </w:r>
            <w:r>
              <w:rPr>
                <w:rFonts w:hint="default" w:ascii="Times New Roman" w:hAnsi="Times New Roman" w:cs="Times New Roman"/>
                <w:color w:val="auto"/>
                <w:sz w:val="24"/>
                <w:highlight w:val="none"/>
                <w:lang w:eastAsia="zh-CN"/>
              </w:rPr>
              <w:t>安徽钱进智能制造有限公司金祥玻璃生产线项目</w:t>
            </w:r>
            <w:r>
              <w:rPr>
                <w:rFonts w:hint="default" w:ascii="Times New Roman" w:hAnsi="Times New Roman" w:cs="Times New Roman"/>
                <w:color w:val="auto"/>
                <w:sz w:val="24"/>
                <w:highlight w:val="none"/>
              </w:rPr>
              <w:t>是可行的。</w:t>
            </w:r>
          </w:p>
        </w:tc>
      </w:tr>
    </w:tbl>
    <w:p w14:paraId="6A78A4BC">
      <w:pPr>
        <w:rPr>
          <w:rFonts w:hint="default" w:ascii="Times New Roman" w:hAnsi="Times New Roman" w:cs="Times New Roman"/>
          <w:color w:val="auto"/>
          <w:highlight w:val="none"/>
        </w:rPr>
        <w:sectPr>
          <w:pgSz w:w="11906" w:h="16838"/>
          <w:pgMar w:top="1440" w:right="1080" w:bottom="1440" w:left="1080"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5ADD21B8">
      <w:pPr>
        <w:pStyle w:val="23"/>
        <w:adjustRightInd w:val="0"/>
        <w:snapToGrid w:val="0"/>
        <w:spacing w:before="0" w:beforeAutospacing="0" w:after="0" w:afterAutospacing="0" w:line="360" w:lineRule="auto"/>
        <w:outlineLvl w:val="0"/>
        <w:rPr>
          <w:rFonts w:hint="default" w:ascii="Times New Roman" w:hAnsi="Times New Roman" w:cs="Times New Roman"/>
          <w:snapToGrid w:val="0"/>
          <w:color w:val="auto"/>
          <w:sz w:val="32"/>
          <w:szCs w:val="32"/>
          <w:highlight w:val="none"/>
        </w:rPr>
      </w:pPr>
      <w:r>
        <w:rPr>
          <w:rFonts w:hint="default" w:ascii="Times New Roman" w:hAnsi="Times New Roman" w:cs="Times New Roman"/>
          <w:snapToGrid w:val="0"/>
          <w:color w:val="auto"/>
          <w:sz w:val="32"/>
          <w:szCs w:val="32"/>
          <w:highlight w:val="none"/>
        </w:rPr>
        <w:t>附表</w:t>
      </w:r>
    </w:p>
    <w:p w14:paraId="70637718">
      <w:pPr>
        <w:pStyle w:val="23"/>
        <w:adjustRightInd w:val="0"/>
        <w:snapToGrid w:val="0"/>
        <w:spacing w:before="0" w:beforeAutospacing="0" w:after="0" w:afterAutospacing="0"/>
        <w:jc w:val="center"/>
        <w:outlineLvl w:val="0"/>
        <w:rPr>
          <w:rFonts w:hint="default" w:ascii="Times New Roman" w:hAnsi="Times New Roman" w:cs="Times New Roman"/>
          <w:snapToGrid w:val="0"/>
          <w:color w:val="auto"/>
          <w:sz w:val="38"/>
          <w:szCs w:val="38"/>
          <w:highlight w:val="none"/>
        </w:rPr>
      </w:pPr>
      <w:r>
        <w:rPr>
          <w:rFonts w:hint="default" w:ascii="Times New Roman" w:hAnsi="Times New Roman" w:cs="Times New Roman"/>
          <w:snapToGrid w:val="0"/>
          <w:color w:val="auto"/>
          <w:sz w:val="38"/>
          <w:szCs w:val="38"/>
          <w:highlight w:val="none"/>
        </w:rPr>
        <w:t>建设项目污染物排放量汇总表</w:t>
      </w:r>
    </w:p>
    <w:tbl>
      <w:tblPr>
        <w:tblStyle w:val="2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742"/>
        <w:gridCol w:w="1230"/>
        <w:gridCol w:w="1431"/>
        <w:gridCol w:w="1245"/>
        <w:gridCol w:w="1560"/>
        <w:gridCol w:w="1680"/>
        <w:gridCol w:w="1408"/>
        <w:gridCol w:w="1742"/>
        <w:gridCol w:w="1445"/>
      </w:tblGrid>
      <w:tr w14:paraId="608DE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46" w:type="pct"/>
            <w:tcBorders>
              <w:tl2br w:val="single" w:color="auto" w:sz="4" w:space="0"/>
            </w:tcBorders>
            <w:tcMar>
              <w:left w:w="28" w:type="dxa"/>
              <w:right w:w="28" w:type="dxa"/>
            </w:tcMar>
            <w:vAlign w:val="center"/>
          </w:tcPr>
          <w:p w14:paraId="32DCB91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right"/>
              <w:textAlignment w:val="auto"/>
              <w:rPr>
                <w:rFonts w:hint="default" w:ascii="Times New Roman" w:hAnsi="Times New Roman" w:cs="Times New Roman"/>
                <w:b/>
                <w:bCs w:val="0"/>
                <w:snapToGrid w:val="0"/>
                <w:color w:val="auto"/>
                <w:spacing w:val="-6"/>
                <w:kern w:val="21"/>
                <w:sz w:val="21"/>
                <w:szCs w:val="21"/>
                <w:highlight w:val="none"/>
              </w:rPr>
            </w:pPr>
            <w:r>
              <w:rPr>
                <w:rFonts w:hint="default" w:ascii="Times New Roman" w:hAnsi="Times New Roman" w:cs="Times New Roman"/>
                <w:b/>
                <w:bCs w:val="0"/>
                <w:snapToGrid w:val="0"/>
                <w:color w:val="auto"/>
                <w:spacing w:val="-6"/>
                <w:kern w:val="21"/>
                <w:sz w:val="21"/>
                <w:szCs w:val="21"/>
                <w:highlight w:val="none"/>
              </w:rPr>
              <w:t>项目</w:t>
            </w:r>
          </w:p>
          <w:p w14:paraId="58B5C4C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jc w:val="left"/>
              <w:textAlignment w:val="auto"/>
              <w:rPr>
                <w:rFonts w:hint="default" w:ascii="Times New Roman" w:hAnsi="Times New Roman" w:cs="Times New Roman"/>
                <w:b/>
                <w:bCs w:val="0"/>
                <w:snapToGrid w:val="0"/>
                <w:color w:val="auto"/>
                <w:spacing w:val="-6"/>
                <w:kern w:val="21"/>
                <w:sz w:val="21"/>
                <w:szCs w:val="21"/>
                <w:highlight w:val="none"/>
              </w:rPr>
            </w:pPr>
            <w:r>
              <w:rPr>
                <w:rFonts w:hint="default" w:ascii="Times New Roman" w:hAnsi="Times New Roman" w:cs="Times New Roman"/>
                <w:b/>
                <w:bCs w:val="0"/>
                <w:snapToGrid w:val="0"/>
                <w:color w:val="auto"/>
                <w:spacing w:val="-6"/>
                <w:kern w:val="21"/>
                <w:sz w:val="21"/>
                <w:szCs w:val="21"/>
                <w:highlight w:val="none"/>
              </w:rPr>
              <w:t>分类</w:t>
            </w:r>
          </w:p>
        </w:tc>
        <w:tc>
          <w:tcPr>
            <w:tcW w:w="703" w:type="pct"/>
            <w:gridSpan w:val="2"/>
            <w:tcMar>
              <w:left w:w="28" w:type="dxa"/>
              <w:right w:w="28" w:type="dxa"/>
            </w:tcMar>
            <w:vAlign w:val="center"/>
          </w:tcPr>
          <w:p w14:paraId="504AF82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bCs w:val="0"/>
                <w:color w:val="auto"/>
                <w:kern w:val="2"/>
                <w:sz w:val="21"/>
                <w:szCs w:val="21"/>
                <w:highlight w:val="none"/>
              </w:rPr>
            </w:pPr>
            <w:r>
              <w:rPr>
                <w:rFonts w:hint="default" w:ascii="Times New Roman" w:hAnsi="Times New Roman" w:cs="Times New Roman"/>
                <w:b/>
                <w:bCs w:val="0"/>
                <w:color w:val="auto"/>
                <w:kern w:val="2"/>
                <w:sz w:val="21"/>
                <w:szCs w:val="21"/>
                <w:highlight w:val="none"/>
              </w:rPr>
              <w:t>污染物名称</w:t>
            </w:r>
          </w:p>
        </w:tc>
        <w:tc>
          <w:tcPr>
            <w:tcW w:w="510" w:type="pct"/>
            <w:tcMar>
              <w:left w:w="28" w:type="dxa"/>
              <w:right w:w="28" w:type="dxa"/>
            </w:tcMar>
            <w:vAlign w:val="center"/>
          </w:tcPr>
          <w:p w14:paraId="51C0687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bCs w:val="0"/>
                <w:color w:val="auto"/>
                <w:kern w:val="2"/>
                <w:sz w:val="21"/>
                <w:szCs w:val="21"/>
                <w:highlight w:val="none"/>
              </w:rPr>
            </w:pPr>
            <w:r>
              <w:rPr>
                <w:rFonts w:hint="default" w:ascii="Times New Roman" w:hAnsi="Times New Roman" w:cs="Times New Roman"/>
                <w:b/>
                <w:bCs w:val="0"/>
                <w:color w:val="auto"/>
                <w:kern w:val="2"/>
                <w:sz w:val="21"/>
                <w:szCs w:val="21"/>
                <w:highlight w:val="none"/>
              </w:rPr>
              <w:t>现有工程排放量（固体废物产生量）</w:t>
            </w:r>
            <w:r>
              <w:rPr>
                <w:rFonts w:hint="default" w:ascii="Times New Roman" w:hAnsi="Times New Roman" w:cs="Times New Roman"/>
                <w:b/>
                <w:bCs w:val="0"/>
                <w:color w:val="auto"/>
                <w:kern w:val="2"/>
                <w:sz w:val="21"/>
                <w:szCs w:val="21"/>
                <w:highlight w:val="none"/>
              </w:rPr>
              <w:fldChar w:fldCharType="begin"/>
            </w:r>
            <w:r>
              <w:rPr>
                <w:rFonts w:hint="default" w:ascii="Times New Roman" w:hAnsi="Times New Roman" w:cs="Times New Roman"/>
                <w:b/>
                <w:bCs w:val="0"/>
                <w:color w:val="auto"/>
                <w:kern w:val="2"/>
                <w:sz w:val="21"/>
                <w:szCs w:val="21"/>
                <w:highlight w:val="none"/>
              </w:rPr>
              <w:instrText xml:space="preserve"> = 1 \* GB3 \* MERGEFORMAT </w:instrText>
            </w:r>
            <w:r>
              <w:rPr>
                <w:rFonts w:hint="default" w:ascii="Times New Roman" w:hAnsi="Times New Roman" w:cs="Times New Roman"/>
                <w:b/>
                <w:bCs w:val="0"/>
                <w:color w:val="auto"/>
                <w:kern w:val="2"/>
                <w:sz w:val="21"/>
                <w:szCs w:val="21"/>
                <w:highlight w:val="none"/>
              </w:rPr>
              <w:fldChar w:fldCharType="separate"/>
            </w:r>
            <w:r>
              <w:rPr>
                <w:rFonts w:hint="default" w:ascii="Times New Roman" w:hAnsi="Times New Roman" w:cs="Times New Roman"/>
                <w:b/>
                <w:bCs w:val="0"/>
                <w:color w:val="auto"/>
                <w:kern w:val="2"/>
                <w:sz w:val="21"/>
                <w:szCs w:val="21"/>
                <w:highlight w:val="none"/>
              </w:rPr>
              <w:t>①</w:t>
            </w:r>
            <w:r>
              <w:rPr>
                <w:rFonts w:hint="default" w:ascii="Times New Roman" w:hAnsi="Times New Roman" w:cs="Times New Roman"/>
                <w:b/>
                <w:bCs w:val="0"/>
                <w:color w:val="auto"/>
                <w:kern w:val="2"/>
                <w:sz w:val="21"/>
                <w:szCs w:val="21"/>
                <w:highlight w:val="none"/>
              </w:rPr>
              <w:fldChar w:fldCharType="end"/>
            </w:r>
          </w:p>
        </w:tc>
        <w:tc>
          <w:tcPr>
            <w:tcW w:w="444" w:type="pct"/>
            <w:tcMar>
              <w:left w:w="28" w:type="dxa"/>
              <w:right w:w="28" w:type="dxa"/>
            </w:tcMar>
            <w:vAlign w:val="center"/>
          </w:tcPr>
          <w:p w14:paraId="709C517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bCs w:val="0"/>
                <w:color w:val="auto"/>
                <w:kern w:val="2"/>
                <w:sz w:val="21"/>
                <w:szCs w:val="21"/>
                <w:highlight w:val="none"/>
              </w:rPr>
            </w:pPr>
            <w:r>
              <w:rPr>
                <w:rFonts w:hint="default" w:ascii="Times New Roman" w:hAnsi="Times New Roman" w:cs="Times New Roman"/>
                <w:b/>
                <w:bCs w:val="0"/>
                <w:color w:val="auto"/>
                <w:kern w:val="2"/>
                <w:sz w:val="21"/>
                <w:szCs w:val="21"/>
                <w:highlight w:val="none"/>
              </w:rPr>
              <w:t>现有工程许可排放量</w:t>
            </w:r>
            <w:r>
              <w:rPr>
                <w:rFonts w:hint="default" w:ascii="Times New Roman" w:hAnsi="Times New Roman" w:cs="Times New Roman"/>
                <w:b/>
                <w:bCs w:val="0"/>
                <w:color w:val="auto"/>
                <w:kern w:val="2"/>
                <w:sz w:val="21"/>
                <w:szCs w:val="21"/>
                <w:highlight w:val="none"/>
              </w:rPr>
              <w:fldChar w:fldCharType="begin"/>
            </w:r>
            <w:r>
              <w:rPr>
                <w:rFonts w:hint="default" w:ascii="Times New Roman" w:hAnsi="Times New Roman" w:cs="Times New Roman"/>
                <w:b/>
                <w:bCs w:val="0"/>
                <w:color w:val="auto"/>
                <w:kern w:val="2"/>
                <w:sz w:val="21"/>
                <w:szCs w:val="21"/>
                <w:highlight w:val="none"/>
              </w:rPr>
              <w:instrText xml:space="preserve"> = 2 \* GB3 \* MERGEFORMAT </w:instrText>
            </w:r>
            <w:r>
              <w:rPr>
                <w:rFonts w:hint="default" w:ascii="Times New Roman" w:hAnsi="Times New Roman" w:cs="Times New Roman"/>
                <w:b/>
                <w:bCs w:val="0"/>
                <w:color w:val="auto"/>
                <w:kern w:val="2"/>
                <w:sz w:val="21"/>
                <w:szCs w:val="21"/>
                <w:highlight w:val="none"/>
              </w:rPr>
              <w:fldChar w:fldCharType="separate"/>
            </w:r>
            <w:r>
              <w:rPr>
                <w:rFonts w:hint="default" w:ascii="Times New Roman" w:hAnsi="Times New Roman" w:cs="Times New Roman"/>
                <w:b/>
                <w:bCs w:val="0"/>
                <w:color w:val="auto"/>
                <w:kern w:val="2"/>
                <w:sz w:val="21"/>
                <w:szCs w:val="21"/>
                <w:highlight w:val="none"/>
              </w:rPr>
              <w:t>②</w:t>
            </w:r>
            <w:r>
              <w:rPr>
                <w:rFonts w:hint="default" w:ascii="Times New Roman" w:hAnsi="Times New Roman" w:cs="Times New Roman"/>
                <w:b/>
                <w:bCs w:val="0"/>
                <w:color w:val="auto"/>
                <w:kern w:val="2"/>
                <w:sz w:val="21"/>
                <w:szCs w:val="21"/>
                <w:highlight w:val="none"/>
              </w:rPr>
              <w:fldChar w:fldCharType="end"/>
            </w:r>
          </w:p>
        </w:tc>
        <w:tc>
          <w:tcPr>
            <w:tcW w:w="556" w:type="pct"/>
            <w:tcMar>
              <w:left w:w="28" w:type="dxa"/>
              <w:right w:w="28" w:type="dxa"/>
            </w:tcMar>
            <w:vAlign w:val="center"/>
          </w:tcPr>
          <w:p w14:paraId="2CE6E2A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bCs w:val="0"/>
                <w:color w:val="auto"/>
                <w:kern w:val="2"/>
                <w:sz w:val="21"/>
                <w:szCs w:val="21"/>
                <w:highlight w:val="none"/>
              </w:rPr>
            </w:pPr>
            <w:r>
              <w:rPr>
                <w:rFonts w:hint="default" w:ascii="Times New Roman" w:hAnsi="Times New Roman" w:cs="Times New Roman"/>
                <w:b/>
                <w:bCs w:val="0"/>
                <w:color w:val="auto"/>
                <w:kern w:val="2"/>
                <w:sz w:val="21"/>
                <w:szCs w:val="21"/>
                <w:highlight w:val="none"/>
              </w:rPr>
              <w:t>在建工程排放量（固体废物产生量）</w:t>
            </w:r>
            <w:r>
              <w:rPr>
                <w:rFonts w:hint="default" w:ascii="Times New Roman" w:hAnsi="Times New Roman" w:cs="Times New Roman"/>
                <w:b/>
                <w:bCs w:val="0"/>
                <w:color w:val="auto"/>
                <w:kern w:val="2"/>
                <w:sz w:val="21"/>
                <w:szCs w:val="21"/>
                <w:highlight w:val="none"/>
              </w:rPr>
              <w:fldChar w:fldCharType="begin"/>
            </w:r>
            <w:r>
              <w:rPr>
                <w:rFonts w:hint="default" w:ascii="Times New Roman" w:hAnsi="Times New Roman" w:cs="Times New Roman"/>
                <w:b/>
                <w:bCs w:val="0"/>
                <w:color w:val="auto"/>
                <w:kern w:val="2"/>
                <w:sz w:val="21"/>
                <w:szCs w:val="21"/>
                <w:highlight w:val="none"/>
              </w:rPr>
              <w:instrText xml:space="preserve"> = 3 \* GB3 \* MERGEFORMAT </w:instrText>
            </w:r>
            <w:r>
              <w:rPr>
                <w:rFonts w:hint="default" w:ascii="Times New Roman" w:hAnsi="Times New Roman" w:cs="Times New Roman"/>
                <w:b/>
                <w:bCs w:val="0"/>
                <w:color w:val="auto"/>
                <w:kern w:val="2"/>
                <w:sz w:val="21"/>
                <w:szCs w:val="21"/>
                <w:highlight w:val="none"/>
              </w:rPr>
              <w:fldChar w:fldCharType="separate"/>
            </w:r>
            <w:r>
              <w:rPr>
                <w:rFonts w:hint="default" w:ascii="Times New Roman" w:hAnsi="Times New Roman" w:cs="Times New Roman"/>
                <w:b/>
                <w:bCs w:val="0"/>
                <w:color w:val="auto"/>
                <w:kern w:val="2"/>
                <w:sz w:val="21"/>
                <w:szCs w:val="21"/>
                <w:highlight w:val="none"/>
              </w:rPr>
              <w:t>③</w:t>
            </w:r>
            <w:r>
              <w:rPr>
                <w:rFonts w:hint="default" w:ascii="Times New Roman" w:hAnsi="Times New Roman" w:cs="Times New Roman"/>
                <w:b/>
                <w:bCs w:val="0"/>
                <w:color w:val="auto"/>
                <w:kern w:val="2"/>
                <w:sz w:val="21"/>
                <w:szCs w:val="21"/>
                <w:highlight w:val="none"/>
              </w:rPr>
              <w:fldChar w:fldCharType="end"/>
            </w:r>
          </w:p>
        </w:tc>
        <w:tc>
          <w:tcPr>
            <w:tcW w:w="599" w:type="pct"/>
            <w:tcMar>
              <w:left w:w="28" w:type="dxa"/>
              <w:right w:w="28" w:type="dxa"/>
            </w:tcMar>
            <w:vAlign w:val="center"/>
          </w:tcPr>
          <w:p w14:paraId="77E02DA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bCs w:val="0"/>
                <w:color w:val="auto"/>
                <w:kern w:val="2"/>
                <w:sz w:val="21"/>
                <w:szCs w:val="21"/>
                <w:highlight w:val="none"/>
              </w:rPr>
            </w:pPr>
            <w:r>
              <w:rPr>
                <w:rFonts w:hint="default" w:ascii="Times New Roman" w:hAnsi="Times New Roman" w:cs="Times New Roman"/>
                <w:b/>
                <w:bCs w:val="0"/>
                <w:color w:val="auto"/>
                <w:kern w:val="2"/>
                <w:sz w:val="21"/>
                <w:szCs w:val="21"/>
                <w:highlight w:val="none"/>
              </w:rPr>
              <w:t>本项目排放量（固体废物产生量）</w:t>
            </w:r>
            <w:r>
              <w:rPr>
                <w:rFonts w:hint="default" w:ascii="Times New Roman" w:hAnsi="Times New Roman" w:cs="Times New Roman"/>
                <w:b/>
                <w:bCs w:val="0"/>
                <w:color w:val="auto"/>
                <w:kern w:val="2"/>
                <w:sz w:val="21"/>
                <w:szCs w:val="21"/>
                <w:highlight w:val="none"/>
              </w:rPr>
              <w:fldChar w:fldCharType="begin"/>
            </w:r>
            <w:r>
              <w:rPr>
                <w:rFonts w:hint="default" w:ascii="Times New Roman" w:hAnsi="Times New Roman" w:cs="Times New Roman"/>
                <w:b/>
                <w:bCs w:val="0"/>
                <w:color w:val="auto"/>
                <w:kern w:val="2"/>
                <w:sz w:val="21"/>
                <w:szCs w:val="21"/>
                <w:highlight w:val="none"/>
              </w:rPr>
              <w:instrText xml:space="preserve"> = 4 \* GB3 \* MERGEFORMAT </w:instrText>
            </w:r>
            <w:r>
              <w:rPr>
                <w:rFonts w:hint="default" w:ascii="Times New Roman" w:hAnsi="Times New Roman" w:cs="Times New Roman"/>
                <w:b/>
                <w:bCs w:val="0"/>
                <w:color w:val="auto"/>
                <w:kern w:val="2"/>
                <w:sz w:val="21"/>
                <w:szCs w:val="21"/>
                <w:highlight w:val="none"/>
              </w:rPr>
              <w:fldChar w:fldCharType="separate"/>
            </w:r>
            <w:r>
              <w:rPr>
                <w:rFonts w:hint="default" w:ascii="Times New Roman" w:hAnsi="Times New Roman" w:cs="Times New Roman"/>
                <w:b/>
                <w:bCs w:val="0"/>
                <w:color w:val="auto"/>
                <w:kern w:val="2"/>
                <w:sz w:val="21"/>
                <w:szCs w:val="21"/>
                <w:highlight w:val="none"/>
              </w:rPr>
              <w:t>④</w:t>
            </w:r>
            <w:r>
              <w:rPr>
                <w:rFonts w:hint="default" w:ascii="Times New Roman" w:hAnsi="Times New Roman" w:cs="Times New Roman"/>
                <w:b/>
                <w:bCs w:val="0"/>
                <w:color w:val="auto"/>
                <w:kern w:val="2"/>
                <w:sz w:val="21"/>
                <w:szCs w:val="21"/>
                <w:highlight w:val="none"/>
              </w:rPr>
              <w:fldChar w:fldCharType="end"/>
            </w:r>
          </w:p>
        </w:tc>
        <w:tc>
          <w:tcPr>
            <w:tcW w:w="502" w:type="pct"/>
            <w:tcMar>
              <w:left w:w="28" w:type="dxa"/>
              <w:right w:w="28" w:type="dxa"/>
            </w:tcMar>
            <w:vAlign w:val="center"/>
          </w:tcPr>
          <w:p w14:paraId="5DA683D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bCs w:val="0"/>
                <w:color w:val="auto"/>
                <w:kern w:val="2"/>
                <w:sz w:val="21"/>
                <w:szCs w:val="21"/>
                <w:highlight w:val="none"/>
              </w:rPr>
            </w:pPr>
            <w:r>
              <w:rPr>
                <w:rFonts w:hint="default" w:ascii="Times New Roman" w:hAnsi="Times New Roman" w:cs="Times New Roman"/>
                <w:b/>
                <w:bCs w:val="0"/>
                <w:color w:val="auto"/>
                <w:kern w:val="2"/>
                <w:sz w:val="21"/>
                <w:szCs w:val="21"/>
                <w:highlight w:val="none"/>
              </w:rPr>
              <w:t>以新带老削减量（新建项目不填）</w:t>
            </w:r>
            <w:r>
              <w:rPr>
                <w:rFonts w:hint="default" w:ascii="Times New Roman" w:hAnsi="Times New Roman" w:cs="Times New Roman"/>
                <w:b/>
                <w:bCs w:val="0"/>
                <w:color w:val="auto"/>
                <w:kern w:val="2"/>
                <w:sz w:val="21"/>
                <w:szCs w:val="21"/>
                <w:highlight w:val="none"/>
              </w:rPr>
              <w:fldChar w:fldCharType="begin"/>
            </w:r>
            <w:r>
              <w:rPr>
                <w:rFonts w:hint="default" w:ascii="Times New Roman" w:hAnsi="Times New Roman" w:cs="Times New Roman"/>
                <w:b/>
                <w:bCs w:val="0"/>
                <w:color w:val="auto"/>
                <w:kern w:val="2"/>
                <w:sz w:val="21"/>
                <w:szCs w:val="21"/>
                <w:highlight w:val="none"/>
              </w:rPr>
              <w:instrText xml:space="preserve"> = 5 \* GB3 \* MERGEFORMAT </w:instrText>
            </w:r>
            <w:r>
              <w:rPr>
                <w:rFonts w:hint="default" w:ascii="Times New Roman" w:hAnsi="Times New Roman" w:cs="Times New Roman"/>
                <w:b/>
                <w:bCs w:val="0"/>
                <w:color w:val="auto"/>
                <w:kern w:val="2"/>
                <w:sz w:val="21"/>
                <w:szCs w:val="21"/>
                <w:highlight w:val="none"/>
              </w:rPr>
              <w:fldChar w:fldCharType="separate"/>
            </w:r>
            <w:r>
              <w:rPr>
                <w:rFonts w:hint="default" w:ascii="Times New Roman" w:hAnsi="Times New Roman" w:cs="Times New Roman"/>
                <w:b/>
                <w:bCs w:val="0"/>
                <w:color w:val="auto"/>
                <w:kern w:val="2"/>
                <w:sz w:val="21"/>
                <w:szCs w:val="21"/>
                <w:highlight w:val="none"/>
              </w:rPr>
              <w:t>⑤</w:t>
            </w:r>
            <w:r>
              <w:rPr>
                <w:rFonts w:hint="default" w:ascii="Times New Roman" w:hAnsi="Times New Roman" w:cs="Times New Roman"/>
                <w:b/>
                <w:bCs w:val="0"/>
                <w:color w:val="auto"/>
                <w:kern w:val="2"/>
                <w:sz w:val="21"/>
                <w:szCs w:val="21"/>
                <w:highlight w:val="none"/>
              </w:rPr>
              <w:fldChar w:fldCharType="end"/>
            </w:r>
          </w:p>
        </w:tc>
        <w:tc>
          <w:tcPr>
            <w:tcW w:w="621" w:type="pct"/>
            <w:tcMar>
              <w:left w:w="28" w:type="dxa"/>
              <w:right w:w="28" w:type="dxa"/>
            </w:tcMar>
            <w:vAlign w:val="center"/>
          </w:tcPr>
          <w:p w14:paraId="676EB72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bCs w:val="0"/>
                <w:color w:val="auto"/>
                <w:kern w:val="2"/>
                <w:sz w:val="21"/>
                <w:szCs w:val="21"/>
                <w:highlight w:val="none"/>
              </w:rPr>
            </w:pPr>
            <w:r>
              <w:rPr>
                <w:rFonts w:hint="default" w:ascii="Times New Roman" w:hAnsi="Times New Roman" w:cs="Times New Roman"/>
                <w:b/>
                <w:bCs w:val="0"/>
                <w:color w:val="auto"/>
                <w:kern w:val="2"/>
                <w:sz w:val="21"/>
                <w:szCs w:val="21"/>
                <w:highlight w:val="none"/>
              </w:rPr>
              <w:t>本项目建成后全厂排放量（固体废物产生量）</w:t>
            </w:r>
            <w:r>
              <w:rPr>
                <w:rFonts w:hint="default" w:ascii="Times New Roman" w:hAnsi="Times New Roman" w:cs="Times New Roman"/>
                <w:b/>
                <w:bCs w:val="0"/>
                <w:color w:val="auto"/>
                <w:kern w:val="2"/>
                <w:sz w:val="21"/>
                <w:szCs w:val="21"/>
                <w:highlight w:val="none"/>
              </w:rPr>
              <w:fldChar w:fldCharType="begin"/>
            </w:r>
            <w:r>
              <w:rPr>
                <w:rFonts w:hint="default" w:ascii="Times New Roman" w:hAnsi="Times New Roman" w:cs="Times New Roman"/>
                <w:b/>
                <w:bCs w:val="0"/>
                <w:color w:val="auto"/>
                <w:kern w:val="2"/>
                <w:sz w:val="21"/>
                <w:szCs w:val="21"/>
                <w:highlight w:val="none"/>
              </w:rPr>
              <w:instrText xml:space="preserve"> = 6 \* GB3 \* MERGEFORMAT </w:instrText>
            </w:r>
            <w:r>
              <w:rPr>
                <w:rFonts w:hint="default" w:ascii="Times New Roman" w:hAnsi="Times New Roman" w:cs="Times New Roman"/>
                <w:b/>
                <w:bCs w:val="0"/>
                <w:color w:val="auto"/>
                <w:kern w:val="2"/>
                <w:sz w:val="21"/>
                <w:szCs w:val="21"/>
                <w:highlight w:val="none"/>
              </w:rPr>
              <w:fldChar w:fldCharType="separate"/>
            </w:r>
            <w:r>
              <w:rPr>
                <w:rFonts w:hint="default" w:ascii="Times New Roman" w:hAnsi="Times New Roman" w:cs="Times New Roman"/>
                <w:b/>
                <w:bCs w:val="0"/>
                <w:color w:val="auto"/>
                <w:kern w:val="2"/>
                <w:sz w:val="21"/>
                <w:szCs w:val="21"/>
                <w:highlight w:val="none"/>
              </w:rPr>
              <w:t>⑥</w:t>
            </w:r>
            <w:r>
              <w:rPr>
                <w:rFonts w:hint="default" w:ascii="Times New Roman" w:hAnsi="Times New Roman" w:cs="Times New Roman"/>
                <w:b/>
                <w:bCs w:val="0"/>
                <w:color w:val="auto"/>
                <w:kern w:val="2"/>
                <w:sz w:val="21"/>
                <w:szCs w:val="21"/>
                <w:highlight w:val="none"/>
              </w:rPr>
              <w:fldChar w:fldCharType="end"/>
            </w:r>
          </w:p>
        </w:tc>
        <w:tc>
          <w:tcPr>
            <w:tcW w:w="515" w:type="pct"/>
            <w:tcMar>
              <w:left w:w="28" w:type="dxa"/>
              <w:right w:w="28" w:type="dxa"/>
            </w:tcMar>
            <w:vAlign w:val="center"/>
          </w:tcPr>
          <w:p w14:paraId="1D75764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bCs w:val="0"/>
                <w:color w:val="auto"/>
                <w:kern w:val="2"/>
                <w:sz w:val="21"/>
                <w:szCs w:val="21"/>
                <w:highlight w:val="none"/>
              </w:rPr>
            </w:pPr>
            <w:r>
              <w:rPr>
                <w:rFonts w:hint="default" w:ascii="Times New Roman" w:hAnsi="Times New Roman" w:cs="Times New Roman"/>
                <w:b/>
                <w:bCs w:val="0"/>
                <w:color w:val="auto"/>
                <w:kern w:val="2"/>
                <w:sz w:val="21"/>
                <w:szCs w:val="21"/>
                <w:highlight w:val="none"/>
              </w:rPr>
              <w:t>变化量</w:t>
            </w:r>
          </w:p>
          <w:p w14:paraId="3E47B8E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bCs w:val="0"/>
                <w:color w:val="auto"/>
                <w:kern w:val="2"/>
                <w:sz w:val="21"/>
                <w:szCs w:val="21"/>
                <w:highlight w:val="none"/>
              </w:rPr>
            </w:pPr>
            <w:r>
              <w:rPr>
                <w:rFonts w:hint="default" w:ascii="Times New Roman" w:hAnsi="Times New Roman" w:cs="Times New Roman"/>
                <w:b/>
                <w:bCs w:val="0"/>
                <w:color w:val="auto"/>
                <w:kern w:val="2"/>
                <w:sz w:val="21"/>
                <w:szCs w:val="21"/>
                <w:highlight w:val="none"/>
              </w:rPr>
              <w:fldChar w:fldCharType="begin"/>
            </w:r>
            <w:r>
              <w:rPr>
                <w:rFonts w:hint="default" w:ascii="Times New Roman" w:hAnsi="Times New Roman" w:cs="Times New Roman"/>
                <w:b/>
                <w:bCs w:val="0"/>
                <w:color w:val="auto"/>
                <w:kern w:val="2"/>
                <w:sz w:val="21"/>
                <w:szCs w:val="21"/>
                <w:highlight w:val="none"/>
              </w:rPr>
              <w:instrText xml:space="preserve"> = 7 \* GB3 \* MERGEFORMAT </w:instrText>
            </w:r>
            <w:r>
              <w:rPr>
                <w:rFonts w:hint="default" w:ascii="Times New Roman" w:hAnsi="Times New Roman" w:cs="Times New Roman"/>
                <w:b/>
                <w:bCs w:val="0"/>
                <w:color w:val="auto"/>
                <w:kern w:val="2"/>
                <w:sz w:val="21"/>
                <w:szCs w:val="21"/>
                <w:highlight w:val="none"/>
              </w:rPr>
              <w:fldChar w:fldCharType="separate"/>
            </w:r>
            <w:r>
              <w:rPr>
                <w:rFonts w:hint="default" w:ascii="Times New Roman" w:hAnsi="Times New Roman" w:cs="Times New Roman"/>
                <w:b/>
                <w:bCs w:val="0"/>
                <w:color w:val="auto"/>
                <w:kern w:val="2"/>
                <w:sz w:val="21"/>
                <w:szCs w:val="21"/>
                <w:highlight w:val="none"/>
              </w:rPr>
              <w:t>⑦</w:t>
            </w:r>
            <w:r>
              <w:rPr>
                <w:rFonts w:hint="default" w:ascii="Times New Roman" w:hAnsi="Times New Roman" w:cs="Times New Roman"/>
                <w:b/>
                <w:bCs w:val="0"/>
                <w:color w:val="auto"/>
                <w:kern w:val="2"/>
                <w:sz w:val="21"/>
                <w:szCs w:val="21"/>
                <w:highlight w:val="none"/>
              </w:rPr>
              <w:fldChar w:fldCharType="end"/>
            </w:r>
          </w:p>
        </w:tc>
      </w:tr>
      <w:tr w14:paraId="05C05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46" w:type="pct"/>
            <w:vMerge w:val="restart"/>
            <w:vAlign w:val="center"/>
          </w:tcPr>
          <w:p w14:paraId="3ED112F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废气</w:t>
            </w:r>
          </w:p>
        </w:tc>
        <w:tc>
          <w:tcPr>
            <w:tcW w:w="264" w:type="pct"/>
            <w:vMerge w:val="restart"/>
            <w:vAlign w:val="center"/>
          </w:tcPr>
          <w:p w14:paraId="75D0A23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cs="Times New Roman"/>
                <w:b w:val="0"/>
                <w:bCs/>
                <w:snapToGrid w:val="0"/>
                <w:color w:val="auto"/>
                <w:kern w:val="21"/>
                <w:sz w:val="21"/>
                <w:szCs w:val="21"/>
                <w:highlight w:val="none"/>
                <w:lang w:val="en-US" w:eastAsia="zh-CN"/>
              </w:rPr>
              <w:t>VOCs</w:t>
            </w:r>
          </w:p>
        </w:tc>
        <w:tc>
          <w:tcPr>
            <w:tcW w:w="438" w:type="pct"/>
            <w:vAlign w:val="center"/>
          </w:tcPr>
          <w:p w14:paraId="38593AF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lang w:val="en-US" w:eastAsia="zh-CN"/>
              </w:rPr>
            </w:pPr>
            <w:r>
              <w:rPr>
                <w:rFonts w:hint="default" w:ascii="Times New Roman" w:hAnsi="Times New Roman" w:cs="Times New Roman"/>
                <w:b w:val="0"/>
                <w:bCs/>
                <w:snapToGrid w:val="0"/>
                <w:color w:val="auto"/>
                <w:kern w:val="21"/>
                <w:sz w:val="21"/>
                <w:szCs w:val="21"/>
                <w:highlight w:val="none"/>
                <w:lang w:val="en-US" w:eastAsia="zh-CN"/>
              </w:rPr>
              <w:t>有组织</w:t>
            </w:r>
          </w:p>
        </w:tc>
        <w:tc>
          <w:tcPr>
            <w:tcW w:w="510" w:type="pct"/>
            <w:vAlign w:val="center"/>
          </w:tcPr>
          <w:p w14:paraId="5FEBB25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444" w:type="pct"/>
            <w:vAlign w:val="center"/>
          </w:tcPr>
          <w:p w14:paraId="7026247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56" w:type="pct"/>
            <w:vAlign w:val="center"/>
          </w:tcPr>
          <w:p w14:paraId="02531B5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99" w:type="pct"/>
            <w:vAlign w:val="center"/>
          </w:tcPr>
          <w:p w14:paraId="494DA91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eastAsia" w:ascii="Times New Roman" w:cs="Times New Roman"/>
                <w:b w:val="0"/>
                <w:bCs/>
                <w:color w:val="auto"/>
                <w:sz w:val="21"/>
                <w:szCs w:val="21"/>
                <w:highlight w:val="none"/>
                <w:lang w:val="en-US" w:eastAsia="zh-CN"/>
              </w:rPr>
              <w:t>0.138t/a</w:t>
            </w:r>
          </w:p>
        </w:tc>
        <w:tc>
          <w:tcPr>
            <w:tcW w:w="502" w:type="pct"/>
            <w:vAlign w:val="center"/>
          </w:tcPr>
          <w:p w14:paraId="435D675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7152997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eastAsia" w:ascii="Times New Roman" w:cs="Times New Roman"/>
                <w:b w:val="0"/>
                <w:bCs/>
                <w:color w:val="auto"/>
                <w:sz w:val="21"/>
                <w:szCs w:val="21"/>
                <w:highlight w:val="none"/>
                <w:lang w:val="en-US" w:eastAsia="zh-CN"/>
              </w:rPr>
              <w:t>0.138t/a</w:t>
            </w:r>
          </w:p>
        </w:tc>
        <w:tc>
          <w:tcPr>
            <w:tcW w:w="515" w:type="pct"/>
            <w:vAlign w:val="center"/>
          </w:tcPr>
          <w:p w14:paraId="08D59BA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color w:val="auto"/>
                <w:sz w:val="21"/>
                <w:szCs w:val="21"/>
                <w:highlight w:val="none"/>
                <w:lang w:val="en-US" w:eastAsia="zh-CN"/>
              </w:rPr>
              <w:t>+</w:t>
            </w:r>
            <w:r>
              <w:rPr>
                <w:rFonts w:hint="eastAsia" w:ascii="Times New Roman" w:cs="Times New Roman"/>
                <w:b w:val="0"/>
                <w:bCs/>
                <w:color w:val="auto"/>
                <w:sz w:val="21"/>
                <w:szCs w:val="21"/>
                <w:highlight w:val="none"/>
                <w:lang w:val="en-US" w:eastAsia="zh-CN"/>
              </w:rPr>
              <w:t>0.138t/a</w:t>
            </w:r>
          </w:p>
        </w:tc>
      </w:tr>
      <w:tr w14:paraId="10FA0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46" w:type="pct"/>
            <w:vMerge w:val="continue"/>
            <w:vAlign w:val="center"/>
          </w:tcPr>
          <w:p w14:paraId="56D9031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p>
        </w:tc>
        <w:tc>
          <w:tcPr>
            <w:tcW w:w="264" w:type="pct"/>
            <w:vMerge w:val="continue"/>
            <w:vAlign w:val="center"/>
          </w:tcPr>
          <w:p w14:paraId="42E7950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lang w:val="en-US" w:eastAsia="zh-CN"/>
              </w:rPr>
            </w:pPr>
          </w:p>
        </w:tc>
        <w:tc>
          <w:tcPr>
            <w:tcW w:w="438" w:type="pct"/>
            <w:vAlign w:val="center"/>
          </w:tcPr>
          <w:p w14:paraId="7048DB7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lang w:val="en-US" w:eastAsia="zh-CN"/>
              </w:rPr>
            </w:pPr>
            <w:r>
              <w:rPr>
                <w:rFonts w:hint="default" w:ascii="Times New Roman" w:hAnsi="Times New Roman" w:cs="Times New Roman"/>
                <w:b w:val="0"/>
                <w:bCs/>
                <w:snapToGrid w:val="0"/>
                <w:color w:val="auto"/>
                <w:kern w:val="21"/>
                <w:sz w:val="21"/>
                <w:szCs w:val="21"/>
                <w:highlight w:val="none"/>
                <w:lang w:val="en-US" w:eastAsia="zh-CN"/>
              </w:rPr>
              <w:t>无组织</w:t>
            </w:r>
          </w:p>
        </w:tc>
        <w:tc>
          <w:tcPr>
            <w:tcW w:w="510" w:type="pct"/>
            <w:vAlign w:val="center"/>
          </w:tcPr>
          <w:p w14:paraId="6B11360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444" w:type="pct"/>
            <w:vAlign w:val="center"/>
          </w:tcPr>
          <w:p w14:paraId="6EDC33D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56" w:type="pct"/>
            <w:vAlign w:val="center"/>
          </w:tcPr>
          <w:p w14:paraId="62E5AB4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99" w:type="pct"/>
            <w:vAlign w:val="center"/>
          </w:tcPr>
          <w:p w14:paraId="1B95B76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0.073</w:t>
            </w:r>
            <w:r>
              <w:rPr>
                <w:rFonts w:hint="default" w:ascii="Times New Roman" w:hAnsi="Times New Roman" w:cs="Times New Roman"/>
                <w:b w:val="0"/>
                <w:bCs/>
                <w:color w:val="auto"/>
                <w:sz w:val="21"/>
                <w:szCs w:val="21"/>
                <w:highlight w:val="none"/>
              </w:rPr>
              <w:t>t/a</w:t>
            </w:r>
          </w:p>
        </w:tc>
        <w:tc>
          <w:tcPr>
            <w:tcW w:w="502" w:type="pct"/>
            <w:vAlign w:val="center"/>
          </w:tcPr>
          <w:p w14:paraId="10FB671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60BAA98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0.073</w:t>
            </w:r>
            <w:r>
              <w:rPr>
                <w:rFonts w:hint="default" w:ascii="Times New Roman" w:hAnsi="Times New Roman" w:cs="Times New Roman"/>
                <w:b w:val="0"/>
                <w:bCs/>
                <w:color w:val="auto"/>
                <w:sz w:val="21"/>
                <w:szCs w:val="21"/>
                <w:highlight w:val="none"/>
              </w:rPr>
              <w:t>t/a</w:t>
            </w:r>
          </w:p>
        </w:tc>
        <w:tc>
          <w:tcPr>
            <w:tcW w:w="515" w:type="pct"/>
            <w:vAlign w:val="center"/>
          </w:tcPr>
          <w:p w14:paraId="15E3376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+0.073</w:t>
            </w:r>
            <w:r>
              <w:rPr>
                <w:rFonts w:hint="default" w:ascii="Times New Roman" w:hAnsi="Times New Roman" w:cs="Times New Roman"/>
                <w:b w:val="0"/>
                <w:bCs/>
                <w:color w:val="auto"/>
                <w:sz w:val="21"/>
                <w:szCs w:val="21"/>
                <w:highlight w:val="none"/>
              </w:rPr>
              <w:t>t/a</w:t>
            </w:r>
          </w:p>
        </w:tc>
      </w:tr>
      <w:tr w14:paraId="5E376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46" w:type="pct"/>
            <w:vMerge w:val="restart"/>
            <w:vAlign w:val="center"/>
          </w:tcPr>
          <w:p w14:paraId="3F704EA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废水</w:t>
            </w:r>
          </w:p>
        </w:tc>
        <w:tc>
          <w:tcPr>
            <w:tcW w:w="703" w:type="pct"/>
            <w:gridSpan w:val="2"/>
            <w:vAlign w:val="center"/>
          </w:tcPr>
          <w:p w14:paraId="5286C20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COD</w:t>
            </w:r>
          </w:p>
        </w:tc>
        <w:tc>
          <w:tcPr>
            <w:tcW w:w="510" w:type="pct"/>
            <w:vAlign w:val="center"/>
          </w:tcPr>
          <w:p w14:paraId="16CE3A1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444" w:type="pct"/>
            <w:vAlign w:val="center"/>
          </w:tcPr>
          <w:p w14:paraId="0097835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56" w:type="pct"/>
            <w:vAlign w:val="center"/>
          </w:tcPr>
          <w:p w14:paraId="4F9735B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99" w:type="pct"/>
            <w:vAlign w:val="center"/>
          </w:tcPr>
          <w:p w14:paraId="76F395E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0.0144</w:t>
            </w:r>
            <w:r>
              <w:rPr>
                <w:rFonts w:hint="default" w:ascii="Times New Roman" w:hAnsi="Times New Roman" w:cs="Times New Roman"/>
                <w:b w:val="0"/>
                <w:bCs/>
                <w:snapToGrid w:val="0"/>
                <w:color w:val="auto"/>
                <w:kern w:val="21"/>
                <w:sz w:val="21"/>
                <w:szCs w:val="21"/>
                <w:highlight w:val="none"/>
              </w:rPr>
              <w:t>t/a</w:t>
            </w:r>
          </w:p>
        </w:tc>
        <w:tc>
          <w:tcPr>
            <w:tcW w:w="502" w:type="pct"/>
            <w:vAlign w:val="center"/>
          </w:tcPr>
          <w:p w14:paraId="79CA929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6B6766D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0.0144</w:t>
            </w:r>
            <w:r>
              <w:rPr>
                <w:rFonts w:hint="default" w:ascii="Times New Roman" w:hAnsi="Times New Roman" w:cs="Times New Roman"/>
                <w:b w:val="0"/>
                <w:bCs/>
                <w:snapToGrid w:val="0"/>
                <w:color w:val="auto"/>
                <w:kern w:val="21"/>
                <w:sz w:val="21"/>
                <w:szCs w:val="21"/>
                <w:highlight w:val="none"/>
              </w:rPr>
              <w:t>t/a</w:t>
            </w:r>
          </w:p>
        </w:tc>
        <w:tc>
          <w:tcPr>
            <w:tcW w:w="515" w:type="pct"/>
            <w:vAlign w:val="center"/>
          </w:tcPr>
          <w:p w14:paraId="78E0AC1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+0.0144</w:t>
            </w:r>
            <w:r>
              <w:rPr>
                <w:rFonts w:hint="default" w:ascii="Times New Roman" w:hAnsi="Times New Roman" w:cs="Times New Roman"/>
                <w:b w:val="0"/>
                <w:bCs/>
                <w:snapToGrid w:val="0"/>
                <w:color w:val="auto"/>
                <w:kern w:val="21"/>
                <w:sz w:val="21"/>
                <w:szCs w:val="21"/>
                <w:highlight w:val="none"/>
              </w:rPr>
              <w:t>t/a</w:t>
            </w:r>
          </w:p>
        </w:tc>
      </w:tr>
      <w:tr w14:paraId="12243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46" w:type="pct"/>
            <w:vMerge w:val="continue"/>
            <w:vAlign w:val="center"/>
          </w:tcPr>
          <w:p w14:paraId="69BC463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p>
        </w:tc>
        <w:tc>
          <w:tcPr>
            <w:tcW w:w="703" w:type="pct"/>
            <w:gridSpan w:val="2"/>
            <w:vAlign w:val="center"/>
          </w:tcPr>
          <w:p w14:paraId="76DE2F5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color w:val="auto"/>
                <w:sz w:val="21"/>
                <w:szCs w:val="21"/>
                <w:highlight w:val="none"/>
              </w:rPr>
              <w:t>氨氮</w:t>
            </w:r>
          </w:p>
        </w:tc>
        <w:tc>
          <w:tcPr>
            <w:tcW w:w="510" w:type="pct"/>
            <w:vAlign w:val="center"/>
          </w:tcPr>
          <w:p w14:paraId="44CB703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444" w:type="pct"/>
            <w:vAlign w:val="center"/>
          </w:tcPr>
          <w:p w14:paraId="4B9C52E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56" w:type="pct"/>
            <w:vAlign w:val="center"/>
          </w:tcPr>
          <w:p w14:paraId="47265EB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99" w:type="pct"/>
            <w:vAlign w:val="center"/>
          </w:tcPr>
          <w:p w14:paraId="260C355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0.0</w:t>
            </w:r>
            <w:r>
              <w:rPr>
                <w:rFonts w:hint="default" w:ascii="Times New Roman" w:hAnsi="Times New Roman" w:cs="Times New Roman"/>
                <w:b w:val="0"/>
                <w:bCs/>
                <w:snapToGrid w:val="0"/>
                <w:color w:val="auto"/>
                <w:kern w:val="21"/>
                <w:sz w:val="21"/>
                <w:szCs w:val="21"/>
                <w:highlight w:val="none"/>
                <w:lang w:val="en-US" w:eastAsia="zh-CN"/>
              </w:rPr>
              <w:t>01</w:t>
            </w:r>
            <w:r>
              <w:rPr>
                <w:rFonts w:hint="default" w:ascii="Times New Roman" w:hAnsi="Times New Roman" w:cs="Times New Roman"/>
                <w:b w:val="0"/>
                <w:bCs/>
                <w:snapToGrid w:val="0"/>
                <w:color w:val="auto"/>
                <w:kern w:val="21"/>
                <w:sz w:val="21"/>
                <w:szCs w:val="21"/>
                <w:highlight w:val="none"/>
              </w:rPr>
              <w:t>t/a</w:t>
            </w:r>
          </w:p>
        </w:tc>
        <w:tc>
          <w:tcPr>
            <w:tcW w:w="502" w:type="pct"/>
            <w:vAlign w:val="center"/>
          </w:tcPr>
          <w:p w14:paraId="3D66766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1ED8878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0.0</w:t>
            </w:r>
            <w:r>
              <w:rPr>
                <w:rFonts w:hint="default" w:ascii="Times New Roman" w:hAnsi="Times New Roman" w:cs="Times New Roman"/>
                <w:b w:val="0"/>
                <w:bCs/>
                <w:snapToGrid w:val="0"/>
                <w:color w:val="auto"/>
                <w:kern w:val="21"/>
                <w:sz w:val="21"/>
                <w:szCs w:val="21"/>
                <w:highlight w:val="none"/>
                <w:lang w:val="en-US" w:eastAsia="zh-CN"/>
              </w:rPr>
              <w:t>01</w:t>
            </w:r>
            <w:r>
              <w:rPr>
                <w:rFonts w:hint="default" w:ascii="Times New Roman" w:hAnsi="Times New Roman" w:cs="Times New Roman"/>
                <w:b w:val="0"/>
                <w:bCs/>
                <w:snapToGrid w:val="0"/>
                <w:color w:val="auto"/>
                <w:kern w:val="21"/>
                <w:sz w:val="21"/>
                <w:szCs w:val="21"/>
                <w:highlight w:val="none"/>
              </w:rPr>
              <w:t>t/a</w:t>
            </w:r>
          </w:p>
        </w:tc>
        <w:tc>
          <w:tcPr>
            <w:tcW w:w="515" w:type="pct"/>
            <w:vAlign w:val="center"/>
          </w:tcPr>
          <w:p w14:paraId="73D3745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w:t>
            </w:r>
            <w:r>
              <w:rPr>
                <w:rFonts w:hint="default" w:ascii="Times New Roman" w:hAnsi="Times New Roman" w:cs="Times New Roman"/>
                <w:b w:val="0"/>
                <w:bCs/>
                <w:snapToGrid w:val="0"/>
                <w:color w:val="auto"/>
                <w:kern w:val="21"/>
                <w:sz w:val="21"/>
                <w:szCs w:val="21"/>
                <w:highlight w:val="none"/>
              </w:rPr>
              <w:t>0.0</w:t>
            </w:r>
            <w:r>
              <w:rPr>
                <w:rFonts w:hint="default" w:ascii="Times New Roman" w:hAnsi="Times New Roman" w:cs="Times New Roman"/>
                <w:b w:val="0"/>
                <w:bCs/>
                <w:snapToGrid w:val="0"/>
                <w:color w:val="auto"/>
                <w:kern w:val="21"/>
                <w:sz w:val="21"/>
                <w:szCs w:val="21"/>
                <w:highlight w:val="none"/>
                <w:lang w:val="en-US" w:eastAsia="zh-CN"/>
              </w:rPr>
              <w:t>01</w:t>
            </w:r>
            <w:r>
              <w:rPr>
                <w:rFonts w:hint="default" w:ascii="Times New Roman" w:hAnsi="Times New Roman" w:cs="Times New Roman"/>
                <w:b w:val="0"/>
                <w:bCs/>
                <w:snapToGrid w:val="0"/>
                <w:color w:val="auto"/>
                <w:kern w:val="21"/>
                <w:sz w:val="21"/>
                <w:szCs w:val="21"/>
                <w:highlight w:val="none"/>
              </w:rPr>
              <w:t>t/a</w:t>
            </w:r>
          </w:p>
        </w:tc>
      </w:tr>
      <w:tr w14:paraId="4E61F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46" w:type="pct"/>
            <w:vMerge w:val="restart"/>
            <w:vAlign w:val="center"/>
          </w:tcPr>
          <w:p w14:paraId="12F09FA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一般工业</w:t>
            </w:r>
          </w:p>
          <w:p w14:paraId="342A2AC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固体废物</w:t>
            </w:r>
          </w:p>
        </w:tc>
        <w:tc>
          <w:tcPr>
            <w:tcW w:w="703" w:type="pct"/>
            <w:gridSpan w:val="2"/>
            <w:vAlign w:val="center"/>
          </w:tcPr>
          <w:p w14:paraId="50B6FA77">
            <w:pPr>
              <w:keepNext w:val="0"/>
              <w:keepLines w:val="0"/>
              <w:widowControl/>
              <w:suppressLineNumbers w:val="0"/>
              <w:jc w:val="center"/>
              <w:rPr>
                <w:rFonts w:hint="default" w:ascii="Times New Roman" w:hAnsi="Times New Roman" w:cs="Times New Roman"/>
                <w:b w:val="0"/>
                <w:bCs/>
                <w:snapToGrid w:val="0"/>
                <w:color w:val="auto"/>
                <w:kern w:val="21"/>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废包装材料</w:t>
            </w:r>
          </w:p>
        </w:tc>
        <w:tc>
          <w:tcPr>
            <w:tcW w:w="510" w:type="pct"/>
            <w:vAlign w:val="center"/>
          </w:tcPr>
          <w:p w14:paraId="16B3849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444" w:type="pct"/>
            <w:vAlign w:val="center"/>
          </w:tcPr>
          <w:p w14:paraId="7FF27B2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56" w:type="pct"/>
            <w:vAlign w:val="center"/>
          </w:tcPr>
          <w:p w14:paraId="146A9ED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99" w:type="pct"/>
            <w:vAlign w:val="center"/>
          </w:tcPr>
          <w:p w14:paraId="595D8A7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0.2</w:t>
            </w:r>
            <w:r>
              <w:rPr>
                <w:rFonts w:hint="default" w:ascii="Times New Roman" w:hAnsi="Times New Roman" w:cs="Times New Roman"/>
                <w:b w:val="0"/>
                <w:bCs/>
                <w:snapToGrid w:val="0"/>
                <w:color w:val="auto"/>
                <w:kern w:val="21"/>
                <w:sz w:val="21"/>
                <w:szCs w:val="21"/>
                <w:highlight w:val="none"/>
              </w:rPr>
              <w:t>t/a</w:t>
            </w:r>
          </w:p>
        </w:tc>
        <w:tc>
          <w:tcPr>
            <w:tcW w:w="502" w:type="pct"/>
            <w:vAlign w:val="center"/>
          </w:tcPr>
          <w:p w14:paraId="749676B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4B55F34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0.2</w:t>
            </w:r>
            <w:r>
              <w:rPr>
                <w:rFonts w:hint="default" w:ascii="Times New Roman" w:hAnsi="Times New Roman" w:cs="Times New Roman"/>
                <w:b w:val="0"/>
                <w:bCs/>
                <w:snapToGrid w:val="0"/>
                <w:color w:val="auto"/>
                <w:kern w:val="21"/>
                <w:sz w:val="21"/>
                <w:szCs w:val="21"/>
                <w:highlight w:val="none"/>
              </w:rPr>
              <w:t>t/a</w:t>
            </w:r>
          </w:p>
        </w:tc>
        <w:tc>
          <w:tcPr>
            <w:tcW w:w="515" w:type="pct"/>
            <w:vAlign w:val="center"/>
          </w:tcPr>
          <w:p w14:paraId="3B628A5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+0.2</w:t>
            </w:r>
            <w:r>
              <w:rPr>
                <w:rFonts w:hint="default" w:ascii="Times New Roman" w:hAnsi="Times New Roman" w:cs="Times New Roman"/>
                <w:b w:val="0"/>
                <w:bCs/>
                <w:snapToGrid w:val="0"/>
                <w:color w:val="auto"/>
                <w:kern w:val="21"/>
                <w:sz w:val="21"/>
                <w:szCs w:val="21"/>
                <w:highlight w:val="none"/>
              </w:rPr>
              <w:t>t/a</w:t>
            </w:r>
          </w:p>
        </w:tc>
      </w:tr>
      <w:tr w14:paraId="4EF02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46" w:type="pct"/>
            <w:vMerge w:val="continue"/>
            <w:vAlign w:val="center"/>
          </w:tcPr>
          <w:p w14:paraId="1E6CBB2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p>
        </w:tc>
        <w:tc>
          <w:tcPr>
            <w:tcW w:w="703" w:type="pct"/>
            <w:gridSpan w:val="2"/>
            <w:vAlign w:val="center"/>
          </w:tcPr>
          <w:p w14:paraId="4C53E503">
            <w:pPr>
              <w:keepNext w:val="0"/>
              <w:keepLines w:val="0"/>
              <w:widowControl/>
              <w:suppressLineNumbers w:val="0"/>
              <w:jc w:val="center"/>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color w:val="auto"/>
                <w:kern w:val="0"/>
                <w:sz w:val="21"/>
                <w:szCs w:val="21"/>
                <w:highlight w:val="none"/>
                <w:lang w:val="en-US" w:eastAsia="zh-CN" w:bidi="ar"/>
              </w:rPr>
              <w:t>玻璃边角料、不合格品</w:t>
            </w:r>
            <w:r>
              <w:rPr>
                <w:rFonts w:hint="default" w:ascii="Times New Roman" w:hAnsi="Times New Roman" w:eastAsia="宋体" w:cs="Times New Roman"/>
                <w:b w:val="0"/>
                <w:bCs/>
                <w:color w:val="auto"/>
                <w:kern w:val="0"/>
                <w:sz w:val="21"/>
                <w:szCs w:val="21"/>
                <w:highlight w:val="none"/>
                <w:lang w:val="en-US" w:eastAsia="zh-CN" w:bidi="ar"/>
              </w:rPr>
              <w:t>、玻璃沉渣</w:t>
            </w:r>
          </w:p>
        </w:tc>
        <w:tc>
          <w:tcPr>
            <w:tcW w:w="510" w:type="pct"/>
            <w:vAlign w:val="center"/>
          </w:tcPr>
          <w:p w14:paraId="49857FE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444" w:type="pct"/>
            <w:vAlign w:val="center"/>
          </w:tcPr>
          <w:p w14:paraId="2187A1C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56" w:type="pct"/>
            <w:vAlign w:val="center"/>
          </w:tcPr>
          <w:p w14:paraId="6B55E3E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99" w:type="pct"/>
            <w:vAlign w:val="center"/>
          </w:tcPr>
          <w:p w14:paraId="5914C68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300</w:t>
            </w:r>
            <w:r>
              <w:rPr>
                <w:rFonts w:hint="default" w:ascii="Times New Roman" w:hAnsi="Times New Roman" w:cs="Times New Roman"/>
                <w:b w:val="0"/>
                <w:bCs/>
                <w:snapToGrid w:val="0"/>
                <w:color w:val="auto"/>
                <w:kern w:val="21"/>
                <w:sz w:val="21"/>
                <w:szCs w:val="21"/>
                <w:highlight w:val="none"/>
              </w:rPr>
              <w:t>t/a</w:t>
            </w:r>
          </w:p>
        </w:tc>
        <w:tc>
          <w:tcPr>
            <w:tcW w:w="502" w:type="pct"/>
            <w:vAlign w:val="center"/>
          </w:tcPr>
          <w:p w14:paraId="0D10BFC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5698DDA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300</w:t>
            </w:r>
            <w:r>
              <w:rPr>
                <w:rFonts w:hint="default" w:ascii="Times New Roman" w:hAnsi="Times New Roman" w:cs="Times New Roman"/>
                <w:b w:val="0"/>
                <w:bCs/>
                <w:snapToGrid w:val="0"/>
                <w:color w:val="auto"/>
                <w:kern w:val="21"/>
                <w:sz w:val="21"/>
                <w:szCs w:val="21"/>
                <w:highlight w:val="none"/>
              </w:rPr>
              <w:t>t/a</w:t>
            </w:r>
          </w:p>
        </w:tc>
        <w:tc>
          <w:tcPr>
            <w:tcW w:w="515" w:type="pct"/>
            <w:vAlign w:val="center"/>
          </w:tcPr>
          <w:p w14:paraId="417C0C4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+300</w:t>
            </w:r>
            <w:r>
              <w:rPr>
                <w:rFonts w:hint="default" w:ascii="Times New Roman" w:hAnsi="Times New Roman" w:cs="Times New Roman"/>
                <w:b w:val="0"/>
                <w:bCs/>
                <w:snapToGrid w:val="0"/>
                <w:color w:val="auto"/>
                <w:kern w:val="21"/>
                <w:sz w:val="21"/>
                <w:szCs w:val="21"/>
                <w:highlight w:val="none"/>
              </w:rPr>
              <w:t>t/a</w:t>
            </w:r>
          </w:p>
        </w:tc>
      </w:tr>
      <w:tr w14:paraId="2FE71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6DAECC9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p>
        </w:tc>
        <w:tc>
          <w:tcPr>
            <w:tcW w:w="703" w:type="pct"/>
            <w:gridSpan w:val="2"/>
            <w:vAlign w:val="center"/>
          </w:tcPr>
          <w:p w14:paraId="65EB6C0F">
            <w:pPr>
              <w:keepNext w:val="0"/>
              <w:keepLines w:val="0"/>
              <w:widowControl/>
              <w:suppressLineNumbers w:val="0"/>
              <w:jc w:val="center"/>
              <w:rPr>
                <w:rFonts w:hint="default" w:ascii="Times New Roman" w:hAnsi="Times New Roman" w:cs="Times New Roman"/>
                <w:b w:val="0"/>
                <w:bCs/>
                <w:snapToGrid w:val="0"/>
                <w:color w:val="auto"/>
                <w:kern w:val="21"/>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废PVB胶片</w:t>
            </w:r>
          </w:p>
        </w:tc>
        <w:tc>
          <w:tcPr>
            <w:tcW w:w="510" w:type="pct"/>
            <w:vAlign w:val="center"/>
          </w:tcPr>
          <w:p w14:paraId="139D661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444" w:type="pct"/>
            <w:vAlign w:val="center"/>
          </w:tcPr>
          <w:p w14:paraId="1861AC9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56" w:type="pct"/>
            <w:vAlign w:val="center"/>
          </w:tcPr>
          <w:p w14:paraId="7626CD7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99" w:type="pct"/>
            <w:vAlign w:val="center"/>
          </w:tcPr>
          <w:p w14:paraId="49A5E37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1.69</w:t>
            </w:r>
            <w:r>
              <w:rPr>
                <w:rFonts w:hint="default" w:ascii="Times New Roman" w:hAnsi="Times New Roman" w:cs="Times New Roman"/>
                <w:b w:val="0"/>
                <w:bCs/>
                <w:snapToGrid w:val="0"/>
                <w:color w:val="auto"/>
                <w:kern w:val="21"/>
                <w:sz w:val="21"/>
                <w:szCs w:val="21"/>
                <w:highlight w:val="none"/>
              </w:rPr>
              <w:t>t/a</w:t>
            </w:r>
          </w:p>
        </w:tc>
        <w:tc>
          <w:tcPr>
            <w:tcW w:w="502" w:type="pct"/>
            <w:vAlign w:val="center"/>
          </w:tcPr>
          <w:p w14:paraId="7C1428C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2C6CCD8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1.69</w:t>
            </w:r>
            <w:r>
              <w:rPr>
                <w:rFonts w:hint="default" w:ascii="Times New Roman" w:hAnsi="Times New Roman" w:cs="Times New Roman"/>
                <w:b w:val="0"/>
                <w:bCs/>
                <w:snapToGrid w:val="0"/>
                <w:color w:val="auto"/>
                <w:kern w:val="21"/>
                <w:sz w:val="21"/>
                <w:szCs w:val="21"/>
                <w:highlight w:val="none"/>
              </w:rPr>
              <w:t>t/a</w:t>
            </w:r>
          </w:p>
        </w:tc>
        <w:tc>
          <w:tcPr>
            <w:tcW w:w="515" w:type="pct"/>
            <w:vAlign w:val="center"/>
          </w:tcPr>
          <w:p w14:paraId="65169F3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+1.69</w:t>
            </w:r>
            <w:r>
              <w:rPr>
                <w:rFonts w:hint="default" w:ascii="Times New Roman" w:hAnsi="Times New Roman" w:cs="Times New Roman"/>
                <w:b w:val="0"/>
                <w:bCs/>
                <w:snapToGrid w:val="0"/>
                <w:color w:val="auto"/>
                <w:kern w:val="21"/>
                <w:sz w:val="21"/>
                <w:szCs w:val="21"/>
                <w:highlight w:val="none"/>
              </w:rPr>
              <w:t>t/a</w:t>
            </w:r>
          </w:p>
        </w:tc>
      </w:tr>
      <w:tr w14:paraId="64BCC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6" w:type="pct"/>
            <w:vMerge w:val="continue"/>
            <w:vAlign w:val="center"/>
          </w:tcPr>
          <w:p w14:paraId="4E83BE7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p>
        </w:tc>
        <w:tc>
          <w:tcPr>
            <w:tcW w:w="703" w:type="pct"/>
            <w:gridSpan w:val="2"/>
            <w:vAlign w:val="center"/>
          </w:tcPr>
          <w:p w14:paraId="2F2E74B5">
            <w:pPr>
              <w:keepNext w:val="0"/>
              <w:keepLines w:val="0"/>
              <w:widowControl/>
              <w:suppressLineNumbers w:val="0"/>
              <w:jc w:val="center"/>
              <w:rPr>
                <w:rFonts w:hint="default" w:ascii="Times New Roman" w:hAnsi="Times New Roman" w:cs="Times New Roman"/>
                <w:b w:val="0"/>
                <w:bCs/>
                <w:snapToGrid w:val="0"/>
                <w:color w:val="auto"/>
                <w:kern w:val="21"/>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铝合金边角料</w:t>
            </w:r>
          </w:p>
        </w:tc>
        <w:tc>
          <w:tcPr>
            <w:tcW w:w="510" w:type="pct"/>
            <w:vAlign w:val="center"/>
          </w:tcPr>
          <w:p w14:paraId="2440144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color w:val="auto"/>
                <w:sz w:val="21"/>
                <w:szCs w:val="21"/>
                <w:highlight w:val="none"/>
              </w:rPr>
              <w:t>/</w:t>
            </w:r>
          </w:p>
        </w:tc>
        <w:tc>
          <w:tcPr>
            <w:tcW w:w="444" w:type="pct"/>
            <w:vAlign w:val="center"/>
          </w:tcPr>
          <w:p w14:paraId="4957B1E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color w:val="auto"/>
                <w:sz w:val="21"/>
                <w:szCs w:val="21"/>
                <w:highlight w:val="none"/>
              </w:rPr>
              <w:t>/</w:t>
            </w:r>
          </w:p>
        </w:tc>
        <w:tc>
          <w:tcPr>
            <w:tcW w:w="556" w:type="pct"/>
            <w:vAlign w:val="center"/>
          </w:tcPr>
          <w:p w14:paraId="4451B6C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color w:val="auto"/>
                <w:sz w:val="21"/>
                <w:szCs w:val="21"/>
                <w:highlight w:val="none"/>
              </w:rPr>
              <w:t>/</w:t>
            </w:r>
          </w:p>
        </w:tc>
        <w:tc>
          <w:tcPr>
            <w:tcW w:w="599" w:type="pct"/>
            <w:vAlign w:val="center"/>
          </w:tcPr>
          <w:p w14:paraId="0DDDB66E">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0.4</w:t>
            </w:r>
            <w:r>
              <w:rPr>
                <w:rFonts w:hint="default" w:ascii="Times New Roman" w:hAnsi="Times New Roman" w:cs="Times New Roman"/>
                <w:b w:val="0"/>
                <w:bCs/>
                <w:snapToGrid w:val="0"/>
                <w:color w:val="auto"/>
                <w:kern w:val="21"/>
                <w:sz w:val="21"/>
                <w:szCs w:val="21"/>
                <w:highlight w:val="none"/>
              </w:rPr>
              <w:t>t/a</w:t>
            </w:r>
          </w:p>
        </w:tc>
        <w:tc>
          <w:tcPr>
            <w:tcW w:w="502" w:type="pct"/>
            <w:vAlign w:val="center"/>
          </w:tcPr>
          <w:p w14:paraId="0DAC4E0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263A925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0.4</w:t>
            </w:r>
            <w:r>
              <w:rPr>
                <w:rFonts w:hint="default" w:ascii="Times New Roman" w:hAnsi="Times New Roman" w:cs="Times New Roman"/>
                <w:b w:val="0"/>
                <w:bCs/>
                <w:snapToGrid w:val="0"/>
                <w:color w:val="auto"/>
                <w:kern w:val="21"/>
                <w:sz w:val="21"/>
                <w:szCs w:val="21"/>
                <w:highlight w:val="none"/>
              </w:rPr>
              <w:t>t/a</w:t>
            </w:r>
          </w:p>
        </w:tc>
        <w:tc>
          <w:tcPr>
            <w:tcW w:w="515" w:type="pct"/>
            <w:vAlign w:val="center"/>
          </w:tcPr>
          <w:p w14:paraId="300C58F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+0.4</w:t>
            </w:r>
            <w:r>
              <w:rPr>
                <w:rFonts w:hint="default" w:ascii="Times New Roman" w:hAnsi="Times New Roman" w:cs="Times New Roman"/>
                <w:b w:val="0"/>
                <w:bCs/>
                <w:snapToGrid w:val="0"/>
                <w:color w:val="auto"/>
                <w:kern w:val="21"/>
                <w:sz w:val="21"/>
                <w:szCs w:val="21"/>
                <w:highlight w:val="none"/>
              </w:rPr>
              <w:t>t/a</w:t>
            </w:r>
          </w:p>
        </w:tc>
      </w:tr>
      <w:tr w14:paraId="428B7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6" w:type="pct"/>
            <w:vMerge w:val="restart"/>
            <w:vAlign w:val="center"/>
          </w:tcPr>
          <w:p w14:paraId="5C195D4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危险废物</w:t>
            </w:r>
          </w:p>
        </w:tc>
        <w:tc>
          <w:tcPr>
            <w:tcW w:w="703" w:type="pct"/>
            <w:gridSpan w:val="2"/>
            <w:vAlign w:val="center"/>
          </w:tcPr>
          <w:p w14:paraId="541D9676">
            <w:pPr>
              <w:keepNext w:val="0"/>
              <w:keepLines w:val="0"/>
              <w:widowControl/>
              <w:suppressLineNumbers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废胶桶</w:t>
            </w:r>
          </w:p>
        </w:tc>
        <w:tc>
          <w:tcPr>
            <w:tcW w:w="510" w:type="pct"/>
            <w:vAlign w:val="center"/>
          </w:tcPr>
          <w:p w14:paraId="0E220E5A">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w:t>
            </w:r>
          </w:p>
        </w:tc>
        <w:tc>
          <w:tcPr>
            <w:tcW w:w="444" w:type="pct"/>
            <w:vAlign w:val="center"/>
          </w:tcPr>
          <w:p w14:paraId="4B8D523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w:t>
            </w:r>
          </w:p>
        </w:tc>
        <w:tc>
          <w:tcPr>
            <w:tcW w:w="556" w:type="pct"/>
            <w:vAlign w:val="center"/>
          </w:tcPr>
          <w:p w14:paraId="0798A2D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w:t>
            </w:r>
          </w:p>
        </w:tc>
        <w:tc>
          <w:tcPr>
            <w:tcW w:w="599" w:type="pct"/>
            <w:vAlign w:val="center"/>
          </w:tcPr>
          <w:p w14:paraId="05ABB9D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2</w:t>
            </w:r>
            <w:r>
              <w:rPr>
                <w:rFonts w:hint="default" w:ascii="Times New Roman" w:hAnsi="Times New Roman" w:cs="Times New Roman"/>
                <w:b w:val="0"/>
                <w:bCs/>
                <w:snapToGrid w:val="0"/>
                <w:color w:val="auto"/>
                <w:kern w:val="21"/>
                <w:sz w:val="21"/>
                <w:szCs w:val="21"/>
                <w:highlight w:val="none"/>
              </w:rPr>
              <w:t>t/a</w:t>
            </w:r>
          </w:p>
        </w:tc>
        <w:tc>
          <w:tcPr>
            <w:tcW w:w="502" w:type="pct"/>
            <w:vAlign w:val="center"/>
          </w:tcPr>
          <w:p w14:paraId="28046B1B">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4C8DBF0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2</w:t>
            </w:r>
            <w:r>
              <w:rPr>
                <w:rFonts w:hint="default" w:ascii="Times New Roman" w:hAnsi="Times New Roman" w:cs="Times New Roman"/>
                <w:b w:val="0"/>
                <w:bCs/>
                <w:snapToGrid w:val="0"/>
                <w:color w:val="auto"/>
                <w:kern w:val="21"/>
                <w:sz w:val="21"/>
                <w:szCs w:val="21"/>
                <w:highlight w:val="none"/>
              </w:rPr>
              <w:t>t/a</w:t>
            </w:r>
          </w:p>
        </w:tc>
        <w:tc>
          <w:tcPr>
            <w:tcW w:w="515" w:type="pct"/>
            <w:vAlign w:val="center"/>
          </w:tcPr>
          <w:p w14:paraId="74E64FA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+2</w:t>
            </w:r>
            <w:r>
              <w:rPr>
                <w:rFonts w:hint="default" w:ascii="Times New Roman" w:hAnsi="Times New Roman" w:cs="Times New Roman"/>
                <w:b w:val="0"/>
                <w:bCs/>
                <w:snapToGrid w:val="0"/>
                <w:color w:val="auto"/>
                <w:kern w:val="21"/>
                <w:sz w:val="21"/>
                <w:szCs w:val="21"/>
                <w:highlight w:val="none"/>
              </w:rPr>
              <w:t>t/a</w:t>
            </w:r>
          </w:p>
        </w:tc>
      </w:tr>
      <w:tr w14:paraId="50585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6" w:type="pct"/>
            <w:vMerge w:val="continue"/>
            <w:vAlign w:val="center"/>
          </w:tcPr>
          <w:p w14:paraId="570A74E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p>
        </w:tc>
        <w:tc>
          <w:tcPr>
            <w:tcW w:w="703" w:type="pct"/>
            <w:gridSpan w:val="2"/>
            <w:vAlign w:val="center"/>
          </w:tcPr>
          <w:p w14:paraId="003C556E">
            <w:pPr>
              <w:keepNext w:val="0"/>
              <w:keepLines w:val="0"/>
              <w:widowControl/>
              <w:suppressLineNumbers w:val="0"/>
              <w:jc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cs="Times New Roman"/>
                <w:b w:val="0"/>
                <w:bCs/>
                <w:color w:val="auto"/>
                <w:kern w:val="0"/>
                <w:sz w:val="21"/>
                <w:szCs w:val="21"/>
                <w:highlight w:val="none"/>
                <w:lang w:val="en-US" w:eastAsia="zh-CN" w:bidi="ar"/>
              </w:rPr>
              <w:t>废机油</w:t>
            </w:r>
            <w:r>
              <w:rPr>
                <w:rFonts w:hint="default" w:ascii="Times New Roman" w:hAnsi="Times New Roman" w:eastAsia="宋体" w:cs="Times New Roman"/>
                <w:b w:val="0"/>
                <w:bCs/>
                <w:color w:val="auto"/>
                <w:kern w:val="0"/>
                <w:sz w:val="21"/>
                <w:szCs w:val="21"/>
                <w:highlight w:val="none"/>
                <w:lang w:val="en-US" w:eastAsia="zh-CN" w:bidi="ar"/>
              </w:rPr>
              <w:t>桶</w:t>
            </w:r>
          </w:p>
        </w:tc>
        <w:tc>
          <w:tcPr>
            <w:tcW w:w="510" w:type="pct"/>
            <w:vAlign w:val="center"/>
          </w:tcPr>
          <w:p w14:paraId="13D4FCF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444" w:type="pct"/>
            <w:vAlign w:val="center"/>
          </w:tcPr>
          <w:p w14:paraId="6243F6D5">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556" w:type="pct"/>
            <w:vAlign w:val="center"/>
          </w:tcPr>
          <w:p w14:paraId="2730D0C6">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color w:val="auto"/>
                <w:sz w:val="21"/>
                <w:szCs w:val="21"/>
                <w:highlight w:val="none"/>
              </w:rPr>
            </w:pPr>
          </w:p>
        </w:tc>
        <w:tc>
          <w:tcPr>
            <w:tcW w:w="599" w:type="pct"/>
            <w:vAlign w:val="center"/>
          </w:tcPr>
          <w:p w14:paraId="3841AC9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cs="Times New Roman"/>
                <w:b w:val="0"/>
                <w:bCs/>
                <w:snapToGrid w:val="0"/>
                <w:color w:val="auto"/>
                <w:kern w:val="21"/>
                <w:sz w:val="21"/>
                <w:szCs w:val="21"/>
                <w:highlight w:val="none"/>
                <w:lang w:val="en-US" w:eastAsia="zh-CN"/>
              </w:rPr>
              <w:t>0.02t/a</w:t>
            </w:r>
          </w:p>
        </w:tc>
        <w:tc>
          <w:tcPr>
            <w:tcW w:w="502" w:type="pct"/>
            <w:vAlign w:val="center"/>
          </w:tcPr>
          <w:p w14:paraId="0814273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p>
        </w:tc>
        <w:tc>
          <w:tcPr>
            <w:tcW w:w="621" w:type="pct"/>
            <w:vAlign w:val="center"/>
          </w:tcPr>
          <w:p w14:paraId="13545A9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0.02t/a</w:t>
            </w:r>
          </w:p>
        </w:tc>
        <w:tc>
          <w:tcPr>
            <w:tcW w:w="515" w:type="pct"/>
            <w:vAlign w:val="center"/>
          </w:tcPr>
          <w:p w14:paraId="4EDA52A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+0.02t/a</w:t>
            </w:r>
          </w:p>
        </w:tc>
      </w:tr>
      <w:tr w14:paraId="5C229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6" w:type="pct"/>
            <w:vMerge w:val="continue"/>
            <w:vAlign w:val="center"/>
          </w:tcPr>
          <w:p w14:paraId="06FFB5AF">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p>
        </w:tc>
        <w:tc>
          <w:tcPr>
            <w:tcW w:w="703" w:type="pct"/>
            <w:gridSpan w:val="2"/>
            <w:vAlign w:val="center"/>
          </w:tcPr>
          <w:p w14:paraId="7D65B045">
            <w:pPr>
              <w:keepNext w:val="0"/>
              <w:keepLines w:val="0"/>
              <w:widowControl/>
              <w:suppressLineNumbers w:val="0"/>
              <w:jc w:val="center"/>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color w:val="auto"/>
                <w:kern w:val="0"/>
                <w:sz w:val="21"/>
                <w:szCs w:val="21"/>
                <w:highlight w:val="none"/>
                <w:lang w:val="en-US" w:eastAsia="zh-CN" w:bidi="ar"/>
              </w:rPr>
              <w:t>废机油</w:t>
            </w:r>
          </w:p>
        </w:tc>
        <w:tc>
          <w:tcPr>
            <w:tcW w:w="510" w:type="pct"/>
            <w:vAlign w:val="center"/>
          </w:tcPr>
          <w:p w14:paraId="412852A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444" w:type="pct"/>
            <w:vAlign w:val="center"/>
          </w:tcPr>
          <w:p w14:paraId="42F7E02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56" w:type="pct"/>
            <w:vAlign w:val="center"/>
          </w:tcPr>
          <w:p w14:paraId="3A5F324D">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w:t>
            </w:r>
          </w:p>
        </w:tc>
        <w:tc>
          <w:tcPr>
            <w:tcW w:w="599" w:type="pct"/>
            <w:vAlign w:val="center"/>
          </w:tcPr>
          <w:p w14:paraId="711990A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0.32</w:t>
            </w:r>
            <w:r>
              <w:rPr>
                <w:rFonts w:hint="default" w:ascii="Times New Roman" w:hAnsi="Times New Roman" w:cs="Times New Roman"/>
                <w:b w:val="0"/>
                <w:bCs/>
                <w:snapToGrid w:val="0"/>
                <w:color w:val="auto"/>
                <w:kern w:val="21"/>
                <w:sz w:val="21"/>
                <w:szCs w:val="21"/>
                <w:highlight w:val="none"/>
              </w:rPr>
              <w:t>t/a</w:t>
            </w:r>
          </w:p>
        </w:tc>
        <w:tc>
          <w:tcPr>
            <w:tcW w:w="502" w:type="pct"/>
            <w:vAlign w:val="center"/>
          </w:tcPr>
          <w:p w14:paraId="7CCF715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3D3B2D08">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0.32</w:t>
            </w:r>
            <w:r>
              <w:rPr>
                <w:rFonts w:hint="default" w:ascii="Times New Roman" w:hAnsi="Times New Roman" w:cs="Times New Roman"/>
                <w:b w:val="0"/>
                <w:bCs/>
                <w:snapToGrid w:val="0"/>
                <w:color w:val="auto"/>
                <w:kern w:val="21"/>
                <w:sz w:val="21"/>
                <w:szCs w:val="21"/>
                <w:highlight w:val="none"/>
              </w:rPr>
              <w:t>t/a</w:t>
            </w:r>
          </w:p>
        </w:tc>
        <w:tc>
          <w:tcPr>
            <w:tcW w:w="515" w:type="pct"/>
            <w:vAlign w:val="center"/>
          </w:tcPr>
          <w:p w14:paraId="223B6872">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firstLineChars="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lang w:val="en-US" w:eastAsia="zh-CN"/>
              </w:rPr>
              <w:t>+0.32</w:t>
            </w:r>
            <w:r>
              <w:rPr>
                <w:rFonts w:hint="default" w:ascii="Times New Roman" w:hAnsi="Times New Roman" w:cs="Times New Roman"/>
                <w:b w:val="0"/>
                <w:bCs/>
                <w:snapToGrid w:val="0"/>
                <w:color w:val="auto"/>
                <w:kern w:val="21"/>
                <w:sz w:val="21"/>
                <w:szCs w:val="21"/>
                <w:highlight w:val="none"/>
              </w:rPr>
              <w:t>t/a</w:t>
            </w:r>
          </w:p>
        </w:tc>
      </w:tr>
      <w:tr w14:paraId="5A722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46" w:type="pct"/>
            <w:vMerge w:val="continue"/>
            <w:vAlign w:val="center"/>
          </w:tcPr>
          <w:p w14:paraId="6C52E47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p>
        </w:tc>
        <w:tc>
          <w:tcPr>
            <w:tcW w:w="703" w:type="pct"/>
            <w:gridSpan w:val="2"/>
            <w:vAlign w:val="center"/>
          </w:tcPr>
          <w:p w14:paraId="431309FC">
            <w:pPr>
              <w:keepNext w:val="0"/>
              <w:keepLines w:val="0"/>
              <w:widowControl/>
              <w:suppressLineNumbers w:val="0"/>
              <w:jc w:val="center"/>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废活性炭</w:t>
            </w:r>
          </w:p>
        </w:tc>
        <w:tc>
          <w:tcPr>
            <w:tcW w:w="510" w:type="pct"/>
            <w:vAlign w:val="center"/>
          </w:tcPr>
          <w:p w14:paraId="4C72EC47">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color w:val="auto"/>
                <w:sz w:val="21"/>
                <w:szCs w:val="21"/>
                <w:highlight w:val="none"/>
              </w:rPr>
              <w:t>/</w:t>
            </w:r>
          </w:p>
        </w:tc>
        <w:tc>
          <w:tcPr>
            <w:tcW w:w="444" w:type="pct"/>
            <w:vAlign w:val="center"/>
          </w:tcPr>
          <w:p w14:paraId="6FDF3090">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color w:val="auto"/>
                <w:sz w:val="21"/>
                <w:szCs w:val="21"/>
                <w:highlight w:val="none"/>
              </w:rPr>
              <w:t>/</w:t>
            </w:r>
          </w:p>
        </w:tc>
        <w:tc>
          <w:tcPr>
            <w:tcW w:w="556" w:type="pct"/>
            <w:vAlign w:val="center"/>
          </w:tcPr>
          <w:p w14:paraId="6056FD2C">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color w:val="auto"/>
                <w:sz w:val="21"/>
                <w:szCs w:val="21"/>
                <w:highlight w:val="none"/>
              </w:rPr>
              <w:t>/</w:t>
            </w:r>
          </w:p>
        </w:tc>
        <w:tc>
          <w:tcPr>
            <w:tcW w:w="599" w:type="pct"/>
            <w:vAlign w:val="center"/>
          </w:tcPr>
          <w:p w14:paraId="043B5A61">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eastAsia" w:ascii="Times New Roman" w:cs="Times New Roman"/>
                <w:b w:val="0"/>
                <w:bCs/>
                <w:snapToGrid w:val="0"/>
                <w:color w:val="auto"/>
                <w:kern w:val="21"/>
                <w:sz w:val="21"/>
                <w:szCs w:val="21"/>
                <w:highlight w:val="none"/>
                <w:lang w:val="en-US" w:eastAsia="zh-CN"/>
              </w:rPr>
              <w:t>13.82t/a</w:t>
            </w:r>
          </w:p>
        </w:tc>
        <w:tc>
          <w:tcPr>
            <w:tcW w:w="502" w:type="pct"/>
            <w:vAlign w:val="center"/>
          </w:tcPr>
          <w:p w14:paraId="7406E319">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default" w:ascii="Times New Roman" w:hAnsi="Times New Roman" w:cs="Times New Roman"/>
                <w:b w:val="0"/>
                <w:bCs/>
                <w:snapToGrid w:val="0"/>
                <w:color w:val="auto"/>
                <w:kern w:val="21"/>
                <w:sz w:val="21"/>
                <w:szCs w:val="21"/>
                <w:highlight w:val="none"/>
              </w:rPr>
              <w:t>0</w:t>
            </w:r>
          </w:p>
        </w:tc>
        <w:tc>
          <w:tcPr>
            <w:tcW w:w="621" w:type="pct"/>
            <w:vAlign w:val="center"/>
          </w:tcPr>
          <w:p w14:paraId="47432833">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cs="Times New Roman"/>
                <w:b w:val="0"/>
                <w:bCs/>
                <w:snapToGrid w:val="0"/>
                <w:color w:val="auto"/>
                <w:kern w:val="21"/>
                <w:sz w:val="21"/>
                <w:szCs w:val="21"/>
                <w:highlight w:val="none"/>
              </w:rPr>
            </w:pPr>
            <w:r>
              <w:rPr>
                <w:rFonts w:hint="eastAsia" w:ascii="Times New Roman" w:cs="Times New Roman"/>
                <w:b w:val="0"/>
                <w:bCs/>
                <w:snapToGrid w:val="0"/>
                <w:color w:val="auto"/>
                <w:kern w:val="21"/>
                <w:sz w:val="21"/>
                <w:szCs w:val="21"/>
                <w:highlight w:val="none"/>
                <w:lang w:val="en-US" w:eastAsia="zh-CN"/>
              </w:rPr>
              <w:t>13.82t/a</w:t>
            </w:r>
          </w:p>
        </w:tc>
        <w:tc>
          <w:tcPr>
            <w:tcW w:w="515" w:type="pct"/>
            <w:vAlign w:val="center"/>
          </w:tcPr>
          <w:p w14:paraId="7669F894">
            <w:pPr>
              <w:pStyle w:val="33"/>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right="0" w:rightChars="0" w:firstLine="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cs="Times New Roman"/>
                <w:b w:val="0"/>
                <w:bCs/>
                <w:snapToGrid w:val="0"/>
                <w:color w:val="auto"/>
                <w:kern w:val="21"/>
                <w:sz w:val="21"/>
                <w:szCs w:val="21"/>
                <w:highlight w:val="none"/>
                <w:lang w:val="en-US" w:eastAsia="zh-CN"/>
              </w:rPr>
              <w:t>+</w:t>
            </w:r>
            <w:r>
              <w:rPr>
                <w:rFonts w:hint="eastAsia" w:ascii="Times New Roman" w:cs="Times New Roman"/>
                <w:b w:val="0"/>
                <w:bCs/>
                <w:snapToGrid w:val="0"/>
                <w:color w:val="auto"/>
                <w:kern w:val="21"/>
                <w:sz w:val="21"/>
                <w:szCs w:val="21"/>
                <w:highlight w:val="none"/>
                <w:lang w:val="en-US" w:eastAsia="zh-CN"/>
              </w:rPr>
              <w:t>13.82t/a</w:t>
            </w:r>
          </w:p>
        </w:tc>
      </w:tr>
    </w:tbl>
    <w:p w14:paraId="52FCFD8B">
      <w:pPr>
        <w:pStyle w:val="33"/>
        <w:spacing w:before="192" w:beforeLines="80" w:after="24"/>
        <w:jc w:val="left"/>
        <w:rPr>
          <w:rFonts w:hint="default" w:ascii="Times New Roman" w:hAnsi="Times New Roman" w:cs="Times New Roman"/>
          <w:b w:val="0"/>
          <w:bCs/>
          <w:color w:val="auto"/>
          <w:highlight w:val="none"/>
        </w:rPr>
      </w:pPr>
      <w:r>
        <w:rPr>
          <w:rFonts w:hint="default" w:ascii="Times New Roman" w:hAnsi="Times New Roman" w:cs="Times New Roman"/>
          <w:b w:val="0"/>
          <w:bCs/>
          <w:snapToGrid w:val="0"/>
          <w:color w:val="auto"/>
          <w:kern w:val="21"/>
          <w:szCs w:val="21"/>
          <w:highlight w:val="none"/>
        </w:rPr>
        <w:t>注：</w:t>
      </w:r>
      <w:r>
        <w:rPr>
          <w:rFonts w:hint="default" w:ascii="Times New Roman" w:hAnsi="Times New Roman" w:cs="Times New Roman"/>
          <w:b w:val="0"/>
          <w:bCs/>
          <w:snapToGrid w:val="0"/>
          <w:color w:val="auto"/>
          <w:spacing w:val="-16"/>
          <w:kern w:val="21"/>
          <w:szCs w:val="21"/>
          <w:highlight w:val="none"/>
        </w:rPr>
        <w:fldChar w:fldCharType="begin"/>
      </w:r>
      <w:r>
        <w:rPr>
          <w:rFonts w:hint="default" w:ascii="Times New Roman" w:hAnsi="Times New Roman" w:cs="Times New Roman"/>
          <w:b w:val="0"/>
          <w:bCs/>
          <w:snapToGrid w:val="0"/>
          <w:color w:val="auto"/>
          <w:spacing w:val="-16"/>
          <w:kern w:val="21"/>
          <w:szCs w:val="21"/>
          <w:highlight w:val="none"/>
        </w:rPr>
        <w:instrText xml:space="preserve"> = 6 \* GB3 \* MERGEFORMAT </w:instrText>
      </w:r>
      <w:r>
        <w:rPr>
          <w:rFonts w:hint="default" w:ascii="Times New Roman" w:hAnsi="Times New Roman" w:cs="Times New Roman"/>
          <w:b w:val="0"/>
          <w:bCs/>
          <w:snapToGrid w:val="0"/>
          <w:color w:val="auto"/>
          <w:spacing w:val="-16"/>
          <w:kern w:val="21"/>
          <w:szCs w:val="21"/>
          <w:highlight w:val="none"/>
        </w:rPr>
        <w:fldChar w:fldCharType="separate"/>
      </w:r>
      <w:r>
        <w:rPr>
          <w:rFonts w:hint="default" w:ascii="Times New Roman" w:hAnsi="Times New Roman" w:cs="Times New Roman"/>
          <w:b w:val="0"/>
          <w:bCs/>
          <w:color w:val="auto"/>
          <w:szCs w:val="21"/>
          <w:highlight w:val="none"/>
        </w:rPr>
        <w:t>⑥</w:t>
      </w:r>
      <w:r>
        <w:rPr>
          <w:rFonts w:hint="default" w:ascii="Times New Roman" w:hAnsi="Times New Roman" w:cs="Times New Roman"/>
          <w:b w:val="0"/>
          <w:bCs/>
          <w:snapToGrid w:val="0"/>
          <w:color w:val="auto"/>
          <w:spacing w:val="-16"/>
          <w:kern w:val="21"/>
          <w:szCs w:val="21"/>
          <w:highlight w:val="none"/>
        </w:rPr>
        <w:fldChar w:fldCharType="end"/>
      </w:r>
      <w:r>
        <w:rPr>
          <w:rFonts w:hint="default" w:ascii="Times New Roman" w:hAnsi="Times New Roman" w:cs="Times New Roman"/>
          <w:b w:val="0"/>
          <w:bCs/>
          <w:snapToGrid w:val="0"/>
          <w:color w:val="auto"/>
          <w:spacing w:val="-16"/>
          <w:kern w:val="21"/>
          <w:szCs w:val="21"/>
          <w:highlight w:val="none"/>
        </w:rPr>
        <w:t>=</w:t>
      </w:r>
      <w:r>
        <w:rPr>
          <w:rFonts w:hint="default" w:ascii="Times New Roman" w:hAnsi="Times New Roman" w:cs="Times New Roman"/>
          <w:b w:val="0"/>
          <w:bCs/>
          <w:snapToGrid w:val="0"/>
          <w:color w:val="auto"/>
          <w:spacing w:val="-6"/>
          <w:kern w:val="21"/>
          <w:szCs w:val="21"/>
          <w:highlight w:val="none"/>
        </w:rPr>
        <w:fldChar w:fldCharType="begin"/>
      </w:r>
      <w:r>
        <w:rPr>
          <w:rFonts w:hint="default" w:ascii="Times New Roman" w:hAnsi="Times New Roman" w:cs="Times New Roman"/>
          <w:b w:val="0"/>
          <w:bCs/>
          <w:snapToGrid w:val="0"/>
          <w:color w:val="auto"/>
          <w:spacing w:val="-6"/>
          <w:kern w:val="21"/>
          <w:szCs w:val="21"/>
          <w:highlight w:val="none"/>
        </w:rPr>
        <w:instrText xml:space="preserve"> = 1 \* GB3 \* MERGEFORMAT </w:instrText>
      </w:r>
      <w:r>
        <w:rPr>
          <w:rFonts w:hint="default" w:ascii="Times New Roman" w:hAnsi="Times New Roman" w:cs="Times New Roman"/>
          <w:b w:val="0"/>
          <w:bCs/>
          <w:snapToGrid w:val="0"/>
          <w:color w:val="auto"/>
          <w:spacing w:val="-6"/>
          <w:kern w:val="21"/>
          <w:szCs w:val="21"/>
          <w:highlight w:val="none"/>
        </w:rPr>
        <w:fldChar w:fldCharType="separate"/>
      </w:r>
      <w:r>
        <w:rPr>
          <w:rFonts w:hint="default" w:ascii="Times New Roman" w:hAnsi="Times New Roman" w:cs="Times New Roman"/>
          <w:b w:val="0"/>
          <w:bCs/>
          <w:color w:val="auto"/>
          <w:szCs w:val="21"/>
          <w:highlight w:val="none"/>
        </w:rPr>
        <w:t>①</w:t>
      </w:r>
      <w:r>
        <w:rPr>
          <w:rFonts w:hint="default" w:ascii="Times New Roman" w:hAnsi="Times New Roman" w:cs="Times New Roman"/>
          <w:b w:val="0"/>
          <w:bCs/>
          <w:snapToGrid w:val="0"/>
          <w:color w:val="auto"/>
          <w:spacing w:val="-6"/>
          <w:kern w:val="21"/>
          <w:szCs w:val="21"/>
          <w:highlight w:val="none"/>
        </w:rPr>
        <w:fldChar w:fldCharType="end"/>
      </w:r>
      <w:r>
        <w:rPr>
          <w:rFonts w:hint="default" w:ascii="Times New Roman" w:hAnsi="Times New Roman" w:cs="Times New Roman"/>
          <w:b w:val="0"/>
          <w:bCs/>
          <w:snapToGrid w:val="0"/>
          <w:color w:val="auto"/>
          <w:spacing w:val="-6"/>
          <w:kern w:val="21"/>
          <w:szCs w:val="21"/>
          <w:highlight w:val="none"/>
        </w:rPr>
        <w:t>+</w:t>
      </w:r>
      <w:r>
        <w:rPr>
          <w:rFonts w:hint="default" w:ascii="Times New Roman" w:hAnsi="Times New Roman" w:cs="Times New Roman"/>
          <w:b w:val="0"/>
          <w:bCs/>
          <w:snapToGrid w:val="0"/>
          <w:color w:val="auto"/>
          <w:spacing w:val="-6"/>
          <w:kern w:val="21"/>
          <w:szCs w:val="21"/>
          <w:highlight w:val="none"/>
        </w:rPr>
        <w:fldChar w:fldCharType="begin"/>
      </w:r>
      <w:r>
        <w:rPr>
          <w:rFonts w:hint="default" w:ascii="Times New Roman" w:hAnsi="Times New Roman" w:cs="Times New Roman"/>
          <w:b w:val="0"/>
          <w:bCs/>
          <w:snapToGrid w:val="0"/>
          <w:color w:val="auto"/>
          <w:spacing w:val="-6"/>
          <w:kern w:val="21"/>
          <w:szCs w:val="21"/>
          <w:highlight w:val="none"/>
        </w:rPr>
        <w:instrText xml:space="preserve"> = 3 \* GB3 \* MERGEFORMAT </w:instrText>
      </w:r>
      <w:r>
        <w:rPr>
          <w:rFonts w:hint="default" w:ascii="Times New Roman" w:hAnsi="Times New Roman" w:cs="Times New Roman"/>
          <w:b w:val="0"/>
          <w:bCs/>
          <w:snapToGrid w:val="0"/>
          <w:color w:val="auto"/>
          <w:spacing w:val="-6"/>
          <w:kern w:val="21"/>
          <w:szCs w:val="21"/>
          <w:highlight w:val="none"/>
        </w:rPr>
        <w:fldChar w:fldCharType="separate"/>
      </w:r>
      <w:r>
        <w:rPr>
          <w:rFonts w:hint="default" w:ascii="Times New Roman" w:hAnsi="Times New Roman" w:cs="Times New Roman"/>
          <w:b w:val="0"/>
          <w:bCs/>
          <w:color w:val="auto"/>
          <w:szCs w:val="21"/>
          <w:highlight w:val="none"/>
        </w:rPr>
        <w:t>③</w:t>
      </w:r>
      <w:r>
        <w:rPr>
          <w:rFonts w:hint="default" w:ascii="Times New Roman" w:hAnsi="Times New Roman" w:cs="Times New Roman"/>
          <w:b w:val="0"/>
          <w:bCs/>
          <w:snapToGrid w:val="0"/>
          <w:color w:val="auto"/>
          <w:spacing w:val="-6"/>
          <w:kern w:val="21"/>
          <w:szCs w:val="21"/>
          <w:highlight w:val="none"/>
        </w:rPr>
        <w:fldChar w:fldCharType="end"/>
      </w:r>
      <w:r>
        <w:rPr>
          <w:rFonts w:hint="default" w:ascii="Times New Roman" w:hAnsi="Times New Roman" w:cs="Times New Roman"/>
          <w:b w:val="0"/>
          <w:bCs/>
          <w:snapToGrid w:val="0"/>
          <w:color w:val="auto"/>
          <w:spacing w:val="-6"/>
          <w:kern w:val="21"/>
          <w:szCs w:val="21"/>
          <w:highlight w:val="none"/>
        </w:rPr>
        <w:t>+</w:t>
      </w:r>
      <w:r>
        <w:rPr>
          <w:rFonts w:hint="default" w:ascii="Times New Roman" w:hAnsi="Times New Roman" w:cs="Times New Roman"/>
          <w:b w:val="0"/>
          <w:bCs/>
          <w:snapToGrid w:val="0"/>
          <w:color w:val="auto"/>
          <w:spacing w:val="-6"/>
          <w:kern w:val="21"/>
          <w:szCs w:val="21"/>
          <w:highlight w:val="none"/>
        </w:rPr>
        <w:fldChar w:fldCharType="begin"/>
      </w:r>
      <w:r>
        <w:rPr>
          <w:rFonts w:hint="default" w:ascii="Times New Roman" w:hAnsi="Times New Roman" w:cs="Times New Roman"/>
          <w:b w:val="0"/>
          <w:bCs/>
          <w:snapToGrid w:val="0"/>
          <w:color w:val="auto"/>
          <w:spacing w:val="-6"/>
          <w:kern w:val="21"/>
          <w:szCs w:val="21"/>
          <w:highlight w:val="none"/>
        </w:rPr>
        <w:instrText xml:space="preserve"> = 4 \* GB3 \* MERGEFORMAT </w:instrText>
      </w:r>
      <w:r>
        <w:rPr>
          <w:rFonts w:hint="default" w:ascii="Times New Roman" w:hAnsi="Times New Roman" w:cs="Times New Roman"/>
          <w:b w:val="0"/>
          <w:bCs/>
          <w:snapToGrid w:val="0"/>
          <w:color w:val="auto"/>
          <w:spacing w:val="-6"/>
          <w:kern w:val="21"/>
          <w:szCs w:val="21"/>
          <w:highlight w:val="none"/>
        </w:rPr>
        <w:fldChar w:fldCharType="separate"/>
      </w:r>
      <w:r>
        <w:rPr>
          <w:rFonts w:hint="default" w:ascii="Times New Roman" w:hAnsi="Times New Roman" w:cs="Times New Roman"/>
          <w:b w:val="0"/>
          <w:bCs/>
          <w:color w:val="auto"/>
          <w:szCs w:val="21"/>
          <w:highlight w:val="none"/>
        </w:rPr>
        <w:t>④</w:t>
      </w:r>
      <w:r>
        <w:rPr>
          <w:rFonts w:hint="default" w:ascii="Times New Roman" w:hAnsi="Times New Roman" w:cs="Times New Roman"/>
          <w:b w:val="0"/>
          <w:bCs/>
          <w:snapToGrid w:val="0"/>
          <w:color w:val="auto"/>
          <w:spacing w:val="-6"/>
          <w:kern w:val="21"/>
          <w:szCs w:val="21"/>
          <w:highlight w:val="none"/>
        </w:rPr>
        <w:fldChar w:fldCharType="end"/>
      </w:r>
      <w:r>
        <w:rPr>
          <w:rFonts w:hint="default" w:ascii="Times New Roman" w:hAnsi="Times New Roman" w:cs="Times New Roman"/>
          <w:b w:val="0"/>
          <w:bCs/>
          <w:snapToGrid w:val="0"/>
          <w:color w:val="auto"/>
          <w:spacing w:val="-6"/>
          <w:kern w:val="21"/>
          <w:szCs w:val="21"/>
          <w:highlight w:val="none"/>
        </w:rPr>
        <w:t>-</w:t>
      </w:r>
      <w:r>
        <w:rPr>
          <w:rFonts w:hint="default" w:ascii="Times New Roman" w:hAnsi="Times New Roman" w:cs="Times New Roman"/>
          <w:b w:val="0"/>
          <w:bCs/>
          <w:snapToGrid w:val="0"/>
          <w:color w:val="auto"/>
          <w:spacing w:val="-16"/>
          <w:kern w:val="21"/>
          <w:szCs w:val="21"/>
          <w:highlight w:val="none"/>
        </w:rPr>
        <w:fldChar w:fldCharType="begin"/>
      </w:r>
      <w:r>
        <w:rPr>
          <w:rFonts w:hint="default" w:ascii="Times New Roman" w:hAnsi="Times New Roman" w:cs="Times New Roman"/>
          <w:b w:val="0"/>
          <w:bCs/>
          <w:snapToGrid w:val="0"/>
          <w:color w:val="auto"/>
          <w:spacing w:val="-16"/>
          <w:kern w:val="21"/>
          <w:szCs w:val="21"/>
          <w:highlight w:val="none"/>
        </w:rPr>
        <w:instrText xml:space="preserve"> = 5 \* GB3 \* MERGEFORMAT </w:instrText>
      </w:r>
      <w:r>
        <w:rPr>
          <w:rFonts w:hint="default" w:ascii="Times New Roman" w:hAnsi="Times New Roman" w:cs="Times New Roman"/>
          <w:b w:val="0"/>
          <w:bCs/>
          <w:snapToGrid w:val="0"/>
          <w:color w:val="auto"/>
          <w:spacing w:val="-16"/>
          <w:kern w:val="21"/>
          <w:szCs w:val="21"/>
          <w:highlight w:val="none"/>
        </w:rPr>
        <w:fldChar w:fldCharType="separate"/>
      </w:r>
      <w:r>
        <w:rPr>
          <w:rFonts w:hint="default" w:ascii="Times New Roman" w:hAnsi="Times New Roman" w:cs="Times New Roman"/>
          <w:b w:val="0"/>
          <w:bCs/>
          <w:color w:val="auto"/>
          <w:szCs w:val="21"/>
          <w:highlight w:val="none"/>
        </w:rPr>
        <w:t>⑤</w:t>
      </w:r>
      <w:r>
        <w:rPr>
          <w:rFonts w:hint="default" w:ascii="Times New Roman" w:hAnsi="Times New Roman" w:cs="Times New Roman"/>
          <w:b w:val="0"/>
          <w:bCs/>
          <w:snapToGrid w:val="0"/>
          <w:color w:val="auto"/>
          <w:spacing w:val="-16"/>
          <w:kern w:val="21"/>
          <w:szCs w:val="21"/>
          <w:highlight w:val="none"/>
        </w:rPr>
        <w:fldChar w:fldCharType="end"/>
      </w:r>
      <w:r>
        <w:rPr>
          <w:rFonts w:hint="default" w:ascii="Times New Roman" w:hAnsi="Times New Roman" w:cs="Times New Roman"/>
          <w:b w:val="0"/>
          <w:bCs/>
          <w:snapToGrid w:val="0"/>
          <w:color w:val="auto"/>
          <w:spacing w:val="-16"/>
          <w:kern w:val="21"/>
          <w:szCs w:val="21"/>
          <w:highlight w:val="none"/>
        </w:rPr>
        <w:t>；</w:t>
      </w:r>
      <w:r>
        <w:rPr>
          <w:rFonts w:hint="default" w:ascii="Times New Roman" w:hAnsi="Times New Roman" w:cs="Times New Roman"/>
          <w:b w:val="0"/>
          <w:bCs/>
          <w:snapToGrid w:val="0"/>
          <w:color w:val="auto"/>
          <w:spacing w:val="-6"/>
          <w:kern w:val="21"/>
          <w:szCs w:val="21"/>
          <w:highlight w:val="none"/>
        </w:rPr>
        <w:fldChar w:fldCharType="begin"/>
      </w:r>
      <w:r>
        <w:rPr>
          <w:rFonts w:hint="default" w:ascii="Times New Roman" w:hAnsi="Times New Roman" w:cs="Times New Roman"/>
          <w:b w:val="0"/>
          <w:bCs/>
          <w:snapToGrid w:val="0"/>
          <w:color w:val="auto"/>
          <w:spacing w:val="-6"/>
          <w:kern w:val="21"/>
          <w:szCs w:val="21"/>
          <w:highlight w:val="none"/>
        </w:rPr>
        <w:instrText xml:space="preserve"> = 7 \* GB3 \* MERGEFORMAT </w:instrText>
      </w:r>
      <w:r>
        <w:rPr>
          <w:rFonts w:hint="default" w:ascii="Times New Roman" w:hAnsi="Times New Roman" w:cs="Times New Roman"/>
          <w:b w:val="0"/>
          <w:bCs/>
          <w:snapToGrid w:val="0"/>
          <w:color w:val="auto"/>
          <w:spacing w:val="-6"/>
          <w:kern w:val="21"/>
          <w:szCs w:val="21"/>
          <w:highlight w:val="none"/>
        </w:rPr>
        <w:fldChar w:fldCharType="separate"/>
      </w:r>
      <w:r>
        <w:rPr>
          <w:rFonts w:hint="default" w:ascii="Times New Roman" w:hAnsi="Times New Roman" w:cs="Times New Roman"/>
          <w:b w:val="0"/>
          <w:bCs/>
          <w:color w:val="auto"/>
          <w:szCs w:val="21"/>
          <w:highlight w:val="none"/>
        </w:rPr>
        <w:t>⑦</w:t>
      </w:r>
      <w:r>
        <w:rPr>
          <w:rFonts w:hint="default" w:ascii="Times New Roman" w:hAnsi="Times New Roman" w:cs="Times New Roman"/>
          <w:b w:val="0"/>
          <w:bCs/>
          <w:snapToGrid w:val="0"/>
          <w:color w:val="auto"/>
          <w:spacing w:val="-6"/>
          <w:kern w:val="21"/>
          <w:szCs w:val="21"/>
          <w:highlight w:val="none"/>
        </w:rPr>
        <w:fldChar w:fldCharType="end"/>
      </w:r>
      <w:r>
        <w:rPr>
          <w:rFonts w:hint="default" w:ascii="Times New Roman" w:hAnsi="Times New Roman" w:cs="Times New Roman"/>
          <w:b w:val="0"/>
          <w:bCs/>
          <w:snapToGrid w:val="0"/>
          <w:color w:val="auto"/>
          <w:spacing w:val="-6"/>
          <w:kern w:val="21"/>
          <w:szCs w:val="21"/>
          <w:highlight w:val="none"/>
        </w:rPr>
        <w:t>=</w:t>
      </w:r>
      <w:r>
        <w:rPr>
          <w:rFonts w:hint="default" w:ascii="Times New Roman" w:hAnsi="Times New Roman" w:cs="Times New Roman"/>
          <w:b w:val="0"/>
          <w:bCs/>
          <w:snapToGrid w:val="0"/>
          <w:color w:val="auto"/>
          <w:spacing w:val="-16"/>
          <w:kern w:val="21"/>
          <w:szCs w:val="21"/>
          <w:highlight w:val="none"/>
        </w:rPr>
        <w:fldChar w:fldCharType="begin"/>
      </w:r>
      <w:r>
        <w:rPr>
          <w:rFonts w:hint="default" w:ascii="Times New Roman" w:hAnsi="Times New Roman" w:cs="Times New Roman"/>
          <w:b w:val="0"/>
          <w:bCs/>
          <w:snapToGrid w:val="0"/>
          <w:color w:val="auto"/>
          <w:spacing w:val="-16"/>
          <w:kern w:val="21"/>
          <w:szCs w:val="21"/>
          <w:highlight w:val="none"/>
        </w:rPr>
        <w:instrText xml:space="preserve"> = 6 \* GB3 \* MERGEFORMAT </w:instrText>
      </w:r>
      <w:r>
        <w:rPr>
          <w:rFonts w:hint="default" w:ascii="Times New Roman" w:hAnsi="Times New Roman" w:cs="Times New Roman"/>
          <w:b w:val="0"/>
          <w:bCs/>
          <w:snapToGrid w:val="0"/>
          <w:color w:val="auto"/>
          <w:spacing w:val="-16"/>
          <w:kern w:val="21"/>
          <w:szCs w:val="21"/>
          <w:highlight w:val="none"/>
        </w:rPr>
        <w:fldChar w:fldCharType="separate"/>
      </w:r>
      <w:r>
        <w:rPr>
          <w:rFonts w:hint="default" w:ascii="Times New Roman" w:hAnsi="Times New Roman" w:cs="Times New Roman"/>
          <w:b w:val="0"/>
          <w:bCs/>
          <w:color w:val="auto"/>
          <w:szCs w:val="21"/>
          <w:highlight w:val="none"/>
        </w:rPr>
        <w:t>⑥</w:t>
      </w:r>
      <w:r>
        <w:rPr>
          <w:rFonts w:hint="default" w:ascii="Times New Roman" w:hAnsi="Times New Roman" w:cs="Times New Roman"/>
          <w:b w:val="0"/>
          <w:bCs/>
          <w:snapToGrid w:val="0"/>
          <w:color w:val="auto"/>
          <w:spacing w:val="-16"/>
          <w:kern w:val="21"/>
          <w:szCs w:val="21"/>
          <w:highlight w:val="none"/>
        </w:rPr>
        <w:fldChar w:fldCharType="end"/>
      </w:r>
      <w:r>
        <w:rPr>
          <w:rFonts w:hint="default" w:ascii="Times New Roman" w:hAnsi="Times New Roman" w:cs="Times New Roman"/>
          <w:b w:val="0"/>
          <w:bCs/>
          <w:snapToGrid w:val="0"/>
          <w:color w:val="auto"/>
          <w:spacing w:val="-16"/>
          <w:kern w:val="21"/>
          <w:szCs w:val="21"/>
          <w:highlight w:val="none"/>
        </w:rPr>
        <w:t>-</w:t>
      </w:r>
      <w:r>
        <w:rPr>
          <w:rFonts w:hint="default" w:ascii="Times New Roman" w:hAnsi="Times New Roman" w:cs="Times New Roman"/>
          <w:b w:val="0"/>
          <w:bCs/>
          <w:snapToGrid w:val="0"/>
          <w:color w:val="auto"/>
          <w:spacing w:val="-6"/>
          <w:kern w:val="21"/>
          <w:szCs w:val="21"/>
          <w:highlight w:val="none"/>
        </w:rPr>
        <w:fldChar w:fldCharType="begin"/>
      </w:r>
      <w:r>
        <w:rPr>
          <w:rFonts w:hint="default" w:ascii="Times New Roman" w:hAnsi="Times New Roman" w:cs="Times New Roman"/>
          <w:b w:val="0"/>
          <w:bCs/>
          <w:snapToGrid w:val="0"/>
          <w:color w:val="auto"/>
          <w:spacing w:val="-6"/>
          <w:kern w:val="21"/>
          <w:szCs w:val="21"/>
          <w:highlight w:val="none"/>
        </w:rPr>
        <w:instrText xml:space="preserve"> = 1 \* GB3 \* MERGEFORMAT </w:instrText>
      </w:r>
      <w:r>
        <w:rPr>
          <w:rFonts w:hint="default" w:ascii="Times New Roman" w:hAnsi="Times New Roman" w:cs="Times New Roman"/>
          <w:b w:val="0"/>
          <w:bCs/>
          <w:snapToGrid w:val="0"/>
          <w:color w:val="auto"/>
          <w:spacing w:val="-6"/>
          <w:kern w:val="21"/>
          <w:szCs w:val="21"/>
          <w:highlight w:val="none"/>
        </w:rPr>
        <w:fldChar w:fldCharType="separate"/>
      </w:r>
      <w:r>
        <w:rPr>
          <w:rFonts w:hint="default" w:ascii="Times New Roman" w:hAnsi="Times New Roman" w:cs="Times New Roman"/>
          <w:b w:val="0"/>
          <w:bCs/>
          <w:color w:val="auto"/>
          <w:szCs w:val="21"/>
          <w:highlight w:val="none"/>
        </w:rPr>
        <w:t>①</w:t>
      </w:r>
      <w:r>
        <w:rPr>
          <w:rFonts w:hint="default" w:ascii="Times New Roman" w:hAnsi="Times New Roman" w:cs="Times New Roman"/>
          <w:b w:val="0"/>
          <w:bCs/>
          <w:snapToGrid w:val="0"/>
          <w:color w:val="auto"/>
          <w:spacing w:val="-6"/>
          <w:kern w:val="21"/>
          <w:szCs w:val="21"/>
          <w:highlight w:val="none"/>
        </w:rPr>
        <w:fldChar w:fldCharType="end"/>
      </w:r>
    </w:p>
    <w:sectPr>
      <w:footerReference r:id="rId7" w:type="default"/>
      <w:pgSz w:w="16838" w:h="11906" w:orient="landscape"/>
      <w:pgMar w:top="1418" w:right="1440" w:bottom="1418" w:left="1440"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234C1">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266CD">
    <w:pPr>
      <w:pStyle w:val="19"/>
      <w:framePr w:wrap="around" w:vAnchor="text" w:hAnchor="margin" w:xAlign="center" w:y="1"/>
      <w:rPr>
        <w:rStyle w:val="28"/>
      </w:rPr>
    </w:pPr>
    <w:r>
      <w:fldChar w:fldCharType="begin"/>
    </w:r>
    <w:r>
      <w:rPr>
        <w:rStyle w:val="28"/>
      </w:rPr>
      <w:instrText xml:space="preserve">PAGE  </w:instrText>
    </w:r>
    <w:r>
      <w:fldChar w:fldCharType="end"/>
    </w:r>
  </w:p>
  <w:p w14:paraId="3F0E9081">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5778728"/>
    </w:sdtPr>
    <w:sdtContent>
      <w:p w14:paraId="3933DD3A">
        <w:pPr>
          <w:pStyle w:val="19"/>
          <w:jc w:val="center"/>
        </w:pPr>
        <w:r>
          <w:fldChar w:fldCharType="begin"/>
        </w:r>
        <w:r>
          <w:instrText xml:space="preserve">PAGE   \* MERGEFORMAT</w:instrText>
        </w:r>
        <w:r>
          <w:fldChar w:fldCharType="separate"/>
        </w:r>
        <w:r>
          <w:rPr>
            <w:lang w:val="zh-CN"/>
          </w:rPr>
          <w:t>-</w:t>
        </w:r>
        <w:r>
          <w:t xml:space="preserve"> 18 -</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570073"/>
    </w:sdtPr>
    <w:sdtContent>
      <w:p w14:paraId="3C3DB95C">
        <w:pPr>
          <w:pStyle w:val="19"/>
          <w:jc w:val="center"/>
        </w:pPr>
        <w:r>
          <w:fldChar w:fldCharType="begin"/>
        </w:r>
        <w:r>
          <w:instrText xml:space="preserve">PAGE   \* MERGEFORMAT</w:instrText>
        </w:r>
        <w:r>
          <w:fldChar w:fldCharType="separate"/>
        </w:r>
        <w:r>
          <w:rPr>
            <w:lang w:val="zh-CN"/>
          </w:rPr>
          <w:t>-</w:t>
        </w:r>
        <w:r>
          <w:t xml:space="preserve"> 19 -</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086C3">
    <w:pPr>
      <w:pStyle w:val="19"/>
      <w:jc w:val="center"/>
    </w:pPr>
    <w:r>
      <w:fldChar w:fldCharType="begin"/>
    </w:r>
    <w:r>
      <w:instrText xml:space="preserve">PAGE   \* MERGEFORMAT</w:instrText>
    </w:r>
    <w:r>
      <w:fldChar w:fldCharType="separate"/>
    </w:r>
    <w:r>
      <w:rPr>
        <w:lang w:val="zh-CN"/>
      </w:rPr>
      <w:t>-</w:t>
    </w:r>
    <w:r>
      <w:t xml:space="preserve"> 64 -</w:t>
    </w:r>
    <w:r>
      <w:fldChar w:fldCharType="end"/>
    </w:r>
  </w:p>
  <w:p w14:paraId="511ED655">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0E396A"/>
    <w:multiLevelType w:val="singleLevel"/>
    <w:tmpl w:val="ED0E396A"/>
    <w:lvl w:ilvl="0" w:tentative="0">
      <w:start w:val="2"/>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やໍ柒七">
    <w15:presenceInfo w15:providerId="WPS Office" w15:userId="29619222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hkY2UxYmYxYmM2YjgyNmE1NDg3MWU5YTM2NWQzZTIifQ=="/>
  </w:docVars>
  <w:rsids>
    <w:rsidRoot w:val="00A14947"/>
    <w:rsid w:val="00001D94"/>
    <w:rsid w:val="00001DE7"/>
    <w:rsid w:val="00002149"/>
    <w:rsid w:val="000029A0"/>
    <w:rsid w:val="00003A7B"/>
    <w:rsid w:val="000060B3"/>
    <w:rsid w:val="0000712B"/>
    <w:rsid w:val="0000747D"/>
    <w:rsid w:val="00007C25"/>
    <w:rsid w:val="00010851"/>
    <w:rsid w:val="0001116F"/>
    <w:rsid w:val="00012CA8"/>
    <w:rsid w:val="00014452"/>
    <w:rsid w:val="00015344"/>
    <w:rsid w:val="0001574E"/>
    <w:rsid w:val="00017B59"/>
    <w:rsid w:val="00020CE5"/>
    <w:rsid w:val="000265CE"/>
    <w:rsid w:val="00026ADD"/>
    <w:rsid w:val="000279A9"/>
    <w:rsid w:val="0003110C"/>
    <w:rsid w:val="00031DAC"/>
    <w:rsid w:val="00032D50"/>
    <w:rsid w:val="000342CA"/>
    <w:rsid w:val="00034833"/>
    <w:rsid w:val="000351F5"/>
    <w:rsid w:val="00035D4D"/>
    <w:rsid w:val="000363B7"/>
    <w:rsid w:val="00042F1E"/>
    <w:rsid w:val="0004364B"/>
    <w:rsid w:val="000437FA"/>
    <w:rsid w:val="00043822"/>
    <w:rsid w:val="00043A94"/>
    <w:rsid w:val="000448ED"/>
    <w:rsid w:val="00044CCC"/>
    <w:rsid w:val="00050C5A"/>
    <w:rsid w:val="00050FD5"/>
    <w:rsid w:val="000533D0"/>
    <w:rsid w:val="000535DA"/>
    <w:rsid w:val="00053676"/>
    <w:rsid w:val="000544F0"/>
    <w:rsid w:val="00054B4F"/>
    <w:rsid w:val="00055038"/>
    <w:rsid w:val="000555AB"/>
    <w:rsid w:val="00057F67"/>
    <w:rsid w:val="00061B1F"/>
    <w:rsid w:val="000633BF"/>
    <w:rsid w:val="000639C5"/>
    <w:rsid w:val="0006516A"/>
    <w:rsid w:val="00067822"/>
    <w:rsid w:val="00067BAF"/>
    <w:rsid w:val="00072272"/>
    <w:rsid w:val="000733C4"/>
    <w:rsid w:val="0007355E"/>
    <w:rsid w:val="000736E3"/>
    <w:rsid w:val="00074051"/>
    <w:rsid w:val="00074783"/>
    <w:rsid w:val="00074B15"/>
    <w:rsid w:val="00075473"/>
    <w:rsid w:val="000770B4"/>
    <w:rsid w:val="0008070B"/>
    <w:rsid w:val="00080B2C"/>
    <w:rsid w:val="000810AC"/>
    <w:rsid w:val="00081A02"/>
    <w:rsid w:val="00082231"/>
    <w:rsid w:val="000829FF"/>
    <w:rsid w:val="00084349"/>
    <w:rsid w:val="0008440B"/>
    <w:rsid w:val="00092214"/>
    <w:rsid w:val="00092D38"/>
    <w:rsid w:val="0009377B"/>
    <w:rsid w:val="00094180"/>
    <w:rsid w:val="00094428"/>
    <w:rsid w:val="00094602"/>
    <w:rsid w:val="000948E8"/>
    <w:rsid w:val="00096E17"/>
    <w:rsid w:val="000A02C2"/>
    <w:rsid w:val="000A18D0"/>
    <w:rsid w:val="000A20C9"/>
    <w:rsid w:val="000A29B3"/>
    <w:rsid w:val="000A317E"/>
    <w:rsid w:val="000A482D"/>
    <w:rsid w:val="000A72E9"/>
    <w:rsid w:val="000A7721"/>
    <w:rsid w:val="000A7FE3"/>
    <w:rsid w:val="000B058F"/>
    <w:rsid w:val="000B12A1"/>
    <w:rsid w:val="000B12D1"/>
    <w:rsid w:val="000B1AAC"/>
    <w:rsid w:val="000B292F"/>
    <w:rsid w:val="000B30D1"/>
    <w:rsid w:val="000B34AB"/>
    <w:rsid w:val="000B40B6"/>
    <w:rsid w:val="000B4467"/>
    <w:rsid w:val="000B4DB9"/>
    <w:rsid w:val="000B6449"/>
    <w:rsid w:val="000C09AC"/>
    <w:rsid w:val="000C174E"/>
    <w:rsid w:val="000C1A35"/>
    <w:rsid w:val="000C296E"/>
    <w:rsid w:val="000C4CAA"/>
    <w:rsid w:val="000C51E4"/>
    <w:rsid w:val="000C5993"/>
    <w:rsid w:val="000C6782"/>
    <w:rsid w:val="000C6842"/>
    <w:rsid w:val="000C6DD9"/>
    <w:rsid w:val="000C767F"/>
    <w:rsid w:val="000C7B50"/>
    <w:rsid w:val="000D0671"/>
    <w:rsid w:val="000D34A1"/>
    <w:rsid w:val="000D397F"/>
    <w:rsid w:val="000D4DA7"/>
    <w:rsid w:val="000D5551"/>
    <w:rsid w:val="000D5A44"/>
    <w:rsid w:val="000D6000"/>
    <w:rsid w:val="000E2ED8"/>
    <w:rsid w:val="000E3ED2"/>
    <w:rsid w:val="000E3EF6"/>
    <w:rsid w:val="000E4035"/>
    <w:rsid w:val="000E7E5A"/>
    <w:rsid w:val="000F24D0"/>
    <w:rsid w:val="000F4608"/>
    <w:rsid w:val="000F68BF"/>
    <w:rsid w:val="000F6CC9"/>
    <w:rsid w:val="000F6ED6"/>
    <w:rsid w:val="000F785E"/>
    <w:rsid w:val="00100FC0"/>
    <w:rsid w:val="001018B7"/>
    <w:rsid w:val="00101C42"/>
    <w:rsid w:val="001026FE"/>
    <w:rsid w:val="00105B96"/>
    <w:rsid w:val="00106945"/>
    <w:rsid w:val="00106FC8"/>
    <w:rsid w:val="00107FBE"/>
    <w:rsid w:val="0011223B"/>
    <w:rsid w:val="001135E6"/>
    <w:rsid w:val="00114666"/>
    <w:rsid w:val="00114E1E"/>
    <w:rsid w:val="001158B2"/>
    <w:rsid w:val="001158CA"/>
    <w:rsid w:val="001173D5"/>
    <w:rsid w:val="00117FD9"/>
    <w:rsid w:val="00120595"/>
    <w:rsid w:val="001209F2"/>
    <w:rsid w:val="00120CBD"/>
    <w:rsid w:val="00122A59"/>
    <w:rsid w:val="00122B86"/>
    <w:rsid w:val="00123398"/>
    <w:rsid w:val="00123465"/>
    <w:rsid w:val="00123B00"/>
    <w:rsid w:val="00123FBB"/>
    <w:rsid w:val="0012403A"/>
    <w:rsid w:val="00126CF1"/>
    <w:rsid w:val="001276F2"/>
    <w:rsid w:val="0012797E"/>
    <w:rsid w:val="00130093"/>
    <w:rsid w:val="00130B47"/>
    <w:rsid w:val="001317B0"/>
    <w:rsid w:val="00131A26"/>
    <w:rsid w:val="00131F42"/>
    <w:rsid w:val="00133311"/>
    <w:rsid w:val="001357F1"/>
    <w:rsid w:val="001372CC"/>
    <w:rsid w:val="00140FA8"/>
    <w:rsid w:val="00141975"/>
    <w:rsid w:val="00141F10"/>
    <w:rsid w:val="001427E3"/>
    <w:rsid w:val="00142EBA"/>
    <w:rsid w:val="00142FEB"/>
    <w:rsid w:val="001438BE"/>
    <w:rsid w:val="00143A2D"/>
    <w:rsid w:val="00145058"/>
    <w:rsid w:val="0014568A"/>
    <w:rsid w:val="00145A41"/>
    <w:rsid w:val="00147235"/>
    <w:rsid w:val="001500BB"/>
    <w:rsid w:val="001513C4"/>
    <w:rsid w:val="00151675"/>
    <w:rsid w:val="00152098"/>
    <w:rsid w:val="00152902"/>
    <w:rsid w:val="00153E3D"/>
    <w:rsid w:val="00153F5C"/>
    <w:rsid w:val="0015444A"/>
    <w:rsid w:val="00156FB1"/>
    <w:rsid w:val="00157435"/>
    <w:rsid w:val="00161CB6"/>
    <w:rsid w:val="001633AB"/>
    <w:rsid w:val="0016353A"/>
    <w:rsid w:val="0016428C"/>
    <w:rsid w:val="001646E4"/>
    <w:rsid w:val="00165586"/>
    <w:rsid w:val="00165C38"/>
    <w:rsid w:val="00166B13"/>
    <w:rsid w:val="00166DF5"/>
    <w:rsid w:val="00167E19"/>
    <w:rsid w:val="0017064A"/>
    <w:rsid w:val="0017084A"/>
    <w:rsid w:val="001713FD"/>
    <w:rsid w:val="00173567"/>
    <w:rsid w:val="00173AE1"/>
    <w:rsid w:val="00174990"/>
    <w:rsid w:val="00174C9A"/>
    <w:rsid w:val="0017504D"/>
    <w:rsid w:val="0017671A"/>
    <w:rsid w:val="00177422"/>
    <w:rsid w:val="00180D01"/>
    <w:rsid w:val="00181B29"/>
    <w:rsid w:val="00184342"/>
    <w:rsid w:val="00184590"/>
    <w:rsid w:val="00185F0C"/>
    <w:rsid w:val="001867FB"/>
    <w:rsid w:val="001870D1"/>
    <w:rsid w:val="0018781E"/>
    <w:rsid w:val="00187CDB"/>
    <w:rsid w:val="00190545"/>
    <w:rsid w:val="001906AC"/>
    <w:rsid w:val="001915A9"/>
    <w:rsid w:val="00191D95"/>
    <w:rsid w:val="0019262D"/>
    <w:rsid w:val="001927F8"/>
    <w:rsid w:val="00192E4E"/>
    <w:rsid w:val="00193247"/>
    <w:rsid w:val="00196AE0"/>
    <w:rsid w:val="0019700C"/>
    <w:rsid w:val="001976A7"/>
    <w:rsid w:val="001A00D9"/>
    <w:rsid w:val="001A1B35"/>
    <w:rsid w:val="001A1BF6"/>
    <w:rsid w:val="001A401F"/>
    <w:rsid w:val="001A48A2"/>
    <w:rsid w:val="001A4C17"/>
    <w:rsid w:val="001A6F61"/>
    <w:rsid w:val="001A75BC"/>
    <w:rsid w:val="001B04D8"/>
    <w:rsid w:val="001B0725"/>
    <w:rsid w:val="001B1335"/>
    <w:rsid w:val="001B34C7"/>
    <w:rsid w:val="001B427F"/>
    <w:rsid w:val="001B55A7"/>
    <w:rsid w:val="001B72B8"/>
    <w:rsid w:val="001B7D79"/>
    <w:rsid w:val="001C3015"/>
    <w:rsid w:val="001C344D"/>
    <w:rsid w:val="001C4B86"/>
    <w:rsid w:val="001C50BA"/>
    <w:rsid w:val="001C5918"/>
    <w:rsid w:val="001C69B3"/>
    <w:rsid w:val="001D1231"/>
    <w:rsid w:val="001D22F6"/>
    <w:rsid w:val="001D43D3"/>
    <w:rsid w:val="001D5595"/>
    <w:rsid w:val="001D5B94"/>
    <w:rsid w:val="001D6D39"/>
    <w:rsid w:val="001D7874"/>
    <w:rsid w:val="001D7D3A"/>
    <w:rsid w:val="001D7F22"/>
    <w:rsid w:val="001E05C5"/>
    <w:rsid w:val="001E0AFE"/>
    <w:rsid w:val="001E1961"/>
    <w:rsid w:val="001E1CEC"/>
    <w:rsid w:val="001E1FCE"/>
    <w:rsid w:val="001E2D76"/>
    <w:rsid w:val="001E3F01"/>
    <w:rsid w:val="001E45B5"/>
    <w:rsid w:val="001E55D4"/>
    <w:rsid w:val="001E5A0F"/>
    <w:rsid w:val="001E71EA"/>
    <w:rsid w:val="001F0F17"/>
    <w:rsid w:val="001F1649"/>
    <w:rsid w:val="001F1D4D"/>
    <w:rsid w:val="001F23D2"/>
    <w:rsid w:val="001F2931"/>
    <w:rsid w:val="001F2F99"/>
    <w:rsid w:val="001F3347"/>
    <w:rsid w:val="001F517F"/>
    <w:rsid w:val="001F560D"/>
    <w:rsid w:val="001F5D79"/>
    <w:rsid w:val="001F614B"/>
    <w:rsid w:val="001F69E4"/>
    <w:rsid w:val="00201168"/>
    <w:rsid w:val="0020206F"/>
    <w:rsid w:val="00202263"/>
    <w:rsid w:val="00204121"/>
    <w:rsid w:val="002042A7"/>
    <w:rsid w:val="002056A4"/>
    <w:rsid w:val="00206D39"/>
    <w:rsid w:val="00206DAD"/>
    <w:rsid w:val="00210329"/>
    <w:rsid w:val="002108C7"/>
    <w:rsid w:val="00211236"/>
    <w:rsid w:val="002125B4"/>
    <w:rsid w:val="002155B8"/>
    <w:rsid w:val="00217581"/>
    <w:rsid w:val="002204B6"/>
    <w:rsid w:val="00221CDF"/>
    <w:rsid w:val="00222459"/>
    <w:rsid w:val="00222BB1"/>
    <w:rsid w:val="00222FF2"/>
    <w:rsid w:val="00224839"/>
    <w:rsid w:val="002249AA"/>
    <w:rsid w:val="002249B2"/>
    <w:rsid w:val="0022527E"/>
    <w:rsid w:val="002254A1"/>
    <w:rsid w:val="0022551E"/>
    <w:rsid w:val="00226574"/>
    <w:rsid w:val="00226F81"/>
    <w:rsid w:val="002272F2"/>
    <w:rsid w:val="002278EC"/>
    <w:rsid w:val="00232489"/>
    <w:rsid w:val="0023280E"/>
    <w:rsid w:val="00232CCB"/>
    <w:rsid w:val="00233EFC"/>
    <w:rsid w:val="00234240"/>
    <w:rsid w:val="00236373"/>
    <w:rsid w:val="00236525"/>
    <w:rsid w:val="002371E6"/>
    <w:rsid w:val="002377D1"/>
    <w:rsid w:val="00240B8D"/>
    <w:rsid w:val="0024128F"/>
    <w:rsid w:val="002416F0"/>
    <w:rsid w:val="00241C38"/>
    <w:rsid w:val="00242464"/>
    <w:rsid w:val="0024284F"/>
    <w:rsid w:val="0024334B"/>
    <w:rsid w:val="002447D3"/>
    <w:rsid w:val="00244ADB"/>
    <w:rsid w:val="00244ED1"/>
    <w:rsid w:val="00245AF7"/>
    <w:rsid w:val="0024682A"/>
    <w:rsid w:val="00247303"/>
    <w:rsid w:val="00247DE1"/>
    <w:rsid w:val="002506BC"/>
    <w:rsid w:val="002516A2"/>
    <w:rsid w:val="0025205B"/>
    <w:rsid w:val="002536EC"/>
    <w:rsid w:val="00253925"/>
    <w:rsid w:val="00254345"/>
    <w:rsid w:val="0025453B"/>
    <w:rsid w:val="002630E8"/>
    <w:rsid w:val="00263F6A"/>
    <w:rsid w:val="00264557"/>
    <w:rsid w:val="002648FB"/>
    <w:rsid w:val="00265753"/>
    <w:rsid w:val="00265A6C"/>
    <w:rsid w:val="002673D3"/>
    <w:rsid w:val="002713B5"/>
    <w:rsid w:val="002718E4"/>
    <w:rsid w:val="00271FBA"/>
    <w:rsid w:val="00274087"/>
    <w:rsid w:val="00274736"/>
    <w:rsid w:val="002750F1"/>
    <w:rsid w:val="002805AB"/>
    <w:rsid w:val="00281486"/>
    <w:rsid w:val="002815B8"/>
    <w:rsid w:val="00281A92"/>
    <w:rsid w:val="00282839"/>
    <w:rsid w:val="00284204"/>
    <w:rsid w:val="002843C7"/>
    <w:rsid w:val="00284BD2"/>
    <w:rsid w:val="00286961"/>
    <w:rsid w:val="00286BB5"/>
    <w:rsid w:val="002875D5"/>
    <w:rsid w:val="00287890"/>
    <w:rsid w:val="002902BF"/>
    <w:rsid w:val="00291773"/>
    <w:rsid w:val="00291EBD"/>
    <w:rsid w:val="00292E3B"/>
    <w:rsid w:val="00294D1F"/>
    <w:rsid w:val="002A038A"/>
    <w:rsid w:val="002A168C"/>
    <w:rsid w:val="002A2216"/>
    <w:rsid w:val="002A3DC7"/>
    <w:rsid w:val="002A4019"/>
    <w:rsid w:val="002A4158"/>
    <w:rsid w:val="002A56B1"/>
    <w:rsid w:val="002A5D45"/>
    <w:rsid w:val="002B1514"/>
    <w:rsid w:val="002B3207"/>
    <w:rsid w:val="002B49E2"/>
    <w:rsid w:val="002B5ADC"/>
    <w:rsid w:val="002B7574"/>
    <w:rsid w:val="002B7B00"/>
    <w:rsid w:val="002B7C44"/>
    <w:rsid w:val="002C07E8"/>
    <w:rsid w:val="002C2B17"/>
    <w:rsid w:val="002C452C"/>
    <w:rsid w:val="002C585D"/>
    <w:rsid w:val="002C5DCB"/>
    <w:rsid w:val="002C6EAD"/>
    <w:rsid w:val="002D1BB3"/>
    <w:rsid w:val="002D2DFC"/>
    <w:rsid w:val="002D3D8E"/>
    <w:rsid w:val="002D3DD0"/>
    <w:rsid w:val="002D4C0C"/>
    <w:rsid w:val="002D59EA"/>
    <w:rsid w:val="002E1A6B"/>
    <w:rsid w:val="002E1F3A"/>
    <w:rsid w:val="002E2119"/>
    <w:rsid w:val="002E263F"/>
    <w:rsid w:val="002E298A"/>
    <w:rsid w:val="002E376D"/>
    <w:rsid w:val="002E43DD"/>
    <w:rsid w:val="002E49BB"/>
    <w:rsid w:val="002E58AE"/>
    <w:rsid w:val="002E617F"/>
    <w:rsid w:val="002E6D45"/>
    <w:rsid w:val="002E7E35"/>
    <w:rsid w:val="002F0905"/>
    <w:rsid w:val="002F1035"/>
    <w:rsid w:val="002F1E4E"/>
    <w:rsid w:val="002F3559"/>
    <w:rsid w:val="002F3C7B"/>
    <w:rsid w:val="002F4874"/>
    <w:rsid w:val="002F49FC"/>
    <w:rsid w:val="002F65D8"/>
    <w:rsid w:val="002F7CCA"/>
    <w:rsid w:val="003009A6"/>
    <w:rsid w:val="00300D87"/>
    <w:rsid w:val="00301978"/>
    <w:rsid w:val="00302A40"/>
    <w:rsid w:val="0030332C"/>
    <w:rsid w:val="0030332D"/>
    <w:rsid w:val="003034FB"/>
    <w:rsid w:val="003051C2"/>
    <w:rsid w:val="003053D0"/>
    <w:rsid w:val="00307E50"/>
    <w:rsid w:val="00312296"/>
    <w:rsid w:val="00313E12"/>
    <w:rsid w:val="00314505"/>
    <w:rsid w:val="003147C0"/>
    <w:rsid w:val="00314BF4"/>
    <w:rsid w:val="00314F0E"/>
    <w:rsid w:val="003155E3"/>
    <w:rsid w:val="00315DAE"/>
    <w:rsid w:val="00316103"/>
    <w:rsid w:val="00316CCC"/>
    <w:rsid w:val="00317DD0"/>
    <w:rsid w:val="003206FA"/>
    <w:rsid w:val="00320A0D"/>
    <w:rsid w:val="00320B6E"/>
    <w:rsid w:val="00320DC0"/>
    <w:rsid w:val="00321AB2"/>
    <w:rsid w:val="00321D8E"/>
    <w:rsid w:val="00322EF4"/>
    <w:rsid w:val="00325928"/>
    <w:rsid w:val="00330E54"/>
    <w:rsid w:val="003314A0"/>
    <w:rsid w:val="00332863"/>
    <w:rsid w:val="003329D5"/>
    <w:rsid w:val="00333382"/>
    <w:rsid w:val="0033684D"/>
    <w:rsid w:val="00337B42"/>
    <w:rsid w:val="00341B42"/>
    <w:rsid w:val="003422B4"/>
    <w:rsid w:val="0034348F"/>
    <w:rsid w:val="003434B9"/>
    <w:rsid w:val="00344281"/>
    <w:rsid w:val="00344A8D"/>
    <w:rsid w:val="0034546D"/>
    <w:rsid w:val="00346141"/>
    <w:rsid w:val="00347DA0"/>
    <w:rsid w:val="0035252F"/>
    <w:rsid w:val="0035317F"/>
    <w:rsid w:val="00354204"/>
    <w:rsid w:val="00355DBB"/>
    <w:rsid w:val="00356653"/>
    <w:rsid w:val="0035704A"/>
    <w:rsid w:val="0035743F"/>
    <w:rsid w:val="00357BE2"/>
    <w:rsid w:val="003606AD"/>
    <w:rsid w:val="00361505"/>
    <w:rsid w:val="0036170C"/>
    <w:rsid w:val="003636C8"/>
    <w:rsid w:val="0036613C"/>
    <w:rsid w:val="00366414"/>
    <w:rsid w:val="003668B8"/>
    <w:rsid w:val="00366E0F"/>
    <w:rsid w:val="00367B12"/>
    <w:rsid w:val="00370DD8"/>
    <w:rsid w:val="0037347E"/>
    <w:rsid w:val="0037356A"/>
    <w:rsid w:val="00375241"/>
    <w:rsid w:val="00375C51"/>
    <w:rsid w:val="00377A56"/>
    <w:rsid w:val="00380CA9"/>
    <w:rsid w:val="00381A72"/>
    <w:rsid w:val="0038330C"/>
    <w:rsid w:val="003834CB"/>
    <w:rsid w:val="0038371A"/>
    <w:rsid w:val="00384173"/>
    <w:rsid w:val="00384676"/>
    <w:rsid w:val="00384747"/>
    <w:rsid w:val="00384B10"/>
    <w:rsid w:val="00386F8A"/>
    <w:rsid w:val="00390355"/>
    <w:rsid w:val="00390857"/>
    <w:rsid w:val="003926D2"/>
    <w:rsid w:val="00393180"/>
    <w:rsid w:val="0039318E"/>
    <w:rsid w:val="0039344B"/>
    <w:rsid w:val="0039523E"/>
    <w:rsid w:val="0039571E"/>
    <w:rsid w:val="00396589"/>
    <w:rsid w:val="00396809"/>
    <w:rsid w:val="00396E51"/>
    <w:rsid w:val="00396FFF"/>
    <w:rsid w:val="00397482"/>
    <w:rsid w:val="00397826"/>
    <w:rsid w:val="003A0401"/>
    <w:rsid w:val="003A09B9"/>
    <w:rsid w:val="003A128A"/>
    <w:rsid w:val="003A1DDB"/>
    <w:rsid w:val="003A1E41"/>
    <w:rsid w:val="003A3958"/>
    <w:rsid w:val="003A3CB2"/>
    <w:rsid w:val="003A4BF3"/>
    <w:rsid w:val="003A5783"/>
    <w:rsid w:val="003A5A44"/>
    <w:rsid w:val="003A6476"/>
    <w:rsid w:val="003A6C33"/>
    <w:rsid w:val="003B14EF"/>
    <w:rsid w:val="003B2AF6"/>
    <w:rsid w:val="003B3372"/>
    <w:rsid w:val="003B420D"/>
    <w:rsid w:val="003B5184"/>
    <w:rsid w:val="003B628E"/>
    <w:rsid w:val="003B6830"/>
    <w:rsid w:val="003C0F21"/>
    <w:rsid w:val="003C0FA1"/>
    <w:rsid w:val="003C2AF4"/>
    <w:rsid w:val="003C3437"/>
    <w:rsid w:val="003C563A"/>
    <w:rsid w:val="003C6728"/>
    <w:rsid w:val="003C6C16"/>
    <w:rsid w:val="003D1F2B"/>
    <w:rsid w:val="003D2586"/>
    <w:rsid w:val="003D794D"/>
    <w:rsid w:val="003E0CD6"/>
    <w:rsid w:val="003E2109"/>
    <w:rsid w:val="003E2695"/>
    <w:rsid w:val="003E3058"/>
    <w:rsid w:val="003E37C2"/>
    <w:rsid w:val="003E40C5"/>
    <w:rsid w:val="003E4F44"/>
    <w:rsid w:val="003E50D1"/>
    <w:rsid w:val="003E76A9"/>
    <w:rsid w:val="003E7D03"/>
    <w:rsid w:val="003F05AA"/>
    <w:rsid w:val="003F0809"/>
    <w:rsid w:val="003F0883"/>
    <w:rsid w:val="003F0A07"/>
    <w:rsid w:val="003F19A1"/>
    <w:rsid w:val="003F33D8"/>
    <w:rsid w:val="003F3792"/>
    <w:rsid w:val="003F3F62"/>
    <w:rsid w:val="003F6A8C"/>
    <w:rsid w:val="003F755C"/>
    <w:rsid w:val="00400F67"/>
    <w:rsid w:val="0040178B"/>
    <w:rsid w:val="00401C4F"/>
    <w:rsid w:val="00404BEE"/>
    <w:rsid w:val="004052F8"/>
    <w:rsid w:val="00405C52"/>
    <w:rsid w:val="004066A4"/>
    <w:rsid w:val="00406F01"/>
    <w:rsid w:val="0040712D"/>
    <w:rsid w:val="00407425"/>
    <w:rsid w:val="004100F3"/>
    <w:rsid w:val="00410267"/>
    <w:rsid w:val="00410910"/>
    <w:rsid w:val="00410D91"/>
    <w:rsid w:val="004117D0"/>
    <w:rsid w:val="00415A19"/>
    <w:rsid w:val="00416BC3"/>
    <w:rsid w:val="00416D50"/>
    <w:rsid w:val="00416FD5"/>
    <w:rsid w:val="0041764F"/>
    <w:rsid w:val="00417772"/>
    <w:rsid w:val="00417B4F"/>
    <w:rsid w:val="004205EC"/>
    <w:rsid w:val="004206F1"/>
    <w:rsid w:val="00420E6A"/>
    <w:rsid w:val="004222A3"/>
    <w:rsid w:val="004227BA"/>
    <w:rsid w:val="00422AB2"/>
    <w:rsid w:val="00423566"/>
    <w:rsid w:val="004243DB"/>
    <w:rsid w:val="00425A9E"/>
    <w:rsid w:val="00426D6B"/>
    <w:rsid w:val="00427594"/>
    <w:rsid w:val="00427789"/>
    <w:rsid w:val="004309BE"/>
    <w:rsid w:val="00431E6C"/>
    <w:rsid w:val="00432F60"/>
    <w:rsid w:val="0043383E"/>
    <w:rsid w:val="00433CE7"/>
    <w:rsid w:val="00434255"/>
    <w:rsid w:val="004348CD"/>
    <w:rsid w:val="00434F94"/>
    <w:rsid w:val="004378E9"/>
    <w:rsid w:val="00437FC3"/>
    <w:rsid w:val="0044012D"/>
    <w:rsid w:val="00440E07"/>
    <w:rsid w:val="00441152"/>
    <w:rsid w:val="00441536"/>
    <w:rsid w:val="004417D0"/>
    <w:rsid w:val="00442496"/>
    <w:rsid w:val="00442BE9"/>
    <w:rsid w:val="00443B75"/>
    <w:rsid w:val="004457E2"/>
    <w:rsid w:val="00445905"/>
    <w:rsid w:val="0045024E"/>
    <w:rsid w:val="00450A22"/>
    <w:rsid w:val="00452416"/>
    <w:rsid w:val="004525C5"/>
    <w:rsid w:val="00452738"/>
    <w:rsid w:val="00452963"/>
    <w:rsid w:val="004530FE"/>
    <w:rsid w:val="00454D86"/>
    <w:rsid w:val="00455053"/>
    <w:rsid w:val="00455083"/>
    <w:rsid w:val="00455A69"/>
    <w:rsid w:val="00455EA1"/>
    <w:rsid w:val="00456091"/>
    <w:rsid w:val="00456D5F"/>
    <w:rsid w:val="00457D3A"/>
    <w:rsid w:val="00461791"/>
    <w:rsid w:val="00465911"/>
    <w:rsid w:val="00465D92"/>
    <w:rsid w:val="00466321"/>
    <w:rsid w:val="0046758D"/>
    <w:rsid w:val="00470B19"/>
    <w:rsid w:val="004729A2"/>
    <w:rsid w:val="00472F46"/>
    <w:rsid w:val="00473ED6"/>
    <w:rsid w:val="00474C7B"/>
    <w:rsid w:val="0047524F"/>
    <w:rsid w:val="004760B9"/>
    <w:rsid w:val="004765BE"/>
    <w:rsid w:val="00480BCD"/>
    <w:rsid w:val="00480EAD"/>
    <w:rsid w:val="00482403"/>
    <w:rsid w:val="00482C65"/>
    <w:rsid w:val="0048328A"/>
    <w:rsid w:val="00484570"/>
    <w:rsid w:val="00484B9B"/>
    <w:rsid w:val="0048520C"/>
    <w:rsid w:val="004855F6"/>
    <w:rsid w:val="0048566E"/>
    <w:rsid w:val="00485732"/>
    <w:rsid w:val="00485D78"/>
    <w:rsid w:val="0048661E"/>
    <w:rsid w:val="00486659"/>
    <w:rsid w:val="00486A8A"/>
    <w:rsid w:val="0049205A"/>
    <w:rsid w:val="00494305"/>
    <w:rsid w:val="00494670"/>
    <w:rsid w:val="00494D59"/>
    <w:rsid w:val="0049788F"/>
    <w:rsid w:val="00497F10"/>
    <w:rsid w:val="004A00DF"/>
    <w:rsid w:val="004A10E7"/>
    <w:rsid w:val="004A2108"/>
    <w:rsid w:val="004A270A"/>
    <w:rsid w:val="004A31A0"/>
    <w:rsid w:val="004A3399"/>
    <w:rsid w:val="004A3823"/>
    <w:rsid w:val="004A3915"/>
    <w:rsid w:val="004A3E72"/>
    <w:rsid w:val="004A41B1"/>
    <w:rsid w:val="004A41D1"/>
    <w:rsid w:val="004A433B"/>
    <w:rsid w:val="004A50E0"/>
    <w:rsid w:val="004A771D"/>
    <w:rsid w:val="004B291A"/>
    <w:rsid w:val="004B3168"/>
    <w:rsid w:val="004B3C9D"/>
    <w:rsid w:val="004B41F4"/>
    <w:rsid w:val="004B4543"/>
    <w:rsid w:val="004B54FB"/>
    <w:rsid w:val="004B7C82"/>
    <w:rsid w:val="004B7E74"/>
    <w:rsid w:val="004C0237"/>
    <w:rsid w:val="004C0ED6"/>
    <w:rsid w:val="004C1B34"/>
    <w:rsid w:val="004C3290"/>
    <w:rsid w:val="004D41B7"/>
    <w:rsid w:val="004D6DCC"/>
    <w:rsid w:val="004D6F89"/>
    <w:rsid w:val="004E0A4E"/>
    <w:rsid w:val="004E0C76"/>
    <w:rsid w:val="004E101D"/>
    <w:rsid w:val="004E247F"/>
    <w:rsid w:val="004E3324"/>
    <w:rsid w:val="004E451D"/>
    <w:rsid w:val="004E47E9"/>
    <w:rsid w:val="004E4AE5"/>
    <w:rsid w:val="004E4C18"/>
    <w:rsid w:val="004E5922"/>
    <w:rsid w:val="004E5C73"/>
    <w:rsid w:val="004E615F"/>
    <w:rsid w:val="004E6310"/>
    <w:rsid w:val="004E6946"/>
    <w:rsid w:val="004E6D80"/>
    <w:rsid w:val="004F1AD8"/>
    <w:rsid w:val="004F20A9"/>
    <w:rsid w:val="004F224E"/>
    <w:rsid w:val="004F2C46"/>
    <w:rsid w:val="004F2FAD"/>
    <w:rsid w:val="004F3486"/>
    <w:rsid w:val="004F42FF"/>
    <w:rsid w:val="004F5D33"/>
    <w:rsid w:val="004F717C"/>
    <w:rsid w:val="004F7573"/>
    <w:rsid w:val="004F79D4"/>
    <w:rsid w:val="005007C1"/>
    <w:rsid w:val="00500800"/>
    <w:rsid w:val="00500CED"/>
    <w:rsid w:val="005025BA"/>
    <w:rsid w:val="005027EF"/>
    <w:rsid w:val="005039CB"/>
    <w:rsid w:val="00503ED5"/>
    <w:rsid w:val="005054D0"/>
    <w:rsid w:val="0050558F"/>
    <w:rsid w:val="005056BA"/>
    <w:rsid w:val="00505B23"/>
    <w:rsid w:val="00506286"/>
    <w:rsid w:val="00506919"/>
    <w:rsid w:val="00507749"/>
    <w:rsid w:val="00507886"/>
    <w:rsid w:val="00510813"/>
    <w:rsid w:val="00510D6D"/>
    <w:rsid w:val="00511777"/>
    <w:rsid w:val="00511990"/>
    <w:rsid w:val="00511DE0"/>
    <w:rsid w:val="005136AD"/>
    <w:rsid w:val="00513C13"/>
    <w:rsid w:val="00514870"/>
    <w:rsid w:val="00514B9B"/>
    <w:rsid w:val="00515573"/>
    <w:rsid w:val="00515589"/>
    <w:rsid w:val="00516C4A"/>
    <w:rsid w:val="00517225"/>
    <w:rsid w:val="00517318"/>
    <w:rsid w:val="005173A3"/>
    <w:rsid w:val="00517F02"/>
    <w:rsid w:val="005204F0"/>
    <w:rsid w:val="0052188E"/>
    <w:rsid w:val="0052299B"/>
    <w:rsid w:val="00522B98"/>
    <w:rsid w:val="005236E0"/>
    <w:rsid w:val="00524303"/>
    <w:rsid w:val="00525056"/>
    <w:rsid w:val="005258A2"/>
    <w:rsid w:val="00526E54"/>
    <w:rsid w:val="00527883"/>
    <w:rsid w:val="00530447"/>
    <w:rsid w:val="00530F8A"/>
    <w:rsid w:val="005321F3"/>
    <w:rsid w:val="00533195"/>
    <w:rsid w:val="005337C4"/>
    <w:rsid w:val="00534A16"/>
    <w:rsid w:val="00535C4E"/>
    <w:rsid w:val="00537400"/>
    <w:rsid w:val="005401AE"/>
    <w:rsid w:val="00541BD2"/>
    <w:rsid w:val="00542809"/>
    <w:rsid w:val="00542E07"/>
    <w:rsid w:val="005439CF"/>
    <w:rsid w:val="005443C2"/>
    <w:rsid w:val="005445F1"/>
    <w:rsid w:val="00545424"/>
    <w:rsid w:val="00545D31"/>
    <w:rsid w:val="00547493"/>
    <w:rsid w:val="00547F6A"/>
    <w:rsid w:val="005531E0"/>
    <w:rsid w:val="00554A06"/>
    <w:rsid w:val="00554A7B"/>
    <w:rsid w:val="0055572C"/>
    <w:rsid w:val="00555B72"/>
    <w:rsid w:val="00556246"/>
    <w:rsid w:val="0055674A"/>
    <w:rsid w:val="0056106A"/>
    <w:rsid w:val="005617FD"/>
    <w:rsid w:val="0056245C"/>
    <w:rsid w:val="00562A90"/>
    <w:rsid w:val="005633FF"/>
    <w:rsid w:val="00564A56"/>
    <w:rsid w:val="00564D62"/>
    <w:rsid w:val="00565B6B"/>
    <w:rsid w:val="00566526"/>
    <w:rsid w:val="00570947"/>
    <w:rsid w:val="00571E61"/>
    <w:rsid w:val="005720AE"/>
    <w:rsid w:val="00573F2E"/>
    <w:rsid w:val="00574A8C"/>
    <w:rsid w:val="00574B56"/>
    <w:rsid w:val="00576958"/>
    <w:rsid w:val="00576BC3"/>
    <w:rsid w:val="00576E0D"/>
    <w:rsid w:val="005771AC"/>
    <w:rsid w:val="005774E0"/>
    <w:rsid w:val="0058099C"/>
    <w:rsid w:val="00581433"/>
    <w:rsid w:val="00582064"/>
    <w:rsid w:val="00582214"/>
    <w:rsid w:val="005822AE"/>
    <w:rsid w:val="005832AA"/>
    <w:rsid w:val="005836A2"/>
    <w:rsid w:val="00583881"/>
    <w:rsid w:val="00585B5D"/>
    <w:rsid w:val="00586633"/>
    <w:rsid w:val="005877E4"/>
    <w:rsid w:val="00590386"/>
    <w:rsid w:val="00590BE4"/>
    <w:rsid w:val="00592485"/>
    <w:rsid w:val="00592BA2"/>
    <w:rsid w:val="005935CE"/>
    <w:rsid w:val="00594560"/>
    <w:rsid w:val="00594D77"/>
    <w:rsid w:val="005964AB"/>
    <w:rsid w:val="005969E4"/>
    <w:rsid w:val="005A06B7"/>
    <w:rsid w:val="005A0FDC"/>
    <w:rsid w:val="005A1759"/>
    <w:rsid w:val="005A320D"/>
    <w:rsid w:val="005A4948"/>
    <w:rsid w:val="005A4B20"/>
    <w:rsid w:val="005A607D"/>
    <w:rsid w:val="005A63CA"/>
    <w:rsid w:val="005A68A7"/>
    <w:rsid w:val="005B0204"/>
    <w:rsid w:val="005B0F48"/>
    <w:rsid w:val="005B1F15"/>
    <w:rsid w:val="005B1F21"/>
    <w:rsid w:val="005B31CB"/>
    <w:rsid w:val="005B54CC"/>
    <w:rsid w:val="005B6AD3"/>
    <w:rsid w:val="005B6C87"/>
    <w:rsid w:val="005B6F02"/>
    <w:rsid w:val="005B73E0"/>
    <w:rsid w:val="005B74E4"/>
    <w:rsid w:val="005C05A7"/>
    <w:rsid w:val="005C0EBB"/>
    <w:rsid w:val="005C4080"/>
    <w:rsid w:val="005C40E0"/>
    <w:rsid w:val="005C683B"/>
    <w:rsid w:val="005C69EA"/>
    <w:rsid w:val="005C6A56"/>
    <w:rsid w:val="005D28EB"/>
    <w:rsid w:val="005D2E32"/>
    <w:rsid w:val="005D36AB"/>
    <w:rsid w:val="005D46E3"/>
    <w:rsid w:val="005D4BFE"/>
    <w:rsid w:val="005D5D31"/>
    <w:rsid w:val="005D62F2"/>
    <w:rsid w:val="005E0601"/>
    <w:rsid w:val="005E0DAA"/>
    <w:rsid w:val="005E2135"/>
    <w:rsid w:val="005E341E"/>
    <w:rsid w:val="005E41A9"/>
    <w:rsid w:val="005E6B50"/>
    <w:rsid w:val="005F0063"/>
    <w:rsid w:val="005F058A"/>
    <w:rsid w:val="005F192C"/>
    <w:rsid w:val="005F3031"/>
    <w:rsid w:val="005F4429"/>
    <w:rsid w:val="005F520A"/>
    <w:rsid w:val="005F58B2"/>
    <w:rsid w:val="005F6614"/>
    <w:rsid w:val="005F6DB4"/>
    <w:rsid w:val="005F7007"/>
    <w:rsid w:val="0060079E"/>
    <w:rsid w:val="00600F35"/>
    <w:rsid w:val="0060331F"/>
    <w:rsid w:val="00606548"/>
    <w:rsid w:val="00607992"/>
    <w:rsid w:val="00611E02"/>
    <w:rsid w:val="00612A9A"/>
    <w:rsid w:val="00613B2D"/>
    <w:rsid w:val="00613F03"/>
    <w:rsid w:val="0061475F"/>
    <w:rsid w:val="0061548F"/>
    <w:rsid w:val="00617CC3"/>
    <w:rsid w:val="00621522"/>
    <w:rsid w:val="00623169"/>
    <w:rsid w:val="00626154"/>
    <w:rsid w:val="00627A7D"/>
    <w:rsid w:val="006318AD"/>
    <w:rsid w:val="00631AB3"/>
    <w:rsid w:val="00631AFA"/>
    <w:rsid w:val="00631F4E"/>
    <w:rsid w:val="00632153"/>
    <w:rsid w:val="0063475C"/>
    <w:rsid w:val="00635322"/>
    <w:rsid w:val="00635EA2"/>
    <w:rsid w:val="0063630C"/>
    <w:rsid w:val="0063710C"/>
    <w:rsid w:val="0063737D"/>
    <w:rsid w:val="0063770F"/>
    <w:rsid w:val="006377A6"/>
    <w:rsid w:val="00637A3D"/>
    <w:rsid w:val="0064084C"/>
    <w:rsid w:val="006411EF"/>
    <w:rsid w:val="00641F9E"/>
    <w:rsid w:val="00642F8F"/>
    <w:rsid w:val="00644786"/>
    <w:rsid w:val="00645787"/>
    <w:rsid w:val="00651ED1"/>
    <w:rsid w:val="00653B38"/>
    <w:rsid w:val="00654012"/>
    <w:rsid w:val="00654BD6"/>
    <w:rsid w:val="00656847"/>
    <w:rsid w:val="00656C70"/>
    <w:rsid w:val="00657A3D"/>
    <w:rsid w:val="00657DFF"/>
    <w:rsid w:val="006600F0"/>
    <w:rsid w:val="0066030C"/>
    <w:rsid w:val="006606AC"/>
    <w:rsid w:val="00660D68"/>
    <w:rsid w:val="00662438"/>
    <w:rsid w:val="006641D3"/>
    <w:rsid w:val="00665931"/>
    <w:rsid w:val="00665C80"/>
    <w:rsid w:val="0066638D"/>
    <w:rsid w:val="006667B7"/>
    <w:rsid w:val="006675BD"/>
    <w:rsid w:val="00667DD5"/>
    <w:rsid w:val="00667F3B"/>
    <w:rsid w:val="00670E61"/>
    <w:rsid w:val="00671208"/>
    <w:rsid w:val="006728B6"/>
    <w:rsid w:val="00673227"/>
    <w:rsid w:val="006748B8"/>
    <w:rsid w:val="00674911"/>
    <w:rsid w:val="00675D15"/>
    <w:rsid w:val="006775C3"/>
    <w:rsid w:val="006778AA"/>
    <w:rsid w:val="0068155D"/>
    <w:rsid w:val="0068328B"/>
    <w:rsid w:val="00684751"/>
    <w:rsid w:val="006859EB"/>
    <w:rsid w:val="006862F2"/>
    <w:rsid w:val="00687628"/>
    <w:rsid w:val="00687C3E"/>
    <w:rsid w:val="0069290A"/>
    <w:rsid w:val="00695A80"/>
    <w:rsid w:val="00695C43"/>
    <w:rsid w:val="00695FC3"/>
    <w:rsid w:val="0069663B"/>
    <w:rsid w:val="006975DB"/>
    <w:rsid w:val="0069775A"/>
    <w:rsid w:val="00697813"/>
    <w:rsid w:val="00697AA1"/>
    <w:rsid w:val="006A043E"/>
    <w:rsid w:val="006A044C"/>
    <w:rsid w:val="006A1BC4"/>
    <w:rsid w:val="006A1FC2"/>
    <w:rsid w:val="006A2223"/>
    <w:rsid w:val="006A3134"/>
    <w:rsid w:val="006A3C13"/>
    <w:rsid w:val="006A3EE8"/>
    <w:rsid w:val="006A62D4"/>
    <w:rsid w:val="006A67E2"/>
    <w:rsid w:val="006A72BF"/>
    <w:rsid w:val="006A79FB"/>
    <w:rsid w:val="006A7C68"/>
    <w:rsid w:val="006B03F2"/>
    <w:rsid w:val="006B11A4"/>
    <w:rsid w:val="006B1A77"/>
    <w:rsid w:val="006B1AB4"/>
    <w:rsid w:val="006B2276"/>
    <w:rsid w:val="006B32F4"/>
    <w:rsid w:val="006B331E"/>
    <w:rsid w:val="006B3737"/>
    <w:rsid w:val="006B37DC"/>
    <w:rsid w:val="006B4F68"/>
    <w:rsid w:val="006B529E"/>
    <w:rsid w:val="006B6022"/>
    <w:rsid w:val="006B628E"/>
    <w:rsid w:val="006B6792"/>
    <w:rsid w:val="006C0545"/>
    <w:rsid w:val="006C0592"/>
    <w:rsid w:val="006C1A59"/>
    <w:rsid w:val="006C2360"/>
    <w:rsid w:val="006C272E"/>
    <w:rsid w:val="006C2B65"/>
    <w:rsid w:val="006C347C"/>
    <w:rsid w:val="006C5479"/>
    <w:rsid w:val="006C6F08"/>
    <w:rsid w:val="006C765D"/>
    <w:rsid w:val="006D0A9D"/>
    <w:rsid w:val="006D13B5"/>
    <w:rsid w:val="006D17BB"/>
    <w:rsid w:val="006D2ACF"/>
    <w:rsid w:val="006D2BF8"/>
    <w:rsid w:val="006D335B"/>
    <w:rsid w:val="006D69A0"/>
    <w:rsid w:val="006D6D66"/>
    <w:rsid w:val="006D761D"/>
    <w:rsid w:val="006E034F"/>
    <w:rsid w:val="006E09D7"/>
    <w:rsid w:val="006E12FF"/>
    <w:rsid w:val="006E1D23"/>
    <w:rsid w:val="006E2B91"/>
    <w:rsid w:val="006E2EFA"/>
    <w:rsid w:val="006E52FD"/>
    <w:rsid w:val="006E5D36"/>
    <w:rsid w:val="006E607E"/>
    <w:rsid w:val="006E6892"/>
    <w:rsid w:val="006E7D1C"/>
    <w:rsid w:val="006F32C3"/>
    <w:rsid w:val="006F4C47"/>
    <w:rsid w:val="006F5C57"/>
    <w:rsid w:val="006F6D39"/>
    <w:rsid w:val="006F7D8F"/>
    <w:rsid w:val="00700141"/>
    <w:rsid w:val="007002F4"/>
    <w:rsid w:val="007010C9"/>
    <w:rsid w:val="0070136C"/>
    <w:rsid w:val="00702EE6"/>
    <w:rsid w:val="00704809"/>
    <w:rsid w:val="0070512B"/>
    <w:rsid w:val="00706C5D"/>
    <w:rsid w:val="007106B8"/>
    <w:rsid w:val="007115A9"/>
    <w:rsid w:val="00711EA2"/>
    <w:rsid w:val="007135E7"/>
    <w:rsid w:val="0071374E"/>
    <w:rsid w:val="00713972"/>
    <w:rsid w:val="00713C3C"/>
    <w:rsid w:val="00714501"/>
    <w:rsid w:val="00714E4A"/>
    <w:rsid w:val="00715379"/>
    <w:rsid w:val="00716574"/>
    <w:rsid w:val="00720376"/>
    <w:rsid w:val="00720DE0"/>
    <w:rsid w:val="0072382D"/>
    <w:rsid w:val="00723B74"/>
    <w:rsid w:val="00723D1E"/>
    <w:rsid w:val="0072496A"/>
    <w:rsid w:val="00724E99"/>
    <w:rsid w:val="00724EF0"/>
    <w:rsid w:val="007258AC"/>
    <w:rsid w:val="00726882"/>
    <w:rsid w:val="00727353"/>
    <w:rsid w:val="007275DC"/>
    <w:rsid w:val="00727AFD"/>
    <w:rsid w:val="00727C02"/>
    <w:rsid w:val="007310F3"/>
    <w:rsid w:val="007313E3"/>
    <w:rsid w:val="00732922"/>
    <w:rsid w:val="00732945"/>
    <w:rsid w:val="0073296D"/>
    <w:rsid w:val="00732DD3"/>
    <w:rsid w:val="00732FE3"/>
    <w:rsid w:val="00734B7E"/>
    <w:rsid w:val="00735A25"/>
    <w:rsid w:val="00737375"/>
    <w:rsid w:val="00737639"/>
    <w:rsid w:val="00737F7B"/>
    <w:rsid w:val="007422E2"/>
    <w:rsid w:val="00742D6C"/>
    <w:rsid w:val="007438BF"/>
    <w:rsid w:val="00743F12"/>
    <w:rsid w:val="00744973"/>
    <w:rsid w:val="007452D4"/>
    <w:rsid w:val="00745DD7"/>
    <w:rsid w:val="00746CC7"/>
    <w:rsid w:val="00747BC6"/>
    <w:rsid w:val="007502E7"/>
    <w:rsid w:val="00750572"/>
    <w:rsid w:val="007509A7"/>
    <w:rsid w:val="007514DD"/>
    <w:rsid w:val="0075162E"/>
    <w:rsid w:val="007527E9"/>
    <w:rsid w:val="00754034"/>
    <w:rsid w:val="007549C0"/>
    <w:rsid w:val="007560F7"/>
    <w:rsid w:val="007562E5"/>
    <w:rsid w:val="00756556"/>
    <w:rsid w:val="00757EFA"/>
    <w:rsid w:val="00760CD2"/>
    <w:rsid w:val="00761180"/>
    <w:rsid w:val="00761362"/>
    <w:rsid w:val="00761545"/>
    <w:rsid w:val="007617E3"/>
    <w:rsid w:val="007618C4"/>
    <w:rsid w:val="00762CBC"/>
    <w:rsid w:val="00762D38"/>
    <w:rsid w:val="00763E04"/>
    <w:rsid w:val="007657A2"/>
    <w:rsid w:val="007663F5"/>
    <w:rsid w:val="00766609"/>
    <w:rsid w:val="00766F3A"/>
    <w:rsid w:val="007674B0"/>
    <w:rsid w:val="0076762F"/>
    <w:rsid w:val="00767980"/>
    <w:rsid w:val="00767B19"/>
    <w:rsid w:val="00767FDE"/>
    <w:rsid w:val="00770B19"/>
    <w:rsid w:val="00770FA7"/>
    <w:rsid w:val="00772B09"/>
    <w:rsid w:val="00773F21"/>
    <w:rsid w:val="00774033"/>
    <w:rsid w:val="0077463F"/>
    <w:rsid w:val="007750DA"/>
    <w:rsid w:val="007760A2"/>
    <w:rsid w:val="00776E52"/>
    <w:rsid w:val="00780303"/>
    <w:rsid w:val="00781D98"/>
    <w:rsid w:val="00783007"/>
    <w:rsid w:val="007836EA"/>
    <w:rsid w:val="00784CDA"/>
    <w:rsid w:val="00784E22"/>
    <w:rsid w:val="00785427"/>
    <w:rsid w:val="007856E0"/>
    <w:rsid w:val="0078723D"/>
    <w:rsid w:val="007876FA"/>
    <w:rsid w:val="007906C4"/>
    <w:rsid w:val="0079086F"/>
    <w:rsid w:val="00791091"/>
    <w:rsid w:val="00791532"/>
    <w:rsid w:val="00791546"/>
    <w:rsid w:val="007940EA"/>
    <w:rsid w:val="00794310"/>
    <w:rsid w:val="007954A3"/>
    <w:rsid w:val="007967E8"/>
    <w:rsid w:val="00797ECB"/>
    <w:rsid w:val="00797F07"/>
    <w:rsid w:val="007A14E7"/>
    <w:rsid w:val="007A2170"/>
    <w:rsid w:val="007A22BF"/>
    <w:rsid w:val="007A3315"/>
    <w:rsid w:val="007A3323"/>
    <w:rsid w:val="007A4118"/>
    <w:rsid w:val="007A4BC1"/>
    <w:rsid w:val="007A4BD5"/>
    <w:rsid w:val="007B4424"/>
    <w:rsid w:val="007B4673"/>
    <w:rsid w:val="007B475F"/>
    <w:rsid w:val="007B6A14"/>
    <w:rsid w:val="007B72B8"/>
    <w:rsid w:val="007B7457"/>
    <w:rsid w:val="007B7A58"/>
    <w:rsid w:val="007B7D1C"/>
    <w:rsid w:val="007C21B5"/>
    <w:rsid w:val="007C3BD7"/>
    <w:rsid w:val="007C46F4"/>
    <w:rsid w:val="007C6667"/>
    <w:rsid w:val="007C6E41"/>
    <w:rsid w:val="007C7312"/>
    <w:rsid w:val="007D04D1"/>
    <w:rsid w:val="007D0B68"/>
    <w:rsid w:val="007D17FE"/>
    <w:rsid w:val="007D1837"/>
    <w:rsid w:val="007D2EAE"/>
    <w:rsid w:val="007D4965"/>
    <w:rsid w:val="007D6497"/>
    <w:rsid w:val="007D7F80"/>
    <w:rsid w:val="007E1823"/>
    <w:rsid w:val="007E1C48"/>
    <w:rsid w:val="007E363A"/>
    <w:rsid w:val="007E4BD2"/>
    <w:rsid w:val="007E6031"/>
    <w:rsid w:val="007E67DE"/>
    <w:rsid w:val="007E6992"/>
    <w:rsid w:val="007E75C7"/>
    <w:rsid w:val="007E75CE"/>
    <w:rsid w:val="007F0484"/>
    <w:rsid w:val="007F07D6"/>
    <w:rsid w:val="007F0B3D"/>
    <w:rsid w:val="007F0EC0"/>
    <w:rsid w:val="007F3155"/>
    <w:rsid w:val="007F3DCD"/>
    <w:rsid w:val="007F49B0"/>
    <w:rsid w:val="007F4EAE"/>
    <w:rsid w:val="007F531C"/>
    <w:rsid w:val="007F601C"/>
    <w:rsid w:val="00800A23"/>
    <w:rsid w:val="00801393"/>
    <w:rsid w:val="00802A49"/>
    <w:rsid w:val="00802F88"/>
    <w:rsid w:val="0080366E"/>
    <w:rsid w:val="008056E1"/>
    <w:rsid w:val="00805BAD"/>
    <w:rsid w:val="0081100F"/>
    <w:rsid w:val="0081293E"/>
    <w:rsid w:val="00813F30"/>
    <w:rsid w:val="00815465"/>
    <w:rsid w:val="00815FAD"/>
    <w:rsid w:val="0081618D"/>
    <w:rsid w:val="0081677E"/>
    <w:rsid w:val="00816A86"/>
    <w:rsid w:val="00817E9A"/>
    <w:rsid w:val="00820504"/>
    <w:rsid w:val="00820C14"/>
    <w:rsid w:val="00820D25"/>
    <w:rsid w:val="00821015"/>
    <w:rsid w:val="00822BFB"/>
    <w:rsid w:val="008248C0"/>
    <w:rsid w:val="0082518F"/>
    <w:rsid w:val="0082719F"/>
    <w:rsid w:val="008306BD"/>
    <w:rsid w:val="008312D4"/>
    <w:rsid w:val="00831A80"/>
    <w:rsid w:val="008334A3"/>
    <w:rsid w:val="008336C2"/>
    <w:rsid w:val="00833743"/>
    <w:rsid w:val="00833EA3"/>
    <w:rsid w:val="00834003"/>
    <w:rsid w:val="008340A4"/>
    <w:rsid w:val="0083504F"/>
    <w:rsid w:val="0083563D"/>
    <w:rsid w:val="00836B6E"/>
    <w:rsid w:val="0083753E"/>
    <w:rsid w:val="00837795"/>
    <w:rsid w:val="00841653"/>
    <w:rsid w:val="0085016B"/>
    <w:rsid w:val="008505CA"/>
    <w:rsid w:val="00851FEB"/>
    <w:rsid w:val="00852EA9"/>
    <w:rsid w:val="00853646"/>
    <w:rsid w:val="00853870"/>
    <w:rsid w:val="00853A56"/>
    <w:rsid w:val="00860424"/>
    <w:rsid w:val="00860461"/>
    <w:rsid w:val="00861812"/>
    <w:rsid w:val="0086246A"/>
    <w:rsid w:val="00862B74"/>
    <w:rsid w:val="008630D7"/>
    <w:rsid w:val="00866B09"/>
    <w:rsid w:val="00866DB8"/>
    <w:rsid w:val="008700CA"/>
    <w:rsid w:val="008702A7"/>
    <w:rsid w:val="0087135F"/>
    <w:rsid w:val="00872A95"/>
    <w:rsid w:val="00872D94"/>
    <w:rsid w:val="00873539"/>
    <w:rsid w:val="00873FA5"/>
    <w:rsid w:val="0087551D"/>
    <w:rsid w:val="0087695F"/>
    <w:rsid w:val="008772F3"/>
    <w:rsid w:val="00880364"/>
    <w:rsid w:val="008804E8"/>
    <w:rsid w:val="00881692"/>
    <w:rsid w:val="008816EC"/>
    <w:rsid w:val="008830E9"/>
    <w:rsid w:val="008834A3"/>
    <w:rsid w:val="00885149"/>
    <w:rsid w:val="00886B00"/>
    <w:rsid w:val="00886E8F"/>
    <w:rsid w:val="008903E6"/>
    <w:rsid w:val="00891592"/>
    <w:rsid w:val="00891E9E"/>
    <w:rsid w:val="008937BF"/>
    <w:rsid w:val="00893932"/>
    <w:rsid w:val="00893935"/>
    <w:rsid w:val="00893B7F"/>
    <w:rsid w:val="00895D7B"/>
    <w:rsid w:val="00896EF4"/>
    <w:rsid w:val="00896FFF"/>
    <w:rsid w:val="008972E5"/>
    <w:rsid w:val="00897A50"/>
    <w:rsid w:val="00897C13"/>
    <w:rsid w:val="008A0FAD"/>
    <w:rsid w:val="008A1206"/>
    <w:rsid w:val="008A2215"/>
    <w:rsid w:val="008A2CA9"/>
    <w:rsid w:val="008A2F68"/>
    <w:rsid w:val="008A37C9"/>
    <w:rsid w:val="008A37CC"/>
    <w:rsid w:val="008A3866"/>
    <w:rsid w:val="008A3A20"/>
    <w:rsid w:val="008A4FA8"/>
    <w:rsid w:val="008A619F"/>
    <w:rsid w:val="008A6C94"/>
    <w:rsid w:val="008A75FC"/>
    <w:rsid w:val="008B0127"/>
    <w:rsid w:val="008B10F0"/>
    <w:rsid w:val="008B12DB"/>
    <w:rsid w:val="008B13C5"/>
    <w:rsid w:val="008B283B"/>
    <w:rsid w:val="008B2C01"/>
    <w:rsid w:val="008B2D95"/>
    <w:rsid w:val="008B3015"/>
    <w:rsid w:val="008B32BD"/>
    <w:rsid w:val="008B38F4"/>
    <w:rsid w:val="008B3B56"/>
    <w:rsid w:val="008B4587"/>
    <w:rsid w:val="008B48C9"/>
    <w:rsid w:val="008B4FA6"/>
    <w:rsid w:val="008B5282"/>
    <w:rsid w:val="008B562C"/>
    <w:rsid w:val="008B64F0"/>
    <w:rsid w:val="008B7354"/>
    <w:rsid w:val="008B7C17"/>
    <w:rsid w:val="008C0317"/>
    <w:rsid w:val="008C1DFE"/>
    <w:rsid w:val="008C2D01"/>
    <w:rsid w:val="008C40E6"/>
    <w:rsid w:val="008C4F71"/>
    <w:rsid w:val="008C5ACF"/>
    <w:rsid w:val="008C69CC"/>
    <w:rsid w:val="008C6CAA"/>
    <w:rsid w:val="008C6E4C"/>
    <w:rsid w:val="008C758E"/>
    <w:rsid w:val="008D058E"/>
    <w:rsid w:val="008D0F7A"/>
    <w:rsid w:val="008D1014"/>
    <w:rsid w:val="008D3496"/>
    <w:rsid w:val="008D4325"/>
    <w:rsid w:val="008D45B3"/>
    <w:rsid w:val="008D55F9"/>
    <w:rsid w:val="008D68E4"/>
    <w:rsid w:val="008D6CD0"/>
    <w:rsid w:val="008D7B8E"/>
    <w:rsid w:val="008D7C5D"/>
    <w:rsid w:val="008E0506"/>
    <w:rsid w:val="008E0775"/>
    <w:rsid w:val="008E0CFF"/>
    <w:rsid w:val="008E1E8B"/>
    <w:rsid w:val="008E4EF1"/>
    <w:rsid w:val="008E50C9"/>
    <w:rsid w:val="008E5D6B"/>
    <w:rsid w:val="008E76F0"/>
    <w:rsid w:val="008F05FC"/>
    <w:rsid w:val="008F15FE"/>
    <w:rsid w:val="008F1684"/>
    <w:rsid w:val="008F2D29"/>
    <w:rsid w:val="008F3D99"/>
    <w:rsid w:val="008F4200"/>
    <w:rsid w:val="008F4506"/>
    <w:rsid w:val="008F5146"/>
    <w:rsid w:val="008F5187"/>
    <w:rsid w:val="008F569E"/>
    <w:rsid w:val="008F60D8"/>
    <w:rsid w:val="008F7115"/>
    <w:rsid w:val="008F7E2B"/>
    <w:rsid w:val="00900D8A"/>
    <w:rsid w:val="00901913"/>
    <w:rsid w:val="00902727"/>
    <w:rsid w:val="0090312B"/>
    <w:rsid w:val="009047B4"/>
    <w:rsid w:val="00904C0F"/>
    <w:rsid w:val="009058D6"/>
    <w:rsid w:val="00911197"/>
    <w:rsid w:val="0091736D"/>
    <w:rsid w:val="00917A49"/>
    <w:rsid w:val="00921299"/>
    <w:rsid w:val="009221FC"/>
    <w:rsid w:val="00926DD8"/>
    <w:rsid w:val="00927E1C"/>
    <w:rsid w:val="00930137"/>
    <w:rsid w:val="0093037A"/>
    <w:rsid w:val="00930F1F"/>
    <w:rsid w:val="0093309C"/>
    <w:rsid w:val="009330D0"/>
    <w:rsid w:val="00933405"/>
    <w:rsid w:val="00933F70"/>
    <w:rsid w:val="0093443B"/>
    <w:rsid w:val="0093556E"/>
    <w:rsid w:val="00936641"/>
    <w:rsid w:val="00940ADA"/>
    <w:rsid w:val="0094154D"/>
    <w:rsid w:val="00942A43"/>
    <w:rsid w:val="00942CCF"/>
    <w:rsid w:val="00942E6B"/>
    <w:rsid w:val="00943BBD"/>
    <w:rsid w:val="00945E98"/>
    <w:rsid w:val="00947653"/>
    <w:rsid w:val="00950B29"/>
    <w:rsid w:val="00951351"/>
    <w:rsid w:val="0095155F"/>
    <w:rsid w:val="00951C23"/>
    <w:rsid w:val="00952A82"/>
    <w:rsid w:val="00954429"/>
    <w:rsid w:val="0095588C"/>
    <w:rsid w:val="009563CE"/>
    <w:rsid w:val="009569BF"/>
    <w:rsid w:val="00957772"/>
    <w:rsid w:val="009610CA"/>
    <w:rsid w:val="0096174A"/>
    <w:rsid w:val="00961CA2"/>
    <w:rsid w:val="00962F81"/>
    <w:rsid w:val="0096380B"/>
    <w:rsid w:val="00963C6F"/>
    <w:rsid w:val="00964BFD"/>
    <w:rsid w:val="0096501F"/>
    <w:rsid w:val="009709C9"/>
    <w:rsid w:val="00970BF8"/>
    <w:rsid w:val="00970D0F"/>
    <w:rsid w:val="0097150E"/>
    <w:rsid w:val="00972806"/>
    <w:rsid w:val="00972A02"/>
    <w:rsid w:val="0097386D"/>
    <w:rsid w:val="00973F7A"/>
    <w:rsid w:val="0097457B"/>
    <w:rsid w:val="0097475D"/>
    <w:rsid w:val="00976328"/>
    <w:rsid w:val="0097680D"/>
    <w:rsid w:val="00976F25"/>
    <w:rsid w:val="00977536"/>
    <w:rsid w:val="009778BE"/>
    <w:rsid w:val="009808B6"/>
    <w:rsid w:val="00980B01"/>
    <w:rsid w:val="00980CFC"/>
    <w:rsid w:val="00982438"/>
    <w:rsid w:val="009825D6"/>
    <w:rsid w:val="00983F1B"/>
    <w:rsid w:val="00983FB1"/>
    <w:rsid w:val="0098404C"/>
    <w:rsid w:val="009840D8"/>
    <w:rsid w:val="00985283"/>
    <w:rsid w:val="009867F9"/>
    <w:rsid w:val="00990A4D"/>
    <w:rsid w:val="00990EEE"/>
    <w:rsid w:val="00995992"/>
    <w:rsid w:val="00995B36"/>
    <w:rsid w:val="009966C4"/>
    <w:rsid w:val="00997C67"/>
    <w:rsid w:val="009A01E5"/>
    <w:rsid w:val="009A0279"/>
    <w:rsid w:val="009A03E5"/>
    <w:rsid w:val="009A0A73"/>
    <w:rsid w:val="009A0F3B"/>
    <w:rsid w:val="009A120F"/>
    <w:rsid w:val="009A1BB4"/>
    <w:rsid w:val="009A1E22"/>
    <w:rsid w:val="009A2012"/>
    <w:rsid w:val="009A2628"/>
    <w:rsid w:val="009A2B01"/>
    <w:rsid w:val="009A3200"/>
    <w:rsid w:val="009A355D"/>
    <w:rsid w:val="009A6991"/>
    <w:rsid w:val="009B064C"/>
    <w:rsid w:val="009B0897"/>
    <w:rsid w:val="009B1365"/>
    <w:rsid w:val="009B2CF6"/>
    <w:rsid w:val="009B4488"/>
    <w:rsid w:val="009B7650"/>
    <w:rsid w:val="009B7BD9"/>
    <w:rsid w:val="009C0D25"/>
    <w:rsid w:val="009C1073"/>
    <w:rsid w:val="009C1F68"/>
    <w:rsid w:val="009C32EA"/>
    <w:rsid w:val="009C4355"/>
    <w:rsid w:val="009C46F9"/>
    <w:rsid w:val="009C47F3"/>
    <w:rsid w:val="009C4CEA"/>
    <w:rsid w:val="009C54FC"/>
    <w:rsid w:val="009C55B7"/>
    <w:rsid w:val="009C7DD5"/>
    <w:rsid w:val="009D5A98"/>
    <w:rsid w:val="009D6AC5"/>
    <w:rsid w:val="009D7AAB"/>
    <w:rsid w:val="009E227D"/>
    <w:rsid w:val="009E33CA"/>
    <w:rsid w:val="009E3975"/>
    <w:rsid w:val="009E4A68"/>
    <w:rsid w:val="009E4E45"/>
    <w:rsid w:val="009E5019"/>
    <w:rsid w:val="009E541B"/>
    <w:rsid w:val="009E63D2"/>
    <w:rsid w:val="009E673C"/>
    <w:rsid w:val="009E6C33"/>
    <w:rsid w:val="009E6FE6"/>
    <w:rsid w:val="009E7676"/>
    <w:rsid w:val="009F046F"/>
    <w:rsid w:val="009F06EF"/>
    <w:rsid w:val="009F0B20"/>
    <w:rsid w:val="009F108D"/>
    <w:rsid w:val="009F1491"/>
    <w:rsid w:val="009F27D7"/>
    <w:rsid w:val="009F337A"/>
    <w:rsid w:val="009F3543"/>
    <w:rsid w:val="009F37DC"/>
    <w:rsid w:val="009F3B8D"/>
    <w:rsid w:val="009F52E8"/>
    <w:rsid w:val="009F7528"/>
    <w:rsid w:val="00A01B76"/>
    <w:rsid w:val="00A03EB8"/>
    <w:rsid w:val="00A04F1B"/>
    <w:rsid w:val="00A0501B"/>
    <w:rsid w:val="00A05149"/>
    <w:rsid w:val="00A0551F"/>
    <w:rsid w:val="00A06C23"/>
    <w:rsid w:val="00A07496"/>
    <w:rsid w:val="00A078AF"/>
    <w:rsid w:val="00A10E7F"/>
    <w:rsid w:val="00A111C3"/>
    <w:rsid w:val="00A116CC"/>
    <w:rsid w:val="00A11EAA"/>
    <w:rsid w:val="00A126C8"/>
    <w:rsid w:val="00A139AF"/>
    <w:rsid w:val="00A145A2"/>
    <w:rsid w:val="00A14947"/>
    <w:rsid w:val="00A14AD1"/>
    <w:rsid w:val="00A158EF"/>
    <w:rsid w:val="00A16640"/>
    <w:rsid w:val="00A16975"/>
    <w:rsid w:val="00A16A8D"/>
    <w:rsid w:val="00A17B4C"/>
    <w:rsid w:val="00A2025A"/>
    <w:rsid w:val="00A211A1"/>
    <w:rsid w:val="00A21A4A"/>
    <w:rsid w:val="00A23A5D"/>
    <w:rsid w:val="00A24831"/>
    <w:rsid w:val="00A249DD"/>
    <w:rsid w:val="00A26B88"/>
    <w:rsid w:val="00A30026"/>
    <w:rsid w:val="00A32A83"/>
    <w:rsid w:val="00A34CC9"/>
    <w:rsid w:val="00A368DB"/>
    <w:rsid w:val="00A374B9"/>
    <w:rsid w:val="00A378DC"/>
    <w:rsid w:val="00A37967"/>
    <w:rsid w:val="00A40F04"/>
    <w:rsid w:val="00A423AA"/>
    <w:rsid w:val="00A42B4B"/>
    <w:rsid w:val="00A44797"/>
    <w:rsid w:val="00A44CB8"/>
    <w:rsid w:val="00A44FCC"/>
    <w:rsid w:val="00A4679E"/>
    <w:rsid w:val="00A4718C"/>
    <w:rsid w:val="00A472B8"/>
    <w:rsid w:val="00A47E98"/>
    <w:rsid w:val="00A50964"/>
    <w:rsid w:val="00A52E07"/>
    <w:rsid w:val="00A5356A"/>
    <w:rsid w:val="00A53EC6"/>
    <w:rsid w:val="00A54D11"/>
    <w:rsid w:val="00A5567B"/>
    <w:rsid w:val="00A55C0F"/>
    <w:rsid w:val="00A566B9"/>
    <w:rsid w:val="00A61191"/>
    <w:rsid w:val="00A62FE5"/>
    <w:rsid w:val="00A63061"/>
    <w:rsid w:val="00A63868"/>
    <w:rsid w:val="00A63B42"/>
    <w:rsid w:val="00A66294"/>
    <w:rsid w:val="00A66580"/>
    <w:rsid w:val="00A67F4D"/>
    <w:rsid w:val="00A7184E"/>
    <w:rsid w:val="00A71C23"/>
    <w:rsid w:val="00A7347B"/>
    <w:rsid w:val="00A74399"/>
    <w:rsid w:val="00A75172"/>
    <w:rsid w:val="00A7537E"/>
    <w:rsid w:val="00A76FC7"/>
    <w:rsid w:val="00A7740A"/>
    <w:rsid w:val="00A77B6B"/>
    <w:rsid w:val="00A77F09"/>
    <w:rsid w:val="00A81D24"/>
    <w:rsid w:val="00A81D83"/>
    <w:rsid w:val="00A82557"/>
    <w:rsid w:val="00A8339A"/>
    <w:rsid w:val="00A86415"/>
    <w:rsid w:val="00A8713F"/>
    <w:rsid w:val="00A9013B"/>
    <w:rsid w:val="00A90A4A"/>
    <w:rsid w:val="00A90BA1"/>
    <w:rsid w:val="00A911D0"/>
    <w:rsid w:val="00A9240B"/>
    <w:rsid w:val="00A9344C"/>
    <w:rsid w:val="00A942EE"/>
    <w:rsid w:val="00A94832"/>
    <w:rsid w:val="00A94FB5"/>
    <w:rsid w:val="00A964F3"/>
    <w:rsid w:val="00A97A9A"/>
    <w:rsid w:val="00AA0160"/>
    <w:rsid w:val="00AA0671"/>
    <w:rsid w:val="00AA0681"/>
    <w:rsid w:val="00AA148B"/>
    <w:rsid w:val="00AA23E1"/>
    <w:rsid w:val="00AA2531"/>
    <w:rsid w:val="00AA4706"/>
    <w:rsid w:val="00AA57B3"/>
    <w:rsid w:val="00AA7492"/>
    <w:rsid w:val="00AA79D4"/>
    <w:rsid w:val="00AB0978"/>
    <w:rsid w:val="00AB18F7"/>
    <w:rsid w:val="00AB1E09"/>
    <w:rsid w:val="00AB1F0D"/>
    <w:rsid w:val="00AB2E3D"/>
    <w:rsid w:val="00AB2F44"/>
    <w:rsid w:val="00AB5330"/>
    <w:rsid w:val="00AB67F7"/>
    <w:rsid w:val="00AB7230"/>
    <w:rsid w:val="00AB7747"/>
    <w:rsid w:val="00AB78A5"/>
    <w:rsid w:val="00AB7A1E"/>
    <w:rsid w:val="00AC065F"/>
    <w:rsid w:val="00AC0AAD"/>
    <w:rsid w:val="00AC1025"/>
    <w:rsid w:val="00AC14CE"/>
    <w:rsid w:val="00AC26F4"/>
    <w:rsid w:val="00AC2A56"/>
    <w:rsid w:val="00AC2F42"/>
    <w:rsid w:val="00AC39BC"/>
    <w:rsid w:val="00AC57D6"/>
    <w:rsid w:val="00AC5A8D"/>
    <w:rsid w:val="00AC767E"/>
    <w:rsid w:val="00AC77F2"/>
    <w:rsid w:val="00AD046A"/>
    <w:rsid w:val="00AD055E"/>
    <w:rsid w:val="00AD2800"/>
    <w:rsid w:val="00AD4185"/>
    <w:rsid w:val="00AD47A7"/>
    <w:rsid w:val="00AD5A23"/>
    <w:rsid w:val="00AD5A2A"/>
    <w:rsid w:val="00AD6F3D"/>
    <w:rsid w:val="00AD7766"/>
    <w:rsid w:val="00AE0478"/>
    <w:rsid w:val="00AE1A6D"/>
    <w:rsid w:val="00AE1FDB"/>
    <w:rsid w:val="00AE2FF9"/>
    <w:rsid w:val="00AE317F"/>
    <w:rsid w:val="00AE48D3"/>
    <w:rsid w:val="00AE50D7"/>
    <w:rsid w:val="00AE63DB"/>
    <w:rsid w:val="00AE7DD2"/>
    <w:rsid w:val="00AE7EE6"/>
    <w:rsid w:val="00AF0288"/>
    <w:rsid w:val="00AF0CBF"/>
    <w:rsid w:val="00AF257F"/>
    <w:rsid w:val="00AF26F4"/>
    <w:rsid w:val="00AF33CF"/>
    <w:rsid w:val="00AF3706"/>
    <w:rsid w:val="00AF4C73"/>
    <w:rsid w:val="00AF4D50"/>
    <w:rsid w:val="00AF53AB"/>
    <w:rsid w:val="00AF5DC0"/>
    <w:rsid w:val="00AF6179"/>
    <w:rsid w:val="00B00F0A"/>
    <w:rsid w:val="00B010AA"/>
    <w:rsid w:val="00B02843"/>
    <w:rsid w:val="00B03790"/>
    <w:rsid w:val="00B040D9"/>
    <w:rsid w:val="00B06125"/>
    <w:rsid w:val="00B07C60"/>
    <w:rsid w:val="00B1018A"/>
    <w:rsid w:val="00B1295A"/>
    <w:rsid w:val="00B130CC"/>
    <w:rsid w:val="00B1523A"/>
    <w:rsid w:val="00B1601D"/>
    <w:rsid w:val="00B20A45"/>
    <w:rsid w:val="00B21881"/>
    <w:rsid w:val="00B229EA"/>
    <w:rsid w:val="00B22C05"/>
    <w:rsid w:val="00B22C5C"/>
    <w:rsid w:val="00B22F0B"/>
    <w:rsid w:val="00B239C0"/>
    <w:rsid w:val="00B24F30"/>
    <w:rsid w:val="00B255FB"/>
    <w:rsid w:val="00B25CB0"/>
    <w:rsid w:val="00B2669F"/>
    <w:rsid w:val="00B26B69"/>
    <w:rsid w:val="00B26B84"/>
    <w:rsid w:val="00B277BC"/>
    <w:rsid w:val="00B31ABF"/>
    <w:rsid w:val="00B32DFA"/>
    <w:rsid w:val="00B33294"/>
    <w:rsid w:val="00B33842"/>
    <w:rsid w:val="00B33BE3"/>
    <w:rsid w:val="00B340DB"/>
    <w:rsid w:val="00B3589B"/>
    <w:rsid w:val="00B36452"/>
    <w:rsid w:val="00B3768C"/>
    <w:rsid w:val="00B37C5E"/>
    <w:rsid w:val="00B40045"/>
    <w:rsid w:val="00B42BC6"/>
    <w:rsid w:val="00B42EC9"/>
    <w:rsid w:val="00B437E3"/>
    <w:rsid w:val="00B43EBC"/>
    <w:rsid w:val="00B44793"/>
    <w:rsid w:val="00B52246"/>
    <w:rsid w:val="00B528C9"/>
    <w:rsid w:val="00B53B5D"/>
    <w:rsid w:val="00B54DD3"/>
    <w:rsid w:val="00B54EA8"/>
    <w:rsid w:val="00B56320"/>
    <w:rsid w:val="00B56569"/>
    <w:rsid w:val="00B56F1A"/>
    <w:rsid w:val="00B572E2"/>
    <w:rsid w:val="00B60152"/>
    <w:rsid w:val="00B6055E"/>
    <w:rsid w:val="00B60D25"/>
    <w:rsid w:val="00B61E7D"/>
    <w:rsid w:val="00B61F14"/>
    <w:rsid w:val="00B62E5E"/>
    <w:rsid w:val="00B6317D"/>
    <w:rsid w:val="00B63203"/>
    <w:rsid w:val="00B64A35"/>
    <w:rsid w:val="00B6645A"/>
    <w:rsid w:val="00B674AE"/>
    <w:rsid w:val="00B675F4"/>
    <w:rsid w:val="00B676BC"/>
    <w:rsid w:val="00B676D9"/>
    <w:rsid w:val="00B678AA"/>
    <w:rsid w:val="00B67A1A"/>
    <w:rsid w:val="00B72129"/>
    <w:rsid w:val="00B75006"/>
    <w:rsid w:val="00B7723F"/>
    <w:rsid w:val="00B77A68"/>
    <w:rsid w:val="00B80534"/>
    <w:rsid w:val="00B80F6B"/>
    <w:rsid w:val="00B83A2D"/>
    <w:rsid w:val="00B8433C"/>
    <w:rsid w:val="00B85394"/>
    <w:rsid w:val="00B85952"/>
    <w:rsid w:val="00B8645F"/>
    <w:rsid w:val="00B86798"/>
    <w:rsid w:val="00B8726F"/>
    <w:rsid w:val="00B87491"/>
    <w:rsid w:val="00B91EB6"/>
    <w:rsid w:val="00B926CE"/>
    <w:rsid w:val="00B938CD"/>
    <w:rsid w:val="00B942D0"/>
    <w:rsid w:val="00B94405"/>
    <w:rsid w:val="00B95063"/>
    <w:rsid w:val="00B95386"/>
    <w:rsid w:val="00B96375"/>
    <w:rsid w:val="00B96C42"/>
    <w:rsid w:val="00BA0680"/>
    <w:rsid w:val="00BA1365"/>
    <w:rsid w:val="00BA22AE"/>
    <w:rsid w:val="00BA2529"/>
    <w:rsid w:val="00BA29BE"/>
    <w:rsid w:val="00BA29E9"/>
    <w:rsid w:val="00BA3C47"/>
    <w:rsid w:val="00BA54C2"/>
    <w:rsid w:val="00BA7016"/>
    <w:rsid w:val="00BA7142"/>
    <w:rsid w:val="00BA74B4"/>
    <w:rsid w:val="00BB0370"/>
    <w:rsid w:val="00BB1ECC"/>
    <w:rsid w:val="00BB237C"/>
    <w:rsid w:val="00BB41A3"/>
    <w:rsid w:val="00BB4BA7"/>
    <w:rsid w:val="00BB5D9A"/>
    <w:rsid w:val="00BB5F85"/>
    <w:rsid w:val="00BC0A5D"/>
    <w:rsid w:val="00BC1370"/>
    <w:rsid w:val="00BC1731"/>
    <w:rsid w:val="00BC2367"/>
    <w:rsid w:val="00BC2D83"/>
    <w:rsid w:val="00BC32DC"/>
    <w:rsid w:val="00BC35B6"/>
    <w:rsid w:val="00BC555E"/>
    <w:rsid w:val="00BC5F45"/>
    <w:rsid w:val="00BC6571"/>
    <w:rsid w:val="00BC6799"/>
    <w:rsid w:val="00BC7340"/>
    <w:rsid w:val="00BD0AB9"/>
    <w:rsid w:val="00BD1B51"/>
    <w:rsid w:val="00BD3008"/>
    <w:rsid w:val="00BD3D91"/>
    <w:rsid w:val="00BD41C0"/>
    <w:rsid w:val="00BD4596"/>
    <w:rsid w:val="00BD5699"/>
    <w:rsid w:val="00BD5C6A"/>
    <w:rsid w:val="00BD7525"/>
    <w:rsid w:val="00BD7C86"/>
    <w:rsid w:val="00BD7E8E"/>
    <w:rsid w:val="00BE02EB"/>
    <w:rsid w:val="00BE04F3"/>
    <w:rsid w:val="00BE0C0A"/>
    <w:rsid w:val="00BE1405"/>
    <w:rsid w:val="00BE1BE2"/>
    <w:rsid w:val="00BE312D"/>
    <w:rsid w:val="00BE43E9"/>
    <w:rsid w:val="00BF1244"/>
    <w:rsid w:val="00BF15C1"/>
    <w:rsid w:val="00BF164C"/>
    <w:rsid w:val="00BF1C20"/>
    <w:rsid w:val="00BF394D"/>
    <w:rsid w:val="00BF764F"/>
    <w:rsid w:val="00C00AC2"/>
    <w:rsid w:val="00C014F6"/>
    <w:rsid w:val="00C01763"/>
    <w:rsid w:val="00C02993"/>
    <w:rsid w:val="00C041BF"/>
    <w:rsid w:val="00C04B2C"/>
    <w:rsid w:val="00C05008"/>
    <w:rsid w:val="00C06D9B"/>
    <w:rsid w:val="00C1013C"/>
    <w:rsid w:val="00C10378"/>
    <w:rsid w:val="00C103A8"/>
    <w:rsid w:val="00C10578"/>
    <w:rsid w:val="00C10C13"/>
    <w:rsid w:val="00C10D0B"/>
    <w:rsid w:val="00C11120"/>
    <w:rsid w:val="00C12536"/>
    <w:rsid w:val="00C12B64"/>
    <w:rsid w:val="00C135BC"/>
    <w:rsid w:val="00C137DE"/>
    <w:rsid w:val="00C1539A"/>
    <w:rsid w:val="00C1568C"/>
    <w:rsid w:val="00C15C95"/>
    <w:rsid w:val="00C16CDB"/>
    <w:rsid w:val="00C16FEE"/>
    <w:rsid w:val="00C205C2"/>
    <w:rsid w:val="00C20D7B"/>
    <w:rsid w:val="00C21852"/>
    <w:rsid w:val="00C21EF8"/>
    <w:rsid w:val="00C223C5"/>
    <w:rsid w:val="00C24C53"/>
    <w:rsid w:val="00C2509C"/>
    <w:rsid w:val="00C2596A"/>
    <w:rsid w:val="00C27537"/>
    <w:rsid w:val="00C27849"/>
    <w:rsid w:val="00C319F3"/>
    <w:rsid w:val="00C3247A"/>
    <w:rsid w:val="00C328FE"/>
    <w:rsid w:val="00C33271"/>
    <w:rsid w:val="00C33507"/>
    <w:rsid w:val="00C349D7"/>
    <w:rsid w:val="00C34BF3"/>
    <w:rsid w:val="00C35710"/>
    <w:rsid w:val="00C35A58"/>
    <w:rsid w:val="00C360A6"/>
    <w:rsid w:val="00C36DCA"/>
    <w:rsid w:val="00C37871"/>
    <w:rsid w:val="00C403C7"/>
    <w:rsid w:val="00C405CC"/>
    <w:rsid w:val="00C40864"/>
    <w:rsid w:val="00C4409D"/>
    <w:rsid w:val="00C44E72"/>
    <w:rsid w:val="00C45A06"/>
    <w:rsid w:val="00C47118"/>
    <w:rsid w:val="00C47E5B"/>
    <w:rsid w:val="00C518CC"/>
    <w:rsid w:val="00C52FED"/>
    <w:rsid w:val="00C532A0"/>
    <w:rsid w:val="00C5446F"/>
    <w:rsid w:val="00C54B3B"/>
    <w:rsid w:val="00C557B4"/>
    <w:rsid w:val="00C56DAE"/>
    <w:rsid w:val="00C60549"/>
    <w:rsid w:val="00C60618"/>
    <w:rsid w:val="00C613DA"/>
    <w:rsid w:val="00C61955"/>
    <w:rsid w:val="00C61A57"/>
    <w:rsid w:val="00C61E4B"/>
    <w:rsid w:val="00C62961"/>
    <w:rsid w:val="00C630F8"/>
    <w:rsid w:val="00C63C97"/>
    <w:rsid w:val="00C64BFF"/>
    <w:rsid w:val="00C66C01"/>
    <w:rsid w:val="00C672A4"/>
    <w:rsid w:val="00C700F8"/>
    <w:rsid w:val="00C701A7"/>
    <w:rsid w:val="00C704E9"/>
    <w:rsid w:val="00C70806"/>
    <w:rsid w:val="00C71838"/>
    <w:rsid w:val="00C72105"/>
    <w:rsid w:val="00C74073"/>
    <w:rsid w:val="00C74F01"/>
    <w:rsid w:val="00C75D40"/>
    <w:rsid w:val="00C763C9"/>
    <w:rsid w:val="00C767A2"/>
    <w:rsid w:val="00C77E29"/>
    <w:rsid w:val="00C80057"/>
    <w:rsid w:val="00C81BC4"/>
    <w:rsid w:val="00C82232"/>
    <w:rsid w:val="00C82913"/>
    <w:rsid w:val="00C850A2"/>
    <w:rsid w:val="00C8524D"/>
    <w:rsid w:val="00C857F0"/>
    <w:rsid w:val="00C87349"/>
    <w:rsid w:val="00C87DFD"/>
    <w:rsid w:val="00C87FA0"/>
    <w:rsid w:val="00C91806"/>
    <w:rsid w:val="00C91EA7"/>
    <w:rsid w:val="00C9213C"/>
    <w:rsid w:val="00C96996"/>
    <w:rsid w:val="00C972B1"/>
    <w:rsid w:val="00C97836"/>
    <w:rsid w:val="00C9793A"/>
    <w:rsid w:val="00CA0B4F"/>
    <w:rsid w:val="00CA0FB3"/>
    <w:rsid w:val="00CA18F6"/>
    <w:rsid w:val="00CA1B01"/>
    <w:rsid w:val="00CA24C3"/>
    <w:rsid w:val="00CA2847"/>
    <w:rsid w:val="00CA2CCE"/>
    <w:rsid w:val="00CA43FD"/>
    <w:rsid w:val="00CA4528"/>
    <w:rsid w:val="00CA4E64"/>
    <w:rsid w:val="00CA6756"/>
    <w:rsid w:val="00CA6798"/>
    <w:rsid w:val="00CA6AF3"/>
    <w:rsid w:val="00CA7EF8"/>
    <w:rsid w:val="00CB0943"/>
    <w:rsid w:val="00CB094C"/>
    <w:rsid w:val="00CB0D36"/>
    <w:rsid w:val="00CB2110"/>
    <w:rsid w:val="00CB40C1"/>
    <w:rsid w:val="00CB4FFB"/>
    <w:rsid w:val="00CB588A"/>
    <w:rsid w:val="00CB5B25"/>
    <w:rsid w:val="00CB5C6B"/>
    <w:rsid w:val="00CB6572"/>
    <w:rsid w:val="00CB75A2"/>
    <w:rsid w:val="00CC2DFD"/>
    <w:rsid w:val="00CC41C2"/>
    <w:rsid w:val="00CC489B"/>
    <w:rsid w:val="00CC53DF"/>
    <w:rsid w:val="00CC6E65"/>
    <w:rsid w:val="00CC7295"/>
    <w:rsid w:val="00CD08D9"/>
    <w:rsid w:val="00CD1737"/>
    <w:rsid w:val="00CD23D6"/>
    <w:rsid w:val="00CD254F"/>
    <w:rsid w:val="00CD2BCD"/>
    <w:rsid w:val="00CD2E0C"/>
    <w:rsid w:val="00CD3A4C"/>
    <w:rsid w:val="00CD6FCC"/>
    <w:rsid w:val="00CE10E9"/>
    <w:rsid w:val="00CE2910"/>
    <w:rsid w:val="00CE2F5B"/>
    <w:rsid w:val="00CE378E"/>
    <w:rsid w:val="00CE3D89"/>
    <w:rsid w:val="00CE44D0"/>
    <w:rsid w:val="00CE4775"/>
    <w:rsid w:val="00CE5393"/>
    <w:rsid w:val="00CE605D"/>
    <w:rsid w:val="00CF2110"/>
    <w:rsid w:val="00CF36BE"/>
    <w:rsid w:val="00CF377C"/>
    <w:rsid w:val="00CF3918"/>
    <w:rsid w:val="00CF52D3"/>
    <w:rsid w:val="00CF5A3D"/>
    <w:rsid w:val="00CF5BE8"/>
    <w:rsid w:val="00CF6000"/>
    <w:rsid w:val="00D003F3"/>
    <w:rsid w:val="00D01A98"/>
    <w:rsid w:val="00D01FD7"/>
    <w:rsid w:val="00D0221C"/>
    <w:rsid w:val="00D02DD4"/>
    <w:rsid w:val="00D0329A"/>
    <w:rsid w:val="00D03335"/>
    <w:rsid w:val="00D0364F"/>
    <w:rsid w:val="00D0389C"/>
    <w:rsid w:val="00D042A6"/>
    <w:rsid w:val="00D04C34"/>
    <w:rsid w:val="00D061A8"/>
    <w:rsid w:val="00D06834"/>
    <w:rsid w:val="00D06B60"/>
    <w:rsid w:val="00D071EE"/>
    <w:rsid w:val="00D10017"/>
    <w:rsid w:val="00D10B4B"/>
    <w:rsid w:val="00D10FA9"/>
    <w:rsid w:val="00D1228E"/>
    <w:rsid w:val="00D127B3"/>
    <w:rsid w:val="00D15019"/>
    <w:rsid w:val="00D160E3"/>
    <w:rsid w:val="00D170B4"/>
    <w:rsid w:val="00D20C13"/>
    <w:rsid w:val="00D220D9"/>
    <w:rsid w:val="00D23FBA"/>
    <w:rsid w:val="00D2466E"/>
    <w:rsid w:val="00D2665D"/>
    <w:rsid w:val="00D26990"/>
    <w:rsid w:val="00D26A90"/>
    <w:rsid w:val="00D26B28"/>
    <w:rsid w:val="00D26BE1"/>
    <w:rsid w:val="00D30677"/>
    <w:rsid w:val="00D308ED"/>
    <w:rsid w:val="00D32225"/>
    <w:rsid w:val="00D33490"/>
    <w:rsid w:val="00D33F15"/>
    <w:rsid w:val="00D345EE"/>
    <w:rsid w:val="00D35035"/>
    <w:rsid w:val="00D351C5"/>
    <w:rsid w:val="00D354EB"/>
    <w:rsid w:val="00D35CCB"/>
    <w:rsid w:val="00D36CAA"/>
    <w:rsid w:val="00D36D86"/>
    <w:rsid w:val="00D37275"/>
    <w:rsid w:val="00D407E9"/>
    <w:rsid w:val="00D40D80"/>
    <w:rsid w:val="00D40DC9"/>
    <w:rsid w:val="00D428AA"/>
    <w:rsid w:val="00D428B2"/>
    <w:rsid w:val="00D42BE7"/>
    <w:rsid w:val="00D433A7"/>
    <w:rsid w:val="00D437A2"/>
    <w:rsid w:val="00D44C22"/>
    <w:rsid w:val="00D462F6"/>
    <w:rsid w:val="00D47108"/>
    <w:rsid w:val="00D50A34"/>
    <w:rsid w:val="00D50ABD"/>
    <w:rsid w:val="00D5166F"/>
    <w:rsid w:val="00D5201A"/>
    <w:rsid w:val="00D53EFA"/>
    <w:rsid w:val="00D543CA"/>
    <w:rsid w:val="00D55EF0"/>
    <w:rsid w:val="00D62C52"/>
    <w:rsid w:val="00D63EFC"/>
    <w:rsid w:val="00D6552C"/>
    <w:rsid w:val="00D6608B"/>
    <w:rsid w:val="00D66140"/>
    <w:rsid w:val="00D66652"/>
    <w:rsid w:val="00D6688E"/>
    <w:rsid w:val="00D669CD"/>
    <w:rsid w:val="00D67372"/>
    <w:rsid w:val="00D67B38"/>
    <w:rsid w:val="00D71465"/>
    <w:rsid w:val="00D71DC9"/>
    <w:rsid w:val="00D73A3C"/>
    <w:rsid w:val="00D751EB"/>
    <w:rsid w:val="00D764EF"/>
    <w:rsid w:val="00D76CD3"/>
    <w:rsid w:val="00D820ED"/>
    <w:rsid w:val="00D8347D"/>
    <w:rsid w:val="00D85FB4"/>
    <w:rsid w:val="00D863FC"/>
    <w:rsid w:val="00D868AF"/>
    <w:rsid w:val="00D90044"/>
    <w:rsid w:val="00D9126B"/>
    <w:rsid w:val="00D91998"/>
    <w:rsid w:val="00D919C2"/>
    <w:rsid w:val="00D933D1"/>
    <w:rsid w:val="00D94281"/>
    <w:rsid w:val="00D94656"/>
    <w:rsid w:val="00D94A7C"/>
    <w:rsid w:val="00D94BB0"/>
    <w:rsid w:val="00D95132"/>
    <w:rsid w:val="00D957DA"/>
    <w:rsid w:val="00D95896"/>
    <w:rsid w:val="00D96064"/>
    <w:rsid w:val="00D9655C"/>
    <w:rsid w:val="00D968A3"/>
    <w:rsid w:val="00DA2FB5"/>
    <w:rsid w:val="00DA318D"/>
    <w:rsid w:val="00DA3408"/>
    <w:rsid w:val="00DA371B"/>
    <w:rsid w:val="00DA442E"/>
    <w:rsid w:val="00DA4546"/>
    <w:rsid w:val="00DA48FA"/>
    <w:rsid w:val="00DA5093"/>
    <w:rsid w:val="00DA559C"/>
    <w:rsid w:val="00DA5D82"/>
    <w:rsid w:val="00DB08A7"/>
    <w:rsid w:val="00DB2668"/>
    <w:rsid w:val="00DB2983"/>
    <w:rsid w:val="00DB2B99"/>
    <w:rsid w:val="00DB53E6"/>
    <w:rsid w:val="00DB609C"/>
    <w:rsid w:val="00DB6351"/>
    <w:rsid w:val="00DC08AF"/>
    <w:rsid w:val="00DC1257"/>
    <w:rsid w:val="00DC33CF"/>
    <w:rsid w:val="00DC3DC0"/>
    <w:rsid w:val="00DC4AE9"/>
    <w:rsid w:val="00DC4AFB"/>
    <w:rsid w:val="00DC5B2B"/>
    <w:rsid w:val="00DC5EC2"/>
    <w:rsid w:val="00DC6294"/>
    <w:rsid w:val="00DC7882"/>
    <w:rsid w:val="00DC7DC8"/>
    <w:rsid w:val="00DD16BD"/>
    <w:rsid w:val="00DD2F48"/>
    <w:rsid w:val="00DD318D"/>
    <w:rsid w:val="00DD3695"/>
    <w:rsid w:val="00DD4BE5"/>
    <w:rsid w:val="00DE13C2"/>
    <w:rsid w:val="00DE2123"/>
    <w:rsid w:val="00DE45DD"/>
    <w:rsid w:val="00DE5BE3"/>
    <w:rsid w:val="00DE5F47"/>
    <w:rsid w:val="00DE67B3"/>
    <w:rsid w:val="00DF199D"/>
    <w:rsid w:val="00DF1A04"/>
    <w:rsid w:val="00DF205F"/>
    <w:rsid w:val="00DF2E12"/>
    <w:rsid w:val="00DF34CF"/>
    <w:rsid w:val="00DF4C1C"/>
    <w:rsid w:val="00DF4E86"/>
    <w:rsid w:val="00DF514A"/>
    <w:rsid w:val="00DF5CA2"/>
    <w:rsid w:val="00DF6349"/>
    <w:rsid w:val="00DF6690"/>
    <w:rsid w:val="00DF6804"/>
    <w:rsid w:val="00DF727B"/>
    <w:rsid w:val="00DF73AC"/>
    <w:rsid w:val="00E00390"/>
    <w:rsid w:val="00E006D9"/>
    <w:rsid w:val="00E00CD9"/>
    <w:rsid w:val="00E01006"/>
    <w:rsid w:val="00E012BB"/>
    <w:rsid w:val="00E02E8B"/>
    <w:rsid w:val="00E03152"/>
    <w:rsid w:val="00E0358D"/>
    <w:rsid w:val="00E03DA4"/>
    <w:rsid w:val="00E04323"/>
    <w:rsid w:val="00E04378"/>
    <w:rsid w:val="00E04516"/>
    <w:rsid w:val="00E070A2"/>
    <w:rsid w:val="00E078E9"/>
    <w:rsid w:val="00E07EF7"/>
    <w:rsid w:val="00E10A21"/>
    <w:rsid w:val="00E1186A"/>
    <w:rsid w:val="00E12B89"/>
    <w:rsid w:val="00E16EC8"/>
    <w:rsid w:val="00E2000A"/>
    <w:rsid w:val="00E20B4C"/>
    <w:rsid w:val="00E222B0"/>
    <w:rsid w:val="00E22A18"/>
    <w:rsid w:val="00E22F59"/>
    <w:rsid w:val="00E23040"/>
    <w:rsid w:val="00E238BC"/>
    <w:rsid w:val="00E23B81"/>
    <w:rsid w:val="00E240B0"/>
    <w:rsid w:val="00E241BB"/>
    <w:rsid w:val="00E2656A"/>
    <w:rsid w:val="00E27074"/>
    <w:rsid w:val="00E2714E"/>
    <w:rsid w:val="00E271E7"/>
    <w:rsid w:val="00E27344"/>
    <w:rsid w:val="00E27A3F"/>
    <w:rsid w:val="00E27E1A"/>
    <w:rsid w:val="00E31B5B"/>
    <w:rsid w:val="00E31F84"/>
    <w:rsid w:val="00E32372"/>
    <w:rsid w:val="00E32DA1"/>
    <w:rsid w:val="00E333F6"/>
    <w:rsid w:val="00E33B10"/>
    <w:rsid w:val="00E33F70"/>
    <w:rsid w:val="00E345A6"/>
    <w:rsid w:val="00E34CC4"/>
    <w:rsid w:val="00E354B4"/>
    <w:rsid w:val="00E36681"/>
    <w:rsid w:val="00E37178"/>
    <w:rsid w:val="00E40BFC"/>
    <w:rsid w:val="00E412D0"/>
    <w:rsid w:val="00E41784"/>
    <w:rsid w:val="00E41AF8"/>
    <w:rsid w:val="00E43E3D"/>
    <w:rsid w:val="00E452B5"/>
    <w:rsid w:val="00E45D86"/>
    <w:rsid w:val="00E46AC9"/>
    <w:rsid w:val="00E47112"/>
    <w:rsid w:val="00E5059F"/>
    <w:rsid w:val="00E50ABA"/>
    <w:rsid w:val="00E50C6F"/>
    <w:rsid w:val="00E5425F"/>
    <w:rsid w:val="00E542B6"/>
    <w:rsid w:val="00E54C66"/>
    <w:rsid w:val="00E5566B"/>
    <w:rsid w:val="00E56322"/>
    <w:rsid w:val="00E606C2"/>
    <w:rsid w:val="00E60982"/>
    <w:rsid w:val="00E61BDF"/>
    <w:rsid w:val="00E62C62"/>
    <w:rsid w:val="00E64235"/>
    <w:rsid w:val="00E64635"/>
    <w:rsid w:val="00E64A95"/>
    <w:rsid w:val="00E654C1"/>
    <w:rsid w:val="00E65905"/>
    <w:rsid w:val="00E65D97"/>
    <w:rsid w:val="00E66852"/>
    <w:rsid w:val="00E67040"/>
    <w:rsid w:val="00E6737C"/>
    <w:rsid w:val="00E70102"/>
    <w:rsid w:val="00E7032D"/>
    <w:rsid w:val="00E72A5A"/>
    <w:rsid w:val="00E73354"/>
    <w:rsid w:val="00E739D6"/>
    <w:rsid w:val="00E7498C"/>
    <w:rsid w:val="00E75D19"/>
    <w:rsid w:val="00E77BEC"/>
    <w:rsid w:val="00E80477"/>
    <w:rsid w:val="00E80776"/>
    <w:rsid w:val="00E8082B"/>
    <w:rsid w:val="00E80AE2"/>
    <w:rsid w:val="00E81EC7"/>
    <w:rsid w:val="00E82BA4"/>
    <w:rsid w:val="00E84689"/>
    <w:rsid w:val="00E859C4"/>
    <w:rsid w:val="00E90BD9"/>
    <w:rsid w:val="00E919D3"/>
    <w:rsid w:val="00E91BBD"/>
    <w:rsid w:val="00E9242D"/>
    <w:rsid w:val="00E9243C"/>
    <w:rsid w:val="00E966B8"/>
    <w:rsid w:val="00E96BA3"/>
    <w:rsid w:val="00E96BDE"/>
    <w:rsid w:val="00E97B34"/>
    <w:rsid w:val="00E97DCB"/>
    <w:rsid w:val="00E97EC0"/>
    <w:rsid w:val="00EA08F5"/>
    <w:rsid w:val="00EA0F0A"/>
    <w:rsid w:val="00EA1D9C"/>
    <w:rsid w:val="00EA26C4"/>
    <w:rsid w:val="00EA3000"/>
    <w:rsid w:val="00EA3B01"/>
    <w:rsid w:val="00EA3B30"/>
    <w:rsid w:val="00EA501B"/>
    <w:rsid w:val="00EA5E01"/>
    <w:rsid w:val="00EA5E70"/>
    <w:rsid w:val="00EA7091"/>
    <w:rsid w:val="00EB0126"/>
    <w:rsid w:val="00EB1CF9"/>
    <w:rsid w:val="00EB2C75"/>
    <w:rsid w:val="00EB2E0E"/>
    <w:rsid w:val="00EB4C8A"/>
    <w:rsid w:val="00EB5255"/>
    <w:rsid w:val="00EB5C47"/>
    <w:rsid w:val="00EB6670"/>
    <w:rsid w:val="00EB6792"/>
    <w:rsid w:val="00EB789B"/>
    <w:rsid w:val="00EC0D3E"/>
    <w:rsid w:val="00EC2AA3"/>
    <w:rsid w:val="00EC33E1"/>
    <w:rsid w:val="00EC395C"/>
    <w:rsid w:val="00ED053A"/>
    <w:rsid w:val="00ED0639"/>
    <w:rsid w:val="00ED108B"/>
    <w:rsid w:val="00ED3DE1"/>
    <w:rsid w:val="00ED430D"/>
    <w:rsid w:val="00ED49A1"/>
    <w:rsid w:val="00ED679B"/>
    <w:rsid w:val="00EE07DB"/>
    <w:rsid w:val="00EE1789"/>
    <w:rsid w:val="00EE18AF"/>
    <w:rsid w:val="00EE1D5B"/>
    <w:rsid w:val="00EE4095"/>
    <w:rsid w:val="00EE489A"/>
    <w:rsid w:val="00EF0674"/>
    <w:rsid w:val="00EF082F"/>
    <w:rsid w:val="00EF14D6"/>
    <w:rsid w:val="00EF4755"/>
    <w:rsid w:val="00EF4EA6"/>
    <w:rsid w:val="00EF7135"/>
    <w:rsid w:val="00EF730A"/>
    <w:rsid w:val="00F00470"/>
    <w:rsid w:val="00F00751"/>
    <w:rsid w:val="00F01F78"/>
    <w:rsid w:val="00F027DB"/>
    <w:rsid w:val="00F02C19"/>
    <w:rsid w:val="00F04273"/>
    <w:rsid w:val="00F04AD2"/>
    <w:rsid w:val="00F056BA"/>
    <w:rsid w:val="00F11550"/>
    <w:rsid w:val="00F12612"/>
    <w:rsid w:val="00F149C5"/>
    <w:rsid w:val="00F14A7A"/>
    <w:rsid w:val="00F14BD8"/>
    <w:rsid w:val="00F14C3B"/>
    <w:rsid w:val="00F14EA2"/>
    <w:rsid w:val="00F15F1C"/>
    <w:rsid w:val="00F16B64"/>
    <w:rsid w:val="00F17816"/>
    <w:rsid w:val="00F20124"/>
    <w:rsid w:val="00F203A1"/>
    <w:rsid w:val="00F21FDE"/>
    <w:rsid w:val="00F2237B"/>
    <w:rsid w:val="00F224B7"/>
    <w:rsid w:val="00F22985"/>
    <w:rsid w:val="00F22FF7"/>
    <w:rsid w:val="00F23ABA"/>
    <w:rsid w:val="00F24157"/>
    <w:rsid w:val="00F25AA1"/>
    <w:rsid w:val="00F325B0"/>
    <w:rsid w:val="00F326B2"/>
    <w:rsid w:val="00F3383E"/>
    <w:rsid w:val="00F3465B"/>
    <w:rsid w:val="00F347A0"/>
    <w:rsid w:val="00F36177"/>
    <w:rsid w:val="00F362F8"/>
    <w:rsid w:val="00F36898"/>
    <w:rsid w:val="00F42124"/>
    <w:rsid w:val="00F42CB0"/>
    <w:rsid w:val="00F43D0A"/>
    <w:rsid w:val="00F446DA"/>
    <w:rsid w:val="00F44A58"/>
    <w:rsid w:val="00F45378"/>
    <w:rsid w:val="00F45892"/>
    <w:rsid w:val="00F465A7"/>
    <w:rsid w:val="00F47303"/>
    <w:rsid w:val="00F47B44"/>
    <w:rsid w:val="00F50B7C"/>
    <w:rsid w:val="00F51A08"/>
    <w:rsid w:val="00F52814"/>
    <w:rsid w:val="00F52C8C"/>
    <w:rsid w:val="00F53877"/>
    <w:rsid w:val="00F53D96"/>
    <w:rsid w:val="00F54263"/>
    <w:rsid w:val="00F5460F"/>
    <w:rsid w:val="00F54F39"/>
    <w:rsid w:val="00F550E6"/>
    <w:rsid w:val="00F579BB"/>
    <w:rsid w:val="00F60104"/>
    <w:rsid w:val="00F601DE"/>
    <w:rsid w:val="00F61D5E"/>
    <w:rsid w:val="00F61E9C"/>
    <w:rsid w:val="00F61EAB"/>
    <w:rsid w:val="00F62322"/>
    <w:rsid w:val="00F64E29"/>
    <w:rsid w:val="00F64EF0"/>
    <w:rsid w:val="00F65D56"/>
    <w:rsid w:val="00F66573"/>
    <w:rsid w:val="00F66ADD"/>
    <w:rsid w:val="00F677AE"/>
    <w:rsid w:val="00F7015F"/>
    <w:rsid w:val="00F70D09"/>
    <w:rsid w:val="00F7109A"/>
    <w:rsid w:val="00F71539"/>
    <w:rsid w:val="00F71891"/>
    <w:rsid w:val="00F71E46"/>
    <w:rsid w:val="00F73FFD"/>
    <w:rsid w:val="00F74345"/>
    <w:rsid w:val="00F754DC"/>
    <w:rsid w:val="00F75693"/>
    <w:rsid w:val="00F758BF"/>
    <w:rsid w:val="00F76191"/>
    <w:rsid w:val="00F76FC8"/>
    <w:rsid w:val="00F77325"/>
    <w:rsid w:val="00F80550"/>
    <w:rsid w:val="00F80A0A"/>
    <w:rsid w:val="00F810F6"/>
    <w:rsid w:val="00F82B19"/>
    <w:rsid w:val="00F870C9"/>
    <w:rsid w:val="00F87E42"/>
    <w:rsid w:val="00F9009C"/>
    <w:rsid w:val="00F91A99"/>
    <w:rsid w:val="00F9212D"/>
    <w:rsid w:val="00F92E72"/>
    <w:rsid w:val="00F936B0"/>
    <w:rsid w:val="00F93CA5"/>
    <w:rsid w:val="00F965DA"/>
    <w:rsid w:val="00F966B4"/>
    <w:rsid w:val="00F96B69"/>
    <w:rsid w:val="00FA004F"/>
    <w:rsid w:val="00FA0AB0"/>
    <w:rsid w:val="00FA1D45"/>
    <w:rsid w:val="00FA2286"/>
    <w:rsid w:val="00FA406A"/>
    <w:rsid w:val="00FA730F"/>
    <w:rsid w:val="00FB01FB"/>
    <w:rsid w:val="00FB037F"/>
    <w:rsid w:val="00FB0382"/>
    <w:rsid w:val="00FB0567"/>
    <w:rsid w:val="00FB119D"/>
    <w:rsid w:val="00FB21A1"/>
    <w:rsid w:val="00FB271D"/>
    <w:rsid w:val="00FB2C40"/>
    <w:rsid w:val="00FB2D90"/>
    <w:rsid w:val="00FB2D9A"/>
    <w:rsid w:val="00FB30EB"/>
    <w:rsid w:val="00FB35BB"/>
    <w:rsid w:val="00FB503A"/>
    <w:rsid w:val="00FB516C"/>
    <w:rsid w:val="00FB5EB9"/>
    <w:rsid w:val="00FB5FDC"/>
    <w:rsid w:val="00FB7E1B"/>
    <w:rsid w:val="00FB7FCB"/>
    <w:rsid w:val="00FC1E90"/>
    <w:rsid w:val="00FC4CA4"/>
    <w:rsid w:val="00FC664D"/>
    <w:rsid w:val="00FC78CF"/>
    <w:rsid w:val="00FD0236"/>
    <w:rsid w:val="00FD16F0"/>
    <w:rsid w:val="00FD18F4"/>
    <w:rsid w:val="00FD1900"/>
    <w:rsid w:val="00FD2242"/>
    <w:rsid w:val="00FD2326"/>
    <w:rsid w:val="00FD31BB"/>
    <w:rsid w:val="00FD35A6"/>
    <w:rsid w:val="00FD3B54"/>
    <w:rsid w:val="00FD3E1A"/>
    <w:rsid w:val="00FD4486"/>
    <w:rsid w:val="00FD54DB"/>
    <w:rsid w:val="00FD5ACE"/>
    <w:rsid w:val="00FD619F"/>
    <w:rsid w:val="00FD634E"/>
    <w:rsid w:val="00FD7C01"/>
    <w:rsid w:val="00FE080C"/>
    <w:rsid w:val="00FE09D9"/>
    <w:rsid w:val="00FE0BC9"/>
    <w:rsid w:val="00FE1436"/>
    <w:rsid w:val="00FE1853"/>
    <w:rsid w:val="00FE1EC2"/>
    <w:rsid w:val="00FE25DA"/>
    <w:rsid w:val="00FE2724"/>
    <w:rsid w:val="00FE298B"/>
    <w:rsid w:val="00FE2B4D"/>
    <w:rsid w:val="00FE2F18"/>
    <w:rsid w:val="00FE300F"/>
    <w:rsid w:val="00FE3862"/>
    <w:rsid w:val="00FE539C"/>
    <w:rsid w:val="00FE5BEC"/>
    <w:rsid w:val="00FE6535"/>
    <w:rsid w:val="00FE698F"/>
    <w:rsid w:val="00FE6E21"/>
    <w:rsid w:val="00FE6E2A"/>
    <w:rsid w:val="00FE7276"/>
    <w:rsid w:val="00FF1F24"/>
    <w:rsid w:val="00FF3307"/>
    <w:rsid w:val="00FF3451"/>
    <w:rsid w:val="00FF3F2B"/>
    <w:rsid w:val="00FF4D96"/>
    <w:rsid w:val="00FF6C77"/>
    <w:rsid w:val="01290F7E"/>
    <w:rsid w:val="015D1E09"/>
    <w:rsid w:val="01734E10"/>
    <w:rsid w:val="02697903"/>
    <w:rsid w:val="02C60B85"/>
    <w:rsid w:val="02F96569"/>
    <w:rsid w:val="03EA7B21"/>
    <w:rsid w:val="045D2E23"/>
    <w:rsid w:val="05F83EAE"/>
    <w:rsid w:val="063E7D85"/>
    <w:rsid w:val="07293586"/>
    <w:rsid w:val="07295285"/>
    <w:rsid w:val="07636392"/>
    <w:rsid w:val="07770C56"/>
    <w:rsid w:val="092217DD"/>
    <w:rsid w:val="093A7294"/>
    <w:rsid w:val="0A071294"/>
    <w:rsid w:val="0A263993"/>
    <w:rsid w:val="0A2D3AC2"/>
    <w:rsid w:val="0AA755DF"/>
    <w:rsid w:val="0B120D44"/>
    <w:rsid w:val="0BD27BF6"/>
    <w:rsid w:val="0BFA4D2E"/>
    <w:rsid w:val="0C3B3C7D"/>
    <w:rsid w:val="0CAB2EAE"/>
    <w:rsid w:val="0D621C7D"/>
    <w:rsid w:val="0DAE7488"/>
    <w:rsid w:val="0E73034D"/>
    <w:rsid w:val="0F13775A"/>
    <w:rsid w:val="0F5F45FE"/>
    <w:rsid w:val="0F9A112B"/>
    <w:rsid w:val="106D2F64"/>
    <w:rsid w:val="108005C5"/>
    <w:rsid w:val="10B63710"/>
    <w:rsid w:val="10F10820"/>
    <w:rsid w:val="111C2F7A"/>
    <w:rsid w:val="11527EFA"/>
    <w:rsid w:val="11665CA1"/>
    <w:rsid w:val="116F3EEA"/>
    <w:rsid w:val="11890767"/>
    <w:rsid w:val="11D53BFE"/>
    <w:rsid w:val="13951726"/>
    <w:rsid w:val="13DD7ADC"/>
    <w:rsid w:val="141D79CA"/>
    <w:rsid w:val="14396509"/>
    <w:rsid w:val="14DD2C3C"/>
    <w:rsid w:val="151631D3"/>
    <w:rsid w:val="16087E1D"/>
    <w:rsid w:val="164D4BE8"/>
    <w:rsid w:val="16A059F1"/>
    <w:rsid w:val="175C7B25"/>
    <w:rsid w:val="17701D14"/>
    <w:rsid w:val="17735226"/>
    <w:rsid w:val="189F624C"/>
    <w:rsid w:val="19CC26F4"/>
    <w:rsid w:val="1A1C66C0"/>
    <w:rsid w:val="1A42393B"/>
    <w:rsid w:val="1AAD45DE"/>
    <w:rsid w:val="1B046F80"/>
    <w:rsid w:val="1B3267B5"/>
    <w:rsid w:val="1B40161D"/>
    <w:rsid w:val="1B441859"/>
    <w:rsid w:val="1B6606B1"/>
    <w:rsid w:val="1B8C3D02"/>
    <w:rsid w:val="1C5E7925"/>
    <w:rsid w:val="1CFD070F"/>
    <w:rsid w:val="1D5F6196"/>
    <w:rsid w:val="1D6132A5"/>
    <w:rsid w:val="1D8E56D5"/>
    <w:rsid w:val="1E1C3BAB"/>
    <w:rsid w:val="1E2702D2"/>
    <w:rsid w:val="1E7A43DA"/>
    <w:rsid w:val="1FE7539E"/>
    <w:rsid w:val="1FFE5062"/>
    <w:rsid w:val="20671BE0"/>
    <w:rsid w:val="20963CB8"/>
    <w:rsid w:val="20A81A1B"/>
    <w:rsid w:val="20B07FB6"/>
    <w:rsid w:val="20B646FB"/>
    <w:rsid w:val="213B74B1"/>
    <w:rsid w:val="215A2310"/>
    <w:rsid w:val="21DE318A"/>
    <w:rsid w:val="21EF5B80"/>
    <w:rsid w:val="22576990"/>
    <w:rsid w:val="22A068A5"/>
    <w:rsid w:val="22F47480"/>
    <w:rsid w:val="23DE1C48"/>
    <w:rsid w:val="240210CD"/>
    <w:rsid w:val="24BF09F7"/>
    <w:rsid w:val="24D053D5"/>
    <w:rsid w:val="252D53FE"/>
    <w:rsid w:val="254D79C6"/>
    <w:rsid w:val="25537BFE"/>
    <w:rsid w:val="259F37B7"/>
    <w:rsid w:val="25EC2D81"/>
    <w:rsid w:val="26A92354"/>
    <w:rsid w:val="27221F7E"/>
    <w:rsid w:val="277057A2"/>
    <w:rsid w:val="28341F69"/>
    <w:rsid w:val="28544E83"/>
    <w:rsid w:val="29206EB8"/>
    <w:rsid w:val="29595666"/>
    <w:rsid w:val="297654F8"/>
    <w:rsid w:val="29874881"/>
    <w:rsid w:val="29E325E0"/>
    <w:rsid w:val="2A452503"/>
    <w:rsid w:val="2A510E82"/>
    <w:rsid w:val="2BA936A8"/>
    <w:rsid w:val="2BF25D15"/>
    <w:rsid w:val="2C315A5A"/>
    <w:rsid w:val="2C4620A9"/>
    <w:rsid w:val="2C4B1C25"/>
    <w:rsid w:val="2D9E56F5"/>
    <w:rsid w:val="2E667F96"/>
    <w:rsid w:val="2E8226AB"/>
    <w:rsid w:val="2FD065E6"/>
    <w:rsid w:val="2FD96870"/>
    <w:rsid w:val="30580BC9"/>
    <w:rsid w:val="30BA4FD6"/>
    <w:rsid w:val="311E2ED7"/>
    <w:rsid w:val="315619EE"/>
    <w:rsid w:val="315C449C"/>
    <w:rsid w:val="31B82709"/>
    <w:rsid w:val="31D05482"/>
    <w:rsid w:val="320C5E61"/>
    <w:rsid w:val="32400B34"/>
    <w:rsid w:val="329E6876"/>
    <w:rsid w:val="333015F2"/>
    <w:rsid w:val="334B6320"/>
    <w:rsid w:val="33D934D4"/>
    <w:rsid w:val="33FE2F6A"/>
    <w:rsid w:val="340E07E5"/>
    <w:rsid w:val="34235BF7"/>
    <w:rsid w:val="343B251C"/>
    <w:rsid w:val="358C5FA8"/>
    <w:rsid w:val="35A1530B"/>
    <w:rsid w:val="35C15DF1"/>
    <w:rsid w:val="35D70D2A"/>
    <w:rsid w:val="36074A7F"/>
    <w:rsid w:val="36923549"/>
    <w:rsid w:val="36B75FBF"/>
    <w:rsid w:val="36BD0C45"/>
    <w:rsid w:val="37122DC8"/>
    <w:rsid w:val="37E00298"/>
    <w:rsid w:val="38B247E4"/>
    <w:rsid w:val="38B302F9"/>
    <w:rsid w:val="38DC3699"/>
    <w:rsid w:val="38F12CD3"/>
    <w:rsid w:val="38F94775"/>
    <w:rsid w:val="392971ED"/>
    <w:rsid w:val="39325651"/>
    <w:rsid w:val="3A02269A"/>
    <w:rsid w:val="3A872856"/>
    <w:rsid w:val="3AE33F53"/>
    <w:rsid w:val="3B3763D1"/>
    <w:rsid w:val="3C145EE2"/>
    <w:rsid w:val="3C2F6E1E"/>
    <w:rsid w:val="3C4F64BA"/>
    <w:rsid w:val="3CDA245A"/>
    <w:rsid w:val="3D1E06B7"/>
    <w:rsid w:val="3D7C3F5F"/>
    <w:rsid w:val="3DB56F34"/>
    <w:rsid w:val="3E1D4DF6"/>
    <w:rsid w:val="3EDA0523"/>
    <w:rsid w:val="3F14761F"/>
    <w:rsid w:val="407A6407"/>
    <w:rsid w:val="411D0A65"/>
    <w:rsid w:val="41A65E30"/>
    <w:rsid w:val="4200449D"/>
    <w:rsid w:val="423A3BCC"/>
    <w:rsid w:val="424E57D2"/>
    <w:rsid w:val="42B26C49"/>
    <w:rsid w:val="433A6FE6"/>
    <w:rsid w:val="43444ABB"/>
    <w:rsid w:val="43480868"/>
    <w:rsid w:val="4350713C"/>
    <w:rsid w:val="436653E0"/>
    <w:rsid w:val="438C54FF"/>
    <w:rsid w:val="43C4431A"/>
    <w:rsid w:val="44B951CC"/>
    <w:rsid w:val="44CD14E0"/>
    <w:rsid w:val="44F20B0B"/>
    <w:rsid w:val="452E5F4C"/>
    <w:rsid w:val="45612018"/>
    <w:rsid w:val="456D6E67"/>
    <w:rsid w:val="457D2090"/>
    <w:rsid w:val="458946E9"/>
    <w:rsid w:val="45A47C0E"/>
    <w:rsid w:val="461D34D1"/>
    <w:rsid w:val="46577FD6"/>
    <w:rsid w:val="4671027F"/>
    <w:rsid w:val="46D955A7"/>
    <w:rsid w:val="46DE6783"/>
    <w:rsid w:val="46F655B5"/>
    <w:rsid w:val="47133957"/>
    <w:rsid w:val="47A07E0C"/>
    <w:rsid w:val="4870272E"/>
    <w:rsid w:val="48DB0BA0"/>
    <w:rsid w:val="49DC7715"/>
    <w:rsid w:val="49F0245B"/>
    <w:rsid w:val="4A023139"/>
    <w:rsid w:val="4A5643F3"/>
    <w:rsid w:val="4A7B576F"/>
    <w:rsid w:val="4AF561A9"/>
    <w:rsid w:val="4B0E61F2"/>
    <w:rsid w:val="4BA440FE"/>
    <w:rsid w:val="4C2C08B1"/>
    <w:rsid w:val="4C3E4EED"/>
    <w:rsid w:val="4C4A0649"/>
    <w:rsid w:val="4C7E5ECA"/>
    <w:rsid w:val="4C876AA5"/>
    <w:rsid w:val="4D0E00FB"/>
    <w:rsid w:val="4D176606"/>
    <w:rsid w:val="4DEC4FB0"/>
    <w:rsid w:val="4E075D8A"/>
    <w:rsid w:val="4E4411AD"/>
    <w:rsid w:val="4EC00FAD"/>
    <w:rsid w:val="4F9843DC"/>
    <w:rsid w:val="4FC62A8C"/>
    <w:rsid w:val="4FE20F0D"/>
    <w:rsid w:val="4FE51552"/>
    <w:rsid w:val="50252C91"/>
    <w:rsid w:val="50504C4B"/>
    <w:rsid w:val="509C6E7C"/>
    <w:rsid w:val="51114346"/>
    <w:rsid w:val="5162104E"/>
    <w:rsid w:val="52B17234"/>
    <w:rsid w:val="53A039CC"/>
    <w:rsid w:val="53A1505A"/>
    <w:rsid w:val="53BD2563"/>
    <w:rsid w:val="54063E08"/>
    <w:rsid w:val="543437E8"/>
    <w:rsid w:val="54F73313"/>
    <w:rsid w:val="54F80955"/>
    <w:rsid w:val="555170A7"/>
    <w:rsid w:val="5587536D"/>
    <w:rsid w:val="559B174B"/>
    <w:rsid w:val="55CE0CF4"/>
    <w:rsid w:val="56B22A9C"/>
    <w:rsid w:val="57B72A76"/>
    <w:rsid w:val="57C3426C"/>
    <w:rsid w:val="57CE1F93"/>
    <w:rsid w:val="57CE725F"/>
    <w:rsid w:val="588743D1"/>
    <w:rsid w:val="5887701A"/>
    <w:rsid w:val="58FF794A"/>
    <w:rsid w:val="596460B5"/>
    <w:rsid w:val="59A843BD"/>
    <w:rsid w:val="59C0439F"/>
    <w:rsid w:val="59F6194D"/>
    <w:rsid w:val="5ABE2233"/>
    <w:rsid w:val="5BDF5D95"/>
    <w:rsid w:val="5BFE7528"/>
    <w:rsid w:val="5D466750"/>
    <w:rsid w:val="5E16172D"/>
    <w:rsid w:val="5E1D0B70"/>
    <w:rsid w:val="5E2467F1"/>
    <w:rsid w:val="5EDA2811"/>
    <w:rsid w:val="5F0423A2"/>
    <w:rsid w:val="5F1A2B43"/>
    <w:rsid w:val="5FB837BB"/>
    <w:rsid w:val="602F0D65"/>
    <w:rsid w:val="604C10E7"/>
    <w:rsid w:val="60CC405A"/>
    <w:rsid w:val="610356E3"/>
    <w:rsid w:val="61E215D8"/>
    <w:rsid w:val="621B3775"/>
    <w:rsid w:val="62364782"/>
    <w:rsid w:val="6394356A"/>
    <w:rsid w:val="63C61B2C"/>
    <w:rsid w:val="63D40BE9"/>
    <w:rsid w:val="64085A7D"/>
    <w:rsid w:val="64102431"/>
    <w:rsid w:val="64A5243A"/>
    <w:rsid w:val="64BC0D0A"/>
    <w:rsid w:val="64F17B9E"/>
    <w:rsid w:val="64F531DE"/>
    <w:rsid w:val="65373578"/>
    <w:rsid w:val="653A0291"/>
    <w:rsid w:val="658973B0"/>
    <w:rsid w:val="668877D1"/>
    <w:rsid w:val="671F124A"/>
    <w:rsid w:val="676E1E74"/>
    <w:rsid w:val="677347DE"/>
    <w:rsid w:val="677A33C6"/>
    <w:rsid w:val="681F6961"/>
    <w:rsid w:val="68610A2F"/>
    <w:rsid w:val="68805514"/>
    <w:rsid w:val="68D51591"/>
    <w:rsid w:val="69316E2F"/>
    <w:rsid w:val="694E2071"/>
    <w:rsid w:val="69766163"/>
    <w:rsid w:val="697A3B33"/>
    <w:rsid w:val="69D44760"/>
    <w:rsid w:val="6A0900C8"/>
    <w:rsid w:val="6A2847F1"/>
    <w:rsid w:val="6A520EC7"/>
    <w:rsid w:val="6AF87E20"/>
    <w:rsid w:val="6B322639"/>
    <w:rsid w:val="6B480E55"/>
    <w:rsid w:val="6BFA6F71"/>
    <w:rsid w:val="6C636C38"/>
    <w:rsid w:val="6C983A44"/>
    <w:rsid w:val="6C9B63B9"/>
    <w:rsid w:val="6DB34098"/>
    <w:rsid w:val="6DB545B6"/>
    <w:rsid w:val="6DE02FB4"/>
    <w:rsid w:val="6E4B06CB"/>
    <w:rsid w:val="6E514CED"/>
    <w:rsid w:val="6EB563D5"/>
    <w:rsid w:val="6ED92677"/>
    <w:rsid w:val="6F143527"/>
    <w:rsid w:val="6F225983"/>
    <w:rsid w:val="6F7511BD"/>
    <w:rsid w:val="6FA421D9"/>
    <w:rsid w:val="6FFC5590"/>
    <w:rsid w:val="70384FBF"/>
    <w:rsid w:val="706D1DD0"/>
    <w:rsid w:val="70856B87"/>
    <w:rsid w:val="708C30A8"/>
    <w:rsid w:val="70D527EE"/>
    <w:rsid w:val="715B5300"/>
    <w:rsid w:val="71D27F8A"/>
    <w:rsid w:val="72553024"/>
    <w:rsid w:val="72BE4F36"/>
    <w:rsid w:val="72E84076"/>
    <w:rsid w:val="73122968"/>
    <w:rsid w:val="731F5D5E"/>
    <w:rsid w:val="73C51AD5"/>
    <w:rsid w:val="741E793C"/>
    <w:rsid w:val="745E3944"/>
    <w:rsid w:val="7635099D"/>
    <w:rsid w:val="77515D72"/>
    <w:rsid w:val="77762421"/>
    <w:rsid w:val="77B56B1F"/>
    <w:rsid w:val="780F09F4"/>
    <w:rsid w:val="78A90480"/>
    <w:rsid w:val="78F32400"/>
    <w:rsid w:val="797036C3"/>
    <w:rsid w:val="79C05EA2"/>
    <w:rsid w:val="79C327A5"/>
    <w:rsid w:val="7A364017"/>
    <w:rsid w:val="7A58283E"/>
    <w:rsid w:val="7A8265E1"/>
    <w:rsid w:val="7B264067"/>
    <w:rsid w:val="7B686D42"/>
    <w:rsid w:val="7B827DB1"/>
    <w:rsid w:val="7B841746"/>
    <w:rsid w:val="7BD73BDA"/>
    <w:rsid w:val="7C6C5AC7"/>
    <w:rsid w:val="7C867584"/>
    <w:rsid w:val="7CC6544B"/>
    <w:rsid w:val="7D0239FF"/>
    <w:rsid w:val="7D5E40CD"/>
    <w:rsid w:val="7DCD56F2"/>
    <w:rsid w:val="7E487708"/>
    <w:rsid w:val="7E7852B4"/>
    <w:rsid w:val="7EB663A9"/>
    <w:rsid w:val="7ED607F9"/>
    <w:rsid w:val="7F001CE7"/>
    <w:rsid w:val="7F7542A5"/>
    <w:rsid w:val="7FA36636"/>
    <w:rsid w:val="7FC6630F"/>
    <w:rsid w:val="7FE27212"/>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9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7"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qFormat="1"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qFormat="1"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unhideWhenUsed="0" w:uiPriority="0" w:semiHidden="0" w:name="Strong" w:locked="1"/>
    <w:lsdException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63"/>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78"/>
    <w:qFormat/>
    <w:locked/>
    <w:uiPriority w:val="99"/>
    <w:pPr>
      <w:keepNext/>
      <w:keepLines/>
      <w:spacing w:before="260" w:after="260" w:line="416" w:lineRule="auto"/>
      <w:ind w:firstLine="720" w:firstLineChars="200"/>
      <w:outlineLvl w:val="2"/>
    </w:pPr>
    <w:rPr>
      <w:b/>
      <w:bCs/>
      <w:sz w:val="32"/>
      <w:szCs w:val="32"/>
    </w:rPr>
  </w:style>
  <w:style w:type="paragraph" w:styleId="6">
    <w:name w:val="heading 4"/>
    <w:basedOn w:val="1"/>
    <w:next w:val="1"/>
    <w:qFormat/>
    <w:locked/>
    <w:uiPriority w:val="0"/>
    <w:pPr>
      <w:ind w:firstLine="482"/>
      <w:outlineLvl w:val="3"/>
    </w:pPr>
    <w:rPr>
      <w:b/>
      <w:bCs/>
    </w:rPr>
  </w:style>
  <w:style w:type="paragraph" w:styleId="7">
    <w:name w:val="heading 6"/>
    <w:basedOn w:val="1"/>
    <w:next w:val="1"/>
    <w:link w:val="69"/>
    <w:semiHidden/>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locked/>
    <w:uiPriority w:val="0"/>
    <w:pPr>
      <w:ind w:firstLine="420" w:firstLineChars="200"/>
    </w:pPr>
    <w:rPr>
      <w:kern w:val="2"/>
      <w:sz w:val="21"/>
      <w:szCs w:val="24"/>
    </w:rPr>
  </w:style>
  <w:style w:type="paragraph" w:styleId="8">
    <w:name w:val="Normal Indent"/>
    <w:basedOn w:val="1"/>
    <w:link w:val="62"/>
    <w:qFormat/>
    <w:locked/>
    <w:uiPriority w:val="0"/>
    <w:pPr>
      <w:spacing w:line="360" w:lineRule="auto"/>
      <w:ind w:firstLine="420"/>
    </w:pPr>
    <w:rPr>
      <w:rFonts w:ascii="仿宋_GB2312" w:hAnsi="Arial Black" w:eastAsia="仿宋_GB2312"/>
      <w:sz w:val="28"/>
      <w:szCs w:val="20"/>
      <w:lang w:val="zh-CN"/>
    </w:rPr>
  </w:style>
  <w:style w:type="paragraph" w:styleId="9">
    <w:name w:val="caption"/>
    <w:basedOn w:val="1"/>
    <w:next w:val="1"/>
    <w:qFormat/>
    <w:locked/>
    <w:uiPriority w:val="7"/>
    <w:rPr>
      <w:rFonts w:ascii="Arial" w:hAnsi="Arial" w:eastAsia="黑体" w:cs="Arial"/>
      <w:kern w:val="1"/>
      <w:sz w:val="20"/>
    </w:rPr>
  </w:style>
  <w:style w:type="paragraph" w:styleId="10">
    <w:name w:val="annotation text"/>
    <w:basedOn w:val="1"/>
    <w:link w:val="43"/>
    <w:semiHidden/>
    <w:qFormat/>
    <w:uiPriority w:val="0"/>
    <w:pPr>
      <w:jc w:val="left"/>
    </w:pPr>
    <w:rPr>
      <w:kern w:val="0"/>
      <w:sz w:val="24"/>
      <w:szCs w:val="20"/>
    </w:rPr>
  </w:style>
  <w:style w:type="paragraph" w:styleId="11">
    <w:name w:val="Salutation"/>
    <w:basedOn w:val="1"/>
    <w:next w:val="1"/>
    <w:link w:val="68"/>
    <w:qFormat/>
    <w:locked/>
    <w:uiPriority w:val="0"/>
  </w:style>
  <w:style w:type="paragraph" w:styleId="12">
    <w:name w:val="Body Text"/>
    <w:basedOn w:val="1"/>
    <w:next w:val="13"/>
    <w:link w:val="42"/>
    <w:qFormat/>
    <w:uiPriority w:val="0"/>
    <w:pPr>
      <w:widowControl/>
      <w:snapToGrid w:val="0"/>
      <w:spacing w:before="60" w:after="160" w:line="259" w:lineRule="auto"/>
      <w:ind w:right="113"/>
    </w:pPr>
    <w:rPr>
      <w:kern w:val="0"/>
      <w:sz w:val="18"/>
      <w:szCs w:val="20"/>
    </w:rPr>
  </w:style>
  <w:style w:type="paragraph" w:customStyle="1" w:styleId="13">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4">
    <w:name w:val="Body Text Indent"/>
    <w:basedOn w:val="1"/>
    <w:next w:val="15"/>
    <w:link w:val="49"/>
    <w:qFormat/>
    <w:uiPriority w:val="0"/>
    <w:pPr>
      <w:spacing w:after="120"/>
      <w:ind w:left="420" w:leftChars="200"/>
    </w:pPr>
    <w:rPr>
      <w:kern w:val="0"/>
      <w:sz w:val="24"/>
      <w:szCs w:val="20"/>
    </w:rPr>
  </w:style>
  <w:style w:type="paragraph" w:styleId="15">
    <w:name w:val="Body Text Indent 2"/>
    <w:basedOn w:val="1"/>
    <w:next w:val="2"/>
    <w:link w:val="71"/>
    <w:qFormat/>
    <w:locked/>
    <w:uiPriority w:val="0"/>
    <w:pPr>
      <w:spacing w:after="120" w:line="480" w:lineRule="auto"/>
      <w:ind w:left="420" w:leftChars="200"/>
    </w:pPr>
  </w:style>
  <w:style w:type="paragraph" w:styleId="16">
    <w:name w:val="Plain Text"/>
    <w:basedOn w:val="1"/>
    <w:next w:val="11"/>
    <w:link w:val="67"/>
    <w:qFormat/>
    <w:locked/>
    <w:uiPriority w:val="0"/>
    <w:rPr>
      <w:rFonts w:ascii="宋体" w:hAnsi="Courier New"/>
      <w:kern w:val="0"/>
      <w:szCs w:val="21"/>
      <w:lang w:val="zh-CN"/>
    </w:rPr>
  </w:style>
  <w:style w:type="paragraph" w:styleId="17">
    <w:name w:val="Date"/>
    <w:basedOn w:val="1"/>
    <w:next w:val="1"/>
    <w:link w:val="38"/>
    <w:qFormat/>
    <w:uiPriority w:val="0"/>
    <w:pPr>
      <w:ind w:left="100" w:leftChars="2500"/>
    </w:pPr>
    <w:rPr>
      <w:kern w:val="0"/>
      <w:sz w:val="24"/>
      <w:szCs w:val="20"/>
    </w:rPr>
  </w:style>
  <w:style w:type="paragraph" w:styleId="18">
    <w:name w:val="Balloon Text"/>
    <w:basedOn w:val="1"/>
    <w:link w:val="45"/>
    <w:semiHidden/>
    <w:qFormat/>
    <w:uiPriority w:val="0"/>
    <w:rPr>
      <w:kern w:val="0"/>
      <w:sz w:val="18"/>
      <w:szCs w:val="20"/>
    </w:rPr>
  </w:style>
  <w:style w:type="paragraph" w:styleId="19">
    <w:name w:val="footer"/>
    <w:basedOn w:val="1"/>
    <w:link w:val="37"/>
    <w:qFormat/>
    <w:uiPriority w:val="99"/>
    <w:pPr>
      <w:tabs>
        <w:tab w:val="center" w:pos="4153"/>
        <w:tab w:val="right" w:pos="8306"/>
      </w:tabs>
      <w:snapToGrid w:val="0"/>
      <w:jc w:val="left"/>
    </w:pPr>
    <w:rPr>
      <w:kern w:val="0"/>
      <w:sz w:val="18"/>
      <w:szCs w:val="20"/>
    </w:rPr>
  </w:style>
  <w:style w:type="paragraph" w:styleId="20">
    <w:name w:val="header"/>
    <w:basedOn w:val="1"/>
    <w:link w:val="47"/>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List"/>
    <w:basedOn w:val="1"/>
    <w:qFormat/>
    <w:locked/>
    <w:uiPriority w:val="0"/>
    <w:pPr>
      <w:spacing w:line="240" w:lineRule="auto"/>
      <w:ind w:left="0" w:firstLine="0" w:firstLineChars="0"/>
      <w:jc w:val="center"/>
    </w:pPr>
    <w:rPr>
      <w:rFonts w:ascii="Times New Roman" w:hAnsi="Times New Roman" w:eastAsia="宋体" w:cs="Times New Roman"/>
      <w:sz w:val="21"/>
      <w:szCs w:val="24"/>
    </w:rPr>
  </w:style>
  <w:style w:type="paragraph" w:styleId="22">
    <w:name w:val="Body Text 2"/>
    <w:basedOn w:val="1"/>
    <w:next w:val="1"/>
    <w:link w:val="72"/>
    <w:qFormat/>
    <w:locked/>
    <w:uiPriority w:val="0"/>
    <w:pPr>
      <w:spacing w:after="120" w:line="480" w:lineRule="auto"/>
    </w:pPr>
  </w:style>
  <w:style w:type="paragraph" w:styleId="23">
    <w:name w:val="Normal (Web)"/>
    <w:basedOn w:val="1"/>
    <w:link w:val="40"/>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10"/>
    <w:next w:val="10"/>
    <w:link w:val="46"/>
    <w:semiHidden/>
    <w:qFormat/>
    <w:uiPriority w:val="0"/>
    <w:rPr>
      <w:b/>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locked/>
    <w:uiPriority w:val="0"/>
  </w:style>
  <w:style w:type="character" w:styleId="29">
    <w:name w:val="line number"/>
    <w:basedOn w:val="27"/>
    <w:qFormat/>
    <w:locked/>
    <w:uiPriority w:val="0"/>
  </w:style>
  <w:style w:type="character" w:styleId="30">
    <w:name w:val="Hyperlink"/>
    <w:basedOn w:val="27"/>
    <w:qFormat/>
    <w:locked/>
    <w:uiPriority w:val="0"/>
    <w:rPr>
      <w:color w:val="0000FF"/>
      <w:u w:val="single"/>
    </w:rPr>
  </w:style>
  <w:style w:type="character" w:styleId="31">
    <w:name w:val="annotation reference"/>
    <w:semiHidden/>
    <w:qFormat/>
    <w:uiPriority w:val="0"/>
    <w:rPr>
      <w:sz w:val="21"/>
    </w:rPr>
  </w:style>
  <w:style w:type="paragraph" w:customStyle="1" w:styleId="32">
    <w:name w:val="A正文"/>
    <w:basedOn w:val="1"/>
    <w:next w:val="12"/>
    <w:qFormat/>
    <w:uiPriority w:val="0"/>
    <w:pPr>
      <w:widowControl/>
      <w:overflowPunct w:val="0"/>
      <w:autoSpaceDE w:val="0"/>
      <w:autoSpaceDN w:val="0"/>
      <w:jc w:val="left"/>
      <w:textAlignment w:val="baseline"/>
    </w:pPr>
  </w:style>
  <w:style w:type="paragraph" w:customStyle="1" w:styleId="33">
    <w:name w:val="表格"/>
    <w:basedOn w:val="34"/>
    <w:next w:val="1"/>
    <w:link w:val="36"/>
    <w:qFormat/>
    <w:uiPriority w:val="0"/>
    <w:pPr>
      <w:adjustRightInd w:val="0"/>
      <w:snapToGrid w:val="0"/>
      <w:spacing w:beforeLines="10" w:afterLines="10" w:line="259" w:lineRule="auto"/>
      <w:jc w:val="center"/>
    </w:pPr>
    <w:rPr>
      <w:rFonts w:ascii="宋体"/>
      <w:kern w:val="0"/>
      <w:szCs w:val="20"/>
    </w:rPr>
  </w:style>
  <w:style w:type="paragraph" w:customStyle="1" w:styleId="34">
    <w:name w:val="表头"/>
    <w:basedOn w:val="35"/>
    <w:next w:val="1"/>
    <w:link w:val="77"/>
    <w:qFormat/>
    <w:uiPriority w:val="0"/>
    <w:pPr>
      <w:adjustRightInd w:val="0"/>
      <w:snapToGrid w:val="0"/>
      <w:jc w:val="center"/>
    </w:pPr>
    <w:rPr>
      <w:rFonts w:ascii="Times New Roman" w:hAnsi="Times New Roman" w:eastAsia="宋体" w:cs="Times New Roman"/>
      <w:b/>
      <w:sz w:val="21"/>
      <w:lang w:val="en-US" w:eastAsia="zh-CN" w:bidi="ar-SA"/>
    </w:rPr>
  </w:style>
  <w:style w:type="paragraph" w:customStyle="1" w:styleId="35">
    <w:name w:val="表头样式1"/>
    <w:basedOn w:val="1"/>
    <w:qFormat/>
    <w:uiPriority w:val="0"/>
    <w:pPr>
      <w:autoSpaceDE w:val="0"/>
      <w:autoSpaceDN w:val="0"/>
      <w:adjustRightInd w:val="0"/>
      <w:spacing w:line="276" w:lineRule="auto"/>
      <w:ind w:right="55" w:rightChars="26" w:firstLine="482"/>
      <w:jc w:val="center"/>
    </w:pPr>
    <w:rPr>
      <w:rFonts w:ascii="黑体" w:hAnsi="宋体" w:eastAsia="黑体"/>
      <w:kern w:val="0"/>
      <w:sz w:val="24"/>
      <w:lang w:val="zh-CN"/>
    </w:rPr>
  </w:style>
  <w:style w:type="character" w:customStyle="1" w:styleId="36">
    <w:name w:val="表格 Char"/>
    <w:link w:val="33"/>
    <w:qFormat/>
    <w:locked/>
    <w:uiPriority w:val="0"/>
    <w:rPr>
      <w:rFonts w:ascii="宋体"/>
      <w:sz w:val="21"/>
    </w:rPr>
  </w:style>
  <w:style w:type="character" w:customStyle="1" w:styleId="37">
    <w:name w:val="页脚 字符1"/>
    <w:link w:val="19"/>
    <w:qFormat/>
    <w:locked/>
    <w:uiPriority w:val="99"/>
    <w:rPr>
      <w:sz w:val="18"/>
    </w:rPr>
  </w:style>
  <w:style w:type="character" w:customStyle="1" w:styleId="38">
    <w:name w:val="日期 字符1"/>
    <w:link w:val="17"/>
    <w:qFormat/>
    <w:locked/>
    <w:uiPriority w:val="0"/>
    <w:rPr>
      <w:rFonts w:ascii="Times New Roman" w:hAnsi="Times New Roman" w:eastAsia="宋体"/>
      <w:sz w:val="24"/>
    </w:rPr>
  </w:style>
  <w:style w:type="character" w:customStyle="1" w:styleId="39">
    <w:name w:val="页脚 字符"/>
    <w:basedOn w:val="27"/>
    <w:qFormat/>
    <w:uiPriority w:val="99"/>
  </w:style>
  <w:style w:type="character" w:customStyle="1" w:styleId="40">
    <w:name w:val="普通(网站) 字符"/>
    <w:link w:val="23"/>
    <w:qFormat/>
    <w:locked/>
    <w:uiPriority w:val="99"/>
    <w:rPr>
      <w:rFonts w:ascii="宋体" w:hAnsi="宋体" w:eastAsia="宋体"/>
      <w:sz w:val="24"/>
    </w:rPr>
  </w:style>
  <w:style w:type="character" w:customStyle="1" w:styleId="41">
    <w:name w:val="正文文本 字符1"/>
    <w:semiHidden/>
    <w:qFormat/>
    <w:uiPriority w:val="0"/>
    <w:rPr>
      <w:rFonts w:ascii="Times New Roman" w:hAnsi="Times New Roman" w:eastAsia="宋体"/>
      <w:sz w:val="24"/>
    </w:rPr>
  </w:style>
  <w:style w:type="character" w:customStyle="1" w:styleId="42">
    <w:name w:val="正文文本 字符"/>
    <w:link w:val="12"/>
    <w:qFormat/>
    <w:locked/>
    <w:uiPriority w:val="0"/>
    <w:rPr>
      <w:sz w:val="18"/>
    </w:rPr>
  </w:style>
  <w:style w:type="character" w:customStyle="1" w:styleId="43">
    <w:name w:val="批注文字 字符"/>
    <w:link w:val="10"/>
    <w:qFormat/>
    <w:locked/>
    <w:uiPriority w:val="0"/>
    <w:rPr>
      <w:rFonts w:ascii="Times New Roman" w:hAnsi="Times New Roman" w:eastAsia="宋体"/>
      <w:sz w:val="24"/>
    </w:rPr>
  </w:style>
  <w:style w:type="character" w:customStyle="1" w:styleId="44">
    <w:name w:val="日期 字符"/>
    <w:semiHidden/>
    <w:qFormat/>
    <w:uiPriority w:val="0"/>
    <w:rPr>
      <w:rFonts w:ascii="Times New Roman" w:hAnsi="Times New Roman" w:eastAsia="宋体"/>
      <w:sz w:val="24"/>
    </w:rPr>
  </w:style>
  <w:style w:type="character" w:customStyle="1" w:styleId="45">
    <w:name w:val="批注框文本 字符"/>
    <w:link w:val="18"/>
    <w:semiHidden/>
    <w:qFormat/>
    <w:locked/>
    <w:uiPriority w:val="0"/>
    <w:rPr>
      <w:rFonts w:ascii="Times New Roman" w:hAnsi="Times New Roman" w:eastAsia="宋体"/>
      <w:sz w:val="18"/>
    </w:rPr>
  </w:style>
  <w:style w:type="character" w:customStyle="1" w:styleId="46">
    <w:name w:val="批注主题 字符"/>
    <w:link w:val="24"/>
    <w:semiHidden/>
    <w:qFormat/>
    <w:locked/>
    <w:uiPriority w:val="0"/>
    <w:rPr>
      <w:rFonts w:ascii="Times New Roman" w:hAnsi="Times New Roman" w:eastAsia="宋体"/>
      <w:b/>
      <w:kern w:val="2"/>
      <w:sz w:val="24"/>
    </w:rPr>
  </w:style>
  <w:style w:type="character" w:customStyle="1" w:styleId="47">
    <w:name w:val="页眉 字符"/>
    <w:link w:val="20"/>
    <w:qFormat/>
    <w:locked/>
    <w:uiPriority w:val="0"/>
    <w:rPr>
      <w:sz w:val="18"/>
    </w:rPr>
  </w:style>
  <w:style w:type="character" w:customStyle="1" w:styleId="48">
    <w:name w:val="批注文字 字符1"/>
    <w:semiHidden/>
    <w:qFormat/>
    <w:uiPriority w:val="0"/>
    <w:rPr>
      <w:rFonts w:ascii="Times New Roman" w:hAnsi="Times New Roman" w:eastAsia="宋体"/>
      <w:sz w:val="24"/>
    </w:rPr>
  </w:style>
  <w:style w:type="character" w:customStyle="1" w:styleId="49">
    <w:name w:val="正文文本缩进 字符"/>
    <w:link w:val="14"/>
    <w:semiHidden/>
    <w:qFormat/>
    <w:locked/>
    <w:uiPriority w:val="0"/>
    <w:rPr>
      <w:rFonts w:ascii="Times New Roman" w:hAnsi="Times New Roman" w:eastAsia="宋体"/>
      <w:sz w:val="24"/>
    </w:rPr>
  </w:style>
  <w:style w:type="paragraph" w:customStyle="1" w:styleId="5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
    <w:name w:val="普通(网站)2"/>
    <w:basedOn w:val="1"/>
    <w:qFormat/>
    <w:uiPriority w:val="0"/>
    <w:pPr>
      <w:widowControl/>
      <w:spacing w:before="100" w:beforeAutospacing="1" w:after="100" w:afterAutospacing="1"/>
      <w:jc w:val="left"/>
    </w:pPr>
    <w:rPr>
      <w:rFonts w:ascii="宋体" w:hAnsi="宋体"/>
      <w:sz w:val="24"/>
      <w:szCs w:val="20"/>
    </w:rPr>
  </w:style>
  <w:style w:type="paragraph" w:styleId="52">
    <w:name w:val="List Paragraph"/>
    <w:basedOn w:val="1"/>
    <w:qFormat/>
    <w:uiPriority w:val="34"/>
    <w:pPr>
      <w:ind w:firstLine="420" w:firstLineChars="200"/>
    </w:pPr>
  </w:style>
  <w:style w:type="paragraph" w:customStyle="1" w:styleId="53">
    <w:name w:val="正文zl"/>
    <w:basedOn w:val="1"/>
    <w:link w:val="54"/>
    <w:qFormat/>
    <w:uiPriority w:val="0"/>
    <w:pPr>
      <w:autoSpaceDE w:val="0"/>
      <w:adjustRightInd w:val="0"/>
      <w:snapToGrid w:val="0"/>
      <w:spacing w:line="360" w:lineRule="auto"/>
      <w:ind w:firstLine="480" w:firstLineChars="200"/>
    </w:pPr>
    <w:rPr>
      <w:kern w:val="0"/>
      <w:sz w:val="24"/>
    </w:rPr>
  </w:style>
  <w:style w:type="character" w:customStyle="1" w:styleId="54">
    <w:name w:val="正文zl 字符"/>
    <w:link w:val="53"/>
    <w:qFormat/>
    <w:uiPriority w:val="0"/>
    <w:rPr>
      <w:sz w:val="24"/>
      <w:szCs w:val="24"/>
    </w:rPr>
  </w:style>
  <w:style w:type="paragraph" w:customStyle="1" w:styleId="55">
    <w:name w:val="表标题-zl"/>
    <w:basedOn w:val="53"/>
    <w:link w:val="56"/>
    <w:qFormat/>
    <w:uiPriority w:val="0"/>
    <w:pPr>
      <w:spacing w:beforeLines="50" w:line="240" w:lineRule="auto"/>
      <w:ind w:firstLine="0" w:firstLineChars="0"/>
      <w:jc w:val="center"/>
    </w:pPr>
    <w:rPr>
      <w:b/>
      <w:bCs/>
      <w:sz w:val="21"/>
      <w:szCs w:val="21"/>
    </w:rPr>
  </w:style>
  <w:style w:type="character" w:customStyle="1" w:styleId="56">
    <w:name w:val="表标题-zl 字符"/>
    <w:link w:val="55"/>
    <w:qFormat/>
    <w:uiPriority w:val="0"/>
    <w:rPr>
      <w:b/>
      <w:bCs/>
      <w:sz w:val="21"/>
      <w:szCs w:val="21"/>
    </w:rPr>
  </w:style>
  <w:style w:type="character" w:styleId="57">
    <w:name w:val="Placeholder Text"/>
    <w:basedOn w:val="27"/>
    <w:semiHidden/>
    <w:qFormat/>
    <w:uiPriority w:val="99"/>
    <w:rPr>
      <w:color w:val="808080"/>
    </w:rPr>
  </w:style>
  <w:style w:type="character" w:customStyle="1" w:styleId="58">
    <w:name w:val="font181"/>
    <w:basedOn w:val="27"/>
    <w:qFormat/>
    <w:uiPriority w:val="0"/>
    <w:rPr>
      <w:rFonts w:hint="eastAsia" w:ascii="仿宋" w:hAnsi="仿宋" w:eastAsia="仿宋" w:cs="仿宋"/>
      <w:b/>
      <w:color w:val="000000"/>
      <w:sz w:val="22"/>
      <w:szCs w:val="22"/>
      <w:u w:val="none"/>
    </w:rPr>
  </w:style>
  <w:style w:type="paragraph" w:customStyle="1" w:styleId="59">
    <w:name w:val="Table Paragraph"/>
    <w:basedOn w:val="1"/>
    <w:qFormat/>
    <w:uiPriority w:val="1"/>
    <w:pPr>
      <w:autoSpaceDE w:val="0"/>
      <w:autoSpaceDN w:val="0"/>
      <w:jc w:val="center"/>
    </w:pPr>
    <w:rPr>
      <w:rFonts w:ascii="宋体" w:hAnsi="宋体" w:cs="宋体"/>
      <w:kern w:val="0"/>
      <w:sz w:val="22"/>
      <w:szCs w:val="22"/>
      <w:lang w:eastAsia="en-US"/>
    </w:rPr>
  </w:style>
  <w:style w:type="character" w:customStyle="1" w:styleId="60">
    <w:name w:val="表格内 Char"/>
    <w:link w:val="61"/>
    <w:qFormat/>
    <w:uiPriority w:val="0"/>
    <w:rPr>
      <w:kern w:val="2"/>
      <w:sz w:val="21"/>
      <w:szCs w:val="21"/>
    </w:rPr>
  </w:style>
  <w:style w:type="paragraph" w:customStyle="1" w:styleId="61">
    <w:name w:val="表格内"/>
    <w:basedOn w:val="1"/>
    <w:link w:val="60"/>
    <w:qFormat/>
    <w:uiPriority w:val="0"/>
    <w:pPr>
      <w:widowControl/>
      <w:jc w:val="center"/>
    </w:pPr>
    <w:rPr>
      <w:szCs w:val="21"/>
    </w:rPr>
  </w:style>
  <w:style w:type="character" w:customStyle="1" w:styleId="62">
    <w:name w:val="正文缩进 字符"/>
    <w:link w:val="8"/>
    <w:qFormat/>
    <w:uiPriority w:val="0"/>
    <w:rPr>
      <w:rFonts w:ascii="仿宋_GB2312" w:hAnsi="Arial Black" w:eastAsia="仿宋_GB2312"/>
      <w:kern w:val="2"/>
      <w:sz w:val="28"/>
      <w:lang w:val="zh-CN" w:eastAsia="zh-CN"/>
    </w:rPr>
  </w:style>
  <w:style w:type="character" w:customStyle="1" w:styleId="63">
    <w:name w:val="标题 2 字符"/>
    <w:basedOn w:val="27"/>
    <w:link w:val="4"/>
    <w:semiHidden/>
    <w:qFormat/>
    <w:uiPriority w:val="0"/>
    <w:rPr>
      <w:rFonts w:asciiTheme="majorHAnsi" w:hAnsiTheme="majorHAnsi" w:eastAsiaTheme="majorEastAsia" w:cstheme="majorBidi"/>
      <w:b/>
      <w:bCs/>
      <w:kern w:val="2"/>
      <w:sz w:val="32"/>
      <w:szCs w:val="32"/>
    </w:rPr>
  </w:style>
  <w:style w:type="paragraph" w:customStyle="1" w:styleId="6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66">
    <w:name w:val="纯文本 字符"/>
    <w:basedOn w:val="27"/>
    <w:qFormat/>
    <w:uiPriority w:val="0"/>
    <w:rPr>
      <w:rFonts w:hAnsi="Courier New" w:cs="Courier New" w:asciiTheme="minorEastAsia" w:eastAsiaTheme="minorEastAsia"/>
      <w:kern w:val="2"/>
      <w:sz w:val="21"/>
      <w:szCs w:val="24"/>
    </w:rPr>
  </w:style>
  <w:style w:type="character" w:customStyle="1" w:styleId="67">
    <w:name w:val="纯文本 字符1"/>
    <w:link w:val="16"/>
    <w:qFormat/>
    <w:uiPriority w:val="0"/>
    <w:rPr>
      <w:rFonts w:ascii="宋体" w:hAnsi="Courier New"/>
      <w:sz w:val="21"/>
      <w:szCs w:val="21"/>
      <w:lang w:val="zh-CN" w:eastAsia="zh-CN"/>
    </w:rPr>
  </w:style>
  <w:style w:type="character" w:customStyle="1" w:styleId="68">
    <w:name w:val="称呼 字符"/>
    <w:basedOn w:val="27"/>
    <w:link w:val="11"/>
    <w:qFormat/>
    <w:uiPriority w:val="0"/>
    <w:rPr>
      <w:kern w:val="2"/>
      <w:sz w:val="21"/>
      <w:szCs w:val="24"/>
    </w:rPr>
  </w:style>
  <w:style w:type="character" w:customStyle="1" w:styleId="69">
    <w:name w:val="标题 6 字符"/>
    <w:basedOn w:val="27"/>
    <w:link w:val="7"/>
    <w:semiHidden/>
    <w:qFormat/>
    <w:uiPriority w:val="0"/>
    <w:rPr>
      <w:rFonts w:asciiTheme="majorHAnsi" w:hAnsiTheme="majorHAnsi" w:eastAsiaTheme="majorEastAsia" w:cstheme="majorBidi"/>
      <w:b/>
      <w:bCs/>
      <w:kern w:val="2"/>
      <w:sz w:val="24"/>
      <w:szCs w:val="24"/>
    </w:rPr>
  </w:style>
  <w:style w:type="character" w:customStyle="1" w:styleId="70">
    <w:name w:val="标题 6 字符1"/>
    <w:qFormat/>
    <w:uiPriority w:val="99"/>
    <w:rPr>
      <w:rFonts w:eastAsia="楷体_GB2312"/>
      <w:b/>
    </w:rPr>
  </w:style>
  <w:style w:type="character" w:customStyle="1" w:styleId="71">
    <w:name w:val="正文文本缩进 2 字符"/>
    <w:basedOn w:val="27"/>
    <w:link w:val="15"/>
    <w:qFormat/>
    <w:uiPriority w:val="0"/>
    <w:rPr>
      <w:kern w:val="2"/>
      <w:sz w:val="21"/>
      <w:szCs w:val="24"/>
    </w:rPr>
  </w:style>
  <w:style w:type="character" w:customStyle="1" w:styleId="72">
    <w:name w:val="正文文本 2 字符"/>
    <w:basedOn w:val="27"/>
    <w:link w:val="22"/>
    <w:qFormat/>
    <w:uiPriority w:val="0"/>
    <w:rPr>
      <w:kern w:val="2"/>
      <w:sz w:val="21"/>
      <w:szCs w:val="24"/>
    </w:rPr>
  </w:style>
  <w:style w:type="paragraph" w:customStyle="1" w:styleId="73">
    <w:name w:val="Default"/>
    <w:basedOn w:val="1"/>
    <w:next w:val="15"/>
    <w:qFormat/>
    <w:uiPriority w:val="0"/>
    <w:pPr>
      <w:autoSpaceDE w:val="0"/>
      <w:autoSpaceDN w:val="0"/>
      <w:adjustRightInd w:val="0"/>
      <w:spacing w:line="360" w:lineRule="auto"/>
      <w:ind w:firstLine="602" w:firstLineChars="200"/>
    </w:pPr>
    <w:rPr>
      <w:rFonts w:ascii="宋体" w:cs="宋体"/>
      <w:color w:val="000000"/>
      <w:sz w:val="24"/>
    </w:rPr>
  </w:style>
  <w:style w:type="paragraph" w:customStyle="1" w:styleId="74">
    <w:name w:val="表内文字"/>
    <w:basedOn w:val="1"/>
    <w:autoRedefine/>
    <w:qFormat/>
    <w:uiPriority w:val="0"/>
    <w:pPr>
      <w:adjustRightInd w:val="0"/>
      <w:snapToGrid w:val="0"/>
      <w:jc w:val="center"/>
    </w:pPr>
    <w:rPr>
      <w:rFonts w:hint="eastAsia"/>
    </w:rPr>
  </w:style>
  <w:style w:type="paragraph" w:customStyle="1" w:styleId="75">
    <w:name w:val="A环评表格"/>
    <w:basedOn w:val="1"/>
    <w:qFormat/>
    <w:uiPriority w:val="0"/>
    <w:pPr>
      <w:adjustRightInd w:val="0"/>
      <w:snapToGrid w:val="0"/>
      <w:jc w:val="center"/>
    </w:pPr>
    <w:rPr>
      <w:rFonts w:hint="eastAsia"/>
      <w:bCs/>
      <w:szCs w:val="21"/>
      <w:lang w:val="en-GB"/>
    </w:rPr>
  </w:style>
  <w:style w:type="paragraph" w:customStyle="1" w:styleId="76">
    <w:name w:val="图表标题"/>
    <w:basedOn w:val="1"/>
    <w:next w:val="1"/>
    <w:autoRedefine/>
    <w:qFormat/>
    <w:uiPriority w:val="0"/>
    <w:pPr>
      <w:autoSpaceDE w:val="0"/>
      <w:autoSpaceDN w:val="0"/>
      <w:adjustRightInd w:val="0"/>
      <w:snapToGrid w:val="0"/>
      <w:jc w:val="center"/>
    </w:pPr>
    <w:rPr>
      <w:b/>
      <w:kern w:val="0"/>
    </w:rPr>
  </w:style>
  <w:style w:type="character" w:customStyle="1" w:styleId="77">
    <w:name w:val="表头 Char1"/>
    <w:link w:val="34"/>
    <w:qFormat/>
    <w:uiPriority w:val="0"/>
    <w:rPr>
      <w:b/>
      <w:sz w:val="21"/>
    </w:rPr>
  </w:style>
  <w:style w:type="character" w:customStyle="1" w:styleId="78">
    <w:name w:val="标题 3 字符"/>
    <w:basedOn w:val="27"/>
    <w:link w:val="5"/>
    <w:qFormat/>
    <w:uiPriority w:val="99"/>
    <w:rPr>
      <w:b/>
      <w:bCs/>
      <w:kern w:val="2"/>
      <w:sz w:val="32"/>
      <w:szCs w:val="32"/>
    </w:rPr>
  </w:style>
  <w:style w:type="paragraph" w:customStyle="1" w:styleId="79">
    <w:name w:val="Table Text"/>
    <w:basedOn w:val="1"/>
    <w:semiHidden/>
    <w:qFormat/>
    <w:uiPriority w:val="0"/>
    <w:rPr>
      <w:rFonts w:ascii="宋体" w:hAnsi="宋体" w:cs="宋体"/>
      <w:sz w:val="24"/>
      <w:lang w:eastAsia="en-US"/>
    </w:rPr>
  </w:style>
  <w:style w:type="paragraph" w:customStyle="1" w:styleId="80">
    <w:name w:val="居中-zl"/>
    <w:basedOn w:val="53"/>
    <w:link w:val="81"/>
    <w:qFormat/>
    <w:uiPriority w:val="0"/>
    <w:pPr>
      <w:autoSpaceDE/>
      <w:ind w:firstLine="0" w:firstLineChars="0"/>
      <w:jc w:val="center"/>
    </w:pPr>
  </w:style>
  <w:style w:type="character" w:customStyle="1" w:styleId="81">
    <w:name w:val="居中-zl 字符"/>
    <w:link w:val="80"/>
    <w:qFormat/>
    <w:uiPriority w:val="0"/>
    <w:rPr>
      <w:sz w:val="24"/>
      <w:szCs w:val="24"/>
    </w:rPr>
  </w:style>
  <w:style w:type="character" w:customStyle="1" w:styleId="82">
    <w:name w:val="font01"/>
    <w:basedOn w:val="27"/>
    <w:qFormat/>
    <w:uiPriority w:val="0"/>
    <w:rPr>
      <w:rFonts w:hint="default" w:ascii="Times New Roman" w:hAnsi="Times New Roman" w:cs="Times New Roman"/>
      <w:color w:val="000000"/>
      <w:sz w:val="20"/>
      <w:szCs w:val="20"/>
      <w:u w:val="none"/>
    </w:rPr>
  </w:style>
  <w:style w:type="character" w:customStyle="1" w:styleId="83">
    <w:name w:val="font11"/>
    <w:basedOn w:val="27"/>
    <w:qFormat/>
    <w:uiPriority w:val="0"/>
    <w:rPr>
      <w:rFonts w:hint="eastAsia" w:ascii="宋体" w:hAnsi="宋体" w:eastAsia="宋体" w:cs="宋体"/>
      <w:color w:val="000000"/>
      <w:sz w:val="20"/>
      <w:szCs w:val="20"/>
      <w:u w:val="none"/>
    </w:rPr>
  </w:style>
  <w:style w:type="paragraph" w:customStyle="1" w:styleId="84">
    <w:name w:val="表标题"/>
    <w:basedOn w:val="1"/>
    <w:next w:val="12"/>
    <w:qFormat/>
    <w:uiPriority w:val="0"/>
    <w:pPr>
      <w:spacing w:line="360" w:lineRule="auto"/>
      <w:jc w:val="center"/>
    </w:pPr>
    <w:rPr>
      <w:b/>
      <w:bCs/>
      <w:szCs w:val="22"/>
    </w:rPr>
  </w:style>
  <w:style w:type="paragraph" w:customStyle="1" w:styleId="85">
    <w:name w:val="正文 缩进"/>
    <w:basedOn w:val="86"/>
    <w:qFormat/>
    <w:uiPriority w:val="0"/>
    <w:pPr>
      <w:spacing w:line="440" w:lineRule="exact"/>
      <w:ind w:firstLine="480" w:firstLineChars="200"/>
    </w:pPr>
    <w:rPr>
      <w:rFonts w:eastAsia="仿宋_GB2312"/>
      <w:sz w:val="24"/>
      <w:lang w:val="en-US" w:eastAsia="zh-CN" w:bidi="ar-SA"/>
    </w:rPr>
  </w:style>
  <w:style w:type="paragraph" w:customStyle="1" w:styleId="86">
    <w:name w:val="正文1"/>
    <w:basedOn w:val="87"/>
    <w:qFormat/>
    <w:uiPriority w:val="0"/>
    <w:rPr>
      <w:szCs w:val="20"/>
    </w:rPr>
  </w:style>
  <w:style w:type="paragraph" w:customStyle="1" w:styleId="87">
    <w:name w:val="表内3"/>
    <w:basedOn w:val="1"/>
    <w:qFormat/>
    <w:uiPriority w:val="0"/>
    <w:pPr>
      <w:spacing w:line="440" w:lineRule="exact"/>
      <w:ind w:firstLine="200" w:firstLineChars="200"/>
    </w:pPr>
    <w:rPr>
      <w:rFonts w:eastAsia="仿宋_GB2312"/>
      <w:kern w:val="2"/>
      <w:sz w:val="24"/>
      <w:lang w:val="en-US" w:eastAsia="zh-CN" w:bidi="ar-SA"/>
    </w:rPr>
  </w:style>
  <w:style w:type="paragraph" w:customStyle="1" w:styleId="88">
    <w:name w:val="图标 表标"/>
    <w:basedOn w:val="1"/>
    <w:qFormat/>
    <w:uiPriority w:val="0"/>
    <w:pPr>
      <w:autoSpaceDE w:val="0"/>
      <w:autoSpaceDN w:val="0"/>
      <w:adjustRightInd w:val="0"/>
      <w:jc w:val="center"/>
    </w:pPr>
    <w:rPr>
      <w:b/>
      <w:bCs/>
      <w:kern w:val="21"/>
    </w:rPr>
  </w:style>
  <w:style w:type="paragraph" w:customStyle="1" w:styleId="89">
    <w:name w:val="表内最终版"/>
    <w:basedOn w:val="1"/>
    <w:unhideWhenUsed/>
    <w:qFormat/>
    <w:uiPriority w:val="0"/>
    <w:pPr>
      <w:adjustRightInd w:val="0"/>
      <w:snapToGrid w:val="0"/>
      <w:jc w:val="center"/>
      <w:textAlignment w:val="baseline"/>
    </w:pPr>
  </w:style>
  <w:style w:type="paragraph" w:customStyle="1" w:styleId="90">
    <w:name w:val="Pa1"/>
    <w:basedOn w:val="1"/>
    <w:next w:val="1"/>
    <w:qFormat/>
    <w:uiPriority w:val="0"/>
    <w:pPr>
      <w:autoSpaceDE w:val="0"/>
      <w:autoSpaceDN w:val="0"/>
      <w:spacing w:line="221" w:lineRule="atLeast"/>
      <w:jc w:val="left"/>
    </w:pPr>
    <w:rPr>
      <w:rFonts w:ascii="黑体" w:hAnsi="黑体" w:eastAsia="黑体"/>
      <w:color w:val="000000"/>
      <w:kern w:val="0"/>
      <w:sz w:val="24"/>
      <w:szCs w:val="20"/>
    </w:rPr>
  </w:style>
  <w:style w:type="paragraph" w:customStyle="1" w:styleId="91">
    <w:name w:val="Char Char Char Char Char Char Char Char Char Char Char Char Char Char Char Char Char"/>
    <w:basedOn w:val="1"/>
    <w:qFormat/>
    <w:uiPriority w:val="0"/>
    <w:rPr>
      <w:szCs w:val="20"/>
    </w:rPr>
  </w:style>
  <w:style w:type="paragraph" w:customStyle="1" w:styleId="92">
    <w:name w:val="表格内容自定"/>
    <w:basedOn w:val="1"/>
    <w:qFormat/>
    <w:uiPriority w:val="0"/>
    <w:pPr>
      <w:spacing w:line="280" w:lineRule="exact"/>
      <w:jc w:val="center"/>
    </w:pPr>
    <w:rPr>
      <w:kern w:val="0"/>
      <w:sz w:val="18"/>
      <w:szCs w:val="20"/>
    </w:rPr>
  </w:style>
  <w:style w:type="paragraph" w:customStyle="1" w:styleId="93">
    <w:name w:val="_Style 5"/>
    <w:basedOn w:val="1"/>
    <w:next w:val="1"/>
    <w:qFormat/>
    <w:uiPriority w:val="0"/>
    <w:pPr>
      <w:autoSpaceDE w:val="0"/>
      <w:ind w:firstLine="200" w:firstLineChars="200"/>
    </w:pPr>
    <w:rPr>
      <w:rFonts w:ascii="Calibri" w:hAnsi="Calibri" w:cs="宋体"/>
      <w:snapToGrid/>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jpeg"/><Relationship Id="rId34" Type="http://schemas.openxmlformats.org/officeDocument/2006/relationships/image" Target="media/image16.wmf"/><Relationship Id="rId33" Type="http://schemas.openxmlformats.org/officeDocument/2006/relationships/oleObject" Target="embeddings/oleObject10.bin"/><Relationship Id="rId32" Type="http://schemas.openxmlformats.org/officeDocument/2006/relationships/image" Target="media/image15.wmf"/><Relationship Id="rId31" Type="http://schemas.openxmlformats.org/officeDocument/2006/relationships/oleObject" Target="embeddings/oleObject9.bin"/><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wmf"/><Relationship Id="rId27" Type="http://schemas.openxmlformats.org/officeDocument/2006/relationships/oleObject" Target="embeddings/oleObject8.bin"/><Relationship Id="rId26" Type="http://schemas.openxmlformats.org/officeDocument/2006/relationships/image" Target="media/image11.jpeg"/><Relationship Id="rId25" Type="http://schemas.openxmlformats.org/officeDocument/2006/relationships/image" Target="media/image10.wmf"/><Relationship Id="rId24" Type="http://schemas.openxmlformats.org/officeDocument/2006/relationships/oleObject" Target="embeddings/oleObject7.bin"/><Relationship Id="rId23" Type="http://schemas.openxmlformats.org/officeDocument/2006/relationships/image" Target="media/image9.jpeg"/><Relationship Id="rId22" Type="http://schemas.openxmlformats.org/officeDocument/2006/relationships/image" Target="media/image8.emf"/><Relationship Id="rId21" Type="http://schemas.openxmlformats.org/officeDocument/2006/relationships/oleObject" Target="embeddings/oleObject6.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6.emf"/><Relationship Id="rId17" Type="http://schemas.openxmlformats.org/officeDocument/2006/relationships/oleObject" Target="embeddings/oleObject4.bin"/><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9D147B-720F-4E75-B8F3-458824DB348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65</Pages>
  <Words>43331</Words>
  <Characters>48153</Characters>
  <Lines>495</Lines>
  <Paragraphs>139</Paragraphs>
  <TotalTime>192</TotalTime>
  <ScaleCrop>false</ScaleCrop>
  <LinksUpToDate>false</LinksUpToDate>
  <CharactersWithSpaces>48295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2024-11-27T07:45:00Z</dcterms:created>
  <dc:creator>lhj</dc:creator>
  <cp:lastModifiedBy>やໍ柒七</cp:lastModifiedBy>
  <cp:lastPrinted>2023-10-25T06:58:00Z</cp:lastPrinted>
  <dcterms:modified xsi:type="dcterms:W3CDTF">2025-07-14T08:27:25Z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9713E446ACA5487B84597A7850F48CA1_13</vt:lpwstr>
  </property>
  <property fmtid="{D5CDD505-2E9C-101B-9397-08002B2CF9AE}" pid="4" name="KSOTemplateDocerSaveRecord">
    <vt:lpwstr>eyJoZGlkIjoiODUzOGFlODhmZTAwMjAyMTNhODAxMGZkNjdlYWIzZTUiLCJ1c2VySWQiOiIzMTcxNjQ0ODUifQ==</vt:lpwstr>
  </property>
</Properties>
</file>