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themeColor="background1"/>
  <w:body>
    <w:p w14:paraId="04BFB6E7">
      <w:pPr>
        <w:pStyle w:val="771"/>
        <w:bidi w:val="0"/>
      </w:pPr>
      <w:bookmarkStart w:id="0" w:name="_Hlk177544117"/>
      <w:bookmarkEnd w:id="0"/>
      <w:bookmarkStart w:id="1" w:name="OLE_LINK1"/>
      <w:bookmarkStart w:id="2" w:name="_Toc121151509"/>
      <w:bookmarkStart w:id="3" w:name="_Toc67775550"/>
    </w:p>
    <w:p w14:paraId="49D874F0">
      <w:pPr>
        <w:adjustRightInd w:val="0"/>
        <w:snapToGrid w:val="0"/>
        <w:spacing w:after="0"/>
        <w:jc w:val="center"/>
        <w:rPr>
          <w:sz w:val="36"/>
          <w:szCs w:val="36"/>
        </w:rPr>
      </w:pPr>
    </w:p>
    <w:p w14:paraId="100AFDCC">
      <w:pPr>
        <w:adjustRightInd w:val="0"/>
        <w:snapToGrid w:val="0"/>
        <w:spacing w:after="0"/>
        <w:jc w:val="center"/>
        <w:rPr>
          <w:sz w:val="36"/>
          <w:szCs w:val="36"/>
        </w:rPr>
      </w:pPr>
    </w:p>
    <w:p w14:paraId="10B73016">
      <w:pPr>
        <w:adjustRightInd w:val="0"/>
        <w:snapToGrid w:val="0"/>
        <w:spacing w:after="0"/>
        <w:jc w:val="center"/>
        <w:rPr>
          <w:sz w:val="36"/>
          <w:szCs w:val="36"/>
        </w:rPr>
      </w:pPr>
    </w:p>
    <w:p w14:paraId="5EBC7F93">
      <w:pPr>
        <w:adjustRightInd w:val="0"/>
        <w:snapToGrid w:val="0"/>
        <w:spacing w:after="0"/>
        <w:jc w:val="center"/>
        <w:rPr>
          <w:sz w:val="36"/>
          <w:szCs w:val="36"/>
        </w:rPr>
      </w:pPr>
    </w:p>
    <w:p w14:paraId="00772477">
      <w:pPr>
        <w:adjustRightInd w:val="0"/>
        <w:snapToGrid w:val="0"/>
        <w:spacing w:after="0"/>
        <w:jc w:val="center"/>
        <w:rPr>
          <w:sz w:val="36"/>
          <w:szCs w:val="36"/>
        </w:rPr>
      </w:pPr>
    </w:p>
    <w:p w14:paraId="75BE9895">
      <w:pPr>
        <w:adjustRightInd w:val="0"/>
        <w:snapToGrid w:val="0"/>
        <w:spacing w:after="0"/>
        <w:jc w:val="center"/>
        <w:outlineLvl w:val="0"/>
        <w:rPr>
          <w:bCs/>
          <w:sz w:val="72"/>
          <w:szCs w:val="72"/>
        </w:rPr>
      </w:pPr>
      <w:r>
        <w:rPr>
          <w:bCs/>
          <w:sz w:val="72"/>
          <w:szCs w:val="72"/>
        </w:rPr>
        <w:t>建设项目环境影响报告表</w:t>
      </w:r>
      <w:bookmarkEnd w:id="1"/>
      <w:bookmarkEnd w:id="2"/>
    </w:p>
    <w:p w14:paraId="2BF0848B">
      <w:pPr>
        <w:adjustRightInd w:val="0"/>
        <w:snapToGrid w:val="0"/>
        <w:spacing w:before="192" w:beforeLines="80" w:after="0"/>
        <w:jc w:val="center"/>
        <w:rPr>
          <w:rFonts w:eastAsia="华文楷体"/>
          <w:bCs/>
          <w:sz w:val="34"/>
          <w:szCs w:val="48"/>
        </w:rPr>
      </w:pPr>
      <w:r>
        <w:rPr>
          <w:rFonts w:eastAsia="华文楷体"/>
          <w:bCs/>
          <w:sz w:val="48"/>
          <w:szCs w:val="48"/>
        </w:rPr>
        <w:t>（污染影响类）</w:t>
      </w:r>
    </w:p>
    <w:p w14:paraId="4519839D">
      <w:pPr>
        <w:adjustRightInd w:val="0"/>
        <w:snapToGrid w:val="0"/>
        <w:spacing w:after="0" w:line="288" w:lineRule="auto"/>
        <w:jc w:val="center"/>
        <w:rPr>
          <w:kern w:val="44"/>
          <w:sz w:val="44"/>
          <w:szCs w:val="44"/>
        </w:rPr>
      </w:pPr>
    </w:p>
    <w:p w14:paraId="7EDB03EF">
      <w:pPr>
        <w:spacing w:after="0"/>
        <w:jc w:val="center"/>
        <w:rPr>
          <w:sz w:val="52"/>
          <w:szCs w:val="52"/>
        </w:rPr>
      </w:pPr>
    </w:p>
    <w:p w14:paraId="3332E93A">
      <w:pPr>
        <w:spacing w:after="0"/>
        <w:jc w:val="center"/>
        <w:rPr>
          <w:sz w:val="52"/>
          <w:szCs w:val="52"/>
        </w:rPr>
      </w:pPr>
    </w:p>
    <w:p w14:paraId="432A2438">
      <w:pPr>
        <w:spacing w:after="0"/>
        <w:jc w:val="center"/>
        <w:rPr>
          <w:sz w:val="52"/>
          <w:szCs w:val="52"/>
        </w:rPr>
      </w:pPr>
    </w:p>
    <w:p w14:paraId="42BC637E">
      <w:pPr>
        <w:spacing w:after="0"/>
        <w:jc w:val="center"/>
        <w:rPr>
          <w:sz w:val="52"/>
          <w:szCs w:val="52"/>
        </w:rPr>
      </w:pPr>
    </w:p>
    <w:p w14:paraId="5041A8DF">
      <w:pPr>
        <w:spacing w:after="0"/>
        <w:jc w:val="center"/>
        <w:rPr>
          <w:sz w:val="52"/>
          <w:szCs w:val="52"/>
        </w:rPr>
      </w:pPr>
      <w:bookmarkStart w:id="4" w:name="_Hlk57884087"/>
    </w:p>
    <w:tbl>
      <w:tblPr>
        <w:tblStyle w:val="58"/>
        <w:tblW w:w="8157"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0" w:type="dxa"/>
          <w:bottom w:w="0" w:type="dxa"/>
          <w:right w:w="0" w:type="dxa"/>
        </w:tblCellMar>
      </w:tblPr>
      <w:tblGrid>
        <w:gridCol w:w="2968"/>
        <w:gridCol w:w="5189"/>
      </w:tblGrid>
      <w:tr w14:paraId="21A6A65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80" w:hRule="atLeast"/>
          <w:jc w:val="center"/>
        </w:trPr>
        <w:tc>
          <w:tcPr>
            <w:tcW w:w="2968" w:type="dxa"/>
            <w:vAlign w:val="bottom"/>
          </w:tcPr>
          <w:p w14:paraId="01F85386">
            <w:pPr>
              <w:spacing w:after="0"/>
              <w:jc w:val="distribute"/>
              <w:rPr>
                <w:sz w:val="32"/>
                <w:szCs w:val="32"/>
              </w:rPr>
            </w:pPr>
            <w:r>
              <w:rPr>
                <w:sz w:val="32"/>
                <w:szCs w:val="32"/>
              </w:rPr>
              <w:t>项 目 名 称：</w:t>
            </w:r>
          </w:p>
        </w:tc>
        <w:tc>
          <w:tcPr>
            <w:tcW w:w="5189" w:type="dxa"/>
            <w:tcBorders>
              <w:bottom w:val="single" w:color="auto" w:sz="4" w:space="0"/>
            </w:tcBorders>
            <w:vAlign w:val="bottom"/>
          </w:tcPr>
          <w:p w14:paraId="2EA8ED5C">
            <w:pPr>
              <w:spacing w:after="0"/>
              <w:jc w:val="center"/>
              <w:rPr>
                <w:rFonts w:hint="eastAsia" w:eastAsia="宋体"/>
                <w:sz w:val="32"/>
                <w:szCs w:val="32"/>
                <w:lang w:eastAsia="zh-CN"/>
              </w:rPr>
            </w:pPr>
            <w:r>
              <w:rPr>
                <w:rFonts w:hint="eastAsia"/>
                <w:sz w:val="32"/>
                <w:szCs w:val="32"/>
                <w:lang w:eastAsia="zh-CN"/>
              </w:rPr>
              <w:t>生湿米面制品深加工智能化工厂项目</w:t>
            </w:r>
          </w:p>
        </w:tc>
      </w:tr>
      <w:tr w14:paraId="08D571E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80" w:hRule="atLeast"/>
          <w:jc w:val="center"/>
        </w:trPr>
        <w:tc>
          <w:tcPr>
            <w:tcW w:w="2968" w:type="dxa"/>
            <w:vAlign w:val="bottom"/>
          </w:tcPr>
          <w:p w14:paraId="114704E9">
            <w:pPr>
              <w:spacing w:after="0"/>
              <w:jc w:val="distribute"/>
              <w:rPr>
                <w:sz w:val="32"/>
                <w:szCs w:val="32"/>
              </w:rPr>
            </w:pPr>
            <w:r>
              <w:rPr>
                <w:sz w:val="32"/>
                <w:szCs w:val="32"/>
              </w:rPr>
              <w:t>建设单位</w:t>
            </w:r>
            <w:r>
              <w:rPr>
                <w:rFonts w:hint="eastAsia"/>
                <w:sz w:val="32"/>
                <w:szCs w:val="32"/>
                <w:lang w:eastAsia="zh-CN"/>
              </w:rPr>
              <w:t>（</w:t>
            </w:r>
            <w:r>
              <w:rPr>
                <w:sz w:val="32"/>
                <w:szCs w:val="32"/>
              </w:rPr>
              <w:t>盖章</w:t>
            </w:r>
            <w:r>
              <w:rPr>
                <w:rFonts w:hint="eastAsia"/>
                <w:sz w:val="32"/>
                <w:szCs w:val="32"/>
                <w:lang w:eastAsia="zh-CN"/>
              </w:rPr>
              <w:t>）</w:t>
            </w:r>
            <w:r>
              <w:rPr>
                <w:sz w:val="32"/>
                <w:szCs w:val="32"/>
              </w:rPr>
              <w:t>：</w:t>
            </w:r>
          </w:p>
        </w:tc>
        <w:tc>
          <w:tcPr>
            <w:tcW w:w="5189" w:type="dxa"/>
            <w:tcBorders>
              <w:top w:val="single" w:color="auto" w:sz="4" w:space="0"/>
              <w:bottom w:val="single" w:color="auto" w:sz="4" w:space="0"/>
            </w:tcBorders>
            <w:vAlign w:val="bottom"/>
          </w:tcPr>
          <w:p w14:paraId="6C941ACF">
            <w:pPr>
              <w:spacing w:after="0"/>
              <w:jc w:val="center"/>
              <w:rPr>
                <w:rFonts w:hint="eastAsia" w:eastAsia="宋体"/>
                <w:sz w:val="32"/>
                <w:szCs w:val="32"/>
                <w:lang w:eastAsia="zh-CN"/>
              </w:rPr>
            </w:pPr>
            <w:r>
              <w:rPr>
                <w:rFonts w:hint="eastAsia"/>
                <w:sz w:val="32"/>
                <w:szCs w:val="32"/>
                <w:lang w:eastAsia="zh-CN"/>
              </w:rPr>
              <w:t>安徽京麦源食品有限公司</w:t>
            </w:r>
          </w:p>
        </w:tc>
      </w:tr>
      <w:tr w14:paraId="714FFDB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680" w:hRule="atLeast"/>
          <w:jc w:val="center"/>
        </w:trPr>
        <w:tc>
          <w:tcPr>
            <w:tcW w:w="2968" w:type="dxa"/>
            <w:vAlign w:val="bottom"/>
          </w:tcPr>
          <w:p w14:paraId="7F80A5AD">
            <w:pPr>
              <w:spacing w:after="0"/>
              <w:jc w:val="distribute"/>
              <w:rPr>
                <w:sz w:val="32"/>
                <w:szCs w:val="32"/>
              </w:rPr>
            </w:pPr>
            <w:r>
              <w:rPr>
                <w:sz w:val="32"/>
                <w:szCs w:val="32"/>
              </w:rPr>
              <w:t>编 制 日 期：</w:t>
            </w:r>
          </w:p>
        </w:tc>
        <w:tc>
          <w:tcPr>
            <w:tcW w:w="5189" w:type="dxa"/>
            <w:tcBorders>
              <w:top w:val="single" w:color="auto" w:sz="4" w:space="0"/>
              <w:bottom w:val="single" w:color="auto" w:sz="4" w:space="0"/>
            </w:tcBorders>
            <w:vAlign w:val="bottom"/>
          </w:tcPr>
          <w:p w14:paraId="0560E579">
            <w:pPr>
              <w:spacing w:after="0"/>
              <w:jc w:val="center"/>
              <w:rPr>
                <w:sz w:val="32"/>
                <w:szCs w:val="32"/>
              </w:rPr>
            </w:pPr>
            <w:r>
              <w:rPr>
                <w:sz w:val="32"/>
                <w:szCs w:val="32"/>
              </w:rPr>
              <w:t>2025年</w:t>
            </w:r>
            <w:r>
              <w:rPr>
                <w:rFonts w:hint="eastAsia"/>
                <w:sz w:val="32"/>
                <w:szCs w:val="32"/>
                <w:lang w:val="en-US" w:eastAsia="zh-CN"/>
              </w:rPr>
              <w:t>7</w:t>
            </w:r>
            <w:r>
              <w:rPr>
                <w:sz w:val="32"/>
                <w:szCs w:val="32"/>
              </w:rPr>
              <w:t>月</w:t>
            </w:r>
          </w:p>
        </w:tc>
      </w:tr>
      <w:bookmarkEnd w:id="4"/>
    </w:tbl>
    <w:p w14:paraId="24C63100">
      <w:pPr>
        <w:adjustRightInd w:val="0"/>
        <w:snapToGrid w:val="0"/>
        <w:spacing w:after="0" w:line="288" w:lineRule="auto"/>
        <w:jc w:val="center"/>
        <w:rPr>
          <w:sz w:val="36"/>
          <w:szCs w:val="36"/>
        </w:rPr>
      </w:pPr>
    </w:p>
    <w:p w14:paraId="625291DB">
      <w:pPr>
        <w:adjustRightInd w:val="0"/>
        <w:snapToGrid w:val="0"/>
        <w:spacing w:after="0" w:line="288" w:lineRule="auto"/>
        <w:jc w:val="center"/>
        <w:rPr>
          <w:sz w:val="36"/>
          <w:szCs w:val="36"/>
        </w:rPr>
      </w:pPr>
    </w:p>
    <w:p w14:paraId="14B27BFE">
      <w:pPr>
        <w:adjustRightInd w:val="0"/>
        <w:snapToGrid w:val="0"/>
        <w:spacing w:after="0" w:line="288" w:lineRule="auto"/>
        <w:jc w:val="center"/>
        <w:rPr>
          <w:sz w:val="36"/>
          <w:szCs w:val="36"/>
        </w:rPr>
      </w:pPr>
    </w:p>
    <w:p w14:paraId="1E4B754D">
      <w:pPr>
        <w:adjustRightInd w:val="0"/>
        <w:snapToGrid w:val="0"/>
        <w:spacing w:after="0" w:line="288" w:lineRule="auto"/>
        <w:jc w:val="center"/>
        <w:rPr>
          <w:sz w:val="36"/>
          <w:szCs w:val="36"/>
        </w:rPr>
      </w:pPr>
      <w:r>
        <w:rPr>
          <w:sz w:val="36"/>
          <w:szCs w:val="36"/>
        </w:rPr>
        <w:t>中华人民共和国生态环境部制</w:t>
      </w:r>
    </w:p>
    <w:p w14:paraId="4FDFBD06">
      <w:pPr>
        <w:adjustRightInd w:val="0"/>
        <w:snapToGrid w:val="0"/>
        <w:spacing w:after="0" w:line="288" w:lineRule="auto"/>
        <w:rPr>
          <w:sz w:val="36"/>
          <w:szCs w:val="36"/>
        </w:rPr>
        <w:sectPr>
          <w:headerReference r:id="rId5" w:type="first"/>
          <w:footerReference r:id="rId7" w:type="first"/>
          <w:footerReference r:id="rId6" w:type="even"/>
          <w:pgSz w:w="11906" w:h="16838"/>
          <w:pgMar w:top="1701" w:right="991" w:bottom="1701" w:left="1276" w:header="851" w:footer="1077" w:gutter="0"/>
          <w:pgNumType w:start="3"/>
          <w:cols w:space="720" w:num="1"/>
          <w:docGrid w:linePitch="312" w:charSpace="0"/>
        </w:sectPr>
      </w:pPr>
    </w:p>
    <w:p w14:paraId="1CB47002">
      <w:pPr>
        <w:spacing w:after="0" w:line="360" w:lineRule="auto"/>
        <w:jc w:val="center"/>
        <w:rPr>
          <w:b/>
          <w:sz w:val="28"/>
          <w:szCs w:val="28"/>
        </w:rPr>
      </w:pPr>
    </w:p>
    <w:p w14:paraId="521263D8">
      <w:pPr>
        <w:spacing w:after="0" w:line="360" w:lineRule="auto"/>
        <w:rPr>
          <w:b/>
          <w:sz w:val="28"/>
          <w:szCs w:val="28"/>
        </w:rPr>
        <w:sectPr>
          <w:footerReference r:id="rId8" w:type="default"/>
          <w:pgSz w:w="11906" w:h="16838"/>
          <w:pgMar w:top="1440" w:right="1440" w:bottom="1440" w:left="1440" w:header="851" w:footer="1077" w:gutter="0"/>
          <w:pgNumType w:fmt="numberInDash" w:start="1"/>
          <w:cols w:space="720" w:num="1"/>
          <w:docGrid w:linePitch="312" w:charSpace="0"/>
        </w:sectPr>
      </w:pPr>
    </w:p>
    <w:p w14:paraId="63AF203E">
      <w:pPr>
        <w:spacing w:after="0" w:line="360" w:lineRule="auto"/>
        <w:jc w:val="center"/>
        <w:outlineLvl w:val="0"/>
        <w:rPr>
          <w:b/>
          <w:color w:val="auto"/>
          <w:sz w:val="32"/>
        </w:rPr>
      </w:pPr>
      <w:r>
        <w:rPr>
          <w:b/>
          <w:color w:val="auto"/>
          <w:sz w:val="32"/>
        </w:rPr>
        <w:t>目  录</w:t>
      </w:r>
      <w:bookmarkEnd w:id="3"/>
    </w:p>
    <w:p w14:paraId="5074D7FE">
      <w:pPr>
        <w:pStyle w:val="3"/>
        <w:tabs>
          <w:tab w:val="right" w:leader="dot" w:pos="9016"/>
        </w:tabs>
        <w:adjustRightInd w:val="0"/>
        <w:snapToGrid w:val="0"/>
        <w:spacing w:after="0" w:line="360" w:lineRule="auto"/>
        <w:rPr>
          <w:b/>
          <w:color w:val="auto"/>
        </w:rPr>
      </w:pPr>
      <w:r>
        <w:rPr>
          <w:b/>
          <w:snapToGrid w:val="0"/>
          <w:color w:val="auto"/>
        </w:rPr>
        <w:fldChar w:fldCharType="begin"/>
      </w:r>
      <w:r>
        <w:rPr>
          <w:b/>
          <w:snapToGrid w:val="0"/>
          <w:color w:val="auto"/>
        </w:rPr>
        <w:instrText xml:space="preserve"> TOC \o "1-2" \h \z \u </w:instrText>
      </w:r>
      <w:r>
        <w:rPr>
          <w:b/>
          <w:snapToGrid w:val="0"/>
          <w:color w:val="auto"/>
        </w:rPr>
        <w:fldChar w:fldCharType="separate"/>
      </w:r>
      <w:r>
        <w:rPr>
          <w:color w:val="auto"/>
        </w:rPr>
        <w:fldChar w:fldCharType="begin"/>
      </w:r>
      <w:r>
        <w:rPr>
          <w:color w:val="auto"/>
        </w:rPr>
        <w:instrText xml:space="preserve"> HYPERLINK \l "_Toc69030993" </w:instrText>
      </w:r>
      <w:r>
        <w:rPr>
          <w:color w:val="auto"/>
        </w:rPr>
        <w:fldChar w:fldCharType="separate"/>
      </w:r>
      <w:r>
        <w:rPr>
          <w:rStyle w:val="67"/>
          <w:b/>
          <w:snapToGrid w:val="0"/>
          <w:color w:val="auto"/>
        </w:rPr>
        <w:t>一、建设项目基本情</w:t>
      </w:r>
      <w:bookmarkStart w:id="5" w:name="_Hlt163336285"/>
      <w:bookmarkStart w:id="6" w:name="_Hlt163336286"/>
      <w:r>
        <w:rPr>
          <w:rStyle w:val="67"/>
          <w:b/>
          <w:snapToGrid w:val="0"/>
          <w:color w:val="auto"/>
        </w:rPr>
        <w:t>况</w:t>
      </w:r>
      <w:bookmarkEnd w:id="5"/>
      <w:bookmarkEnd w:id="6"/>
      <w:r>
        <w:rPr>
          <w:b/>
          <w:color w:val="auto"/>
        </w:rPr>
        <w:tab/>
      </w:r>
      <w:r>
        <w:rPr>
          <w:rFonts w:hint="eastAsia"/>
          <w:b/>
          <w:color w:val="auto"/>
          <w:lang w:val="en-US" w:eastAsia="zh-CN"/>
        </w:rPr>
        <w:t>1</w:t>
      </w:r>
      <w:r>
        <w:rPr>
          <w:b/>
          <w:color w:val="auto"/>
        </w:rPr>
        <w:fldChar w:fldCharType="end"/>
      </w:r>
    </w:p>
    <w:p w14:paraId="2D8F1393">
      <w:pPr>
        <w:pStyle w:val="3"/>
        <w:tabs>
          <w:tab w:val="right" w:leader="dot" w:pos="9016"/>
        </w:tabs>
        <w:spacing w:after="0" w:line="360" w:lineRule="auto"/>
        <w:rPr>
          <w:b/>
          <w:color w:val="auto"/>
        </w:rPr>
      </w:pPr>
      <w:r>
        <w:rPr>
          <w:color w:val="auto"/>
        </w:rPr>
        <w:fldChar w:fldCharType="begin"/>
      </w:r>
      <w:r>
        <w:rPr>
          <w:color w:val="auto"/>
        </w:rPr>
        <w:instrText xml:space="preserve"> HYPERLINK \l "_Toc69030994" </w:instrText>
      </w:r>
      <w:r>
        <w:rPr>
          <w:color w:val="auto"/>
        </w:rPr>
        <w:fldChar w:fldCharType="separate"/>
      </w:r>
      <w:r>
        <w:rPr>
          <w:rStyle w:val="67"/>
          <w:b/>
          <w:snapToGrid w:val="0"/>
          <w:color w:val="auto"/>
        </w:rPr>
        <w:t>二、建设项目工程分析</w:t>
      </w:r>
      <w:r>
        <w:rPr>
          <w:b/>
          <w:color w:val="auto"/>
        </w:rPr>
        <w:tab/>
      </w:r>
      <w:r>
        <w:rPr>
          <w:b/>
          <w:color w:val="auto"/>
        </w:rPr>
        <w:fldChar w:fldCharType="begin"/>
      </w:r>
      <w:r>
        <w:rPr>
          <w:b/>
          <w:color w:val="auto"/>
        </w:rPr>
        <w:instrText xml:space="preserve"> PAGEREF _Toc69030994 \h </w:instrText>
      </w:r>
      <w:r>
        <w:rPr>
          <w:b/>
          <w:color w:val="auto"/>
        </w:rPr>
        <w:fldChar w:fldCharType="separate"/>
      </w:r>
      <w:r>
        <w:rPr>
          <w:b/>
          <w:color w:val="auto"/>
        </w:rPr>
        <w:t>20</w:t>
      </w:r>
      <w:r>
        <w:rPr>
          <w:b/>
          <w:color w:val="auto"/>
        </w:rPr>
        <w:fldChar w:fldCharType="end"/>
      </w:r>
      <w:r>
        <w:rPr>
          <w:b/>
          <w:color w:val="auto"/>
        </w:rPr>
        <w:fldChar w:fldCharType="end"/>
      </w:r>
    </w:p>
    <w:p w14:paraId="64EEC23F">
      <w:pPr>
        <w:pStyle w:val="3"/>
        <w:tabs>
          <w:tab w:val="right" w:leader="dot" w:pos="9016"/>
        </w:tabs>
        <w:spacing w:after="0" w:line="360" w:lineRule="auto"/>
        <w:rPr>
          <w:b/>
          <w:color w:val="auto"/>
        </w:rPr>
      </w:pPr>
      <w:r>
        <w:rPr>
          <w:color w:val="auto"/>
        </w:rPr>
        <w:fldChar w:fldCharType="begin"/>
      </w:r>
      <w:r>
        <w:rPr>
          <w:color w:val="auto"/>
        </w:rPr>
        <w:instrText xml:space="preserve"> HYPERLINK \l "_Toc69030995" </w:instrText>
      </w:r>
      <w:r>
        <w:rPr>
          <w:color w:val="auto"/>
        </w:rPr>
        <w:fldChar w:fldCharType="separate"/>
      </w:r>
      <w:r>
        <w:rPr>
          <w:rStyle w:val="67"/>
          <w:b/>
          <w:snapToGrid w:val="0"/>
          <w:color w:val="auto"/>
        </w:rPr>
        <w:t>三、区域环境质量现</w:t>
      </w:r>
      <w:bookmarkStart w:id="7" w:name="_Hlt163336289"/>
      <w:r>
        <w:rPr>
          <w:rStyle w:val="67"/>
          <w:b/>
          <w:snapToGrid w:val="0"/>
          <w:color w:val="auto"/>
        </w:rPr>
        <w:t>状</w:t>
      </w:r>
      <w:bookmarkEnd w:id="7"/>
      <w:r>
        <w:rPr>
          <w:rStyle w:val="67"/>
          <w:b/>
          <w:snapToGrid w:val="0"/>
          <w:color w:val="auto"/>
        </w:rPr>
        <w:t>、环境保护目标及评价标准</w:t>
      </w:r>
      <w:r>
        <w:rPr>
          <w:b/>
          <w:color w:val="auto"/>
        </w:rPr>
        <w:tab/>
      </w:r>
      <w:r>
        <w:rPr>
          <w:b/>
          <w:color w:val="auto"/>
        </w:rPr>
        <w:fldChar w:fldCharType="begin"/>
      </w:r>
      <w:r>
        <w:rPr>
          <w:b/>
          <w:color w:val="auto"/>
        </w:rPr>
        <w:instrText xml:space="preserve"> PAGEREF _Toc69030995 \h </w:instrText>
      </w:r>
      <w:r>
        <w:rPr>
          <w:b/>
          <w:color w:val="auto"/>
        </w:rPr>
        <w:fldChar w:fldCharType="separate"/>
      </w:r>
      <w:r>
        <w:rPr>
          <w:b/>
          <w:color w:val="auto"/>
        </w:rPr>
        <w:t>34</w:t>
      </w:r>
      <w:r>
        <w:rPr>
          <w:b/>
          <w:color w:val="auto"/>
        </w:rPr>
        <w:fldChar w:fldCharType="end"/>
      </w:r>
      <w:r>
        <w:rPr>
          <w:b/>
          <w:color w:val="auto"/>
        </w:rPr>
        <w:fldChar w:fldCharType="end"/>
      </w:r>
    </w:p>
    <w:p w14:paraId="369ECE8B">
      <w:pPr>
        <w:pStyle w:val="3"/>
        <w:tabs>
          <w:tab w:val="right" w:leader="dot" w:pos="9016"/>
        </w:tabs>
        <w:spacing w:after="0" w:line="360" w:lineRule="auto"/>
        <w:rPr>
          <w:b/>
          <w:color w:val="auto"/>
        </w:rPr>
      </w:pPr>
      <w:r>
        <w:rPr>
          <w:color w:val="auto"/>
        </w:rPr>
        <w:fldChar w:fldCharType="begin"/>
      </w:r>
      <w:r>
        <w:rPr>
          <w:color w:val="auto"/>
        </w:rPr>
        <w:instrText xml:space="preserve"> HYPERLINK \l "_Toc69030996" </w:instrText>
      </w:r>
      <w:r>
        <w:rPr>
          <w:color w:val="auto"/>
        </w:rPr>
        <w:fldChar w:fldCharType="separate"/>
      </w:r>
      <w:r>
        <w:rPr>
          <w:rStyle w:val="67"/>
          <w:b/>
          <w:snapToGrid w:val="0"/>
          <w:color w:val="auto"/>
        </w:rPr>
        <w:t>四、主要环境影响和保护措施</w:t>
      </w:r>
      <w:r>
        <w:rPr>
          <w:b/>
          <w:color w:val="auto"/>
        </w:rPr>
        <w:tab/>
      </w:r>
      <w:r>
        <w:rPr>
          <w:b/>
          <w:color w:val="auto"/>
        </w:rPr>
        <w:fldChar w:fldCharType="begin"/>
      </w:r>
      <w:r>
        <w:rPr>
          <w:b/>
          <w:color w:val="auto"/>
        </w:rPr>
        <w:instrText xml:space="preserve"> PAGEREF _Toc69030996 \h </w:instrText>
      </w:r>
      <w:r>
        <w:rPr>
          <w:b/>
          <w:color w:val="auto"/>
        </w:rPr>
        <w:fldChar w:fldCharType="separate"/>
      </w:r>
      <w:r>
        <w:rPr>
          <w:b/>
          <w:color w:val="auto"/>
        </w:rPr>
        <w:t>43</w:t>
      </w:r>
      <w:r>
        <w:rPr>
          <w:b/>
          <w:color w:val="auto"/>
        </w:rPr>
        <w:fldChar w:fldCharType="end"/>
      </w:r>
      <w:r>
        <w:rPr>
          <w:b/>
          <w:color w:val="auto"/>
        </w:rPr>
        <w:fldChar w:fldCharType="end"/>
      </w:r>
    </w:p>
    <w:p w14:paraId="0566744E">
      <w:pPr>
        <w:pStyle w:val="3"/>
        <w:tabs>
          <w:tab w:val="right" w:leader="dot" w:pos="9016"/>
        </w:tabs>
        <w:spacing w:after="0" w:line="360" w:lineRule="auto"/>
        <w:rPr>
          <w:b/>
          <w:color w:val="auto"/>
        </w:rPr>
      </w:pPr>
      <w:r>
        <w:rPr>
          <w:color w:val="auto"/>
        </w:rPr>
        <w:fldChar w:fldCharType="begin"/>
      </w:r>
      <w:r>
        <w:rPr>
          <w:color w:val="auto"/>
        </w:rPr>
        <w:instrText xml:space="preserve"> HYPERLINK \l "_Toc69030997" </w:instrText>
      </w:r>
      <w:r>
        <w:rPr>
          <w:color w:val="auto"/>
        </w:rPr>
        <w:fldChar w:fldCharType="separate"/>
      </w:r>
      <w:r>
        <w:rPr>
          <w:rStyle w:val="67"/>
          <w:b/>
          <w:snapToGrid w:val="0"/>
          <w:color w:val="auto"/>
        </w:rPr>
        <w:t>五、环境保护措施监督检查清单</w:t>
      </w:r>
      <w:r>
        <w:rPr>
          <w:b/>
          <w:color w:val="auto"/>
        </w:rPr>
        <w:tab/>
      </w:r>
      <w:r>
        <w:rPr>
          <w:b/>
          <w:color w:val="auto"/>
        </w:rPr>
        <w:fldChar w:fldCharType="begin"/>
      </w:r>
      <w:r>
        <w:rPr>
          <w:b/>
          <w:color w:val="auto"/>
        </w:rPr>
        <w:instrText xml:space="preserve"> PAGEREF _Toc69030997 \h </w:instrText>
      </w:r>
      <w:r>
        <w:rPr>
          <w:b/>
          <w:color w:val="auto"/>
        </w:rPr>
        <w:fldChar w:fldCharType="separate"/>
      </w:r>
      <w:r>
        <w:rPr>
          <w:b/>
          <w:color w:val="auto"/>
        </w:rPr>
        <w:t>62</w:t>
      </w:r>
      <w:r>
        <w:rPr>
          <w:b/>
          <w:color w:val="auto"/>
        </w:rPr>
        <w:fldChar w:fldCharType="end"/>
      </w:r>
      <w:r>
        <w:rPr>
          <w:b/>
          <w:color w:val="auto"/>
        </w:rPr>
        <w:fldChar w:fldCharType="end"/>
      </w:r>
    </w:p>
    <w:p w14:paraId="46888497">
      <w:pPr>
        <w:pStyle w:val="3"/>
        <w:tabs>
          <w:tab w:val="right" w:leader="dot" w:pos="9016"/>
        </w:tabs>
        <w:spacing w:after="0" w:line="360" w:lineRule="auto"/>
        <w:rPr>
          <w:b/>
          <w:color w:val="auto"/>
        </w:rPr>
      </w:pPr>
      <w:r>
        <w:rPr>
          <w:color w:val="auto"/>
        </w:rPr>
        <w:fldChar w:fldCharType="begin"/>
      </w:r>
      <w:r>
        <w:rPr>
          <w:color w:val="auto"/>
        </w:rPr>
        <w:instrText xml:space="preserve"> HYPERLINK \l "_Toc69030998" </w:instrText>
      </w:r>
      <w:r>
        <w:rPr>
          <w:color w:val="auto"/>
        </w:rPr>
        <w:fldChar w:fldCharType="separate"/>
      </w:r>
      <w:r>
        <w:rPr>
          <w:rStyle w:val="67"/>
          <w:b/>
          <w:snapToGrid w:val="0"/>
          <w:color w:val="auto"/>
        </w:rPr>
        <w:t>六、结论</w:t>
      </w:r>
      <w:bookmarkStart w:id="8" w:name="OLE_LINK3"/>
      <w:bookmarkStart w:id="9" w:name="OLE_LINK4"/>
      <w:r>
        <w:rPr>
          <w:b/>
          <w:color w:val="auto"/>
        </w:rPr>
        <w:tab/>
      </w:r>
      <w:r>
        <w:rPr>
          <w:b/>
          <w:color w:val="auto"/>
        </w:rPr>
        <w:fldChar w:fldCharType="begin"/>
      </w:r>
      <w:r>
        <w:rPr>
          <w:b/>
          <w:color w:val="auto"/>
        </w:rPr>
        <w:instrText xml:space="preserve"> PAGEREF _Toc69030998 \h </w:instrText>
      </w:r>
      <w:r>
        <w:rPr>
          <w:b/>
          <w:color w:val="auto"/>
        </w:rPr>
        <w:fldChar w:fldCharType="separate"/>
      </w:r>
      <w:r>
        <w:rPr>
          <w:b/>
          <w:color w:val="auto"/>
        </w:rPr>
        <w:t>64</w:t>
      </w:r>
      <w:r>
        <w:rPr>
          <w:b/>
          <w:color w:val="auto"/>
        </w:rPr>
        <w:fldChar w:fldCharType="end"/>
      </w:r>
      <w:bookmarkEnd w:id="8"/>
      <w:bookmarkEnd w:id="9"/>
      <w:r>
        <w:rPr>
          <w:b/>
          <w:color w:val="auto"/>
        </w:rPr>
        <w:fldChar w:fldCharType="end"/>
      </w:r>
    </w:p>
    <w:p w14:paraId="7E536DCB">
      <w:pPr>
        <w:pStyle w:val="3"/>
        <w:tabs>
          <w:tab w:val="right" w:leader="dot" w:pos="9016"/>
        </w:tabs>
        <w:spacing w:after="0" w:line="360" w:lineRule="auto"/>
        <w:rPr>
          <w:b/>
          <w:color w:val="auto"/>
        </w:rPr>
      </w:pPr>
      <w:r>
        <w:rPr>
          <w:rStyle w:val="67"/>
          <w:b/>
          <w:color w:val="auto"/>
          <w:u w:val="none"/>
        </w:rPr>
        <w:t>附表：</w:t>
      </w:r>
      <w:r>
        <w:rPr>
          <w:color w:val="auto"/>
        </w:rPr>
        <w:fldChar w:fldCharType="begin"/>
      </w:r>
      <w:r>
        <w:rPr>
          <w:color w:val="auto"/>
        </w:rPr>
        <w:instrText xml:space="preserve"> HYPERLINK \l "_Toc69031000" </w:instrText>
      </w:r>
      <w:r>
        <w:rPr>
          <w:color w:val="auto"/>
        </w:rPr>
        <w:fldChar w:fldCharType="separate"/>
      </w:r>
      <w:r>
        <w:rPr>
          <w:rStyle w:val="67"/>
          <w:b/>
          <w:snapToGrid w:val="0"/>
          <w:color w:val="auto"/>
        </w:rPr>
        <w:t>建设项目污染物排放量</w:t>
      </w:r>
      <w:bookmarkStart w:id="10" w:name="_Hlt102520130"/>
      <w:bookmarkStart w:id="11" w:name="_Hlt102520131"/>
      <w:r>
        <w:rPr>
          <w:rStyle w:val="67"/>
          <w:b/>
          <w:snapToGrid w:val="0"/>
          <w:color w:val="auto"/>
        </w:rPr>
        <w:t>汇</w:t>
      </w:r>
      <w:bookmarkEnd w:id="10"/>
      <w:bookmarkEnd w:id="11"/>
      <w:r>
        <w:rPr>
          <w:rStyle w:val="67"/>
          <w:b/>
          <w:snapToGrid w:val="0"/>
          <w:color w:val="auto"/>
        </w:rPr>
        <w:t>总表</w:t>
      </w:r>
      <w:r>
        <w:rPr>
          <w:b/>
          <w:color w:val="auto"/>
        </w:rPr>
        <w:tab/>
      </w:r>
      <w:r>
        <w:rPr>
          <w:b/>
          <w:color w:val="auto"/>
        </w:rPr>
        <w:fldChar w:fldCharType="begin"/>
      </w:r>
      <w:r>
        <w:rPr>
          <w:b/>
          <w:color w:val="auto"/>
        </w:rPr>
        <w:instrText xml:space="preserve"> PAGEREF _Toc69031000 \h </w:instrText>
      </w:r>
      <w:r>
        <w:rPr>
          <w:b/>
          <w:color w:val="auto"/>
        </w:rPr>
        <w:fldChar w:fldCharType="separate"/>
      </w:r>
      <w:r>
        <w:rPr>
          <w:b/>
          <w:color w:val="auto"/>
        </w:rPr>
        <w:t>65</w:t>
      </w:r>
      <w:r>
        <w:rPr>
          <w:b/>
          <w:color w:val="auto"/>
        </w:rPr>
        <w:fldChar w:fldCharType="end"/>
      </w:r>
      <w:r>
        <w:rPr>
          <w:b/>
          <w:color w:val="auto"/>
        </w:rPr>
        <w:fldChar w:fldCharType="end"/>
      </w:r>
    </w:p>
    <w:p w14:paraId="61A7F5E3">
      <w:pPr>
        <w:adjustRightInd w:val="0"/>
        <w:snapToGrid w:val="0"/>
        <w:spacing w:after="0"/>
        <w:rPr>
          <w:b/>
          <w:snapToGrid w:val="0"/>
          <w:color w:val="auto"/>
        </w:rPr>
      </w:pPr>
      <w:r>
        <w:rPr>
          <w:b/>
          <w:snapToGrid w:val="0"/>
          <w:color w:val="auto"/>
        </w:rPr>
        <w:fldChar w:fldCharType="end"/>
      </w:r>
    </w:p>
    <w:p w14:paraId="0390EA19">
      <w:pPr>
        <w:adjustRightInd w:val="0"/>
        <w:snapToGrid w:val="0"/>
        <w:spacing w:after="0"/>
        <w:rPr>
          <w:b/>
          <w:bCs/>
          <w:color w:val="auto"/>
          <w:sz w:val="22"/>
          <w:szCs w:val="21"/>
        </w:rPr>
      </w:pPr>
      <w:r>
        <w:rPr>
          <w:b/>
          <w:bCs/>
          <w:color w:val="auto"/>
          <w:sz w:val="22"/>
          <w:szCs w:val="21"/>
        </w:rPr>
        <w:t>附图：</w:t>
      </w:r>
    </w:p>
    <w:p w14:paraId="69717262">
      <w:pPr>
        <w:spacing w:after="0"/>
        <w:rPr>
          <w:color w:val="auto"/>
          <w:sz w:val="22"/>
          <w:szCs w:val="21"/>
        </w:rPr>
      </w:pPr>
      <w:r>
        <w:rPr>
          <w:color w:val="auto"/>
          <w:sz w:val="22"/>
          <w:szCs w:val="21"/>
        </w:rPr>
        <w:t>附图1 项目地理位置图</w:t>
      </w:r>
    </w:p>
    <w:p w14:paraId="403E075F">
      <w:pPr>
        <w:spacing w:after="0"/>
        <w:rPr>
          <w:color w:val="auto"/>
          <w:sz w:val="22"/>
          <w:szCs w:val="24"/>
        </w:rPr>
      </w:pPr>
      <w:r>
        <w:rPr>
          <w:color w:val="auto"/>
          <w:sz w:val="22"/>
          <w:szCs w:val="24"/>
        </w:rPr>
        <w:t>附图2 项目四周环境照片</w:t>
      </w:r>
    </w:p>
    <w:p w14:paraId="26ADA553">
      <w:pPr>
        <w:spacing w:after="0"/>
        <w:rPr>
          <w:rFonts w:hint="eastAsia" w:eastAsia="宋体"/>
          <w:bCs/>
          <w:color w:val="auto"/>
          <w:sz w:val="22"/>
          <w:szCs w:val="21"/>
          <w:lang w:eastAsia="zh-CN"/>
        </w:rPr>
      </w:pPr>
      <w:r>
        <w:rPr>
          <w:color w:val="auto"/>
          <w:sz w:val="22"/>
          <w:szCs w:val="21"/>
        </w:rPr>
        <w:t>附图3-1</w:t>
      </w:r>
      <w:r>
        <w:rPr>
          <w:rFonts w:hint="eastAsia"/>
          <w:bCs/>
          <w:color w:val="auto"/>
          <w:sz w:val="22"/>
          <w:szCs w:val="21"/>
        </w:rPr>
        <w:t>本项目总平面布置图</w:t>
      </w:r>
      <w:r>
        <w:rPr>
          <w:rFonts w:hint="eastAsia"/>
          <w:bCs/>
          <w:color w:val="auto"/>
          <w:sz w:val="22"/>
          <w:szCs w:val="21"/>
          <w:lang w:eastAsia="zh-CN"/>
        </w:rPr>
        <w:t>（一层）</w:t>
      </w:r>
    </w:p>
    <w:p w14:paraId="6EAC2483">
      <w:pPr>
        <w:spacing w:after="0"/>
        <w:rPr>
          <w:bCs/>
          <w:color w:val="auto"/>
          <w:sz w:val="22"/>
          <w:szCs w:val="21"/>
        </w:rPr>
      </w:pPr>
      <w:r>
        <w:rPr>
          <w:color w:val="auto"/>
          <w:sz w:val="22"/>
          <w:szCs w:val="21"/>
        </w:rPr>
        <w:t>附图3</w:t>
      </w:r>
      <w:r>
        <w:rPr>
          <w:bCs/>
          <w:color w:val="auto"/>
          <w:sz w:val="22"/>
          <w:szCs w:val="21"/>
        </w:rPr>
        <w:t>-2</w:t>
      </w:r>
      <w:r>
        <w:rPr>
          <w:rFonts w:hint="eastAsia"/>
          <w:bCs/>
          <w:color w:val="auto"/>
          <w:sz w:val="22"/>
          <w:szCs w:val="21"/>
        </w:rPr>
        <w:t>本项目总平面布置图</w:t>
      </w:r>
      <w:r>
        <w:rPr>
          <w:rFonts w:hint="eastAsia"/>
          <w:bCs/>
          <w:color w:val="auto"/>
          <w:sz w:val="22"/>
          <w:szCs w:val="21"/>
          <w:lang w:eastAsia="zh-CN"/>
        </w:rPr>
        <w:t>（二层）</w:t>
      </w:r>
    </w:p>
    <w:p w14:paraId="5D019ABE">
      <w:pPr>
        <w:spacing w:after="0"/>
        <w:rPr>
          <w:color w:val="auto"/>
          <w:sz w:val="22"/>
          <w:szCs w:val="21"/>
        </w:rPr>
      </w:pPr>
      <w:r>
        <w:rPr>
          <w:rFonts w:hint="eastAsia"/>
          <w:color w:val="auto"/>
          <w:sz w:val="22"/>
          <w:szCs w:val="21"/>
        </w:rPr>
        <w:t>附图</w:t>
      </w:r>
      <w:r>
        <w:rPr>
          <w:color w:val="auto"/>
          <w:sz w:val="22"/>
          <w:szCs w:val="21"/>
        </w:rPr>
        <w:t>4 项目</w:t>
      </w:r>
      <w:r>
        <w:rPr>
          <w:rFonts w:hint="eastAsia"/>
          <w:color w:val="auto"/>
          <w:sz w:val="22"/>
          <w:szCs w:val="21"/>
        </w:rPr>
        <w:t>周边</w:t>
      </w:r>
      <w:r>
        <w:rPr>
          <w:color w:val="auto"/>
          <w:sz w:val="22"/>
          <w:szCs w:val="21"/>
        </w:rPr>
        <w:t>环境</w:t>
      </w:r>
      <w:r>
        <w:rPr>
          <w:rFonts w:hint="eastAsia"/>
          <w:color w:val="auto"/>
          <w:sz w:val="22"/>
          <w:szCs w:val="21"/>
        </w:rPr>
        <w:t>关系</w:t>
      </w:r>
      <w:r>
        <w:rPr>
          <w:color w:val="auto"/>
          <w:sz w:val="22"/>
          <w:szCs w:val="21"/>
        </w:rPr>
        <w:t>图</w:t>
      </w:r>
    </w:p>
    <w:p w14:paraId="219A4D42">
      <w:pPr>
        <w:spacing w:after="0"/>
        <w:rPr>
          <w:color w:val="auto"/>
          <w:sz w:val="22"/>
          <w:szCs w:val="21"/>
        </w:rPr>
      </w:pPr>
      <w:r>
        <w:rPr>
          <w:color w:val="auto"/>
          <w:sz w:val="22"/>
          <w:szCs w:val="21"/>
        </w:rPr>
        <w:t>附图5</w:t>
      </w:r>
      <w:r>
        <w:rPr>
          <w:rFonts w:hint="eastAsia"/>
          <w:bCs/>
          <w:color w:val="auto"/>
          <w:sz w:val="22"/>
          <w:szCs w:val="21"/>
        </w:rPr>
        <w:t>项目环境保护目标分布图</w:t>
      </w:r>
    </w:p>
    <w:p w14:paraId="37929579">
      <w:pPr>
        <w:spacing w:after="0"/>
        <w:rPr>
          <w:color w:val="auto"/>
          <w:sz w:val="22"/>
          <w:szCs w:val="21"/>
        </w:rPr>
      </w:pPr>
      <w:r>
        <w:rPr>
          <w:rFonts w:hint="eastAsia"/>
          <w:color w:val="auto"/>
          <w:sz w:val="22"/>
          <w:szCs w:val="21"/>
        </w:rPr>
        <w:t>附图</w:t>
      </w:r>
      <w:r>
        <w:rPr>
          <w:color w:val="auto"/>
          <w:sz w:val="22"/>
          <w:szCs w:val="21"/>
        </w:rPr>
        <w:t xml:space="preserve">6 </w:t>
      </w:r>
      <w:r>
        <w:rPr>
          <w:color w:val="auto"/>
          <w:sz w:val="22"/>
          <w:szCs w:val="24"/>
        </w:rPr>
        <w:t>项目</w:t>
      </w:r>
      <w:r>
        <w:rPr>
          <w:rFonts w:hint="eastAsia"/>
          <w:color w:val="auto"/>
          <w:sz w:val="22"/>
          <w:szCs w:val="24"/>
          <w:lang w:eastAsia="zh-CN"/>
        </w:rPr>
        <w:t>所在厂区</w:t>
      </w:r>
      <w:r>
        <w:rPr>
          <w:color w:val="auto"/>
          <w:sz w:val="22"/>
          <w:szCs w:val="24"/>
        </w:rPr>
        <w:t>雨污管网图</w:t>
      </w:r>
    </w:p>
    <w:p w14:paraId="0D7D1B27">
      <w:pPr>
        <w:spacing w:after="0"/>
        <w:rPr>
          <w:color w:val="auto"/>
          <w:sz w:val="22"/>
          <w:szCs w:val="24"/>
        </w:rPr>
      </w:pPr>
      <w:r>
        <w:rPr>
          <w:color w:val="auto"/>
          <w:sz w:val="22"/>
          <w:szCs w:val="24"/>
        </w:rPr>
        <w:t xml:space="preserve">附图7 </w:t>
      </w:r>
      <w:r>
        <w:rPr>
          <w:color w:val="auto"/>
          <w:sz w:val="22"/>
          <w:szCs w:val="21"/>
        </w:rPr>
        <w:t>淮南经济技术开发区土地利用规划图</w:t>
      </w:r>
    </w:p>
    <w:p w14:paraId="4979AB73">
      <w:pPr>
        <w:spacing w:after="0"/>
        <w:rPr>
          <w:color w:val="auto"/>
          <w:sz w:val="22"/>
          <w:szCs w:val="21"/>
        </w:rPr>
      </w:pPr>
      <w:r>
        <w:rPr>
          <w:color w:val="auto"/>
          <w:sz w:val="22"/>
          <w:szCs w:val="21"/>
        </w:rPr>
        <w:t>附图</w:t>
      </w:r>
      <w:r>
        <w:rPr>
          <w:rFonts w:hint="eastAsia"/>
          <w:color w:val="auto"/>
          <w:sz w:val="22"/>
          <w:szCs w:val="21"/>
          <w:lang w:val="en-US" w:eastAsia="zh-CN"/>
        </w:rPr>
        <w:t xml:space="preserve">8 </w:t>
      </w:r>
      <w:r>
        <w:rPr>
          <w:color w:val="auto"/>
          <w:sz w:val="22"/>
          <w:szCs w:val="21"/>
        </w:rPr>
        <w:t>淮南市“三区三线”划</w:t>
      </w:r>
      <w:r>
        <w:rPr>
          <w:rFonts w:hint="eastAsia"/>
          <w:color w:val="auto"/>
          <w:sz w:val="22"/>
          <w:szCs w:val="21"/>
        </w:rPr>
        <w:t>定</w:t>
      </w:r>
      <w:r>
        <w:rPr>
          <w:color w:val="auto"/>
          <w:sz w:val="22"/>
          <w:szCs w:val="21"/>
        </w:rPr>
        <w:t>图</w:t>
      </w:r>
    </w:p>
    <w:p w14:paraId="5BB3471F">
      <w:pPr>
        <w:spacing w:after="0"/>
        <w:rPr>
          <w:color w:val="auto"/>
          <w:sz w:val="22"/>
          <w:szCs w:val="21"/>
        </w:rPr>
      </w:pPr>
      <w:r>
        <w:rPr>
          <w:color w:val="auto"/>
          <w:sz w:val="22"/>
          <w:szCs w:val="21"/>
        </w:rPr>
        <w:t>附图</w:t>
      </w:r>
      <w:r>
        <w:rPr>
          <w:rFonts w:hint="eastAsia"/>
          <w:color w:val="auto"/>
          <w:sz w:val="22"/>
          <w:szCs w:val="21"/>
          <w:lang w:val="en-US" w:eastAsia="zh-CN"/>
        </w:rPr>
        <w:t>9</w:t>
      </w:r>
      <w:r>
        <w:rPr>
          <w:color w:val="auto"/>
          <w:sz w:val="22"/>
          <w:szCs w:val="21"/>
        </w:rPr>
        <w:t>-1 淮南市大气环境分区管控图</w:t>
      </w:r>
    </w:p>
    <w:p w14:paraId="07BC6321">
      <w:pPr>
        <w:spacing w:after="0"/>
        <w:rPr>
          <w:color w:val="auto"/>
          <w:sz w:val="22"/>
          <w:szCs w:val="21"/>
        </w:rPr>
      </w:pPr>
      <w:r>
        <w:rPr>
          <w:color w:val="auto"/>
          <w:sz w:val="22"/>
          <w:szCs w:val="21"/>
        </w:rPr>
        <w:t>附件</w:t>
      </w:r>
      <w:r>
        <w:rPr>
          <w:rFonts w:hint="eastAsia"/>
          <w:bCs/>
          <w:color w:val="auto"/>
          <w:sz w:val="22"/>
          <w:szCs w:val="21"/>
          <w:lang w:val="en-US" w:eastAsia="zh-CN"/>
        </w:rPr>
        <w:t>9</w:t>
      </w:r>
      <w:r>
        <w:rPr>
          <w:bCs/>
          <w:color w:val="auto"/>
          <w:sz w:val="22"/>
          <w:szCs w:val="21"/>
        </w:rPr>
        <w:t>-2</w:t>
      </w:r>
      <w:r>
        <w:rPr>
          <w:color w:val="auto"/>
          <w:sz w:val="22"/>
          <w:szCs w:val="21"/>
        </w:rPr>
        <w:t>淮南市水环境分区管控图</w:t>
      </w:r>
    </w:p>
    <w:p w14:paraId="6133ADEC">
      <w:pPr>
        <w:spacing w:after="0"/>
        <w:rPr>
          <w:color w:val="auto"/>
          <w:sz w:val="22"/>
          <w:szCs w:val="21"/>
        </w:rPr>
      </w:pPr>
      <w:r>
        <w:rPr>
          <w:color w:val="auto"/>
          <w:sz w:val="22"/>
          <w:szCs w:val="21"/>
        </w:rPr>
        <w:t>附图</w:t>
      </w:r>
      <w:r>
        <w:rPr>
          <w:rFonts w:hint="eastAsia"/>
          <w:bCs/>
          <w:color w:val="auto"/>
          <w:sz w:val="22"/>
          <w:szCs w:val="21"/>
          <w:lang w:val="en-US" w:eastAsia="zh-CN"/>
        </w:rPr>
        <w:t>9</w:t>
      </w:r>
      <w:r>
        <w:rPr>
          <w:bCs/>
          <w:color w:val="auto"/>
          <w:sz w:val="22"/>
          <w:szCs w:val="21"/>
        </w:rPr>
        <w:t>-3</w:t>
      </w:r>
      <w:r>
        <w:rPr>
          <w:color w:val="auto"/>
          <w:sz w:val="22"/>
          <w:szCs w:val="21"/>
        </w:rPr>
        <w:t>淮南市土壤污染风险管控图</w:t>
      </w:r>
    </w:p>
    <w:p w14:paraId="16A414C6">
      <w:pPr>
        <w:spacing w:after="0"/>
        <w:rPr>
          <w:color w:val="auto"/>
          <w:sz w:val="22"/>
          <w:szCs w:val="21"/>
        </w:rPr>
      </w:pPr>
      <w:r>
        <w:rPr>
          <w:color w:val="auto"/>
          <w:sz w:val="22"/>
          <w:szCs w:val="21"/>
        </w:rPr>
        <w:t>附图</w:t>
      </w:r>
      <w:r>
        <w:rPr>
          <w:rFonts w:hint="eastAsia"/>
          <w:bCs/>
          <w:color w:val="auto"/>
          <w:sz w:val="22"/>
          <w:szCs w:val="21"/>
          <w:lang w:val="en-US" w:eastAsia="zh-CN"/>
        </w:rPr>
        <w:t>9</w:t>
      </w:r>
      <w:r>
        <w:rPr>
          <w:bCs/>
          <w:color w:val="auto"/>
          <w:sz w:val="22"/>
          <w:szCs w:val="21"/>
        </w:rPr>
        <w:t>-4</w:t>
      </w:r>
      <w:r>
        <w:rPr>
          <w:rFonts w:hint="eastAsia"/>
          <w:color w:val="auto"/>
          <w:sz w:val="22"/>
          <w:szCs w:val="21"/>
        </w:rPr>
        <w:t>淮南市生态空间图</w:t>
      </w:r>
    </w:p>
    <w:p w14:paraId="2FBDA1D5">
      <w:pPr>
        <w:spacing w:after="0"/>
        <w:rPr>
          <w:color w:val="auto"/>
          <w:sz w:val="22"/>
          <w:szCs w:val="21"/>
        </w:rPr>
      </w:pPr>
      <w:r>
        <w:rPr>
          <w:color w:val="auto"/>
          <w:sz w:val="22"/>
          <w:szCs w:val="21"/>
        </w:rPr>
        <w:t>附图</w:t>
      </w:r>
      <w:r>
        <w:rPr>
          <w:rFonts w:hint="eastAsia"/>
          <w:bCs/>
          <w:color w:val="auto"/>
          <w:sz w:val="22"/>
          <w:szCs w:val="21"/>
          <w:lang w:val="en-US" w:eastAsia="zh-CN"/>
        </w:rPr>
        <w:t>9</w:t>
      </w:r>
      <w:r>
        <w:rPr>
          <w:bCs/>
          <w:color w:val="auto"/>
          <w:sz w:val="22"/>
          <w:szCs w:val="21"/>
        </w:rPr>
        <w:t>-5</w:t>
      </w:r>
      <w:r>
        <w:rPr>
          <w:rFonts w:hint="eastAsia"/>
          <w:color w:val="auto"/>
          <w:sz w:val="22"/>
          <w:szCs w:val="21"/>
        </w:rPr>
        <w:t>淮南市环境管控单元图</w:t>
      </w:r>
    </w:p>
    <w:p w14:paraId="18F6412C">
      <w:pPr>
        <w:spacing w:after="0"/>
        <w:rPr>
          <w:color w:val="auto"/>
          <w:sz w:val="22"/>
          <w:szCs w:val="21"/>
        </w:rPr>
      </w:pPr>
      <w:r>
        <w:rPr>
          <w:rFonts w:hint="eastAsia"/>
          <w:color w:val="auto"/>
          <w:sz w:val="22"/>
          <w:szCs w:val="21"/>
        </w:rPr>
        <w:t>附图</w:t>
      </w:r>
      <w:r>
        <w:rPr>
          <w:rFonts w:hint="eastAsia"/>
          <w:color w:val="auto"/>
          <w:sz w:val="22"/>
          <w:szCs w:val="21"/>
          <w:lang w:val="en-US" w:eastAsia="zh-CN"/>
        </w:rPr>
        <w:t xml:space="preserve">10 </w:t>
      </w:r>
      <w:r>
        <w:rPr>
          <w:rFonts w:hint="eastAsia"/>
          <w:color w:val="auto"/>
          <w:sz w:val="22"/>
          <w:szCs w:val="21"/>
        </w:rPr>
        <w:t>安徽省</w:t>
      </w:r>
      <w:r>
        <w:rPr>
          <w:color w:val="auto"/>
          <w:sz w:val="22"/>
          <w:szCs w:val="21"/>
        </w:rPr>
        <w:t>“三线一单”查询结果</w:t>
      </w:r>
    </w:p>
    <w:p w14:paraId="3A2EF1D4">
      <w:pPr>
        <w:spacing w:after="0"/>
        <w:rPr>
          <w:color w:val="0000FF"/>
          <w:sz w:val="22"/>
          <w:szCs w:val="21"/>
        </w:rPr>
      </w:pPr>
    </w:p>
    <w:p w14:paraId="36001860">
      <w:pPr>
        <w:adjustRightInd w:val="0"/>
        <w:snapToGrid w:val="0"/>
        <w:spacing w:after="0"/>
        <w:rPr>
          <w:b/>
          <w:color w:val="auto"/>
          <w:sz w:val="22"/>
          <w:szCs w:val="24"/>
        </w:rPr>
      </w:pPr>
      <w:r>
        <w:rPr>
          <w:b/>
          <w:color w:val="auto"/>
          <w:sz w:val="22"/>
          <w:szCs w:val="24"/>
        </w:rPr>
        <w:t>附件：</w:t>
      </w:r>
    </w:p>
    <w:p w14:paraId="3CB3E3DB">
      <w:pPr>
        <w:adjustRightInd w:val="0"/>
        <w:snapToGrid w:val="0"/>
        <w:spacing w:after="0"/>
        <w:rPr>
          <w:color w:val="auto"/>
          <w:sz w:val="22"/>
          <w:szCs w:val="24"/>
        </w:rPr>
      </w:pPr>
      <w:r>
        <w:rPr>
          <w:color w:val="auto"/>
          <w:sz w:val="22"/>
          <w:szCs w:val="24"/>
        </w:rPr>
        <w:t>附件1 环评委托书</w:t>
      </w:r>
    </w:p>
    <w:p w14:paraId="5C391F40">
      <w:pPr>
        <w:adjustRightInd w:val="0"/>
        <w:snapToGrid w:val="0"/>
        <w:spacing w:after="0"/>
        <w:rPr>
          <w:color w:val="auto"/>
          <w:sz w:val="22"/>
          <w:szCs w:val="24"/>
        </w:rPr>
      </w:pPr>
      <w:r>
        <w:rPr>
          <w:color w:val="auto"/>
          <w:sz w:val="22"/>
          <w:szCs w:val="24"/>
        </w:rPr>
        <w:t>附件2 环评真实性承诺函</w:t>
      </w:r>
    </w:p>
    <w:p w14:paraId="1670BA29">
      <w:pPr>
        <w:adjustRightInd w:val="0"/>
        <w:snapToGrid w:val="0"/>
        <w:spacing w:after="0"/>
        <w:rPr>
          <w:color w:val="auto"/>
          <w:sz w:val="22"/>
          <w:szCs w:val="24"/>
        </w:rPr>
      </w:pPr>
      <w:r>
        <w:rPr>
          <w:color w:val="auto"/>
          <w:sz w:val="22"/>
          <w:szCs w:val="24"/>
        </w:rPr>
        <w:t>附件3 项目备案表</w:t>
      </w:r>
    </w:p>
    <w:p w14:paraId="7DA27D8C">
      <w:pPr>
        <w:adjustRightInd w:val="0"/>
        <w:snapToGrid w:val="0"/>
        <w:spacing w:after="0"/>
        <w:rPr>
          <w:color w:val="auto"/>
          <w:sz w:val="22"/>
          <w:szCs w:val="24"/>
        </w:rPr>
      </w:pPr>
      <w:r>
        <w:rPr>
          <w:color w:val="auto"/>
          <w:sz w:val="22"/>
          <w:szCs w:val="24"/>
        </w:rPr>
        <w:t>附件4 营业执照</w:t>
      </w:r>
    </w:p>
    <w:p w14:paraId="5DB76F13">
      <w:pPr>
        <w:adjustRightInd w:val="0"/>
        <w:snapToGrid w:val="0"/>
        <w:spacing w:after="0"/>
        <w:rPr>
          <w:color w:val="auto"/>
          <w:sz w:val="22"/>
          <w:szCs w:val="24"/>
        </w:rPr>
      </w:pPr>
      <w:r>
        <w:rPr>
          <w:color w:val="auto"/>
          <w:sz w:val="22"/>
          <w:szCs w:val="24"/>
        </w:rPr>
        <w:t>附件5</w:t>
      </w:r>
      <w:r>
        <w:rPr>
          <w:rFonts w:hint="eastAsia"/>
          <w:color w:val="auto"/>
          <w:sz w:val="22"/>
          <w:szCs w:val="24"/>
          <w:lang w:val="en-US" w:eastAsia="zh-CN"/>
        </w:rPr>
        <w:t xml:space="preserve"> </w:t>
      </w:r>
      <w:r>
        <w:rPr>
          <w:color w:val="auto"/>
          <w:sz w:val="22"/>
          <w:szCs w:val="24"/>
        </w:rPr>
        <w:t>厂房租赁合同</w:t>
      </w:r>
    </w:p>
    <w:p w14:paraId="612D189F">
      <w:pPr>
        <w:adjustRightInd w:val="0"/>
        <w:snapToGrid w:val="0"/>
        <w:spacing w:after="0"/>
        <w:rPr>
          <w:rFonts w:hint="eastAsia" w:eastAsia="宋体"/>
          <w:color w:val="auto"/>
          <w:sz w:val="22"/>
          <w:szCs w:val="24"/>
          <w:lang w:val="en-US" w:eastAsia="zh-CN"/>
        </w:rPr>
      </w:pPr>
      <w:r>
        <w:rPr>
          <w:color w:val="auto"/>
          <w:sz w:val="22"/>
          <w:szCs w:val="24"/>
        </w:rPr>
        <w:t>附件6</w:t>
      </w:r>
      <w:r>
        <w:rPr>
          <w:rFonts w:hint="eastAsia"/>
          <w:color w:val="auto"/>
          <w:sz w:val="22"/>
          <w:szCs w:val="24"/>
          <w:lang w:val="en-US" w:eastAsia="zh-CN"/>
        </w:rPr>
        <w:t xml:space="preserve"> </w:t>
      </w:r>
      <w:r>
        <w:rPr>
          <w:color w:val="auto"/>
          <w:sz w:val="22"/>
          <w:szCs w:val="24"/>
        </w:rPr>
        <w:t>规划环评批复、跟踪评价报告书批复</w:t>
      </w:r>
    </w:p>
    <w:p w14:paraId="1A167B1C">
      <w:pPr>
        <w:adjustRightInd w:val="0"/>
        <w:snapToGrid w:val="0"/>
        <w:spacing w:after="0"/>
        <w:rPr>
          <w:color w:val="auto"/>
          <w:sz w:val="22"/>
          <w:szCs w:val="24"/>
        </w:rPr>
      </w:pPr>
      <w:r>
        <w:rPr>
          <w:color w:val="auto"/>
          <w:sz w:val="22"/>
          <w:szCs w:val="24"/>
        </w:rPr>
        <w:t>附件7</w:t>
      </w:r>
      <w:r>
        <w:rPr>
          <w:rFonts w:hint="eastAsia"/>
          <w:color w:val="auto"/>
          <w:sz w:val="22"/>
          <w:szCs w:val="24"/>
          <w:lang w:val="en-US" w:eastAsia="zh-CN"/>
        </w:rPr>
        <w:t xml:space="preserve"> </w:t>
      </w:r>
      <w:r>
        <w:rPr>
          <w:color w:val="auto"/>
          <w:sz w:val="22"/>
          <w:szCs w:val="24"/>
        </w:rPr>
        <w:t>污水准许接管证明</w:t>
      </w:r>
      <w:r>
        <w:rPr>
          <w:sz w:val="22"/>
          <w:szCs w:val="24"/>
        </w:rPr>
        <w:t>（办理中）</w:t>
      </w:r>
    </w:p>
    <w:p w14:paraId="007971CE">
      <w:pPr>
        <w:spacing w:after="0" w:line="276" w:lineRule="auto"/>
        <w:rPr>
          <w:color w:val="auto"/>
          <w:szCs w:val="24"/>
        </w:rPr>
        <w:sectPr>
          <w:footerReference r:id="rId9" w:type="default"/>
          <w:pgSz w:w="11906" w:h="16838"/>
          <w:pgMar w:top="1440" w:right="1440" w:bottom="1440" w:left="1440" w:header="851" w:footer="1077" w:gutter="0"/>
          <w:pgNumType w:fmt="numberInDash" w:start="1"/>
          <w:cols w:space="720" w:num="1"/>
          <w:docGrid w:linePitch="312" w:charSpace="0"/>
        </w:sectPr>
      </w:pPr>
    </w:p>
    <w:p w14:paraId="4E0FAA53">
      <w:pPr>
        <w:spacing w:after="0" w:line="360" w:lineRule="exact"/>
        <w:rPr>
          <w:color w:val="0000FF"/>
        </w:rPr>
        <w:sectPr>
          <w:footerReference r:id="rId10" w:type="default"/>
          <w:pgSz w:w="11906" w:h="16838"/>
          <w:pgMar w:top="1440" w:right="1440" w:bottom="1440" w:left="1440" w:header="851" w:footer="1077" w:gutter="0"/>
          <w:pgNumType w:fmt="numberInDash" w:start="0"/>
          <w:cols w:space="720" w:num="1"/>
          <w:docGrid w:linePitch="312" w:charSpace="0"/>
        </w:sectPr>
      </w:pPr>
    </w:p>
    <w:p w14:paraId="4A061EB9">
      <w:pPr>
        <w:pStyle w:val="5"/>
        <w:bidi w:val="0"/>
        <w:spacing w:after="0" w:line="240" w:lineRule="auto"/>
      </w:pPr>
      <w:bookmarkStart w:id="12" w:name="_Hlk179379711"/>
      <w:r>
        <w:rPr>
          <w:rFonts w:hint="eastAsia"/>
        </w:rPr>
        <w:t>一</w:t>
      </w:r>
      <w:r>
        <w:t>、建设项目</w:t>
      </w:r>
      <w:r>
        <w:rPr>
          <w:rFonts w:hint="eastAsia"/>
        </w:rPr>
        <w:t>基本情况</w:t>
      </w:r>
    </w:p>
    <w:bookmarkEnd w:id="12"/>
    <w:tbl>
      <w:tblPr>
        <w:tblStyle w:val="57"/>
        <w:tblpPr w:leftFromText="181" w:rightFromText="181" w:vertAnchor="text" w:tblpXSpec="center" w:tblpY="1"/>
        <w:tblOverlap w:val="never"/>
        <w:tblW w:w="5013"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70"/>
        <w:gridCol w:w="830"/>
        <w:gridCol w:w="2376"/>
        <w:gridCol w:w="1899"/>
        <w:gridCol w:w="288"/>
        <w:gridCol w:w="2814"/>
      </w:tblGrid>
      <w:tr w14:paraId="6C9F83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691" w:type="dxa"/>
            <w:gridSpan w:val="2"/>
            <w:tcMar>
              <w:top w:w="16" w:type="dxa"/>
              <w:left w:w="16" w:type="dxa"/>
              <w:right w:w="16" w:type="dxa"/>
            </w:tcMar>
            <w:vAlign w:val="center"/>
          </w:tcPr>
          <w:p w14:paraId="67D58C13">
            <w:pPr>
              <w:spacing w:after="0"/>
              <w:jc w:val="center"/>
              <w:rPr>
                <w:color w:val="auto"/>
              </w:rPr>
            </w:pPr>
            <w:bookmarkStart w:id="13" w:name="_Hlk179379718"/>
            <w:r>
              <w:rPr>
                <w:color w:val="auto"/>
              </w:rPr>
              <w:t>建设项目名称</w:t>
            </w:r>
          </w:p>
        </w:tc>
        <w:tc>
          <w:tcPr>
            <w:tcW w:w="7339" w:type="dxa"/>
            <w:gridSpan w:val="4"/>
            <w:vAlign w:val="center"/>
          </w:tcPr>
          <w:p w14:paraId="066BB230">
            <w:pPr>
              <w:adjustRightInd w:val="0"/>
              <w:snapToGrid w:val="0"/>
              <w:spacing w:after="0"/>
              <w:jc w:val="center"/>
              <w:outlineLvl w:val="1"/>
              <w:rPr>
                <w:rFonts w:hint="eastAsia" w:eastAsia="宋体"/>
                <w:color w:val="auto"/>
                <w:lang w:eastAsia="zh-CN"/>
              </w:rPr>
            </w:pPr>
            <w:r>
              <w:rPr>
                <w:rFonts w:hint="eastAsia"/>
                <w:color w:val="auto"/>
                <w:lang w:eastAsia="zh-CN"/>
              </w:rPr>
              <w:t>生湿米面制品深加工智能化工厂项目</w:t>
            </w:r>
          </w:p>
        </w:tc>
      </w:tr>
      <w:tr w14:paraId="6A85F71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691" w:type="dxa"/>
            <w:gridSpan w:val="2"/>
            <w:tcMar>
              <w:top w:w="16" w:type="dxa"/>
              <w:left w:w="16" w:type="dxa"/>
              <w:right w:w="16" w:type="dxa"/>
            </w:tcMar>
            <w:vAlign w:val="center"/>
          </w:tcPr>
          <w:p w14:paraId="3E858C56">
            <w:pPr>
              <w:spacing w:after="0"/>
              <w:jc w:val="center"/>
              <w:rPr>
                <w:color w:val="auto"/>
              </w:rPr>
            </w:pPr>
            <w:r>
              <w:rPr>
                <w:color w:val="auto"/>
              </w:rPr>
              <w:t>项目代码</w:t>
            </w:r>
          </w:p>
        </w:tc>
        <w:tc>
          <w:tcPr>
            <w:tcW w:w="7339" w:type="dxa"/>
            <w:gridSpan w:val="4"/>
            <w:vAlign w:val="center"/>
          </w:tcPr>
          <w:p w14:paraId="2465A55F">
            <w:pPr>
              <w:spacing w:after="0"/>
              <w:jc w:val="center"/>
              <w:rPr>
                <w:color w:val="auto"/>
              </w:rPr>
            </w:pPr>
            <w:r>
              <w:rPr>
                <w:rFonts w:hint="eastAsia"/>
                <w:color w:val="auto"/>
              </w:rPr>
              <w:t>2504-340461-04-01-849727</w:t>
            </w:r>
          </w:p>
        </w:tc>
      </w:tr>
      <w:tr w14:paraId="2E0DFE9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691" w:type="dxa"/>
            <w:gridSpan w:val="2"/>
            <w:tcMar>
              <w:top w:w="16" w:type="dxa"/>
              <w:left w:w="16" w:type="dxa"/>
              <w:right w:w="16" w:type="dxa"/>
            </w:tcMar>
            <w:vAlign w:val="center"/>
          </w:tcPr>
          <w:p w14:paraId="3065156F">
            <w:pPr>
              <w:spacing w:after="0"/>
              <w:jc w:val="center"/>
              <w:rPr>
                <w:color w:val="auto"/>
              </w:rPr>
            </w:pPr>
            <w:r>
              <w:rPr>
                <w:color w:val="auto"/>
              </w:rPr>
              <w:t>建设单位</w:t>
            </w:r>
          </w:p>
          <w:p w14:paraId="30F40244">
            <w:pPr>
              <w:spacing w:after="0"/>
              <w:jc w:val="center"/>
              <w:rPr>
                <w:color w:val="auto"/>
              </w:rPr>
            </w:pPr>
            <w:r>
              <w:rPr>
                <w:color w:val="auto"/>
              </w:rPr>
              <w:t>联系人</w:t>
            </w:r>
          </w:p>
        </w:tc>
        <w:tc>
          <w:tcPr>
            <w:tcW w:w="2364" w:type="dxa"/>
            <w:vAlign w:val="center"/>
          </w:tcPr>
          <w:p w14:paraId="1C07B45C">
            <w:pPr>
              <w:spacing w:after="0"/>
              <w:jc w:val="center"/>
              <w:rPr>
                <w:rFonts w:hint="eastAsia" w:eastAsia="宋体"/>
                <w:color w:val="auto"/>
                <w:lang w:eastAsia="zh-CN"/>
              </w:rPr>
            </w:pPr>
            <w:r>
              <w:rPr>
                <w:rFonts w:hint="eastAsia"/>
                <w:color w:val="auto"/>
                <w:lang w:eastAsia="zh-CN"/>
              </w:rPr>
              <w:t>马明锐</w:t>
            </w:r>
          </w:p>
        </w:tc>
        <w:tc>
          <w:tcPr>
            <w:tcW w:w="2208" w:type="dxa"/>
            <w:gridSpan w:val="2"/>
            <w:vAlign w:val="center"/>
          </w:tcPr>
          <w:p w14:paraId="6E9EF61A">
            <w:pPr>
              <w:spacing w:after="0"/>
              <w:jc w:val="center"/>
              <w:rPr>
                <w:color w:val="auto"/>
              </w:rPr>
            </w:pPr>
            <w:r>
              <w:rPr>
                <w:color w:val="auto"/>
              </w:rPr>
              <w:t>联系方式</w:t>
            </w:r>
          </w:p>
        </w:tc>
        <w:tc>
          <w:tcPr>
            <w:tcW w:w="2767" w:type="dxa"/>
            <w:vAlign w:val="center"/>
          </w:tcPr>
          <w:p w14:paraId="635424A0">
            <w:pPr>
              <w:spacing w:after="0"/>
              <w:jc w:val="center"/>
              <w:rPr>
                <w:color w:val="auto"/>
              </w:rPr>
            </w:pPr>
            <w:r>
              <w:rPr>
                <w:rFonts w:hint="eastAsia"/>
                <w:color w:val="auto"/>
              </w:rPr>
              <w:t>17839945506</w:t>
            </w:r>
          </w:p>
        </w:tc>
      </w:tr>
      <w:tr w14:paraId="424758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691" w:type="dxa"/>
            <w:gridSpan w:val="2"/>
            <w:tcMar>
              <w:top w:w="16" w:type="dxa"/>
              <w:left w:w="16" w:type="dxa"/>
              <w:right w:w="16" w:type="dxa"/>
            </w:tcMar>
            <w:vAlign w:val="center"/>
          </w:tcPr>
          <w:p w14:paraId="69ECD958">
            <w:pPr>
              <w:keepNext w:val="0"/>
              <w:keepLines w:val="0"/>
              <w:pageBreakBefore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color w:val="auto"/>
              </w:rPr>
            </w:pPr>
            <w:r>
              <w:rPr>
                <w:color w:val="auto"/>
              </w:rPr>
              <w:t>建设地点</w:t>
            </w:r>
          </w:p>
        </w:tc>
        <w:tc>
          <w:tcPr>
            <w:tcW w:w="7339" w:type="dxa"/>
            <w:gridSpan w:val="4"/>
            <w:vAlign w:val="center"/>
          </w:tcPr>
          <w:p w14:paraId="3E5AF3CA">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auto"/>
              <w:rPr>
                <w:color w:val="auto"/>
              </w:rPr>
            </w:pPr>
            <w:r>
              <w:rPr>
                <w:color w:val="auto"/>
              </w:rPr>
              <w:t>安徽省淮南市</w:t>
            </w:r>
            <w:r>
              <w:rPr>
                <w:rFonts w:hint="eastAsia"/>
                <w:color w:val="auto"/>
              </w:rPr>
              <w:t>淮南经济技术开发区</w:t>
            </w:r>
            <w:r>
              <w:rPr>
                <w:rFonts w:ascii="新宋体" w:hAnsi="新宋体" w:eastAsia="新宋体" w:cs="新宋体"/>
                <w:color w:val="auto"/>
                <w:kern w:val="0"/>
                <w:sz w:val="24"/>
                <w:szCs w:val="24"/>
                <w:lang w:val="en-US" w:eastAsia="zh-CN" w:bidi="ar"/>
              </w:rPr>
              <w:t>高端装备产业园区X4号楼一层</w:t>
            </w:r>
          </w:p>
        </w:tc>
      </w:tr>
      <w:tr w14:paraId="01750E0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691" w:type="dxa"/>
            <w:gridSpan w:val="2"/>
            <w:tcMar>
              <w:top w:w="16" w:type="dxa"/>
              <w:left w:w="16" w:type="dxa"/>
              <w:right w:w="16" w:type="dxa"/>
            </w:tcMar>
            <w:vAlign w:val="center"/>
          </w:tcPr>
          <w:p w14:paraId="462121C9">
            <w:pPr>
              <w:spacing w:after="0"/>
              <w:jc w:val="center"/>
              <w:rPr>
                <w:color w:val="auto"/>
              </w:rPr>
            </w:pPr>
            <w:r>
              <w:rPr>
                <w:color w:val="auto"/>
              </w:rPr>
              <w:t>地理坐标</w:t>
            </w:r>
          </w:p>
        </w:tc>
        <w:tc>
          <w:tcPr>
            <w:tcW w:w="7339" w:type="dxa"/>
            <w:gridSpan w:val="4"/>
            <w:vAlign w:val="center"/>
          </w:tcPr>
          <w:p w14:paraId="001A066C">
            <w:pPr>
              <w:spacing w:after="0"/>
              <w:jc w:val="center"/>
              <w:rPr>
                <w:color w:val="auto"/>
              </w:rPr>
            </w:pPr>
            <w:r>
              <w:rPr>
                <w:color w:val="auto"/>
              </w:rPr>
              <w:t>（</w:t>
            </w:r>
            <w:r>
              <w:rPr>
                <w:rFonts w:hint="eastAsia"/>
                <w:color w:val="auto"/>
              </w:rPr>
              <w:t>117</w:t>
            </w:r>
            <w:r>
              <w:rPr>
                <w:color w:val="auto"/>
              </w:rPr>
              <w:t>°</w:t>
            </w:r>
            <w:r>
              <w:rPr>
                <w:rFonts w:hint="eastAsia"/>
                <w:color w:val="auto"/>
              </w:rPr>
              <w:t>4</w:t>
            </w:r>
            <w:r>
              <w:rPr>
                <w:color w:val="auto"/>
              </w:rPr>
              <w:t>'</w:t>
            </w:r>
            <w:r>
              <w:rPr>
                <w:rFonts w:hint="eastAsia"/>
                <w:color w:val="auto"/>
              </w:rPr>
              <w:t>35.202</w:t>
            </w:r>
            <w:r>
              <w:rPr>
                <w:color w:val="auto"/>
              </w:rPr>
              <w:t>"E</w:t>
            </w:r>
            <w:r>
              <w:rPr>
                <w:rFonts w:hint="eastAsia"/>
                <w:color w:val="auto"/>
              </w:rPr>
              <w:t>，</w:t>
            </w:r>
            <w:r>
              <w:rPr>
                <w:color w:val="auto"/>
              </w:rPr>
              <w:t>32°</w:t>
            </w:r>
            <w:r>
              <w:rPr>
                <w:rFonts w:hint="eastAsia"/>
                <w:color w:val="auto"/>
                <w:lang w:val="en-US" w:eastAsia="zh-CN"/>
              </w:rPr>
              <w:t>38</w:t>
            </w:r>
            <w:r>
              <w:rPr>
                <w:color w:val="auto"/>
              </w:rPr>
              <w:t>'</w:t>
            </w:r>
            <w:r>
              <w:rPr>
                <w:rFonts w:hint="eastAsia"/>
                <w:color w:val="auto"/>
                <w:lang w:val="en-US" w:eastAsia="zh-CN"/>
              </w:rPr>
              <w:t>16.131</w:t>
            </w:r>
            <w:r>
              <w:rPr>
                <w:color w:val="auto"/>
              </w:rPr>
              <w:t>"N）</w:t>
            </w:r>
          </w:p>
        </w:tc>
      </w:tr>
      <w:tr w14:paraId="1B74FA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trPr>
        <w:tc>
          <w:tcPr>
            <w:tcW w:w="1691" w:type="dxa"/>
            <w:gridSpan w:val="2"/>
            <w:tcMar>
              <w:top w:w="16" w:type="dxa"/>
              <w:left w:w="16" w:type="dxa"/>
              <w:right w:w="16" w:type="dxa"/>
            </w:tcMar>
            <w:vAlign w:val="center"/>
          </w:tcPr>
          <w:p w14:paraId="02A76C73">
            <w:pPr>
              <w:adjustRightInd w:val="0"/>
              <w:spacing w:after="0" w:line="400" w:lineRule="exact"/>
              <w:jc w:val="center"/>
              <w:rPr>
                <w:color w:val="auto"/>
              </w:rPr>
            </w:pPr>
            <w:r>
              <w:rPr>
                <w:color w:val="auto"/>
              </w:rPr>
              <w:t>国民经济</w:t>
            </w:r>
          </w:p>
          <w:p w14:paraId="6BF83414">
            <w:pPr>
              <w:adjustRightInd w:val="0"/>
              <w:spacing w:after="0" w:line="400" w:lineRule="exact"/>
              <w:jc w:val="center"/>
              <w:rPr>
                <w:color w:val="auto"/>
              </w:rPr>
            </w:pPr>
            <w:r>
              <w:rPr>
                <w:color w:val="auto"/>
              </w:rPr>
              <w:t>行业类别</w:t>
            </w:r>
          </w:p>
        </w:tc>
        <w:tc>
          <w:tcPr>
            <w:tcW w:w="2364" w:type="dxa"/>
            <w:vAlign w:val="center"/>
          </w:tcPr>
          <w:p w14:paraId="2BF2E08D">
            <w:pPr>
              <w:spacing w:after="0"/>
              <w:jc w:val="center"/>
              <w:rPr>
                <w:rFonts w:hint="default" w:eastAsia="宋体"/>
                <w:color w:val="auto"/>
                <w:lang w:val="en-US" w:eastAsia="zh-CN"/>
              </w:rPr>
            </w:pPr>
            <w:r>
              <w:rPr>
                <w:rFonts w:hint="eastAsia"/>
                <w:color w:val="auto"/>
              </w:rPr>
              <w:t>C</w:t>
            </w:r>
            <w:r>
              <w:rPr>
                <w:rFonts w:hint="eastAsia"/>
                <w:color w:val="auto"/>
                <w:lang w:val="en-US" w:eastAsia="zh-CN"/>
              </w:rPr>
              <w:t>1431米、面制品制造</w:t>
            </w:r>
          </w:p>
        </w:tc>
        <w:tc>
          <w:tcPr>
            <w:tcW w:w="1889" w:type="dxa"/>
            <w:vAlign w:val="center"/>
          </w:tcPr>
          <w:p w14:paraId="1F9D4064">
            <w:pPr>
              <w:adjustRightInd w:val="0"/>
              <w:spacing w:after="0" w:line="400" w:lineRule="exact"/>
              <w:jc w:val="center"/>
              <w:rPr>
                <w:color w:val="auto"/>
              </w:rPr>
            </w:pPr>
            <w:bookmarkStart w:id="14" w:name="_Hlk49843745"/>
            <w:r>
              <w:rPr>
                <w:color w:val="auto"/>
              </w:rPr>
              <w:t>建设项目</w:t>
            </w:r>
          </w:p>
          <w:p w14:paraId="6EBBF486">
            <w:pPr>
              <w:adjustRightInd w:val="0"/>
              <w:spacing w:after="0" w:line="400" w:lineRule="exact"/>
              <w:jc w:val="center"/>
              <w:rPr>
                <w:color w:val="auto"/>
              </w:rPr>
            </w:pPr>
            <w:r>
              <w:rPr>
                <w:color w:val="auto"/>
              </w:rPr>
              <w:t>行业类别</w:t>
            </w:r>
            <w:bookmarkEnd w:id="14"/>
          </w:p>
        </w:tc>
        <w:tc>
          <w:tcPr>
            <w:tcW w:w="3086" w:type="dxa"/>
            <w:gridSpan w:val="2"/>
            <w:vAlign w:val="center"/>
          </w:tcPr>
          <w:p w14:paraId="3BA09B5C">
            <w:pPr>
              <w:pStyle w:val="206"/>
              <w:spacing w:after="0" w:line="244" w:lineRule="auto"/>
              <w:jc w:val="both"/>
              <w:rPr>
                <w:rFonts w:ascii="Times New Roman" w:hAnsi="Times New Roman"/>
                <w:color w:val="auto"/>
                <w:sz w:val="24"/>
                <w:szCs w:val="20"/>
                <w:lang w:eastAsia="zh-CN"/>
              </w:rPr>
            </w:pPr>
            <w:r>
              <w:rPr>
                <w:rFonts w:hint="eastAsia" w:ascii="Times New Roman" w:hAnsi="Times New Roman"/>
                <w:color w:val="auto"/>
                <w:sz w:val="24"/>
                <w:szCs w:val="20"/>
                <w:lang w:eastAsia="zh-CN"/>
              </w:rPr>
              <w:t>十一、食品制造业</w:t>
            </w:r>
            <w:r>
              <w:rPr>
                <w:rFonts w:hint="eastAsia" w:ascii="Times New Roman" w:hAnsi="Times New Roman"/>
                <w:color w:val="auto"/>
                <w:sz w:val="24"/>
                <w:szCs w:val="20"/>
                <w:lang w:val="en-US" w:eastAsia="zh-CN"/>
              </w:rPr>
              <w:t>14</w:t>
            </w:r>
            <w:r>
              <w:rPr>
                <w:rFonts w:ascii="Times New Roman" w:hAnsi="Times New Roman"/>
                <w:color w:val="auto"/>
                <w:sz w:val="24"/>
                <w:szCs w:val="20"/>
                <w:lang w:eastAsia="zh-CN"/>
              </w:rPr>
              <w:t>-</w:t>
            </w:r>
            <w:r>
              <w:rPr>
                <w:rFonts w:hint="eastAsia" w:ascii="Times New Roman" w:hAnsi="Times New Roman"/>
                <w:color w:val="auto"/>
                <w:sz w:val="24"/>
                <w:szCs w:val="20"/>
                <w:lang w:val="en-US" w:eastAsia="zh-CN"/>
              </w:rPr>
              <w:t>21</w:t>
            </w:r>
            <w:r>
              <w:rPr>
                <w:rFonts w:hint="eastAsia" w:ascii="Times New Roman" w:hAnsi="Times New Roman"/>
                <w:color w:val="auto"/>
                <w:sz w:val="24"/>
                <w:szCs w:val="20"/>
                <w:lang w:eastAsia="zh-CN"/>
              </w:rPr>
              <w:t>方便食品制造</w:t>
            </w:r>
            <w:r>
              <w:rPr>
                <w:rFonts w:hint="eastAsia" w:ascii="Times New Roman" w:hAnsi="Times New Roman"/>
                <w:color w:val="auto"/>
                <w:sz w:val="24"/>
                <w:szCs w:val="20"/>
                <w:lang w:val="en-US" w:eastAsia="zh-CN"/>
              </w:rPr>
              <w:t>143</w:t>
            </w:r>
          </w:p>
        </w:tc>
      </w:tr>
      <w:tr w14:paraId="29C053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26" w:hRule="atLeast"/>
        </w:trPr>
        <w:tc>
          <w:tcPr>
            <w:tcW w:w="1691" w:type="dxa"/>
            <w:gridSpan w:val="2"/>
            <w:tcMar>
              <w:top w:w="16" w:type="dxa"/>
              <w:left w:w="16" w:type="dxa"/>
              <w:right w:w="16" w:type="dxa"/>
            </w:tcMar>
            <w:vAlign w:val="center"/>
          </w:tcPr>
          <w:p w14:paraId="71C67744">
            <w:pPr>
              <w:spacing w:after="0"/>
              <w:jc w:val="center"/>
              <w:rPr>
                <w:color w:val="auto"/>
              </w:rPr>
            </w:pPr>
            <w:r>
              <w:rPr>
                <w:color w:val="auto"/>
              </w:rPr>
              <w:t>建设性质</w:t>
            </w:r>
          </w:p>
        </w:tc>
        <w:tc>
          <w:tcPr>
            <w:tcW w:w="2364" w:type="dxa"/>
            <w:vAlign w:val="center"/>
          </w:tcPr>
          <w:p w14:paraId="65DA6203">
            <w:pPr>
              <w:spacing w:after="0" w:line="240" w:lineRule="atLeast"/>
              <w:jc w:val="left"/>
              <w:rPr>
                <w:color w:val="auto"/>
              </w:rPr>
            </w:pPr>
            <w:r>
              <w:rPr>
                <w:rFonts w:hint="eastAsia"/>
                <w:color w:val="auto"/>
                <w:lang w:eastAsia="zh-CN"/>
              </w:rPr>
              <w:t>☑</w:t>
            </w:r>
            <w:r>
              <w:rPr>
                <w:color w:val="auto"/>
              </w:rPr>
              <w:t>新建</w:t>
            </w:r>
            <w:r>
              <w:rPr>
                <w:rFonts w:hint="eastAsia"/>
                <w:color w:val="auto"/>
                <w:lang w:eastAsia="zh-CN"/>
              </w:rPr>
              <w:t>（</w:t>
            </w:r>
            <w:r>
              <w:rPr>
                <w:color w:val="auto"/>
              </w:rPr>
              <w:t>迁建）</w:t>
            </w:r>
          </w:p>
          <w:p w14:paraId="05EF061A">
            <w:pPr>
              <w:spacing w:after="0" w:line="240" w:lineRule="atLeast"/>
              <w:jc w:val="left"/>
              <w:rPr>
                <w:color w:val="auto"/>
              </w:rPr>
            </w:pPr>
            <w:r>
              <w:rPr>
                <w:rFonts w:hint="eastAsia"/>
                <w:color w:val="auto"/>
                <w:lang w:eastAsia="zh-CN"/>
              </w:rPr>
              <w:t>□</w:t>
            </w:r>
            <w:r>
              <w:rPr>
                <w:color w:val="auto"/>
              </w:rPr>
              <w:t>改建</w:t>
            </w:r>
          </w:p>
          <w:p w14:paraId="3DC9D455">
            <w:pPr>
              <w:spacing w:after="0" w:line="240" w:lineRule="atLeast"/>
              <w:jc w:val="left"/>
              <w:rPr>
                <w:color w:val="auto"/>
              </w:rPr>
            </w:pPr>
            <w:r>
              <w:rPr>
                <w:rFonts w:hint="eastAsia"/>
                <w:color w:val="auto"/>
                <w:lang w:eastAsia="zh-CN"/>
              </w:rPr>
              <w:t>□</w:t>
            </w:r>
            <w:r>
              <w:rPr>
                <w:color w:val="auto"/>
              </w:rPr>
              <w:t>扩建</w:t>
            </w:r>
          </w:p>
          <w:p w14:paraId="02E3A643">
            <w:pPr>
              <w:spacing w:after="0" w:line="240" w:lineRule="atLeast"/>
              <w:jc w:val="left"/>
              <w:rPr>
                <w:color w:val="auto"/>
              </w:rPr>
            </w:pPr>
            <w:r>
              <w:rPr>
                <w:rFonts w:hint="eastAsia"/>
                <w:color w:val="auto"/>
                <w:lang w:eastAsia="zh-CN"/>
              </w:rPr>
              <w:t>□</w:t>
            </w:r>
            <w:r>
              <w:rPr>
                <w:color w:val="auto"/>
              </w:rPr>
              <w:t>技术改造</w:t>
            </w:r>
          </w:p>
        </w:tc>
        <w:tc>
          <w:tcPr>
            <w:tcW w:w="1889" w:type="dxa"/>
            <w:vAlign w:val="center"/>
          </w:tcPr>
          <w:p w14:paraId="726E0299">
            <w:pPr>
              <w:spacing w:after="0"/>
              <w:jc w:val="center"/>
              <w:rPr>
                <w:color w:val="auto"/>
              </w:rPr>
            </w:pPr>
            <w:r>
              <w:rPr>
                <w:color w:val="auto"/>
              </w:rPr>
              <w:t>建设项目</w:t>
            </w:r>
          </w:p>
          <w:p w14:paraId="01669283">
            <w:pPr>
              <w:spacing w:after="0"/>
              <w:jc w:val="center"/>
              <w:rPr>
                <w:color w:val="auto"/>
              </w:rPr>
            </w:pPr>
            <w:r>
              <w:rPr>
                <w:color w:val="auto"/>
              </w:rPr>
              <w:t>申报情形</w:t>
            </w:r>
          </w:p>
        </w:tc>
        <w:tc>
          <w:tcPr>
            <w:tcW w:w="3086" w:type="dxa"/>
            <w:gridSpan w:val="2"/>
            <w:vAlign w:val="center"/>
          </w:tcPr>
          <w:p w14:paraId="570F576C">
            <w:pPr>
              <w:spacing w:after="0" w:line="240" w:lineRule="atLeast"/>
              <w:jc w:val="left"/>
              <w:rPr>
                <w:color w:val="auto"/>
              </w:rPr>
            </w:pPr>
            <w:r>
              <w:rPr>
                <w:rFonts w:hint="eastAsia"/>
                <w:color w:val="auto"/>
                <w:lang w:eastAsia="zh-CN"/>
              </w:rPr>
              <w:t>☑</w:t>
            </w:r>
            <w:r>
              <w:rPr>
                <w:color w:val="auto"/>
              </w:rPr>
              <w:t>首次申报项目</w:t>
            </w:r>
          </w:p>
          <w:p w14:paraId="0299AE0B">
            <w:pPr>
              <w:spacing w:after="0" w:line="240" w:lineRule="atLeast"/>
              <w:jc w:val="left"/>
              <w:rPr>
                <w:color w:val="auto"/>
              </w:rPr>
            </w:pPr>
            <w:r>
              <w:rPr>
                <w:rFonts w:hint="eastAsia"/>
                <w:color w:val="auto"/>
                <w:lang w:eastAsia="zh-CN"/>
              </w:rPr>
              <w:t>□</w:t>
            </w:r>
            <w:r>
              <w:rPr>
                <w:color w:val="auto"/>
              </w:rPr>
              <w:t>不予批准后再次申报项目</w:t>
            </w:r>
          </w:p>
          <w:p w14:paraId="5CB698D6">
            <w:pPr>
              <w:spacing w:after="0" w:line="240" w:lineRule="atLeast"/>
              <w:jc w:val="left"/>
              <w:rPr>
                <w:color w:val="auto"/>
              </w:rPr>
            </w:pPr>
            <w:r>
              <w:rPr>
                <w:rFonts w:hint="eastAsia"/>
                <w:color w:val="auto"/>
                <w:lang w:eastAsia="zh-CN"/>
              </w:rPr>
              <w:t>□</w:t>
            </w:r>
            <w:r>
              <w:rPr>
                <w:color w:val="auto"/>
              </w:rPr>
              <w:t>超五年重新审核项目</w:t>
            </w:r>
          </w:p>
          <w:p w14:paraId="64123677">
            <w:pPr>
              <w:spacing w:after="0" w:line="240" w:lineRule="atLeast"/>
              <w:jc w:val="left"/>
              <w:rPr>
                <w:color w:val="auto"/>
              </w:rPr>
            </w:pPr>
            <w:r>
              <w:rPr>
                <w:rFonts w:hint="eastAsia"/>
                <w:color w:val="auto"/>
                <w:lang w:eastAsia="zh-CN"/>
              </w:rPr>
              <w:t>□</w:t>
            </w:r>
            <w:r>
              <w:rPr>
                <w:color w:val="auto"/>
              </w:rPr>
              <w:t>重大变动重新报批项目</w:t>
            </w:r>
          </w:p>
        </w:tc>
      </w:tr>
      <w:tr w14:paraId="1484719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trPr>
        <w:tc>
          <w:tcPr>
            <w:tcW w:w="1691" w:type="dxa"/>
            <w:gridSpan w:val="2"/>
            <w:tcMar>
              <w:top w:w="16" w:type="dxa"/>
              <w:left w:w="16" w:type="dxa"/>
              <w:right w:w="16" w:type="dxa"/>
            </w:tcMar>
            <w:vAlign w:val="center"/>
          </w:tcPr>
          <w:p w14:paraId="5245329B">
            <w:pPr>
              <w:spacing w:after="0"/>
              <w:jc w:val="center"/>
              <w:rPr>
                <w:color w:val="auto"/>
              </w:rPr>
            </w:pPr>
            <w:r>
              <w:rPr>
                <w:color w:val="auto"/>
              </w:rPr>
              <w:t>项目审批</w:t>
            </w:r>
          </w:p>
          <w:p w14:paraId="43B3450B">
            <w:pPr>
              <w:spacing w:after="0"/>
              <w:jc w:val="center"/>
              <w:rPr>
                <w:color w:val="auto"/>
              </w:rPr>
            </w:pPr>
            <w:r>
              <w:rPr>
                <w:color w:val="auto"/>
              </w:rPr>
              <w:t>（核准/备案）</w:t>
            </w:r>
          </w:p>
          <w:p w14:paraId="4F6C7D94">
            <w:pPr>
              <w:spacing w:after="0"/>
              <w:jc w:val="center"/>
              <w:rPr>
                <w:color w:val="auto"/>
              </w:rPr>
            </w:pPr>
            <w:r>
              <w:rPr>
                <w:color w:val="auto"/>
              </w:rPr>
              <w:t>部门</w:t>
            </w:r>
            <w:r>
              <w:rPr>
                <w:rFonts w:hint="eastAsia"/>
                <w:color w:val="auto"/>
              </w:rPr>
              <w:t>（选填）</w:t>
            </w:r>
          </w:p>
        </w:tc>
        <w:tc>
          <w:tcPr>
            <w:tcW w:w="2364" w:type="dxa"/>
            <w:vAlign w:val="center"/>
          </w:tcPr>
          <w:p w14:paraId="101A74A7">
            <w:pPr>
              <w:spacing w:after="0"/>
              <w:jc w:val="center"/>
              <w:rPr>
                <w:color w:val="auto"/>
              </w:rPr>
            </w:pPr>
            <w:r>
              <w:rPr>
                <w:color w:val="auto"/>
              </w:rPr>
              <w:t>淮南经济技术开发区管委会经济发展局</w:t>
            </w:r>
          </w:p>
        </w:tc>
        <w:tc>
          <w:tcPr>
            <w:tcW w:w="1889" w:type="dxa"/>
            <w:vAlign w:val="center"/>
          </w:tcPr>
          <w:p w14:paraId="61F9F4FF">
            <w:pPr>
              <w:spacing w:after="0"/>
              <w:jc w:val="center"/>
              <w:rPr>
                <w:color w:val="auto"/>
              </w:rPr>
            </w:pPr>
            <w:r>
              <w:rPr>
                <w:color w:val="auto"/>
              </w:rPr>
              <w:t>项目审批（核准/备案）文号（选填）</w:t>
            </w:r>
          </w:p>
        </w:tc>
        <w:tc>
          <w:tcPr>
            <w:tcW w:w="3086" w:type="dxa"/>
            <w:gridSpan w:val="2"/>
            <w:vAlign w:val="center"/>
          </w:tcPr>
          <w:p w14:paraId="4D38BBAB">
            <w:pPr>
              <w:spacing w:after="0"/>
              <w:jc w:val="center"/>
              <w:rPr>
                <w:color w:val="auto"/>
              </w:rPr>
            </w:pPr>
            <w:r>
              <w:rPr>
                <w:rFonts w:hint="eastAsia"/>
                <w:color w:val="auto"/>
              </w:rPr>
              <w:t>2504-340461-04-01-849727</w:t>
            </w:r>
          </w:p>
        </w:tc>
      </w:tr>
      <w:tr w14:paraId="7E3B61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691" w:type="dxa"/>
            <w:gridSpan w:val="2"/>
            <w:tcMar>
              <w:top w:w="16" w:type="dxa"/>
              <w:left w:w="16" w:type="dxa"/>
              <w:right w:w="16" w:type="dxa"/>
            </w:tcMar>
            <w:vAlign w:val="center"/>
          </w:tcPr>
          <w:p w14:paraId="3806082B">
            <w:pPr>
              <w:spacing w:after="0"/>
              <w:jc w:val="center"/>
              <w:rPr>
                <w:color w:val="auto"/>
              </w:rPr>
            </w:pPr>
            <w:r>
              <w:rPr>
                <w:color w:val="auto"/>
              </w:rPr>
              <w:t>总投资</w:t>
            </w:r>
          </w:p>
          <w:p w14:paraId="5A742572">
            <w:pPr>
              <w:spacing w:after="0"/>
              <w:jc w:val="center"/>
              <w:rPr>
                <w:color w:val="auto"/>
              </w:rPr>
            </w:pPr>
            <w:r>
              <w:rPr>
                <w:color w:val="auto"/>
              </w:rPr>
              <w:t>（万元）</w:t>
            </w:r>
          </w:p>
        </w:tc>
        <w:tc>
          <w:tcPr>
            <w:tcW w:w="2364" w:type="dxa"/>
            <w:vAlign w:val="center"/>
          </w:tcPr>
          <w:p w14:paraId="34CD7FB9">
            <w:pPr>
              <w:spacing w:after="0"/>
              <w:jc w:val="center"/>
              <w:rPr>
                <w:color w:val="auto"/>
                <w:highlight w:val="none"/>
              </w:rPr>
            </w:pPr>
            <w:r>
              <w:rPr>
                <w:rFonts w:hint="eastAsia"/>
                <w:color w:val="auto"/>
                <w:highlight w:val="none"/>
              </w:rPr>
              <w:t>3000</w:t>
            </w:r>
          </w:p>
        </w:tc>
        <w:tc>
          <w:tcPr>
            <w:tcW w:w="1889" w:type="dxa"/>
            <w:tcMar>
              <w:top w:w="16" w:type="dxa"/>
              <w:left w:w="16" w:type="dxa"/>
              <w:right w:w="16" w:type="dxa"/>
            </w:tcMar>
            <w:vAlign w:val="center"/>
          </w:tcPr>
          <w:p w14:paraId="4AA9B8F8">
            <w:pPr>
              <w:spacing w:after="0"/>
              <w:jc w:val="center"/>
              <w:rPr>
                <w:color w:val="auto"/>
                <w:highlight w:val="none"/>
              </w:rPr>
            </w:pPr>
            <w:r>
              <w:rPr>
                <w:color w:val="auto"/>
                <w:highlight w:val="none"/>
              </w:rPr>
              <w:t>环保投资</w:t>
            </w:r>
          </w:p>
          <w:p w14:paraId="6C29D6FC">
            <w:pPr>
              <w:spacing w:after="0"/>
              <w:jc w:val="center"/>
              <w:rPr>
                <w:color w:val="auto"/>
                <w:highlight w:val="none"/>
              </w:rPr>
            </w:pPr>
            <w:r>
              <w:rPr>
                <w:color w:val="auto"/>
                <w:highlight w:val="none"/>
              </w:rPr>
              <w:t>（万元）</w:t>
            </w:r>
          </w:p>
        </w:tc>
        <w:tc>
          <w:tcPr>
            <w:tcW w:w="3086" w:type="dxa"/>
            <w:gridSpan w:val="2"/>
            <w:vAlign w:val="center"/>
          </w:tcPr>
          <w:p w14:paraId="1C297A09">
            <w:pPr>
              <w:spacing w:after="0"/>
              <w:jc w:val="center"/>
              <w:rPr>
                <w:rFonts w:hint="default" w:eastAsia="宋体"/>
                <w:color w:val="auto"/>
                <w:highlight w:val="none"/>
                <w:lang w:val="en-US" w:eastAsia="zh-CN"/>
              </w:rPr>
            </w:pPr>
            <w:r>
              <w:rPr>
                <w:rFonts w:hint="eastAsia"/>
                <w:color w:val="auto"/>
                <w:highlight w:val="none"/>
                <w:lang w:val="en-US" w:eastAsia="zh-CN"/>
              </w:rPr>
              <w:t>28</w:t>
            </w:r>
          </w:p>
        </w:tc>
      </w:tr>
      <w:tr w14:paraId="0F51C43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trPr>
        <w:tc>
          <w:tcPr>
            <w:tcW w:w="1691" w:type="dxa"/>
            <w:gridSpan w:val="2"/>
            <w:tcMar>
              <w:top w:w="16" w:type="dxa"/>
              <w:left w:w="16" w:type="dxa"/>
              <w:right w:w="16" w:type="dxa"/>
            </w:tcMar>
            <w:vAlign w:val="center"/>
          </w:tcPr>
          <w:p w14:paraId="472191E3">
            <w:pPr>
              <w:spacing w:after="0"/>
              <w:jc w:val="center"/>
              <w:rPr>
                <w:color w:val="auto"/>
              </w:rPr>
            </w:pPr>
            <w:r>
              <w:rPr>
                <w:color w:val="auto"/>
              </w:rPr>
              <w:t>环保投资占比（%）</w:t>
            </w:r>
          </w:p>
        </w:tc>
        <w:tc>
          <w:tcPr>
            <w:tcW w:w="2364" w:type="dxa"/>
            <w:vAlign w:val="center"/>
          </w:tcPr>
          <w:p w14:paraId="6DE67F9D">
            <w:pPr>
              <w:spacing w:after="0"/>
              <w:jc w:val="center"/>
              <w:rPr>
                <w:rFonts w:hint="default" w:eastAsia="宋体"/>
                <w:color w:val="auto"/>
                <w:highlight w:val="none"/>
                <w:lang w:val="en-US" w:eastAsia="zh-CN"/>
              </w:rPr>
            </w:pPr>
            <w:r>
              <w:rPr>
                <w:rFonts w:hint="eastAsia"/>
                <w:color w:val="auto"/>
                <w:highlight w:val="none"/>
                <w:lang w:val="en-US" w:eastAsia="zh-CN"/>
              </w:rPr>
              <w:t>0.93</w:t>
            </w:r>
          </w:p>
        </w:tc>
        <w:tc>
          <w:tcPr>
            <w:tcW w:w="1889" w:type="dxa"/>
            <w:tcMar>
              <w:top w:w="16" w:type="dxa"/>
              <w:left w:w="16" w:type="dxa"/>
              <w:right w:w="16" w:type="dxa"/>
            </w:tcMar>
            <w:vAlign w:val="center"/>
          </w:tcPr>
          <w:p w14:paraId="3EBA952F">
            <w:pPr>
              <w:spacing w:after="0"/>
              <w:jc w:val="center"/>
              <w:rPr>
                <w:color w:val="auto"/>
                <w:highlight w:val="none"/>
              </w:rPr>
            </w:pPr>
            <w:r>
              <w:rPr>
                <w:color w:val="auto"/>
                <w:highlight w:val="none"/>
              </w:rPr>
              <w:t>施工工期</w:t>
            </w:r>
          </w:p>
        </w:tc>
        <w:tc>
          <w:tcPr>
            <w:tcW w:w="3086" w:type="dxa"/>
            <w:gridSpan w:val="2"/>
            <w:vAlign w:val="center"/>
          </w:tcPr>
          <w:p w14:paraId="16F9FC53">
            <w:pPr>
              <w:spacing w:after="0"/>
              <w:jc w:val="center"/>
              <w:rPr>
                <w:color w:val="auto"/>
                <w:highlight w:val="none"/>
              </w:rPr>
            </w:pPr>
            <w:r>
              <w:rPr>
                <w:rFonts w:hint="eastAsia"/>
                <w:color w:val="auto"/>
                <w:highlight w:val="none"/>
                <w:lang w:val="en-US" w:eastAsia="zh-CN"/>
              </w:rPr>
              <w:t>6</w:t>
            </w:r>
            <w:r>
              <w:rPr>
                <w:color w:val="auto"/>
                <w:highlight w:val="none"/>
              </w:rPr>
              <w:t>个月</w:t>
            </w:r>
          </w:p>
        </w:tc>
      </w:tr>
      <w:tr w14:paraId="0C2FE6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02" w:hRule="atLeast"/>
        </w:trPr>
        <w:tc>
          <w:tcPr>
            <w:tcW w:w="1691" w:type="dxa"/>
            <w:gridSpan w:val="2"/>
            <w:tcMar>
              <w:top w:w="16" w:type="dxa"/>
              <w:left w:w="16" w:type="dxa"/>
              <w:right w:w="16" w:type="dxa"/>
            </w:tcMar>
            <w:vAlign w:val="center"/>
          </w:tcPr>
          <w:p w14:paraId="4EE20198">
            <w:pPr>
              <w:spacing w:after="0"/>
              <w:jc w:val="center"/>
              <w:rPr>
                <w:color w:val="auto"/>
              </w:rPr>
            </w:pPr>
            <w:r>
              <w:rPr>
                <w:color w:val="auto"/>
              </w:rPr>
              <w:t>是否开工</w:t>
            </w:r>
          </w:p>
          <w:p w14:paraId="4F640F37">
            <w:pPr>
              <w:spacing w:after="0"/>
              <w:jc w:val="center"/>
              <w:rPr>
                <w:color w:val="auto"/>
              </w:rPr>
            </w:pPr>
            <w:r>
              <w:rPr>
                <w:color w:val="auto"/>
              </w:rPr>
              <w:t>建设</w:t>
            </w:r>
          </w:p>
        </w:tc>
        <w:tc>
          <w:tcPr>
            <w:tcW w:w="2364" w:type="dxa"/>
            <w:vAlign w:val="center"/>
          </w:tcPr>
          <w:p w14:paraId="4CA89981">
            <w:pPr>
              <w:snapToGrid w:val="0"/>
              <w:spacing w:after="0"/>
              <w:rPr>
                <w:color w:val="auto"/>
              </w:rPr>
            </w:pPr>
            <w:r>
              <w:rPr>
                <w:rFonts w:hint="eastAsia"/>
                <w:color w:val="auto"/>
                <w:lang w:eastAsia="zh-CN"/>
              </w:rPr>
              <w:t>☑</w:t>
            </w:r>
            <w:r>
              <w:rPr>
                <w:rFonts w:hint="eastAsia"/>
                <w:color w:val="auto"/>
              </w:rPr>
              <w:t xml:space="preserve"> </w:t>
            </w:r>
            <w:r>
              <w:rPr>
                <w:color w:val="auto"/>
              </w:rPr>
              <w:t>否</w:t>
            </w:r>
          </w:p>
          <w:p w14:paraId="7B15D29C">
            <w:pPr>
              <w:bidi w:val="0"/>
              <w:rPr>
                <w:rFonts w:hint="default" w:eastAsia="宋体"/>
                <w:color w:val="auto"/>
                <w:lang w:val="en-US" w:eastAsia="zh-CN"/>
              </w:rPr>
            </w:pPr>
            <w:r>
              <w:rPr>
                <w:rFonts w:hint="eastAsia"/>
                <w:color w:val="auto"/>
                <w:lang w:eastAsia="zh-CN"/>
              </w:rPr>
              <w:t>□</w:t>
            </w:r>
            <w:r>
              <w:rPr>
                <w:rFonts w:hint="eastAsia"/>
                <w:color w:val="auto"/>
              </w:rPr>
              <w:t xml:space="preserve"> </w:t>
            </w:r>
            <w:r>
              <w:rPr>
                <w:color w:val="auto"/>
              </w:rPr>
              <w:t>是：</w:t>
            </w:r>
            <w:r>
              <w:rPr>
                <w:szCs w:val="21"/>
                <w:u w:val="single"/>
              </w:rPr>
              <w:t xml:space="preserve">     </w:t>
            </w:r>
          </w:p>
        </w:tc>
        <w:tc>
          <w:tcPr>
            <w:tcW w:w="1889" w:type="dxa"/>
            <w:vAlign w:val="center"/>
          </w:tcPr>
          <w:p w14:paraId="0F3DA854">
            <w:pPr>
              <w:snapToGrid w:val="0"/>
              <w:spacing w:after="0"/>
              <w:jc w:val="center"/>
              <w:rPr>
                <w:color w:val="auto"/>
              </w:rPr>
            </w:pPr>
            <w:r>
              <w:rPr>
                <w:color w:val="auto"/>
              </w:rPr>
              <w:t>用地面积（m</w:t>
            </w:r>
            <w:r>
              <w:rPr>
                <w:color w:val="auto"/>
                <w:vertAlign w:val="superscript"/>
              </w:rPr>
              <w:t>2</w:t>
            </w:r>
            <w:r>
              <w:rPr>
                <w:color w:val="auto"/>
              </w:rPr>
              <w:t>）</w:t>
            </w:r>
          </w:p>
        </w:tc>
        <w:tc>
          <w:tcPr>
            <w:tcW w:w="3086" w:type="dxa"/>
            <w:gridSpan w:val="2"/>
            <w:vAlign w:val="center"/>
          </w:tcPr>
          <w:p w14:paraId="4B6F6985">
            <w:pPr>
              <w:spacing w:after="0"/>
              <w:jc w:val="center"/>
              <w:rPr>
                <w:rFonts w:hint="default" w:eastAsia="宋体"/>
                <w:color w:val="auto"/>
                <w:lang w:val="en-US" w:eastAsia="zh-CN"/>
              </w:rPr>
            </w:pPr>
            <w:r>
              <w:rPr>
                <w:rFonts w:hint="eastAsia"/>
                <w:color w:val="auto"/>
                <w:lang w:val="en-US" w:eastAsia="zh-CN"/>
              </w:rPr>
              <w:t>2901</w:t>
            </w:r>
          </w:p>
        </w:tc>
      </w:tr>
      <w:tr w14:paraId="13FE8A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8" w:hRule="atLeast"/>
        </w:trPr>
        <w:tc>
          <w:tcPr>
            <w:tcW w:w="865" w:type="dxa"/>
            <w:vAlign w:val="center"/>
          </w:tcPr>
          <w:p w14:paraId="24A454F9">
            <w:pPr>
              <w:adjustRightInd w:val="0"/>
              <w:spacing w:after="0" w:line="400" w:lineRule="exact"/>
              <w:ind w:left="-72" w:leftChars="-30" w:right="-72" w:rightChars="-30"/>
              <w:jc w:val="center"/>
              <w:outlineLvl w:val="1"/>
              <w:rPr>
                <w:color w:val="auto"/>
              </w:rPr>
            </w:pPr>
            <w:r>
              <w:rPr>
                <w:color w:val="auto"/>
              </w:rPr>
              <w:t>专项评价设置情况</w:t>
            </w:r>
          </w:p>
        </w:tc>
        <w:tc>
          <w:tcPr>
            <w:tcW w:w="8165" w:type="dxa"/>
            <w:gridSpan w:val="5"/>
            <w:vAlign w:val="center"/>
          </w:tcPr>
          <w:p w14:paraId="4F5CA53B">
            <w:pPr>
              <w:pStyle w:val="180"/>
              <w:wordWrap/>
              <w:ind w:firstLine="480"/>
              <w:outlineLvl w:val="1"/>
              <w:rPr>
                <w:color w:val="auto"/>
              </w:rPr>
            </w:pPr>
            <w:r>
              <w:rPr>
                <w:color w:val="auto"/>
              </w:rPr>
              <w:t>专项评价设置情况：</w:t>
            </w:r>
            <w:r>
              <w:rPr>
                <w:rFonts w:hint="eastAsia"/>
                <w:color w:val="auto"/>
              </w:rPr>
              <w:t>无</w:t>
            </w:r>
            <w:r>
              <w:rPr>
                <w:color w:val="auto"/>
              </w:rPr>
              <w:t>。</w:t>
            </w:r>
          </w:p>
          <w:p w14:paraId="4D565199">
            <w:pPr>
              <w:pStyle w:val="180"/>
              <w:wordWrap/>
              <w:ind w:firstLine="480"/>
              <w:rPr>
                <w:color w:val="auto"/>
              </w:rPr>
            </w:pPr>
            <w:r>
              <w:rPr>
                <w:color w:val="auto"/>
              </w:rPr>
              <w:t>根据《建设项目环境影响报告表编制技术指南（污染影响类）》（试行），判定依据见下表：</w:t>
            </w:r>
          </w:p>
          <w:p w14:paraId="415A5738">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黑体"/>
                <w:lang w:val="en-US" w:eastAsia="zh-CN"/>
              </w:rPr>
            </w:pPr>
            <w:r>
              <w:t xml:space="preserve">表 </w:t>
            </w:r>
            <w:r>
              <w:rPr>
                <w:rFonts w:hint="eastAsia"/>
                <w:lang w:val="en-US" w:eastAsia="zh-CN"/>
              </w:rPr>
              <w:t>1</w:t>
            </w:r>
            <w:r>
              <w:rPr>
                <w:rFonts w:hint="eastAsia"/>
                <w:lang w:eastAsia="zh-CN"/>
              </w:rPr>
              <w:t>-</w:t>
            </w:r>
            <w:r>
              <w:fldChar w:fldCharType="begin"/>
            </w:r>
            <w:r>
              <w:instrText xml:space="preserve"> SEQ 表 \* ARABIC \s 1 </w:instrText>
            </w:r>
            <w:r>
              <w:fldChar w:fldCharType="separate"/>
            </w:r>
            <w:r>
              <w:t>1</w:t>
            </w:r>
            <w:r>
              <w:fldChar w:fldCharType="end"/>
            </w:r>
            <w:r>
              <w:rPr>
                <w:rFonts w:hint="eastAsia"/>
                <w:lang w:val="en-US" w:eastAsia="zh-CN"/>
              </w:rPr>
              <w:t xml:space="preserve"> </w:t>
            </w:r>
            <w:r>
              <w:rPr>
                <w:b/>
                <w:bCs/>
                <w:color w:val="auto"/>
                <w:kern w:val="1"/>
                <w:sz w:val="21"/>
              </w:rPr>
              <w:t>本项目专项评价设置判定情况</w:t>
            </w:r>
          </w:p>
          <w:tbl>
            <w:tblPr>
              <w:tblStyle w:val="5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963"/>
              <w:gridCol w:w="3051"/>
              <w:gridCol w:w="3038"/>
              <w:gridCol w:w="926"/>
            </w:tblGrid>
            <w:tr w14:paraId="3F7DE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32" w:hRule="atLeast"/>
                <w:jc w:val="center"/>
              </w:trPr>
              <w:tc>
                <w:tcPr>
                  <w:tcW w:w="603" w:type="pct"/>
                  <w:vAlign w:val="center"/>
                </w:tcPr>
                <w:p w14:paraId="74BA1A8C">
                  <w:pPr>
                    <w:pStyle w:val="286"/>
                    <w:framePr w:hSpace="0" w:wrap="auto" w:vAnchor="margin" w:hAnchor="text" w:xAlign="left" w:yAlign="inline"/>
                    <w:rPr>
                      <w:color w:val="auto"/>
                    </w:rPr>
                  </w:pPr>
                  <w:r>
                    <w:rPr>
                      <w:color w:val="auto"/>
                    </w:rPr>
                    <w:t>专项评价的类别</w:t>
                  </w:r>
                </w:p>
              </w:tc>
              <w:tc>
                <w:tcPr>
                  <w:tcW w:w="1912" w:type="pct"/>
                  <w:vAlign w:val="center"/>
                </w:tcPr>
                <w:p w14:paraId="2299632C">
                  <w:pPr>
                    <w:pStyle w:val="286"/>
                    <w:framePr w:hSpace="0" w:wrap="auto" w:vAnchor="margin" w:hAnchor="text" w:xAlign="left" w:yAlign="inline"/>
                    <w:rPr>
                      <w:color w:val="auto"/>
                    </w:rPr>
                  </w:pPr>
                  <w:r>
                    <w:rPr>
                      <w:color w:val="auto"/>
                    </w:rPr>
                    <w:t>设置原则</w:t>
                  </w:r>
                </w:p>
              </w:tc>
              <w:tc>
                <w:tcPr>
                  <w:tcW w:w="1903" w:type="pct"/>
                  <w:vAlign w:val="center"/>
                </w:tcPr>
                <w:p w14:paraId="717E61A1">
                  <w:pPr>
                    <w:pStyle w:val="286"/>
                    <w:framePr w:hSpace="0" w:wrap="auto" w:vAnchor="margin" w:hAnchor="text" w:xAlign="left" w:yAlign="inline"/>
                    <w:rPr>
                      <w:color w:val="auto"/>
                    </w:rPr>
                  </w:pPr>
                  <w:r>
                    <w:rPr>
                      <w:color w:val="auto"/>
                    </w:rPr>
                    <w:t>本项目情况</w:t>
                  </w:r>
                </w:p>
              </w:tc>
              <w:tc>
                <w:tcPr>
                  <w:tcW w:w="580" w:type="pct"/>
                  <w:vAlign w:val="center"/>
                </w:tcPr>
                <w:p w14:paraId="187444BE">
                  <w:pPr>
                    <w:pStyle w:val="286"/>
                    <w:framePr w:hSpace="0" w:wrap="auto" w:vAnchor="margin" w:hAnchor="text" w:xAlign="left" w:yAlign="inline"/>
                    <w:rPr>
                      <w:color w:val="auto"/>
                    </w:rPr>
                  </w:pPr>
                  <w:r>
                    <w:rPr>
                      <w:color w:val="auto"/>
                    </w:rPr>
                    <w:t>是否设置专项评价</w:t>
                  </w:r>
                </w:p>
              </w:tc>
            </w:tr>
            <w:tr w14:paraId="4B139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jc w:val="center"/>
              </w:trPr>
              <w:tc>
                <w:tcPr>
                  <w:tcW w:w="603" w:type="pct"/>
                  <w:vAlign w:val="center"/>
                </w:tcPr>
                <w:p w14:paraId="5CDACBFF">
                  <w:pPr>
                    <w:pStyle w:val="286"/>
                    <w:framePr w:hSpace="0" w:wrap="auto" w:vAnchor="margin" w:hAnchor="text" w:xAlign="left" w:yAlign="inline"/>
                    <w:rPr>
                      <w:color w:val="auto"/>
                    </w:rPr>
                  </w:pPr>
                  <w:r>
                    <w:rPr>
                      <w:color w:val="auto"/>
                    </w:rPr>
                    <w:t>大气</w:t>
                  </w:r>
                </w:p>
              </w:tc>
              <w:tc>
                <w:tcPr>
                  <w:tcW w:w="1912" w:type="pct"/>
                  <w:vAlign w:val="center"/>
                </w:tcPr>
                <w:p w14:paraId="50D0D851">
                  <w:pPr>
                    <w:pStyle w:val="286"/>
                    <w:framePr w:hSpace="0" w:wrap="auto" w:vAnchor="margin" w:hAnchor="text" w:xAlign="left" w:yAlign="inline"/>
                    <w:rPr>
                      <w:color w:val="auto"/>
                      <w:lang w:bidi="zh-CN"/>
                    </w:rPr>
                  </w:pPr>
                  <w:r>
                    <w:rPr>
                      <w:color w:val="auto"/>
                      <w:lang w:bidi="zh-CN"/>
                    </w:rPr>
                    <w:t>排放废气含有毒有害污染物、二噁英、苯并[a]芘、氰化物、氯气且厂界外500米范围内有环境空气保护目标的建设项目。</w:t>
                  </w:r>
                </w:p>
              </w:tc>
              <w:tc>
                <w:tcPr>
                  <w:tcW w:w="1903" w:type="pct"/>
                  <w:vAlign w:val="center"/>
                </w:tcPr>
                <w:p w14:paraId="77077DBB">
                  <w:pPr>
                    <w:pStyle w:val="286"/>
                    <w:framePr w:hSpace="0" w:wrap="auto" w:vAnchor="margin" w:hAnchor="text" w:xAlign="left" w:yAlign="inline"/>
                    <w:rPr>
                      <w:color w:val="auto"/>
                      <w:lang w:bidi="zh-CN"/>
                    </w:rPr>
                  </w:pPr>
                  <w:r>
                    <w:rPr>
                      <w:color w:val="auto"/>
                      <w:lang w:bidi="zh-CN"/>
                    </w:rPr>
                    <w:t>本项目厂界外</w:t>
                  </w:r>
                  <w:r>
                    <w:rPr>
                      <w:rFonts w:hint="eastAsia"/>
                      <w:color w:val="auto"/>
                      <w:lang w:bidi="zh-CN"/>
                    </w:rPr>
                    <w:t>5</w:t>
                  </w:r>
                  <w:r>
                    <w:rPr>
                      <w:color w:val="auto"/>
                      <w:lang w:bidi="zh-CN"/>
                    </w:rPr>
                    <w:t>00米范围内有环境空气保护目标，排放的废气中不含排放废气含有毒有害污染物、二噁英、苯并[a]芘、氰化物、氯气</w:t>
                  </w:r>
                  <w:r>
                    <w:rPr>
                      <w:rFonts w:hint="eastAsia"/>
                      <w:color w:val="auto"/>
                      <w:lang w:bidi="zh-CN"/>
                    </w:rPr>
                    <w:t>，</w:t>
                  </w:r>
                  <w:r>
                    <w:rPr>
                      <w:color w:val="auto"/>
                      <w:lang w:bidi="zh-CN"/>
                    </w:rPr>
                    <w:t>无需设置大气专项评价。</w:t>
                  </w:r>
                </w:p>
              </w:tc>
              <w:tc>
                <w:tcPr>
                  <w:tcW w:w="580" w:type="pct"/>
                  <w:vAlign w:val="center"/>
                </w:tcPr>
                <w:p w14:paraId="756F54C2">
                  <w:pPr>
                    <w:pStyle w:val="286"/>
                    <w:framePr w:hSpace="0" w:wrap="auto" w:vAnchor="margin" w:hAnchor="text" w:xAlign="left" w:yAlign="inline"/>
                    <w:rPr>
                      <w:color w:val="auto"/>
                    </w:rPr>
                  </w:pPr>
                  <w:r>
                    <w:rPr>
                      <w:color w:val="auto"/>
                    </w:rPr>
                    <w:t>否</w:t>
                  </w:r>
                </w:p>
              </w:tc>
            </w:tr>
            <w:tr w14:paraId="61AF3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13" w:hRule="atLeast"/>
                <w:jc w:val="center"/>
              </w:trPr>
              <w:tc>
                <w:tcPr>
                  <w:tcW w:w="603" w:type="pct"/>
                  <w:vAlign w:val="center"/>
                </w:tcPr>
                <w:p w14:paraId="48ADECC9">
                  <w:pPr>
                    <w:pStyle w:val="286"/>
                    <w:framePr w:hSpace="0" w:wrap="auto" w:vAnchor="margin" w:hAnchor="text" w:xAlign="left" w:yAlign="inline"/>
                    <w:rPr>
                      <w:color w:val="auto"/>
                    </w:rPr>
                  </w:pPr>
                  <w:r>
                    <w:rPr>
                      <w:color w:val="auto"/>
                    </w:rPr>
                    <w:t>地表水</w:t>
                  </w:r>
                </w:p>
              </w:tc>
              <w:tc>
                <w:tcPr>
                  <w:tcW w:w="1912" w:type="pct"/>
                  <w:vAlign w:val="center"/>
                </w:tcPr>
                <w:p w14:paraId="5361C1AC">
                  <w:pPr>
                    <w:pStyle w:val="286"/>
                    <w:framePr w:hSpace="0" w:wrap="auto" w:vAnchor="margin" w:hAnchor="text" w:xAlign="left" w:yAlign="inline"/>
                    <w:rPr>
                      <w:color w:val="auto"/>
                    </w:rPr>
                  </w:pPr>
                  <w:r>
                    <w:rPr>
                      <w:color w:val="auto"/>
                    </w:rPr>
                    <w:t>新增工业废水直排建设项目（槽罐车外送污水处理厂的除外）；新增废水直排的污水集中处理厂。</w:t>
                  </w:r>
                </w:p>
              </w:tc>
              <w:tc>
                <w:tcPr>
                  <w:tcW w:w="1903" w:type="pct"/>
                  <w:vAlign w:val="center"/>
                </w:tcPr>
                <w:p w14:paraId="684FB77A">
                  <w:pPr>
                    <w:pStyle w:val="286"/>
                    <w:framePr w:hSpace="0" w:wrap="auto" w:vAnchor="margin" w:hAnchor="text" w:xAlign="left" w:yAlign="inline"/>
                    <w:rPr>
                      <w:color w:val="auto"/>
                    </w:rPr>
                  </w:pPr>
                  <w:r>
                    <w:rPr>
                      <w:color w:val="auto"/>
                    </w:rPr>
                    <w:t>本项目废水</w:t>
                  </w:r>
                  <w:r>
                    <w:rPr>
                      <w:rFonts w:hint="eastAsia"/>
                      <w:lang w:val="en-US" w:eastAsia="zh-CN"/>
                    </w:rPr>
                    <w:t>经预处理达标后</w:t>
                  </w:r>
                  <w:r>
                    <w:rPr>
                      <w:color w:val="auto"/>
                    </w:rPr>
                    <w:t>纳入市政污水管网，不直接排放。</w:t>
                  </w:r>
                </w:p>
              </w:tc>
              <w:tc>
                <w:tcPr>
                  <w:tcW w:w="580" w:type="pct"/>
                  <w:vAlign w:val="center"/>
                </w:tcPr>
                <w:p w14:paraId="553EB4E9">
                  <w:pPr>
                    <w:pStyle w:val="286"/>
                    <w:framePr w:hSpace="0" w:wrap="auto" w:vAnchor="margin" w:hAnchor="text" w:xAlign="left" w:yAlign="inline"/>
                    <w:rPr>
                      <w:color w:val="auto"/>
                    </w:rPr>
                  </w:pPr>
                  <w:r>
                    <w:rPr>
                      <w:color w:val="auto"/>
                    </w:rPr>
                    <w:t>否</w:t>
                  </w:r>
                </w:p>
              </w:tc>
            </w:tr>
            <w:tr w14:paraId="19A0A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39" w:hRule="atLeast"/>
                <w:jc w:val="center"/>
              </w:trPr>
              <w:tc>
                <w:tcPr>
                  <w:tcW w:w="603" w:type="pct"/>
                  <w:vAlign w:val="center"/>
                </w:tcPr>
                <w:p w14:paraId="19CD5668">
                  <w:pPr>
                    <w:pStyle w:val="286"/>
                    <w:framePr w:hSpace="0" w:wrap="auto" w:vAnchor="margin" w:hAnchor="text" w:xAlign="left" w:yAlign="inline"/>
                    <w:rPr>
                      <w:color w:val="auto"/>
                    </w:rPr>
                  </w:pPr>
                  <w:r>
                    <w:rPr>
                      <w:color w:val="auto"/>
                    </w:rPr>
                    <w:t>环境风险</w:t>
                  </w:r>
                </w:p>
              </w:tc>
              <w:tc>
                <w:tcPr>
                  <w:tcW w:w="1912" w:type="pct"/>
                  <w:vAlign w:val="center"/>
                </w:tcPr>
                <w:p w14:paraId="7578A5AD">
                  <w:pPr>
                    <w:pStyle w:val="286"/>
                    <w:framePr w:hSpace="0" w:wrap="auto" w:vAnchor="margin" w:hAnchor="text" w:xAlign="left" w:yAlign="inline"/>
                    <w:rPr>
                      <w:color w:val="auto"/>
                    </w:rPr>
                  </w:pPr>
                  <w:r>
                    <w:rPr>
                      <w:color w:val="auto"/>
                    </w:rPr>
                    <w:t>有毒有害和易燃易爆危险物质存储量超过临界量。</w:t>
                  </w:r>
                </w:p>
              </w:tc>
              <w:tc>
                <w:tcPr>
                  <w:tcW w:w="1903" w:type="pct"/>
                  <w:vAlign w:val="center"/>
                </w:tcPr>
                <w:p w14:paraId="3078CC25">
                  <w:pPr>
                    <w:pStyle w:val="286"/>
                    <w:framePr w:hSpace="0" w:wrap="auto" w:vAnchor="margin" w:hAnchor="text" w:xAlign="left" w:yAlign="inline"/>
                    <w:rPr>
                      <w:color w:val="auto"/>
                    </w:rPr>
                  </w:pPr>
                  <w:r>
                    <w:rPr>
                      <w:color w:val="auto"/>
                    </w:rPr>
                    <w:t>本项目</w:t>
                  </w:r>
                  <w:r>
                    <w:rPr>
                      <w:rFonts w:hint="eastAsia"/>
                      <w:lang w:val="en-US" w:eastAsia="zh-CN"/>
                    </w:rPr>
                    <w:t>不涉及</w:t>
                  </w:r>
                  <w:r>
                    <w:rPr>
                      <w:color w:val="auto"/>
                    </w:rPr>
                    <w:t>有毒有害和易燃易爆危险物质。</w:t>
                  </w:r>
                </w:p>
              </w:tc>
              <w:tc>
                <w:tcPr>
                  <w:tcW w:w="580" w:type="pct"/>
                  <w:vAlign w:val="center"/>
                </w:tcPr>
                <w:p w14:paraId="253C694E">
                  <w:pPr>
                    <w:pStyle w:val="286"/>
                    <w:framePr w:hSpace="0" w:wrap="auto" w:vAnchor="margin" w:hAnchor="text" w:xAlign="left" w:yAlign="inline"/>
                    <w:rPr>
                      <w:color w:val="auto"/>
                    </w:rPr>
                  </w:pPr>
                  <w:r>
                    <w:rPr>
                      <w:color w:val="auto"/>
                    </w:rPr>
                    <w:t>否</w:t>
                  </w:r>
                </w:p>
              </w:tc>
            </w:tr>
            <w:tr w14:paraId="283DF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70" w:hRule="atLeast"/>
                <w:jc w:val="center"/>
              </w:trPr>
              <w:tc>
                <w:tcPr>
                  <w:tcW w:w="603" w:type="pct"/>
                  <w:vAlign w:val="center"/>
                </w:tcPr>
                <w:p w14:paraId="427BD965">
                  <w:pPr>
                    <w:pStyle w:val="286"/>
                    <w:framePr w:hSpace="0" w:wrap="auto" w:vAnchor="margin" w:hAnchor="text" w:xAlign="left" w:yAlign="inline"/>
                    <w:rPr>
                      <w:color w:val="auto"/>
                    </w:rPr>
                  </w:pPr>
                  <w:r>
                    <w:rPr>
                      <w:color w:val="auto"/>
                    </w:rPr>
                    <w:t>生态</w:t>
                  </w:r>
                </w:p>
              </w:tc>
              <w:tc>
                <w:tcPr>
                  <w:tcW w:w="1912" w:type="pct"/>
                  <w:vAlign w:val="center"/>
                </w:tcPr>
                <w:p w14:paraId="244FC120">
                  <w:pPr>
                    <w:pStyle w:val="286"/>
                    <w:framePr w:hSpace="0" w:wrap="auto" w:vAnchor="margin" w:hAnchor="text" w:xAlign="left" w:yAlign="inline"/>
                    <w:rPr>
                      <w:color w:val="auto"/>
                    </w:rPr>
                  </w:pPr>
                  <w:r>
                    <w:rPr>
                      <w:color w:val="auto"/>
                    </w:rPr>
                    <w:t>取水口下游500米范围内有重要水生生物的自然产卵场、索饵场、越冬场和洄游通道的新增河道取水的污染类建设项目。</w:t>
                  </w:r>
                </w:p>
              </w:tc>
              <w:tc>
                <w:tcPr>
                  <w:tcW w:w="1903" w:type="pct"/>
                  <w:vAlign w:val="center"/>
                </w:tcPr>
                <w:p w14:paraId="22B09C67">
                  <w:pPr>
                    <w:pStyle w:val="286"/>
                    <w:framePr w:hSpace="0" w:wrap="auto" w:vAnchor="margin" w:hAnchor="text" w:xAlign="left" w:yAlign="inline"/>
                    <w:rPr>
                      <w:color w:val="auto"/>
                    </w:rPr>
                  </w:pPr>
                  <w:r>
                    <w:rPr>
                      <w:color w:val="auto"/>
                    </w:rPr>
                    <w:t>本项目用水由市政给水系统提供，不在河道取水，不涉及取水口。</w:t>
                  </w:r>
                </w:p>
              </w:tc>
              <w:tc>
                <w:tcPr>
                  <w:tcW w:w="580" w:type="pct"/>
                  <w:vAlign w:val="center"/>
                </w:tcPr>
                <w:p w14:paraId="6C6CE299">
                  <w:pPr>
                    <w:pStyle w:val="286"/>
                    <w:framePr w:hSpace="0" w:wrap="auto" w:vAnchor="margin" w:hAnchor="text" w:xAlign="left" w:yAlign="inline"/>
                    <w:rPr>
                      <w:color w:val="auto"/>
                    </w:rPr>
                  </w:pPr>
                  <w:r>
                    <w:rPr>
                      <w:color w:val="auto"/>
                    </w:rPr>
                    <w:t>否</w:t>
                  </w:r>
                </w:p>
              </w:tc>
            </w:tr>
            <w:tr w14:paraId="1C788C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7" w:hRule="atLeast"/>
                <w:jc w:val="center"/>
              </w:trPr>
              <w:tc>
                <w:tcPr>
                  <w:tcW w:w="603" w:type="pct"/>
                  <w:vAlign w:val="center"/>
                </w:tcPr>
                <w:p w14:paraId="6C33D8FE">
                  <w:pPr>
                    <w:pStyle w:val="286"/>
                    <w:framePr w:hSpace="0" w:wrap="auto" w:vAnchor="margin" w:hAnchor="text" w:xAlign="left" w:yAlign="inline"/>
                    <w:rPr>
                      <w:color w:val="auto"/>
                    </w:rPr>
                  </w:pPr>
                  <w:r>
                    <w:rPr>
                      <w:color w:val="auto"/>
                    </w:rPr>
                    <w:t>海洋</w:t>
                  </w:r>
                </w:p>
              </w:tc>
              <w:tc>
                <w:tcPr>
                  <w:tcW w:w="1912" w:type="pct"/>
                  <w:vAlign w:val="center"/>
                </w:tcPr>
                <w:p w14:paraId="1C187346">
                  <w:pPr>
                    <w:pStyle w:val="286"/>
                    <w:framePr w:hSpace="0" w:wrap="auto" w:vAnchor="margin" w:hAnchor="text" w:xAlign="left" w:yAlign="inline"/>
                    <w:rPr>
                      <w:color w:val="auto"/>
                    </w:rPr>
                  </w:pPr>
                  <w:r>
                    <w:rPr>
                      <w:color w:val="auto"/>
                    </w:rPr>
                    <w:t>直接向海排放污染物的海洋工程建设项目。</w:t>
                  </w:r>
                </w:p>
              </w:tc>
              <w:tc>
                <w:tcPr>
                  <w:tcW w:w="1903" w:type="pct"/>
                  <w:vAlign w:val="center"/>
                </w:tcPr>
                <w:p w14:paraId="710B0697">
                  <w:pPr>
                    <w:pStyle w:val="286"/>
                    <w:framePr w:hSpace="0" w:wrap="auto" w:vAnchor="margin" w:hAnchor="text" w:xAlign="left" w:yAlign="inline"/>
                    <w:rPr>
                      <w:color w:val="auto"/>
                    </w:rPr>
                  </w:pPr>
                  <w:r>
                    <w:rPr>
                      <w:color w:val="auto"/>
                    </w:rPr>
                    <w:t>本项目不属于海洋工程建设项目。</w:t>
                  </w:r>
                </w:p>
              </w:tc>
              <w:tc>
                <w:tcPr>
                  <w:tcW w:w="580" w:type="pct"/>
                  <w:vAlign w:val="center"/>
                </w:tcPr>
                <w:p w14:paraId="4F08B79B">
                  <w:pPr>
                    <w:pStyle w:val="286"/>
                    <w:framePr w:hSpace="0" w:wrap="auto" w:vAnchor="margin" w:hAnchor="text" w:xAlign="left" w:yAlign="inline"/>
                    <w:rPr>
                      <w:color w:val="auto"/>
                    </w:rPr>
                  </w:pPr>
                  <w:r>
                    <w:rPr>
                      <w:color w:val="auto"/>
                    </w:rPr>
                    <w:t>否</w:t>
                  </w:r>
                </w:p>
              </w:tc>
            </w:tr>
            <w:tr w14:paraId="74B8C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67" w:hRule="atLeast"/>
                <w:jc w:val="center"/>
              </w:trPr>
              <w:tc>
                <w:tcPr>
                  <w:tcW w:w="5000" w:type="pct"/>
                  <w:gridSpan w:val="4"/>
                  <w:vAlign w:val="center"/>
                </w:tcPr>
                <w:p w14:paraId="57BC7A9D">
                  <w:pPr>
                    <w:pStyle w:val="286"/>
                    <w:framePr w:hSpace="0" w:wrap="auto" w:vAnchor="margin" w:hAnchor="text" w:xAlign="left" w:yAlign="inline"/>
                    <w:rPr>
                      <w:color w:val="auto"/>
                      <w:kern w:val="1"/>
                    </w:rPr>
                  </w:pPr>
                  <w:r>
                    <w:rPr>
                      <w:color w:val="auto"/>
                    </w:rPr>
                    <w:t>注：1、废气中有毒有害污染物指纳入《有毒有害大气污染物名录》的污染物（不包括无排放标准的污染物）。2、环境空气保护目标指自然保护区、风景名胜区、居住区、文化区和农村地区中人群较集中的区域。3、临界量及其计算方法可参考《建设项目环境风险评价技术导则》（HJ169）附录B、附录C。</w:t>
                  </w:r>
                </w:p>
              </w:tc>
            </w:tr>
          </w:tbl>
          <w:p w14:paraId="6F25B0DA">
            <w:pPr>
              <w:widowControl/>
              <w:spacing w:after="0" w:line="276" w:lineRule="auto"/>
              <w:rPr>
                <w:color w:val="auto"/>
              </w:rPr>
            </w:pPr>
          </w:p>
        </w:tc>
      </w:tr>
      <w:tr w14:paraId="058CF2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54" w:hRule="atLeast"/>
        </w:trPr>
        <w:tc>
          <w:tcPr>
            <w:tcW w:w="865" w:type="dxa"/>
            <w:vAlign w:val="center"/>
          </w:tcPr>
          <w:p w14:paraId="27240641">
            <w:pPr>
              <w:adjustRightInd w:val="0"/>
              <w:snapToGrid w:val="0"/>
              <w:spacing w:after="0"/>
              <w:jc w:val="center"/>
              <w:rPr>
                <w:color w:val="auto"/>
              </w:rPr>
            </w:pPr>
            <w:r>
              <w:rPr>
                <w:color w:val="auto"/>
              </w:rPr>
              <w:t>规划情况</w:t>
            </w:r>
          </w:p>
        </w:tc>
        <w:tc>
          <w:tcPr>
            <w:tcW w:w="8165" w:type="dxa"/>
            <w:gridSpan w:val="5"/>
            <w:vAlign w:val="center"/>
          </w:tcPr>
          <w:p w14:paraId="04823623">
            <w:pPr>
              <w:spacing w:after="0" w:line="460" w:lineRule="exact"/>
              <w:jc w:val="left"/>
              <w:rPr>
                <w:color w:val="auto"/>
              </w:rPr>
            </w:pPr>
            <w:r>
              <w:rPr>
                <w:bCs/>
                <w:color w:val="auto"/>
              </w:rPr>
              <w:t>1、规划名称：</w:t>
            </w:r>
            <w:r>
              <w:rPr>
                <w:color w:val="auto"/>
              </w:rPr>
              <w:t>《淮南市东部工业区总体规划（2008-2020）》</w:t>
            </w:r>
          </w:p>
          <w:p w14:paraId="12638BD9">
            <w:pPr>
              <w:snapToGrid w:val="0"/>
              <w:spacing w:after="0" w:line="460" w:lineRule="exact"/>
              <w:ind w:firstLine="480" w:firstLineChars="200"/>
              <w:jc w:val="left"/>
              <w:rPr>
                <w:color w:val="auto"/>
              </w:rPr>
            </w:pPr>
            <w:r>
              <w:rPr>
                <w:bCs/>
                <w:color w:val="auto"/>
              </w:rPr>
              <w:t>审批机关：</w:t>
            </w:r>
            <w:r>
              <w:rPr>
                <w:color w:val="auto"/>
              </w:rPr>
              <w:t>淮南市人民政府</w:t>
            </w:r>
          </w:p>
          <w:p w14:paraId="0FF8C0FA">
            <w:pPr>
              <w:spacing w:after="0" w:line="460" w:lineRule="exact"/>
              <w:ind w:firstLine="480" w:firstLineChars="200"/>
              <w:jc w:val="left"/>
              <w:rPr>
                <w:color w:val="auto"/>
              </w:rPr>
            </w:pPr>
            <w:r>
              <w:rPr>
                <w:bCs/>
                <w:color w:val="auto"/>
              </w:rPr>
              <w:t>审批文件名称：</w:t>
            </w:r>
            <w:r>
              <w:rPr>
                <w:color w:val="auto"/>
              </w:rPr>
              <w:t>《关于淮南东部工业区总体规划的批复》</w:t>
            </w:r>
          </w:p>
          <w:p w14:paraId="550FF2B0">
            <w:pPr>
              <w:widowControl/>
              <w:spacing w:after="0" w:line="460" w:lineRule="exact"/>
              <w:ind w:firstLine="480" w:firstLineChars="200"/>
              <w:rPr>
                <w:color w:val="auto"/>
              </w:rPr>
            </w:pPr>
            <w:r>
              <w:rPr>
                <w:bCs/>
                <w:color w:val="auto"/>
              </w:rPr>
              <w:t>审批文号：</w:t>
            </w:r>
            <w:r>
              <w:rPr>
                <w:color w:val="auto"/>
              </w:rPr>
              <w:t>淮府秘〔2009〕118号。</w:t>
            </w:r>
          </w:p>
          <w:p w14:paraId="5FDE28CC">
            <w:pPr>
              <w:widowControl/>
              <w:spacing w:after="0" w:line="460" w:lineRule="exact"/>
              <w:rPr>
                <w:color w:val="auto"/>
              </w:rPr>
            </w:pPr>
            <w:r>
              <w:rPr>
                <w:color w:val="auto"/>
              </w:rPr>
              <w:t>2</w:t>
            </w:r>
            <w:r>
              <w:rPr>
                <w:rFonts w:hint="eastAsia"/>
                <w:color w:val="auto"/>
              </w:rPr>
              <w:t>、规划名称：《淮南市国土空间总体规划》（2021-2035年）</w:t>
            </w:r>
          </w:p>
          <w:p w14:paraId="68CFF24C">
            <w:pPr>
              <w:widowControl/>
              <w:spacing w:after="0" w:line="460" w:lineRule="exact"/>
              <w:ind w:firstLine="480" w:firstLineChars="200"/>
              <w:rPr>
                <w:color w:val="auto"/>
              </w:rPr>
            </w:pPr>
            <w:r>
              <w:rPr>
                <w:bCs/>
                <w:color w:val="auto"/>
              </w:rPr>
              <w:t>审批机关：</w:t>
            </w:r>
            <w:r>
              <w:rPr>
                <w:rFonts w:hint="eastAsia"/>
                <w:color w:val="auto"/>
              </w:rPr>
              <w:t>安徽省人民政府</w:t>
            </w:r>
          </w:p>
          <w:p w14:paraId="0C8F45CC">
            <w:pPr>
              <w:widowControl/>
              <w:spacing w:after="0" w:line="460" w:lineRule="exact"/>
              <w:ind w:firstLine="480" w:firstLineChars="200"/>
              <w:rPr>
                <w:color w:val="auto"/>
              </w:rPr>
            </w:pPr>
            <w:r>
              <w:rPr>
                <w:bCs/>
                <w:color w:val="auto"/>
              </w:rPr>
              <w:t>审批文件名称：</w:t>
            </w:r>
            <w:r>
              <w:rPr>
                <w:rFonts w:hint="eastAsia"/>
                <w:color w:val="auto"/>
              </w:rPr>
              <w:t>安徽省人民政府关于《淮南市国土空间总体规划（2021—2035年）》的批复</w:t>
            </w:r>
          </w:p>
          <w:p w14:paraId="6F756412">
            <w:pPr>
              <w:widowControl/>
              <w:spacing w:after="0" w:line="460" w:lineRule="exact"/>
              <w:ind w:firstLine="480" w:firstLineChars="200"/>
              <w:rPr>
                <w:color w:val="auto"/>
              </w:rPr>
            </w:pPr>
            <w:r>
              <w:rPr>
                <w:bCs/>
                <w:color w:val="auto"/>
              </w:rPr>
              <w:t>审批文号：</w:t>
            </w:r>
            <w:r>
              <w:rPr>
                <w:rFonts w:hint="eastAsia"/>
                <w:color w:val="auto"/>
              </w:rPr>
              <w:t>皖政秘〔2024〕46号。</w:t>
            </w:r>
          </w:p>
        </w:tc>
      </w:tr>
      <w:tr w14:paraId="43958B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865" w:type="dxa"/>
            <w:vAlign w:val="center"/>
          </w:tcPr>
          <w:p w14:paraId="0B4EBB1F">
            <w:pPr>
              <w:adjustRightInd w:val="0"/>
              <w:snapToGrid w:val="0"/>
              <w:spacing w:after="0"/>
              <w:jc w:val="center"/>
              <w:rPr>
                <w:color w:val="auto"/>
              </w:rPr>
            </w:pPr>
            <w:r>
              <w:rPr>
                <w:color w:val="auto"/>
              </w:rPr>
              <w:t>规划环境影响评价情况</w:t>
            </w:r>
          </w:p>
        </w:tc>
        <w:tc>
          <w:tcPr>
            <w:tcW w:w="8165" w:type="dxa"/>
            <w:gridSpan w:val="5"/>
            <w:vAlign w:val="center"/>
          </w:tcPr>
          <w:p w14:paraId="666D40C4">
            <w:pPr>
              <w:spacing w:after="0" w:line="460" w:lineRule="exact"/>
              <w:jc w:val="left"/>
              <w:rPr>
                <w:color w:val="auto"/>
              </w:rPr>
            </w:pPr>
            <w:r>
              <w:rPr>
                <w:rFonts w:hint="eastAsia"/>
                <w:bCs/>
                <w:color w:val="auto"/>
              </w:rPr>
              <w:t>1</w:t>
            </w:r>
            <w:r>
              <w:rPr>
                <w:bCs/>
                <w:color w:val="auto"/>
              </w:rPr>
              <w:t>、规划环评名称：</w:t>
            </w:r>
            <w:r>
              <w:rPr>
                <w:color w:val="auto"/>
              </w:rPr>
              <w:t>《淮南市东部工业区总体规划环境影响报告书》</w:t>
            </w:r>
          </w:p>
          <w:p w14:paraId="085A9B5D">
            <w:pPr>
              <w:spacing w:after="0" w:line="460" w:lineRule="exact"/>
              <w:ind w:firstLine="480" w:firstLineChars="200"/>
              <w:jc w:val="left"/>
              <w:rPr>
                <w:color w:val="auto"/>
              </w:rPr>
            </w:pPr>
            <w:r>
              <w:rPr>
                <w:bCs/>
                <w:color w:val="auto"/>
              </w:rPr>
              <w:t>审批机关：</w:t>
            </w:r>
            <w:r>
              <w:rPr>
                <w:color w:val="auto"/>
              </w:rPr>
              <w:t>淮南市环境保护局</w:t>
            </w:r>
          </w:p>
          <w:p w14:paraId="1706F171">
            <w:pPr>
              <w:spacing w:after="0" w:line="460" w:lineRule="exact"/>
              <w:ind w:firstLine="480" w:firstLineChars="200"/>
              <w:jc w:val="left"/>
              <w:rPr>
                <w:color w:val="auto"/>
              </w:rPr>
            </w:pPr>
            <w:r>
              <w:rPr>
                <w:bCs/>
                <w:color w:val="auto"/>
              </w:rPr>
              <w:t>审批文件名称：</w:t>
            </w:r>
            <w:r>
              <w:rPr>
                <w:color w:val="auto"/>
              </w:rPr>
              <w:t>《关于淮南市东部工业区总体规划环境影响报告书的审查意见函》</w:t>
            </w:r>
          </w:p>
          <w:p w14:paraId="00692770">
            <w:pPr>
              <w:spacing w:after="0" w:line="460" w:lineRule="exact"/>
              <w:ind w:firstLine="480" w:firstLineChars="200"/>
              <w:jc w:val="left"/>
              <w:rPr>
                <w:color w:val="auto"/>
              </w:rPr>
            </w:pPr>
            <w:r>
              <w:rPr>
                <w:bCs/>
                <w:color w:val="auto"/>
              </w:rPr>
              <w:t>审批文号：</w:t>
            </w:r>
            <w:r>
              <w:rPr>
                <w:color w:val="auto"/>
              </w:rPr>
              <w:t>淮环函〔2010〕130号。</w:t>
            </w:r>
          </w:p>
          <w:p w14:paraId="5D1AADAE">
            <w:pPr>
              <w:spacing w:after="0" w:line="460" w:lineRule="exact"/>
              <w:jc w:val="left"/>
              <w:rPr>
                <w:color w:val="auto"/>
              </w:rPr>
            </w:pPr>
            <w:r>
              <w:rPr>
                <w:rFonts w:hint="eastAsia"/>
                <w:bCs/>
                <w:color w:val="auto"/>
              </w:rPr>
              <w:t>2</w:t>
            </w:r>
            <w:r>
              <w:rPr>
                <w:bCs/>
                <w:color w:val="auto"/>
              </w:rPr>
              <w:t>、规划跟踪评价名称：</w:t>
            </w:r>
            <w:r>
              <w:rPr>
                <w:color w:val="auto"/>
              </w:rPr>
              <w:t>《淮南经济技术开发区总体发展规划环境影响跟踪评价报告书》</w:t>
            </w:r>
          </w:p>
          <w:p w14:paraId="6385DCAE">
            <w:pPr>
              <w:spacing w:after="0" w:line="460" w:lineRule="exact"/>
              <w:ind w:firstLine="480" w:firstLineChars="200"/>
              <w:jc w:val="left"/>
              <w:rPr>
                <w:color w:val="auto"/>
              </w:rPr>
            </w:pPr>
            <w:r>
              <w:rPr>
                <w:bCs/>
                <w:color w:val="auto"/>
              </w:rPr>
              <w:t>审查机关：</w:t>
            </w:r>
            <w:r>
              <w:rPr>
                <w:color w:val="auto"/>
              </w:rPr>
              <w:t>安徽省生态环境厅</w:t>
            </w:r>
          </w:p>
          <w:p w14:paraId="216FD9BA">
            <w:pPr>
              <w:spacing w:after="0" w:line="460" w:lineRule="exact"/>
              <w:ind w:firstLine="480" w:firstLineChars="200"/>
              <w:jc w:val="left"/>
              <w:rPr>
                <w:color w:val="auto"/>
              </w:rPr>
            </w:pPr>
            <w:r>
              <w:rPr>
                <w:bCs/>
                <w:color w:val="auto"/>
              </w:rPr>
              <w:t>审批文件名称：</w:t>
            </w:r>
            <w:r>
              <w:rPr>
                <w:color w:val="auto"/>
              </w:rPr>
              <w:t>安徽省生态环境厅关于印发《淮南经济技术开发区总体发展规划环境影响跟踪评价报告书审核意见》的函</w:t>
            </w:r>
          </w:p>
          <w:p w14:paraId="5B00783B">
            <w:pPr>
              <w:widowControl/>
              <w:spacing w:after="0" w:line="460" w:lineRule="exact"/>
              <w:ind w:firstLine="480" w:firstLineChars="200"/>
              <w:rPr>
                <w:color w:val="auto"/>
              </w:rPr>
            </w:pPr>
            <w:r>
              <w:rPr>
                <w:bCs/>
                <w:color w:val="auto"/>
              </w:rPr>
              <w:t>审批文号：</w:t>
            </w:r>
            <w:r>
              <w:rPr>
                <w:color w:val="auto"/>
              </w:rPr>
              <w:t>皖环函〔2020〕411号。</w:t>
            </w:r>
          </w:p>
          <w:p w14:paraId="3C114A19">
            <w:pPr>
              <w:pStyle w:val="669"/>
              <w:rPr>
                <w:color w:val="auto"/>
              </w:rPr>
            </w:pPr>
            <w:r>
              <w:rPr>
                <w:rFonts w:hint="eastAsia"/>
                <w:color w:val="auto"/>
              </w:rPr>
              <w:t>3、</w:t>
            </w:r>
            <w:r>
              <w:rPr>
                <w:color w:val="auto"/>
              </w:rPr>
              <w:t>区域评价名称：《淮南经济技术开发区环境影响区域评估报告》</w:t>
            </w:r>
          </w:p>
          <w:p w14:paraId="7E5472AD">
            <w:pPr>
              <w:pStyle w:val="669"/>
              <w:rPr>
                <w:color w:val="auto"/>
              </w:rPr>
            </w:pPr>
            <w:r>
              <w:rPr>
                <w:bCs/>
                <w:color w:val="auto"/>
              </w:rPr>
              <w:t>审查机关：</w:t>
            </w:r>
            <w:r>
              <w:rPr>
                <w:color w:val="auto"/>
              </w:rPr>
              <w:t>安徽省生态环境厅</w:t>
            </w:r>
          </w:p>
          <w:p w14:paraId="08C04FA3">
            <w:pPr>
              <w:pStyle w:val="669"/>
              <w:rPr>
                <w:color w:val="auto"/>
              </w:rPr>
            </w:pPr>
            <w:r>
              <w:rPr>
                <w:bCs/>
                <w:color w:val="auto"/>
              </w:rPr>
              <w:t>审批文件名称：</w:t>
            </w:r>
            <w:r>
              <w:rPr>
                <w:color w:val="auto"/>
              </w:rPr>
              <w:t>安徽省生态环境厅关于印发《淮南经济技术开发区总体发展规划环境影响跟踪评价报告书审核意见》的函</w:t>
            </w:r>
          </w:p>
          <w:p w14:paraId="54BBCC32">
            <w:pPr>
              <w:pStyle w:val="669"/>
              <w:rPr>
                <w:color w:val="auto"/>
              </w:rPr>
            </w:pPr>
            <w:r>
              <w:rPr>
                <w:bCs/>
                <w:color w:val="auto"/>
              </w:rPr>
              <w:t>审批文号：</w:t>
            </w:r>
            <w:r>
              <w:rPr>
                <w:color w:val="auto"/>
              </w:rPr>
              <w:t>皖环函〔2020〕411号。</w:t>
            </w:r>
          </w:p>
        </w:tc>
      </w:tr>
      <w:tr w14:paraId="65B204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90" w:hRule="atLeast"/>
        </w:trPr>
        <w:tc>
          <w:tcPr>
            <w:tcW w:w="865" w:type="dxa"/>
            <w:vAlign w:val="center"/>
          </w:tcPr>
          <w:p w14:paraId="5B2512C7">
            <w:pPr>
              <w:adjustRightInd w:val="0"/>
              <w:snapToGrid w:val="0"/>
              <w:spacing w:after="0"/>
              <w:jc w:val="center"/>
              <w:rPr>
                <w:color w:val="0000FF"/>
              </w:rPr>
            </w:pPr>
            <w:r>
              <w:rPr>
                <w:color w:val="auto"/>
              </w:rPr>
              <w:t>规划及规划环境影响评价符合性分</w:t>
            </w:r>
            <w:r>
              <w:rPr>
                <w:color w:val="auto"/>
                <w:sz w:val="21"/>
              </w:rPr>
              <w:t>析</w:t>
            </w:r>
          </w:p>
        </w:tc>
        <w:tc>
          <w:tcPr>
            <w:tcW w:w="8165" w:type="dxa"/>
            <w:gridSpan w:val="5"/>
            <w:vAlign w:val="center"/>
          </w:tcPr>
          <w:p w14:paraId="384E51C8">
            <w:pPr>
              <w:spacing w:after="0" w:line="460" w:lineRule="exact"/>
              <w:outlineLvl w:val="1"/>
              <w:rPr>
                <w:b/>
                <w:bCs/>
                <w:color w:val="auto"/>
                <w:szCs w:val="24"/>
              </w:rPr>
            </w:pPr>
            <w:r>
              <w:rPr>
                <w:rFonts w:hint="eastAsia"/>
                <w:b/>
                <w:bCs/>
                <w:color w:val="auto"/>
                <w:szCs w:val="24"/>
              </w:rPr>
              <w:t>1</w:t>
            </w:r>
            <w:r>
              <w:rPr>
                <w:b/>
                <w:bCs/>
                <w:color w:val="auto"/>
                <w:szCs w:val="24"/>
              </w:rPr>
              <w:t>.1</w:t>
            </w:r>
            <w:r>
              <w:rPr>
                <w:rFonts w:hint="eastAsia"/>
                <w:b/>
                <w:bCs/>
                <w:color w:val="auto"/>
                <w:szCs w:val="24"/>
              </w:rPr>
              <w:t>规划符合性分析</w:t>
            </w:r>
          </w:p>
          <w:p w14:paraId="2FA4384E">
            <w:pPr>
              <w:spacing w:after="0" w:line="460" w:lineRule="exact"/>
              <w:ind w:firstLine="480" w:firstLineChars="200"/>
              <w:rPr>
                <w:color w:val="auto"/>
                <w:szCs w:val="24"/>
              </w:rPr>
            </w:pPr>
            <w:r>
              <w:rPr>
                <w:color w:val="auto"/>
                <w:szCs w:val="24"/>
              </w:rPr>
              <w:t>1995</w:t>
            </w:r>
            <w:r>
              <w:rPr>
                <w:rFonts w:hint="eastAsia"/>
                <w:color w:val="auto"/>
                <w:szCs w:val="24"/>
              </w:rPr>
              <w:t>年</w:t>
            </w:r>
            <w:r>
              <w:rPr>
                <w:color w:val="auto"/>
                <w:szCs w:val="24"/>
              </w:rPr>
              <w:t>5</w:t>
            </w:r>
            <w:r>
              <w:rPr>
                <w:rFonts w:hint="eastAsia"/>
                <w:color w:val="auto"/>
                <w:szCs w:val="24"/>
              </w:rPr>
              <w:t>月</w:t>
            </w:r>
            <w:r>
              <w:rPr>
                <w:color w:val="auto"/>
                <w:szCs w:val="24"/>
              </w:rPr>
              <w:t>5</w:t>
            </w:r>
            <w:r>
              <w:rPr>
                <w:rFonts w:hint="eastAsia"/>
                <w:color w:val="auto"/>
                <w:szCs w:val="24"/>
              </w:rPr>
              <w:t>日，安徽省人民政府批复（皖政秘〔</w:t>
            </w:r>
            <w:r>
              <w:rPr>
                <w:color w:val="auto"/>
                <w:szCs w:val="24"/>
              </w:rPr>
              <w:t>1995</w:t>
            </w:r>
            <w:r>
              <w:rPr>
                <w:rFonts w:hint="eastAsia"/>
                <w:color w:val="auto"/>
                <w:szCs w:val="24"/>
              </w:rPr>
              <w:t>〕</w:t>
            </w:r>
            <w:r>
              <w:rPr>
                <w:color w:val="auto"/>
                <w:szCs w:val="24"/>
              </w:rPr>
              <w:t>88</w:t>
            </w:r>
            <w:r>
              <w:rPr>
                <w:rFonts w:hint="eastAsia"/>
                <w:color w:val="auto"/>
                <w:szCs w:val="24"/>
              </w:rPr>
              <w:t>号）淮南经济技术开发区总体规划，批准规划面积为</w:t>
            </w:r>
            <w:r>
              <w:rPr>
                <w:color w:val="auto"/>
                <w:szCs w:val="24"/>
              </w:rPr>
              <w:t>4.29km</w:t>
            </w:r>
            <w:r>
              <w:rPr>
                <w:color w:val="auto"/>
                <w:szCs w:val="24"/>
                <w:vertAlign w:val="superscript"/>
              </w:rPr>
              <w:t>2</w:t>
            </w:r>
            <w:r>
              <w:rPr>
                <w:rFonts w:hint="eastAsia"/>
                <w:color w:val="auto"/>
                <w:szCs w:val="24"/>
              </w:rPr>
              <w:t>，其中第一期开发建设面积为</w:t>
            </w:r>
            <w:r>
              <w:rPr>
                <w:color w:val="auto"/>
                <w:szCs w:val="24"/>
              </w:rPr>
              <w:t>2km</w:t>
            </w:r>
            <w:r>
              <w:rPr>
                <w:color w:val="auto"/>
                <w:szCs w:val="24"/>
                <w:vertAlign w:val="superscript"/>
              </w:rPr>
              <w:t>2</w:t>
            </w:r>
            <w:r>
              <w:rPr>
                <w:rFonts w:hint="eastAsia"/>
                <w:color w:val="auto"/>
                <w:szCs w:val="24"/>
              </w:rPr>
              <w:t>。四至范围为：东至中兴路，南至合阜铁路，西至建兴路—国庆东路—建设路，北至电厂路。主导产业为</w:t>
            </w:r>
            <w:r>
              <w:rPr>
                <w:rFonts w:hint="eastAsia" w:ascii="宋体" w:hAnsi="宋体"/>
                <w:color w:val="auto"/>
                <w:szCs w:val="24"/>
              </w:rPr>
              <w:t>专用设备和医药</w:t>
            </w:r>
            <w:r>
              <w:rPr>
                <w:rFonts w:hint="eastAsia"/>
                <w:color w:val="auto"/>
                <w:szCs w:val="24"/>
              </w:rPr>
              <w:t>。</w:t>
            </w:r>
          </w:p>
          <w:p w14:paraId="4A10C939">
            <w:pPr>
              <w:spacing w:after="0" w:line="460" w:lineRule="exact"/>
              <w:ind w:firstLine="480" w:firstLineChars="200"/>
              <w:rPr>
                <w:color w:val="0000FF"/>
                <w:szCs w:val="24"/>
              </w:rPr>
            </w:pPr>
            <w:r>
              <w:rPr>
                <w:color w:val="auto"/>
                <w:szCs w:val="24"/>
              </w:rPr>
              <w:t>2008</w:t>
            </w:r>
            <w:r>
              <w:rPr>
                <w:rFonts w:hint="eastAsia"/>
                <w:color w:val="auto"/>
                <w:szCs w:val="24"/>
              </w:rPr>
              <w:t>年，淮南市人民政府委托编制完成《淮南市东部工业区总体规划（</w:t>
            </w:r>
            <w:r>
              <w:rPr>
                <w:color w:val="auto"/>
                <w:szCs w:val="24"/>
              </w:rPr>
              <w:t>2008-2020</w:t>
            </w:r>
            <w:r>
              <w:rPr>
                <w:rFonts w:hint="eastAsia"/>
                <w:color w:val="auto"/>
                <w:szCs w:val="24"/>
              </w:rPr>
              <w:t>）》，规划范围为：南至合徐高速公路淮南连接线、西至田大路、东至洛九路、北至电厂路，规划面积</w:t>
            </w:r>
            <w:r>
              <w:rPr>
                <w:color w:val="auto"/>
                <w:szCs w:val="24"/>
              </w:rPr>
              <w:t>20km</w:t>
            </w:r>
            <w:r>
              <w:rPr>
                <w:color w:val="auto"/>
                <w:szCs w:val="24"/>
                <w:vertAlign w:val="superscript"/>
              </w:rPr>
              <w:t>2</w:t>
            </w:r>
            <w:r>
              <w:rPr>
                <w:rFonts w:hint="eastAsia"/>
                <w:color w:val="auto"/>
                <w:szCs w:val="24"/>
              </w:rPr>
              <w:t>，规划主导产业为</w:t>
            </w:r>
            <w:r>
              <w:rPr>
                <w:rFonts w:ascii="宋体" w:hAnsi="宋体"/>
                <w:color w:val="auto"/>
                <w:szCs w:val="24"/>
              </w:rPr>
              <w:t>“</w:t>
            </w:r>
            <w:r>
              <w:rPr>
                <w:rFonts w:hint="eastAsia" w:ascii="宋体" w:hAnsi="宋体"/>
                <w:color w:val="auto"/>
                <w:szCs w:val="24"/>
              </w:rPr>
              <w:t>生物医药、纺织服装、化学工业、机械电子与新型材料、食品加工、商贸流通</w:t>
            </w:r>
            <w:r>
              <w:rPr>
                <w:rFonts w:ascii="宋体" w:hAnsi="宋体"/>
                <w:color w:val="auto"/>
                <w:szCs w:val="24"/>
              </w:rPr>
              <w:t>”</w:t>
            </w:r>
            <w:r>
              <w:rPr>
                <w:rFonts w:hint="eastAsia"/>
                <w:color w:val="auto"/>
                <w:szCs w:val="24"/>
              </w:rPr>
              <w:t>。</w:t>
            </w:r>
          </w:p>
          <w:p w14:paraId="01047517">
            <w:pPr>
              <w:spacing w:after="0" w:line="460" w:lineRule="exact"/>
              <w:ind w:firstLine="480" w:firstLineChars="200"/>
              <w:rPr>
                <w:color w:val="auto"/>
                <w:szCs w:val="24"/>
              </w:rPr>
            </w:pPr>
            <w:r>
              <w:rPr>
                <w:color w:val="auto"/>
                <w:szCs w:val="24"/>
              </w:rPr>
              <w:t>2011</w:t>
            </w:r>
            <w:r>
              <w:rPr>
                <w:rFonts w:hint="eastAsia"/>
                <w:color w:val="auto"/>
                <w:szCs w:val="24"/>
              </w:rPr>
              <w:t>年</w:t>
            </w:r>
            <w:r>
              <w:rPr>
                <w:color w:val="auto"/>
                <w:szCs w:val="24"/>
              </w:rPr>
              <w:t>7</w:t>
            </w:r>
            <w:r>
              <w:rPr>
                <w:rFonts w:hint="eastAsia"/>
                <w:color w:val="auto"/>
                <w:szCs w:val="24"/>
              </w:rPr>
              <w:t>月</w:t>
            </w:r>
            <w:r>
              <w:rPr>
                <w:color w:val="auto"/>
                <w:szCs w:val="24"/>
              </w:rPr>
              <w:t>24</w:t>
            </w:r>
            <w:r>
              <w:rPr>
                <w:rFonts w:hint="eastAsia"/>
                <w:color w:val="auto"/>
                <w:szCs w:val="24"/>
              </w:rPr>
              <w:t>日，安徽省人民政府批准《关于同意安徽淮南经济技术开发区扩区的批复》（皖政秘〔</w:t>
            </w:r>
            <w:r>
              <w:rPr>
                <w:color w:val="auto"/>
                <w:szCs w:val="24"/>
              </w:rPr>
              <w:t>2011</w:t>
            </w:r>
            <w:r>
              <w:rPr>
                <w:rFonts w:hint="eastAsia"/>
                <w:color w:val="auto"/>
                <w:szCs w:val="24"/>
              </w:rPr>
              <w:t>〕</w:t>
            </w:r>
            <w:r>
              <w:rPr>
                <w:color w:val="auto"/>
                <w:szCs w:val="24"/>
              </w:rPr>
              <w:t>252</w:t>
            </w:r>
            <w:r>
              <w:rPr>
                <w:rFonts w:hint="eastAsia"/>
                <w:color w:val="auto"/>
                <w:szCs w:val="24"/>
              </w:rPr>
              <w:t>号），扩区后淮南经济技术开发区总体规划面积为</w:t>
            </w:r>
            <w:r>
              <w:rPr>
                <w:color w:val="auto"/>
                <w:szCs w:val="24"/>
              </w:rPr>
              <w:t>20</w:t>
            </w:r>
            <w:r>
              <w:rPr>
                <w:rFonts w:hint="eastAsia"/>
                <w:color w:val="auto"/>
                <w:szCs w:val="24"/>
              </w:rPr>
              <w:t>平方公里，规划范围为：东至</w:t>
            </w:r>
            <w:r>
              <w:rPr>
                <w:color w:val="auto"/>
                <w:szCs w:val="24"/>
              </w:rPr>
              <w:t>206</w:t>
            </w:r>
            <w:r>
              <w:rPr>
                <w:rFonts w:hint="eastAsia"/>
                <w:color w:val="auto"/>
                <w:szCs w:val="24"/>
              </w:rPr>
              <w:t>国道（洛九路），南至合徐高速淮南连接线公路，西至田大路，北至电厂路。扩区后淮南经济技术开发区与淮南东部工业区规划用地范围完全一致，淮南东部工业区即安徽淮南经济技术开发区。</w:t>
            </w:r>
          </w:p>
          <w:p w14:paraId="230C9D9E">
            <w:pPr>
              <w:spacing w:after="0" w:line="460" w:lineRule="exact"/>
              <w:ind w:firstLine="480" w:firstLineChars="200"/>
              <w:rPr>
                <w:color w:val="auto"/>
                <w:szCs w:val="24"/>
              </w:rPr>
            </w:pPr>
            <w:r>
              <w:rPr>
                <w:rFonts w:hint="eastAsia"/>
                <w:color w:val="auto"/>
                <w:szCs w:val="24"/>
              </w:rPr>
              <w:t>淮南东部工业区与安徽淮南经济技术开发区规划用地范围完全一致，淮南东部工业区即安徽淮南经济技术开发区。四至范围：南至合徐高速公路淮南连接线、西至田大路、东至洛九路、北至电厂路，总面积为</w:t>
            </w:r>
            <w:r>
              <w:rPr>
                <w:color w:val="auto"/>
                <w:szCs w:val="24"/>
              </w:rPr>
              <w:t>20</w:t>
            </w:r>
            <w:r>
              <w:rPr>
                <w:rFonts w:hint="eastAsia"/>
                <w:color w:val="auto"/>
                <w:szCs w:val="24"/>
              </w:rPr>
              <w:t>平方公里。</w:t>
            </w:r>
          </w:p>
          <w:p w14:paraId="60175DB8">
            <w:pPr>
              <w:spacing w:after="0" w:line="360" w:lineRule="auto"/>
              <w:ind w:firstLine="480" w:firstLineChars="200"/>
              <w:rPr>
                <w:color w:val="auto"/>
                <w:szCs w:val="24"/>
              </w:rPr>
            </w:pPr>
            <w:r>
              <w:rPr>
                <w:color w:val="auto"/>
              </w:rPr>
              <w:t>本项目属于</w:t>
            </w:r>
            <w:r>
              <w:rPr>
                <w:rFonts w:hint="eastAsia"/>
                <w:color w:val="auto"/>
                <w:lang w:eastAsia="zh-CN"/>
              </w:rPr>
              <w:t>C1431米、面制品制造</w:t>
            </w:r>
            <w:r>
              <w:rPr>
                <w:color w:val="auto"/>
              </w:rPr>
              <w:t>，位于</w:t>
            </w:r>
            <w:r>
              <w:rPr>
                <w:rFonts w:hint="eastAsia"/>
                <w:color w:val="auto"/>
                <w:lang w:eastAsia="zh-CN"/>
              </w:rPr>
              <w:t>安徽省淮南市淮南经济技术开发区高端装备产业园X4号楼一层</w:t>
            </w:r>
            <w:r>
              <w:rPr>
                <w:color w:val="auto"/>
              </w:rPr>
              <w:t>，</w:t>
            </w:r>
            <w:r>
              <w:rPr>
                <w:rFonts w:hint="eastAsia"/>
                <w:color w:val="auto"/>
              </w:rPr>
              <w:t>结合项目</w:t>
            </w:r>
            <w:r>
              <w:rPr>
                <w:color w:val="auto"/>
              </w:rPr>
              <w:t>所处的地理位置、区位条件、主导产业特征以及未来淮南市总体的城市发展条件等，依托现状的产业基础，考虑城市产业升级和结构转型的总体要求，按照“以发展资金、技术密集型产业为主、以兴办高新技术企业和现代制造业为主、以生产出口创汇产品为主”的指导思想，确定淮南经济开发区的六大主导产业为：（1）生物医药、（2）纺织服装、（3）化学工业、（4）</w:t>
            </w:r>
            <w:bookmarkStart w:id="15" w:name="OLE_LINK29"/>
            <w:r>
              <w:rPr>
                <w:color w:val="auto"/>
              </w:rPr>
              <w:t>机械电子与新型材料</w:t>
            </w:r>
            <w:bookmarkEnd w:id="15"/>
            <w:r>
              <w:rPr>
                <w:color w:val="auto"/>
              </w:rPr>
              <w:t>、（5）食品加工、（</w:t>
            </w:r>
            <w:r>
              <w:rPr>
                <w:color w:val="auto"/>
                <w:szCs w:val="24"/>
              </w:rPr>
              <w:t>6）商贸流通。</w:t>
            </w:r>
            <w:r>
              <w:rPr>
                <w:rFonts w:hint="eastAsia"/>
                <w:color w:val="auto"/>
                <w:szCs w:val="24"/>
              </w:rPr>
              <w:t>根据《淮南市东部工业园区总体规划》，本项目用地类型为工业用地，符合规划用地要求。对照《淮南经济技术开发区环境影响区域评估报告》中环境准入清单，本项目属于不属于规划产业禁止类、限制类项目，可视为允许类，符合规划主导产业要求。</w:t>
            </w:r>
          </w:p>
          <w:p w14:paraId="36077AF6">
            <w:pPr>
              <w:spacing w:after="0" w:line="360" w:lineRule="auto"/>
              <w:rPr>
                <w:rFonts w:hint="eastAsia"/>
                <w:color w:val="0000FF"/>
              </w:rPr>
            </w:pPr>
            <w:r>
              <w:rPr>
                <w:sz w:val="24"/>
              </w:rPr>
              <mc:AlternateContent>
                <mc:Choice Requires="wps">
                  <w:drawing>
                    <wp:anchor distT="0" distB="0" distL="114300" distR="114300" simplePos="0" relativeHeight="251683840" behindDoc="0" locked="0" layoutInCell="1" allowOverlap="1">
                      <wp:simplePos x="0" y="0"/>
                      <wp:positionH relativeFrom="column">
                        <wp:posOffset>3024505</wp:posOffset>
                      </wp:positionH>
                      <wp:positionV relativeFrom="paragraph">
                        <wp:posOffset>3521710</wp:posOffset>
                      </wp:positionV>
                      <wp:extent cx="132080" cy="102235"/>
                      <wp:effectExtent l="27305" t="20320" r="31115" b="29845"/>
                      <wp:wrapNone/>
                      <wp:docPr id="20" name="五角星 20"/>
                      <wp:cNvGraphicFramePr/>
                      <a:graphic xmlns:a="http://schemas.openxmlformats.org/drawingml/2006/main">
                        <a:graphicData uri="http://schemas.microsoft.com/office/word/2010/wordprocessingShape">
                          <wps:wsp>
                            <wps:cNvSpPr/>
                            <wps:spPr>
                              <a:xfrm>
                                <a:off x="4549775" y="6661785"/>
                                <a:ext cx="132080" cy="102235"/>
                              </a:xfrm>
                              <a:prstGeom prst="star5">
                                <a:avLst>
                                  <a:gd name="adj" fmla="val 16853"/>
                                  <a:gd name="hf" fmla="val 105146"/>
                                  <a:gd name="vf" fmla="val 110557"/>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8.15pt;margin-top:277.3pt;height:8.05pt;width:10.4pt;z-index:251683840;v-text-anchor:middle;mso-width-relative:page;mso-height-relative:page;" fillcolor="#FF0000" filled="t" stroked="t" coordsize="132080,102235" o:gfxdata="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ZbyMWtwAAAALAQAADwAAAAAAAAABACAAAAAiAAAA&#10;ZHJzL2Rvd25yZXYueG1sUEsBAhQAFAAAAAgAh07iQHMn7NauAgAAdwUAAA4AAAAAAAAAAQAgAAAA&#10;KwEAAGRycy9lMm9Eb2MueG1sUEsFBgAAAAAGAAYAWQEAAEsGAAAAAA==&#10;" path="m0,39050l52282,41103,66040,0,79797,41103,132079,39050,88299,62400,106854,102234,66040,75562,25225,102234,43780,62400xe">
                      <v:path o:connectlocs="66040,0;0,39050;25225,102234;106854,102234;132079,39050" o:connectangles="247,164,82,82,0"/>
                      <v:fill on="t" focussize="0,0"/>
                      <v:stroke weight="1pt" color="#FF0000 [2404]" miterlimit="8" joinstyle="miter"/>
                      <v:imagedata o:title=""/>
                      <o:lock v:ext="edit" aspectratio="f"/>
                    </v:shape>
                  </w:pict>
                </mc:Fallback>
              </mc:AlternateContent>
            </w:r>
            <w:r>
              <w:rPr>
                <w:rFonts w:hint="eastAsia"/>
                <w:color w:val="0000FF"/>
              </w:rPr>
              <mc:AlternateContent>
                <mc:Choice Requires="wps">
                  <w:drawing>
                    <wp:anchor distT="0" distB="0" distL="114300" distR="114300" simplePos="0" relativeHeight="251664384" behindDoc="0" locked="0" layoutInCell="1" allowOverlap="1">
                      <wp:simplePos x="0" y="0"/>
                      <wp:positionH relativeFrom="column">
                        <wp:posOffset>2093595</wp:posOffset>
                      </wp:positionH>
                      <wp:positionV relativeFrom="paragraph">
                        <wp:posOffset>2982595</wp:posOffset>
                      </wp:positionV>
                      <wp:extent cx="1033145" cy="293370"/>
                      <wp:effectExtent l="0" t="0" r="14605" b="297180"/>
                      <wp:wrapNone/>
                      <wp:docPr id="13" name="矩形标注 13"/>
                      <wp:cNvGraphicFramePr/>
                      <a:graphic xmlns:a="http://schemas.openxmlformats.org/drawingml/2006/main">
                        <a:graphicData uri="http://schemas.microsoft.com/office/word/2010/wordprocessingShape">
                          <wps:wsp>
                            <wps:cNvSpPr/>
                            <wps:spPr>
                              <a:xfrm>
                                <a:off x="0" y="0"/>
                                <a:ext cx="1033145" cy="293370"/>
                              </a:xfrm>
                              <a:prstGeom prst="wedgeRectCallout">
                                <a:avLst>
                                  <a:gd name="adj1" fmla="val 40486"/>
                                  <a:gd name="adj2" fmla="val 142325"/>
                                </a:avLst>
                              </a:prstGeom>
                              <a:solidFill>
                                <a:schemeClr val="bg1"/>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68B754">
                                  <w:pPr>
                                    <w:jc w:val="center"/>
                                  </w:pPr>
                                  <w:r>
                                    <w:rPr>
                                      <w:rFonts w:hint="eastAsia"/>
                                      <w:b/>
                                      <w:color w:val="FF0000"/>
                                    </w:rPr>
                                    <w:t>本项目位置</w:t>
                                  </w:r>
                                  <w:r>
                                    <w:t>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64.85pt;margin-top:234.85pt;height:23.1pt;width:81.35pt;z-index:251664384;v-text-anchor:middle;mso-width-relative:page;mso-height-relative:page;" fillcolor="#FFFFFF [3212]" filled="t" stroked="t" coordsize="21600,21600" o:gfxdata="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Hk5vmvaAAAACwEAAA8AAAAAAAAAAQAgAAAAIgAAAGRy&#10;cy9kb3ducmV2LnhtbFBLAQIUABQAAAAIAIdO4kD7ARGkrgIAAGUFAAAOAAAAAAAAAAEAIAAAACkB&#10;AABkcnMvZTJvRG9jLnhtbFBLBQYAAAAABgAGAFkBAABJBgAAAAA=&#10;" adj="19545,41542">
                      <v:fill on="t" focussize="0,0"/>
                      <v:stroke weight="1pt" color="#FF0000 [3204]" miterlimit="8" joinstyle="miter"/>
                      <v:imagedata o:title=""/>
                      <o:lock v:ext="edit" aspectratio="f"/>
                      <v:textbox>
                        <w:txbxContent>
                          <w:p w14:paraId="3668B754">
                            <w:pPr>
                              <w:jc w:val="center"/>
                            </w:pPr>
                            <w:r>
                              <w:rPr>
                                <w:rFonts w:hint="eastAsia"/>
                                <w:b/>
                                <w:color w:val="FF0000"/>
                              </w:rPr>
                              <w:t>本项目位置</w:t>
                            </w:r>
                            <w:r>
                              <w:t>置</w:t>
                            </w:r>
                          </w:p>
                        </w:txbxContent>
                      </v:textbox>
                    </v:shape>
                  </w:pict>
                </mc:Fallback>
              </mc:AlternateContent>
            </w:r>
            <w:r>
              <w:rPr>
                <w:rFonts w:hint="eastAsia"/>
                <w:color w:val="0000FF"/>
              </w:rPr>
              <w:drawing>
                <wp:inline distT="0" distB="0" distL="0" distR="0">
                  <wp:extent cx="5038725" cy="6247130"/>
                  <wp:effectExtent l="0" t="0" r="0" b="1270"/>
                  <wp:docPr id="9" name="图片 9" descr="C:\Users\Administrator\Documents\WeChat Files\laona059680\FileStorage\Temp\eb8ed7e96d8f2bd041ca5f8ba2baff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Documents\WeChat Files\laona059680\FileStorage\Temp\eb8ed7e96d8f2bd041ca5f8ba2baff7.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5091432" cy="6312949"/>
                          </a:xfrm>
                          <a:prstGeom prst="rect">
                            <a:avLst/>
                          </a:prstGeom>
                          <a:noFill/>
                          <a:ln>
                            <a:noFill/>
                          </a:ln>
                        </pic:spPr>
                      </pic:pic>
                    </a:graphicData>
                  </a:graphic>
                </wp:inline>
              </w:drawing>
            </w:r>
          </w:p>
          <w:p w14:paraId="54F27AB0">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图 </w:t>
            </w:r>
            <w:r>
              <w:rPr>
                <w:rFonts w:hint="eastAsia"/>
                <w:lang w:val="en-US" w:eastAsia="zh-CN"/>
              </w:rPr>
              <w:t>1</w:t>
            </w:r>
            <w:r>
              <w:rPr>
                <w:rFonts w:hint="eastAsia"/>
                <w:lang w:eastAsia="zh-CN"/>
              </w:rPr>
              <w:t>-</w:t>
            </w:r>
            <w:r>
              <w:fldChar w:fldCharType="begin"/>
            </w:r>
            <w:r>
              <w:instrText xml:space="preserve"> SEQ 图 \* ARABIC \s 1 </w:instrText>
            </w:r>
            <w:r>
              <w:fldChar w:fldCharType="separate"/>
            </w:r>
            <w:r>
              <w:t>1</w:t>
            </w:r>
            <w:r>
              <w:fldChar w:fldCharType="end"/>
            </w:r>
            <w:r>
              <w:rPr>
                <w:rFonts w:hint="eastAsia"/>
                <w:lang w:val="en-US" w:eastAsia="zh-CN"/>
              </w:rPr>
              <w:t xml:space="preserve"> </w:t>
            </w:r>
            <w:r>
              <w:rPr>
                <w:rFonts w:hint="eastAsia"/>
                <w:color w:val="auto"/>
              </w:rPr>
              <w:t>本</w:t>
            </w:r>
            <w:r>
              <w:rPr>
                <w:color w:val="auto"/>
              </w:rPr>
              <w:t>项目</w:t>
            </w:r>
            <w:r>
              <w:rPr>
                <w:rFonts w:hint="eastAsia"/>
                <w:color w:val="auto"/>
                <w:lang w:val="en-US" w:eastAsia="zh-CN"/>
              </w:rPr>
              <w:t>所</w:t>
            </w:r>
            <w:r>
              <w:rPr>
                <w:color w:val="auto"/>
              </w:rPr>
              <w:t>在淮南市东部工业区总体规划（2008-2020）位置图</w:t>
            </w:r>
          </w:p>
          <w:p w14:paraId="5804F610">
            <w:pPr>
              <w:spacing w:after="0" w:line="460" w:lineRule="exact"/>
              <w:rPr>
                <w:b/>
                <w:bCs/>
                <w:color w:val="auto"/>
              </w:rPr>
            </w:pPr>
            <w:r>
              <w:rPr>
                <w:b/>
                <w:bCs/>
                <w:color w:val="auto"/>
              </w:rPr>
              <w:t>1.2规划选址符合性分析</w:t>
            </w:r>
          </w:p>
          <w:p w14:paraId="516098EE">
            <w:pPr>
              <w:pStyle w:val="771"/>
              <w:bidi w:val="0"/>
              <w:rPr>
                <w:rFonts w:hint="eastAsia"/>
                <w:lang w:val="zh-CN" w:eastAsia="zh-CN"/>
              </w:rPr>
            </w:pPr>
            <w:r>
              <w:rPr>
                <w:rFonts w:hint="eastAsia"/>
                <w:lang w:val="zh-CN" w:eastAsia="zh-CN"/>
              </w:rPr>
              <w:t>1、规划用地可行性分析</w:t>
            </w:r>
          </w:p>
          <w:p w14:paraId="01D7C97E">
            <w:pPr>
              <w:pStyle w:val="771"/>
              <w:bidi w:val="0"/>
              <w:rPr>
                <w:lang w:val="zh-CN"/>
              </w:rPr>
            </w:pPr>
            <w:r>
              <w:rPr>
                <w:rFonts w:hint="eastAsia"/>
                <w:lang w:val="zh-CN" w:eastAsia="zh-CN"/>
              </w:rPr>
              <w:t>本项目位于</w:t>
            </w:r>
            <w:r>
              <w:rPr>
                <w:rFonts w:hint="eastAsia"/>
                <w:lang w:val="en-US" w:eastAsia="zh-CN"/>
              </w:rPr>
              <w:t>淮南经济技术开发区高端装备产业园X4号楼一层</w:t>
            </w:r>
            <w:r>
              <w:rPr>
                <w:rFonts w:hint="eastAsia"/>
                <w:lang w:val="zh-CN" w:eastAsia="zh-CN"/>
              </w:rPr>
              <w:t>，项目所在地用地性</w:t>
            </w:r>
            <w:r>
              <w:rPr>
                <w:lang w:val="zh-CN"/>
              </w:rPr>
              <w:t>质为二类工业用</w:t>
            </w:r>
            <w:r>
              <w:t>地（详见图</w:t>
            </w:r>
            <w:r>
              <w:rPr>
                <w:rFonts w:hint="eastAsia"/>
                <w:lang w:val="en-US" w:eastAsia="zh-CN"/>
              </w:rPr>
              <w:t>1-2</w:t>
            </w:r>
            <w:r>
              <w:t>淮南市</w:t>
            </w:r>
            <w:r>
              <w:rPr>
                <w:rFonts w:hint="eastAsia"/>
              </w:rPr>
              <w:t>国土空间总体</w:t>
            </w:r>
            <w:r>
              <w:t>规划图），所在</w:t>
            </w:r>
            <w:r>
              <w:rPr>
                <w:lang w:val="zh-CN"/>
              </w:rPr>
              <w:t>地</w:t>
            </w:r>
            <w:r>
              <w:t>厂区</w:t>
            </w:r>
            <w:r>
              <w:rPr>
                <w:rFonts w:hint="eastAsia"/>
                <w:lang w:eastAsia="zh-CN"/>
              </w:rPr>
              <w:t>四周均为</w:t>
            </w:r>
            <w:r>
              <w:rPr>
                <w:rFonts w:hint="eastAsia"/>
                <w:lang w:val="en-US" w:eastAsia="zh-CN"/>
              </w:rPr>
              <w:t>园区道路和标准化厂房</w:t>
            </w:r>
            <w:r>
              <w:rPr>
                <w:lang w:val="zh-CN"/>
              </w:rPr>
              <w:t>，建设规模、选址、设点、布局均与周围环境相容，在采取本环评中要求的污染防治措施后，各项污染物均可达标排放，对周边环境影响很小。</w:t>
            </w:r>
          </w:p>
          <w:p w14:paraId="4E5990E2">
            <w:pPr>
              <w:pStyle w:val="771"/>
              <w:bidi w:val="0"/>
              <w:rPr>
                <w:lang w:val="zh-CN"/>
              </w:rPr>
            </w:pPr>
            <w:r>
              <w:rPr>
                <w:rFonts w:hint="eastAsia"/>
                <w:lang w:val="zh-CN"/>
              </w:rPr>
              <w:t>2、</w:t>
            </w:r>
            <w:r>
              <w:rPr>
                <w:lang w:val="zh-CN"/>
              </w:rPr>
              <w:t>环境相容性分析</w:t>
            </w:r>
          </w:p>
          <w:p w14:paraId="61E00BC4">
            <w:pPr>
              <w:pStyle w:val="771"/>
              <w:bidi w:val="0"/>
              <w:rPr>
                <w:rFonts w:hint="eastAsia" w:ascii="Times New Roman" w:hAnsi="Times New Roman" w:eastAsia="宋体" w:cs="Times New Roman"/>
                <w:color w:val="auto"/>
                <w:lang w:val="zh-CN" w:eastAsia="zh-CN"/>
              </w:rPr>
            </w:pPr>
            <w:r>
              <w:rPr>
                <w:rFonts w:ascii="Times New Roman" w:hAnsi="Times New Roman" w:eastAsia="宋体" w:cs="Times New Roman"/>
                <w:color w:val="auto"/>
                <w:lang w:val="zh-CN"/>
              </w:rPr>
              <w:t>根据现场踏勘，</w:t>
            </w:r>
            <w:r>
              <w:rPr>
                <w:rFonts w:hint="eastAsia" w:ascii="Times New Roman" w:hAnsi="Times New Roman" w:eastAsia="宋体" w:cs="Times New Roman"/>
                <w:color w:val="auto"/>
                <w:lang w:val="zh-CN" w:eastAsia="zh-CN"/>
              </w:rPr>
              <w:t>淮南经济技术开发区高端装备产业园X4</w:t>
            </w:r>
            <w:r>
              <w:rPr>
                <w:rFonts w:hint="eastAsia"/>
                <w:lang w:val="en-US" w:eastAsia="zh-CN"/>
              </w:rPr>
              <w:t>号楼总共为三层，本项目</w:t>
            </w:r>
            <w:r>
              <w:rPr>
                <w:rFonts w:hint="eastAsia" w:ascii="Times New Roman" w:hAnsi="Times New Roman" w:eastAsia="宋体" w:cs="Times New Roman"/>
                <w:color w:val="auto"/>
                <w:lang w:val="zh-CN"/>
              </w:rPr>
              <w:t>租赁</w:t>
            </w:r>
            <w:r>
              <w:rPr>
                <w:rFonts w:hint="eastAsia"/>
                <w:lang w:val="en-US" w:eastAsia="zh-CN"/>
              </w:rPr>
              <w:t>一层</w:t>
            </w:r>
            <w:r>
              <w:rPr>
                <w:rFonts w:ascii="Times New Roman" w:hAnsi="Times New Roman" w:eastAsia="宋体" w:cs="Times New Roman"/>
                <w:color w:val="auto"/>
                <w:lang w:val="zh-CN"/>
              </w:rPr>
              <w:t>进行</w:t>
            </w:r>
            <w:r>
              <w:rPr>
                <w:rFonts w:hint="eastAsia" w:ascii="Times New Roman" w:hAnsi="Times New Roman" w:eastAsia="宋体" w:cs="Times New Roman"/>
                <w:color w:val="auto"/>
                <w:lang w:val="zh-CN"/>
              </w:rPr>
              <w:t>建设</w:t>
            </w:r>
            <w:r>
              <w:rPr>
                <w:rFonts w:hint="eastAsia"/>
                <w:lang w:val="en-US" w:eastAsia="zh-CN"/>
              </w:rPr>
              <w:t>，并且加建一层隔层，</w:t>
            </w:r>
            <w:r>
              <w:rPr>
                <w:rFonts w:hint="eastAsia" w:ascii="Times New Roman" w:hAnsi="Times New Roman" w:eastAsia="宋体" w:cs="Times New Roman"/>
                <w:color w:val="auto"/>
                <w:lang w:val="zh-CN" w:eastAsia="zh-CN"/>
              </w:rPr>
              <w:t>X4</w:t>
            </w:r>
            <w:r>
              <w:rPr>
                <w:rFonts w:hint="eastAsia"/>
                <w:lang w:val="en-US" w:eastAsia="zh-CN"/>
              </w:rPr>
              <w:t>号楼二层、三层暂无企业入驻</w:t>
            </w:r>
            <w:r>
              <w:rPr>
                <w:rFonts w:hint="eastAsia" w:ascii="Times New Roman" w:hAnsi="Times New Roman" w:eastAsia="宋体" w:cs="Times New Roman"/>
                <w:color w:val="auto"/>
                <w:lang w:val="en-US" w:eastAsia="zh-CN"/>
              </w:rPr>
              <w:t>。</w:t>
            </w:r>
            <w:r>
              <w:rPr>
                <w:rFonts w:hint="default" w:ascii="Times New Roman" w:hAnsi="Times New Roman" w:eastAsia="宋体" w:cs="Times New Roman"/>
                <w:color w:val="auto"/>
                <w:lang w:val="en-US" w:eastAsia="zh-CN"/>
              </w:rPr>
              <w:t>项目</w:t>
            </w:r>
            <w:r>
              <w:rPr>
                <w:rFonts w:hint="eastAsia" w:ascii="Times New Roman" w:hAnsi="Times New Roman" w:eastAsia="宋体" w:cs="Times New Roman"/>
                <w:color w:val="auto"/>
                <w:lang w:val="en-US" w:eastAsia="zh-CN"/>
              </w:rPr>
              <w:t>所在高端装备产业园目前已入驻1家企业，为本项目东侧118m为安徽依诺基科生物科技有限公司</w:t>
            </w:r>
            <w:r>
              <w:rPr>
                <w:rFonts w:hint="eastAsia" w:ascii="Times New Roman" w:hAnsi="Times New Roman" w:eastAsia="宋体" w:cs="Times New Roman"/>
                <w:color w:val="auto"/>
                <w:lang w:val="zh-CN" w:eastAsia="zh-CN"/>
              </w:rPr>
              <w:t>，主要生产食品添加剂</w:t>
            </w:r>
            <w:r>
              <w:rPr>
                <w:rFonts w:hint="eastAsia" w:ascii="Times New Roman" w:hAnsi="Times New Roman" w:eastAsia="宋体" w:cs="Times New Roman"/>
                <w:color w:val="auto"/>
                <w:lang w:val="en-US" w:eastAsia="zh-CN"/>
              </w:rPr>
              <w:t>，属于其他食品</w:t>
            </w:r>
            <w:r>
              <w:rPr>
                <w:rFonts w:ascii="Times New Roman" w:hAnsi="Times New Roman" w:eastAsia="宋体" w:cs="Times New Roman"/>
                <w:color w:val="auto"/>
                <w:lang w:val="zh-CN"/>
              </w:rPr>
              <w:t>制造</w:t>
            </w:r>
            <w:r>
              <w:rPr>
                <w:rFonts w:hint="eastAsia" w:ascii="Times New Roman" w:hAnsi="Times New Roman" w:eastAsia="宋体" w:cs="Times New Roman"/>
                <w:color w:val="auto"/>
                <w:lang w:val="zh-CN" w:eastAsia="zh-CN"/>
              </w:rPr>
              <w:t>行业。</w:t>
            </w:r>
          </w:p>
          <w:p w14:paraId="36A693A1">
            <w:pPr>
              <w:pStyle w:val="771"/>
              <w:bidi w:val="0"/>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对照GB14881-2013《食品安全国家标准 食品生产通用卫生规范》：“</w:t>
            </w:r>
            <w:r>
              <w:rPr>
                <w:rFonts w:hint="eastAsia" w:ascii="Times New Roman" w:hAnsi="Times New Roman" w:eastAsia="宋体" w:cs="Times New Roman"/>
                <w:color w:val="auto"/>
                <w:lang w:val="zh-CN" w:eastAsia="zh-CN"/>
              </w:rPr>
              <w:t>3.1.1厂区不应选择对食品有显著污染的区域。如某地对食品安全和食品宜食用性存在明显的不利影响，且无法通过采取措施加以改善，应避免在该地址建厂。3.1.2厂区不应选择有害废弃物以及粉尘、有害气体、放射性物质和其他扩散性污染源不能有效清除的地址。</w:t>
            </w:r>
            <w:r>
              <w:rPr>
                <w:rFonts w:hint="eastAsia" w:ascii="Times New Roman" w:hAnsi="Times New Roman" w:eastAsia="宋体" w:cs="Times New Roman"/>
                <w:color w:val="auto"/>
                <w:lang w:val="en-US" w:eastAsia="zh-CN"/>
              </w:rPr>
              <w:t>”本项目选址区域不存在严重的</w:t>
            </w:r>
            <w:r>
              <w:rPr>
                <w:rFonts w:hint="eastAsia" w:ascii="Times New Roman" w:hAnsi="Times New Roman" w:eastAsia="宋体" w:cs="Times New Roman"/>
                <w:color w:val="auto"/>
                <w:lang w:val="zh-CN" w:eastAsia="zh-CN"/>
              </w:rPr>
              <w:t>粉尘、有害气体、放射性物质</w:t>
            </w:r>
            <w:r>
              <w:rPr>
                <w:rFonts w:hint="eastAsia" w:ascii="Times New Roman" w:hAnsi="Times New Roman" w:eastAsia="宋体" w:cs="Times New Roman"/>
                <w:color w:val="auto"/>
                <w:lang w:val="en-US" w:eastAsia="zh-CN"/>
              </w:rPr>
              <w:t>污染源，可以满足食品生产通用卫生规范要求。</w:t>
            </w:r>
          </w:p>
          <w:p w14:paraId="5B4D8168">
            <w:pPr>
              <w:pStyle w:val="771"/>
              <w:bidi w:val="0"/>
              <w:rPr>
                <w:rFonts w:hint="eastAsia" w:ascii="Times New Roman" w:hAnsi="Times New Roman" w:eastAsia="宋体" w:cs="Times New Roman"/>
                <w:color w:val="auto"/>
                <w:lang w:val="en-US" w:eastAsia="zh-CN"/>
              </w:rPr>
            </w:pPr>
            <w:r>
              <w:rPr>
                <w:lang w:val="zh-CN"/>
              </w:rPr>
              <w:t>项目所在区域既不涉及饮用水源保护区、自然保护区等依法设立的自然、文化保护地，也不是基本农田、基本森林、重要湿地等生态敏感与脆弱区，同时也不是具历史、文化、科</w:t>
            </w:r>
            <w:r>
              <w:rPr>
                <w:rFonts w:ascii="Times New Roman" w:hAnsi="Times New Roman" w:eastAsia="宋体" w:cs="Times New Roman"/>
                <w:color w:val="auto"/>
                <w:lang w:val="zh-CN"/>
              </w:rPr>
              <w:t>学、民族意义的保护区及社会</w:t>
            </w:r>
            <w:r>
              <w:rPr>
                <w:lang w:val="zh-CN"/>
              </w:rPr>
              <w:t>关注区。</w:t>
            </w:r>
          </w:p>
          <w:p w14:paraId="5A91EB90">
            <w:pPr>
              <w:pStyle w:val="771"/>
              <w:bidi w:val="0"/>
              <w:rPr>
                <w:rFonts w:hint="default"/>
                <w:lang w:val="en-US" w:eastAsia="zh-CN"/>
              </w:rPr>
            </w:pPr>
            <w:r>
              <w:rPr>
                <w:rFonts w:hint="eastAsia"/>
                <w:lang w:val="en-US" w:eastAsia="zh-CN"/>
              </w:rPr>
              <w:t>根据工程分析，</w:t>
            </w:r>
            <w:r>
              <w:rPr>
                <w:rFonts w:hint="default"/>
              </w:rPr>
              <w:t>本项目自身产污环节较少，污染物相对简单，在落实本次环评提出的相关污染防治措施，并认真履行“三同时”制度后，各污染物均可实现达标排放，且不会降低评价区域原有功能级别，对区域环境影响较小</w:t>
            </w:r>
            <w:r>
              <w:rPr>
                <w:rFonts w:hint="eastAsia"/>
                <w:lang w:eastAsia="zh-CN"/>
              </w:rPr>
              <w:t>；</w:t>
            </w:r>
            <w:r>
              <w:rPr>
                <w:rFonts w:hint="eastAsia"/>
                <w:lang w:val="en-US" w:eastAsia="zh-CN"/>
              </w:rPr>
              <w:t>且周边环境对本项目也影响较小。</w:t>
            </w:r>
          </w:p>
          <w:p w14:paraId="5D180B17">
            <w:pPr>
              <w:pStyle w:val="771"/>
              <w:bidi w:val="0"/>
              <w:rPr>
                <w:rFonts w:ascii="Times New Roman" w:hAnsi="Times New Roman" w:eastAsia="宋体" w:cs="Times New Roman"/>
                <w:color w:val="auto"/>
                <w:lang w:val="zh-CN"/>
              </w:rPr>
            </w:pPr>
            <w:r>
              <w:rPr>
                <w:rFonts w:hint="default"/>
              </w:rPr>
              <w:t>综上</w:t>
            </w:r>
            <w:r>
              <w:rPr>
                <w:rFonts w:hint="eastAsia"/>
                <w:lang w:val="en-US" w:eastAsia="zh-CN"/>
              </w:rPr>
              <w:t>分析</w:t>
            </w:r>
            <w:r>
              <w:rPr>
                <w:rFonts w:hint="default"/>
              </w:rPr>
              <w:t>，</w:t>
            </w:r>
            <w:r>
              <w:rPr>
                <w:rFonts w:hint="eastAsia"/>
                <w:lang w:val="en-US" w:eastAsia="zh-CN"/>
              </w:rPr>
              <w:t>本项目与园区及周边环境相容性较好</w:t>
            </w:r>
            <w:r>
              <w:rPr>
                <w:rFonts w:hint="eastAsia"/>
                <w:lang w:eastAsia="zh-CN"/>
              </w:rPr>
              <w:t>，</w:t>
            </w:r>
            <w:r>
              <w:rPr>
                <w:rFonts w:hint="default"/>
              </w:rPr>
              <w:t>选址较为合理。</w:t>
            </w:r>
          </w:p>
          <w:p w14:paraId="7E6E4BCA">
            <w:pPr>
              <w:spacing w:after="0" w:line="460" w:lineRule="exact"/>
              <w:ind w:firstLine="480" w:firstLineChars="200"/>
              <w:rPr>
                <w:bCs/>
                <w:color w:val="auto"/>
              </w:rPr>
            </w:pPr>
            <w:r>
              <w:rPr>
                <w:rFonts w:hint="eastAsia"/>
                <w:bCs/>
                <w:color w:val="auto"/>
              </w:rPr>
              <w:t>3、</w:t>
            </w:r>
            <w:r>
              <w:rPr>
                <w:bCs/>
                <w:color w:val="auto"/>
              </w:rPr>
              <w:t>区域配套</w:t>
            </w:r>
          </w:p>
          <w:p w14:paraId="685E8DCD">
            <w:pPr>
              <w:pStyle w:val="180"/>
              <w:wordWrap/>
              <w:ind w:firstLine="480"/>
              <w:rPr>
                <w:color w:val="auto"/>
              </w:rPr>
            </w:pPr>
            <w:r>
              <w:rPr>
                <w:color w:val="auto"/>
              </w:rPr>
              <w:t>本项目位于安徽省淮南市淮南经济技术开发区，项目区域范围内供水、排水、电力、蒸汽、</w:t>
            </w:r>
            <w:r>
              <w:rPr>
                <w:rFonts w:hint="eastAsia"/>
                <w:color w:val="auto"/>
                <w:lang w:val="en-US" w:eastAsia="zh-CN"/>
              </w:rPr>
              <w:t>通讯</w:t>
            </w:r>
            <w:r>
              <w:rPr>
                <w:color w:val="auto"/>
              </w:rPr>
              <w:t>等基础设施完善，本项目所在</w:t>
            </w:r>
            <w:r>
              <w:rPr>
                <w:rFonts w:hint="eastAsia"/>
                <w:color w:val="auto"/>
                <w:lang w:val="en-US" w:eastAsia="zh-CN"/>
              </w:rPr>
              <w:t>区域</w:t>
            </w:r>
            <w:r>
              <w:rPr>
                <w:color w:val="auto"/>
              </w:rPr>
              <w:t>交通较为便利。</w:t>
            </w:r>
          </w:p>
          <w:p w14:paraId="0E72D069">
            <w:pPr>
              <w:spacing w:after="0" w:line="460" w:lineRule="exact"/>
              <w:ind w:firstLine="480" w:firstLineChars="200"/>
              <w:rPr>
                <w:b/>
                <w:bCs/>
                <w:color w:val="0000FF"/>
                <w:szCs w:val="24"/>
              </w:rPr>
            </w:pPr>
            <w:r>
              <w:rPr>
                <w:color w:val="auto"/>
              </w:rPr>
              <w:t>综上，从</w:t>
            </w:r>
            <w:r>
              <w:rPr>
                <w:rFonts w:hint="eastAsia"/>
                <w:color w:val="auto"/>
              </w:rPr>
              <w:t>规划用地可行性、</w:t>
            </w:r>
            <w:r>
              <w:rPr>
                <w:color w:val="auto"/>
              </w:rPr>
              <w:t>环境相容性、区域配套等方面考量，本项目选址符合</w:t>
            </w:r>
            <w:r>
              <w:rPr>
                <w:rFonts w:hint="eastAsia"/>
                <w:color w:val="auto"/>
              </w:rPr>
              <w:t>国家及地方的政策、规划要求，选址</w:t>
            </w:r>
            <w:r>
              <w:rPr>
                <w:color w:val="auto"/>
              </w:rPr>
              <w:t>较为合理。</w:t>
            </w:r>
          </w:p>
        </w:tc>
      </w:tr>
    </w:tbl>
    <w:p w14:paraId="79745F40">
      <w:pPr>
        <w:spacing w:after="0"/>
        <w:rPr>
          <w:color w:val="0000FF"/>
        </w:rPr>
        <w:sectPr>
          <w:headerReference r:id="rId11" w:type="default"/>
          <w:footerReference r:id="rId12" w:type="default"/>
          <w:pgSz w:w="11907" w:h="16840"/>
          <w:pgMar w:top="1440" w:right="1440" w:bottom="1440" w:left="1440" w:header="851" w:footer="851" w:gutter="0"/>
          <w:pgNumType w:fmt="decimal" w:start="1"/>
          <w:cols w:space="720" w:num="1"/>
          <w:docGrid w:linePitch="312" w:charSpace="0"/>
        </w:sectPr>
      </w:pPr>
    </w:p>
    <w:p w14:paraId="007701F4">
      <w:pPr>
        <w:spacing w:after="0"/>
        <w:jc w:val="center"/>
      </w:pPr>
      <w:r>
        <w:rPr>
          <w:sz w:val="24"/>
        </w:rPr>
        <mc:AlternateContent>
          <mc:Choice Requires="wps">
            <w:drawing>
              <wp:anchor distT="0" distB="0" distL="114300" distR="114300" simplePos="0" relativeHeight="251669504" behindDoc="0" locked="0" layoutInCell="1" allowOverlap="1">
                <wp:simplePos x="0" y="0"/>
                <wp:positionH relativeFrom="column">
                  <wp:posOffset>2234565</wp:posOffset>
                </wp:positionH>
                <wp:positionV relativeFrom="paragraph">
                  <wp:posOffset>4451350</wp:posOffset>
                </wp:positionV>
                <wp:extent cx="690245" cy="285750"/>
                <wp:effectExtent l="4445" t="4445" r="10160" b="14605"/>
                <wp:wrapNone/>
                <wp:docPr id="17" name="文本框 17"/>
                <wp:cNvGraphicFramePr/>
                <a:graphic xmlns:a="http://schemas.openxmlformats.org/drawingml/2006/main">
                  <a:graphicData uri="http://schemas.microsoft.com/office/word/2010/wordprocessingShape">
                    <wps:wsp>
                      <wps:cNvSpPr txBox="1"/>
                      <wps:spPr>
                        <a:xfrm>
                          <a:off x="2914015" y="4972050"/>
                          <a:ext cx="690245" cy="2857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3B193FA">
                            <w:pPr>
                              <w:rPr>
                                <w:rFonts w:hint="eastAsia" w:eastAsia="宋体"/>
                                <w:color w:val="FF0000"/>
                                <w:lang w:eastAsia="zh-CN"/>
                              </w:rPr>
                            </w:pPr>
                            <w:r>
                              <w:rPr>
                                <w:rFonts w:hint="eastAsia"/>
                                <w:color w:val="FF0000"/>
                                <w:lang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5.95pt;margin-top:350.5pt;height:22.5pt;width:54.35pt;z-index:251669504;mso-width-relative:page;mso-height-relative:page;" fillcolor="#FFFFFF [3201]" filled="t" stroked="t" coordsize="21600,21600" o:gfxdata="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mkV6c1wAAAAsBAAAPAAAAAAAAAAEAIAAAACIAAABkcnMvZG93bnJldi54bWxQSwECFAAUAAAA&#10;CACHTuJAjVNHSmECAADEBAAADgAAAAAAAAABACAAAAAmAQAAZHJzL2Uyb0RvYy54bWxQSwUGAAAA&#10;AAYABgBZAQAA+QUAAAAA&#10;">
                <v:fill on="t" focussize="0,0"/>
                <v:stroke weight="0.5pt" color="#000000 [3204]" joinstyle="round"/>
                <v:imagedata o:title=""/>
                <o:lock v:ext="edit" aspectratio="f"/>
                <v:textbox>
                  <w:txbxContent>
                    <w:p w14:paraId="53B193FA">
                      <w:pPr>
                        <w:rPr>
                          <w:rFonts w:hint="eastAsia" w:eastAsia="宋体"/>
                          <w:color w:val="FF0000"/>
                          <w:lang w:eastAsia="zh-CN"/>
                        </w:rPr>
                      </w:pPr>
                      <w:r>
                        <w:rPr>
                          <w:rFonts w:hint="eastAsia"/>
                          <w:color w:val="FF0000"/>
                          <w:lang w:eastAsia="zh-CN"/>
                        </w:rPr>
                        <w:t>本项目</w:t>
                      </w:r>
                    </w:p>
                  </w:txbxContent>
                </v:textbox>
              </v:shape>
            </w:pict>
          </mc:Fallback>
        </mc:AlternateContent>
      </w:r>
      <w:r>
        <w:rPr>
          <w:sz w:val="24"/>
        </w:rPr>
        <mc:AlternateContent>
          <mc:Choice Requires="wps">
            <w:drawing>
              <wp:anchor distT="0" distB="0" distL="114300" distR="114300" simplePos="0" relativeHeight="251668480" behindDoc="0" locked="0" layoutInCell="1" allowOverlap="1">
                <wp:simplePos x="0" y="0"/>
                <wp:positionH relativeFrom="column">
                  <wp:posOffset>2210435</wp:posOffset>
                </wp:positionH>
                <wp:positionV relativeFrom="paragraph">
                  <wp:posOffset>4276090</wp:posOffset>
                </wp:positionV>
                <wp:extent cx="150495" cy="142875"/>
                <wp:effectExtent l="19685" t="20320" r="20320" b="27305"/>
                <wp:wrapNone/>
                <wp:docPr id="14" name="五角星 14"/>
                <wp:cNvGraphicFramePr/>
                <a:graphic xmlns:a="http://schemas.openxmlformats.org/drawingml/2006/main">
                  <a:graphicData uri="http://schemas.microsoft.com/office/word/2010/wordprocessingShape">
                    <wps:wsp>
                      <wps:cNvSpPr/>
                      <wps:spPr>
                        <a:xfrm>
                          <a:off x="3128645" y="4765675"/>
                          <a:ext cx="150495" cy="14287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74.05pt;margin-top:336.7pt;height:11.25pt;width:11.85pt;z-index:251668480;v-text-anchor:middle;mso-width-relative:page;mso-height-relative:page;" fillcolor="#FF0000" filled="t" stroked="t" coordsize="150495,142875" o:gfxdata="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OJexyjaAAAACwEAAA8AAAAAAAAA&#10;AQAgAAAAIgAAAGRycy9kb3ducmV2LnhtbFBLAQIUABQAAAAIAIdO4kAQOPcggQIAAAUFAAAOAAAA&#10;AAAAAAEAIAAAACkBAABkcnMvZTJvRG9jLnhtbFBLBQYAAAAABgAGAFkBAAAcBgAAAAA=&#10;" path="m0,54573l57484,54573,75247,0,93010,54573,150494,54573,103988,88301,121752,142874,75247,109146,28742,142874,46506,88301xe">
                <v:path o:connectlocs="75247,0;0,54573;28742,142874;121752,142874;150494,54573" o:connectangles="247,164,82,82,0"/>
                <v:fill on="t" focussize="0,0"/>
                <v:stroke weight="1pt" color="#FF0000 [2404]" miterlimit="8" joinstyle="miter"/>
                <v:imagedata o:title=""/>
                <o:lock v:ext="edit" aspectratio="f"/>
              </v:shape>
            </w:pict>
          </mc:Fallback>
        </mc:AlternateContent>
      </w:r>
      <w:r>
        <w:drawing>
          <wp:anchor distT="0" distB="0" distL="114300" distR="114300" simplePos="0" relativeHeight="251665408" behindDoc="0" locked="0" layoutInCell="1" allowOverlap="1">
            <wp:simplePos x="0" y="0"/>
            <wp:positionH relativeFrom="column">
              <wp:posOffset>755015</wp:posOffset>
            </wp:positionH>
            <wp:positionV relativeFrom="paragraph">
              <wp:posOffset>2747645</wp:posOffset>
            </wp:positionV>
            <wp:extent cx="3607435" cy="2904490"/>
            <wp:effectExtent l="9525" t="9525" r="21590" b="19685"/>
            <wp:wrapNone/>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2"/>
                    <a:stretch>
                      <a:fillRect/>
                    </a:stretch>
                  </pic:blipFill>
                  <pic:spPr>
                    <a:xfrm>
                      <a:off x="0" y="0"/>
                      <a:ext cx="3607435" cy="2904490"/>
                    </a:xfrm>
                    <a:prstGeom prst="rect">
                      <a:avLst/>
                    </a:prstGeom>
                    <a:noFill/>
                    <a:ln>
                      <a:solidFill>
                        <a:schemeClr val="tx1"/>
                      </a:solidFill>
                    </a:ln>
                  </pic:spPr>
                </pic:pic>
              </a:graphicData>
            </a:graphic>
          </wp:anchor>
        </w:drawing>
      </w:r>
      <w:r>
        <w:rPr>
          <w:sz w:val="24"/>
        </w:rPr>
        <mc:AlternateContent>
          <mc:Choice Requires="wps">
            <w:drawing>
              <wp:anchor distT="0" distB="0" distL="114300" distR="114300" simplePos="0" relativeHeight="251667456" behindDoc="0" locked="0" layoutInCell="1" allowOverlap="1">
                <wp:simplePos x="0" y="0"/>
                <wp:positionH relativeFrom="column">
                  <wp:posOffset>4362450</wp:posOffset>
                </wp:positionH>
                <wp:positionV relativeFrom="paragraph">
                  <wp:posOffset>3865245</wp:posOffset>
                </wp:positionV>
                <wp:extent cx="1377950" cy="334645"/>
                <wp:effectExtent l="2540" t="30480" r="10160" b="15875"/>
                <wp:wrapNone/>
                <wp:docPr id="12" name="直接箭头连接符 12"/>
                <wp:cNvGraphicFramePr/>
                <a:graphic xmlns:a="http://schemas.openxmlformats.org/drawingml/2006/main">
                  <a:graphicData uri="http://schemas.microsoft.com/office/word/2010/wordprocessingShape">
                    <wps:wsp>
                      <wps:cNvCnPr>
                        <a:stCxn id="6" idx="3"/>
                        <a:endCxn id="11" idx="2"/>
                      </wps:cNvCnPr>
                      <wps:spPr>
                        <a:xfrm flipV="1">
                          <a:off x="4779645" y="2649855"/>
                          <a:ext cx="1377950" cy="334645"/>
                        </a:xfrm>
                        <a:prstGeom prst="straightConnector1">
                          <a:avLst/>
                        </a:prstGeom>
                        <a:ln w="19050">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343.5pt;margin-top:304.35pt;height:26.35pt;width:108.5pt;z-index:251667456;mso-width-relative:page;mso-height-relative:page;" filled="f" stroked="t" coordsize="21600,21600" o:gfxdata="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khFpM2gAAAAsBAAAPAAAAAAAAAAEAIAAAACIAAABkcnMvZG93bnJl&#10;di54bWxQSwECFAAUAAAACACHTuJA2CIKyDQCAAA9BAAADgAAAAAAAAABACAAAAApAQAAZHJzL2Uy&#10;b0RvYy54bWxQSwUGAAAAAAYABgBZAQAAzwUAAAAA&#10;">
                <v:fill on="f" focussize="0,0"/>
                <v:stroke weight="1.5pt" color="#000000 [3213]"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5719445</wp:posOffset>
                </wp:positionH>
                <wp:positionV relativeFrom="paragraph">
                  <wp:posOffset>3777615</wp:posOffset>
                </wp:positionV>
                <wp:extent cx="111125" cy="87630"/>
                <wp:effectExtent l="22860" t="17145" r="37465" b="28575"/>
                <wp:wrapNone/>
                <wp:docPr id="11" name="五角星 11"/>
                <wp:cNvGraphicFramePr/>
                <a:graphic xmlns:a="http://schemas.openxmlformats.org/drawingml/2006/main">
                  <a:graphicData uri="http://schemas.microsoft.com/office/word/2010/wordprocessingShape">
                    <wps:wsp>
                      <wps:cNvSpPr/>
                      <wps:spPr>
                        <a:xfrm>
                          <a:off x="6224270" y="4314825"/>
                          <a:ext cx="111125" cy="8763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450.35pt;margin-top:297.45pt;height:6.9pt;width:8.75pt;z-index:251666432;v-text-anchor:middle;mso-width-relative:page;mso-height-relative:page;" fillcolor="#FF0000" filled="t" stroked="t" coordsize="111125,87630" o:gfxdata="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OAbMn/bAAAACwEAAA8AAAAAAAAAAQAg&#10;AAAAIgAAAGRycy9kb3ducmV2LnhtbFBLAQIUABQAAAAIAIdO4kDm6jy8fQIAAAQFAAAOAAAAAAAA&#10;AAEAIAAAACoBAABkcnMvZTJvRG9jLnhtbFBLBQYAAAAABgAGAFkBAAAZBgAAAAA=&#10;" path="m0,33471l42446,33471,55562,0,68678,33471,111124,33471,76785,54158,89901,87629,55562,66942,21223,87629,34339,54158xe">
                <v:path o:connectlocs="55562,0;0,33471;21223,87629;89901,87629;111124,33471" o:connectangles="247,164,82,82,0"/>
                <v:fill on="t" focussize="0,0"/>
                <v:stroke weight="1pt" color="#FF0000 [2404]" miterlimit="8" joinstyle="miter"/>
                <v:imagedata o:title=""/>
                <o:lock v:ext="edit" aspectratio="f"/>
              </v:shape>
            </w:pict>
          </mc:Fallback>
        </mc:AlternateContent>
      </w:r>
      <w:r>
        <w:drawing>
          <wp:inline distT="0" distB="0" distL="114300" distR="114300">
            <wp:extent cx="8844280" cy="6252845"/>
            <wp:effectExtent l="9525" t="9525" r="23495" b="24130"/>
            <wp:docPr id="7" name="图片 7" descr="淮南市国土空间总体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淮南市国土空间总体规划图"/>
                    <pic:cNvPicPr>
                      <a:picLocks noChangeAspect="1"/>
                    </pic:cNvPicPr>
                  </pic:nvPicPr>
                  <pic:blipFill>
                    <a:blip r:embed="rId23"/>
                    <a:stretch>
                      <a:fillRect/>
                    </a:stretch>
                  </pic:blipFill>
                  <pic:spPr>
                    <a:xfrm>
                      <a:off x="0" y="0"/>
                      <a:ext cx="8844280" cy="6252845"/>
                    </a:xfrm>
                    <a:prstGeom prst="rect">
                      <a:avLst/>
                    </a:prstGeom>
                    <a:ln>
                      <a:solidFill>
                        <a:schemeClr val="tx1"/>
                      </a:solidFill>
                    </a:ln>
                  </pic:spPr>
                </pic:pic>
              </a:graphicData>
            </a:graphic>
          </wp:inline>
        </w:drawing>
      </w:r>
    </w:p>
    <w:p w14:paraId="78F199CA">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图 </w:t>
      </w:r>
      <w:r>
        <w:rPr>
          <w:rFonts w:hint="eastAsia"/>
          <w:lang w:val="en-US" w:eastAsia="zh-CN"/>
        </w:rPr>
        <w:t>1</w:t>
      </w:r>
      <w:r>
        <w:rPr>
          <w:rFonts w:hint="eastAsia"/>
          <w:lang w:eastAsia="zh-CN"/>
        </w:rPr>
        <w:t>-</w:t>
      </w:r>
      <w:r>
        <w:fldChar w:fldCharType="begin"/>
      </w:r>
      <w:r>
        <w:instrText xml:space="preserve"> SEQ 图 \* ARABIC \s 1 </w:instrText>
      </w:r>
      <w:r>
        <w:fldChar w:fldCharType="separate"/>
      </w:r>
      <w:r>
        <w:t>2</w:t>
      </w:r>
      <w:r>
        <w:fldChar w:fldCharType="end"/>
      </w:r>
      <w:r>
        <w:rPr>
          <w:rFonts w:hint="eastAsia"/>
          <w:lang w:val="en-US" w:eastAsia="zh-CN"/>
        </w:rPr>
        <w:t xml:space="preserve"> </w:t>
      </w:r>
      <w:r>
        <w:rPr>
          <w:b/>
          <w:bCs/>
          <w:color w:val="auto"/>
          <w:sz w:val="21"/>
        </w:rPr>
        <w:t>本项目所在淮南市</w:t>
      </w:r>
      <w:r>
        <w:rPr>
          <w:rFonts w:hint="eastAsia"/>
          <w:b/>
          <w:bCs/>
          <w:color w:val="auto"/>
          <w:sz w:val="21"/>
        </w:rPr>
        <w:t>国土空间总体</w:t>
      </w:r>
      <w:r>
        <w:rPr>
          <w:b/>
          <w:bCs/>
          <w:color w:val="auto"/>
          <w:sz w:val="21"/>
        </w:rPr>
        <w:t>规划图</w:t>
      </w:r>
    </w:p>
    <w:p w14:paraId="7092B019">
      <w:pPr>
        <w:spacing w:after="0"/>
        <w:jc w:val="center"/>
        <w:rPr>
          <w:b/>
          <w:color w:val="0000FF"/>
          <w:sz w:val="20"/>
        </w:rPr>
        <w:sectPr>
          <w:pgSz w:w="16840" w:h="11907" w:orient="landscape"/>
          <w:pgMar w:top="720" w:right="720" w:bottom="720" w:left="720" w:header="283" w:footer="454" w:gutter="0"/>
          <w:pgNumType w:fmt="decimal"/>
          <w:cols w:space="720" w:num="1"/>
          <w:docGrid w:linePitch="326" w:charSpace="0"/>
        </w:sectPr>
      </w:pPr>
    </w:p>
    <w:tbl>
      <w:tblPr>
        <w:tblStyle w:val="57"/>
        <w:tblW w:w="5013"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17"/>
        <w:gridCol w:w="8550"/>
      </w:tblGrid>
      <w:tr w14:paraId="27367C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995" w:hRule="atLeast"/>
          <w:jc w:val="center"/>
        </w:trPr>
        <w:tc>
          <w:tcPr>
            <w:tcW w:w="699" w:type="dxa"/>
            <w:vAlign w:val="center"/>
          </w:tcPr>
          <w:p w14:paraId="6C4CF919">
            <w:pPr>
              <w:adjustRightInd w:val="0"/>
              <w:snapToGrid w:val="0"/>
              <w:spacing w:after="0"/>
              <w:ind w:left="-72" w:leftChars="-30" w:right="-72" w:rightChars="-30"/>
              <w:jc w:val="center"/>
              <w:rPr>
                <w:color w:val="0000FF"/>
                <w:sz w:val="21"/>
              </w:rPr>
            </w:pPr>
          </w:p>
        </w:tc>
        <w:tc>
          <w:tcPr>
            <w:tcW w:w="8331" w:type="dxa"/>
            <w:vAlign w:val="center"/>
          </w:tcPr>
          <w:p w14:paraId="5FFD25D2">
            <w:pPr>
              <w:spacing w:after="0" w:line="460" w:lineRule="exact"/>
              <w:outlineLvl w:val="1"/>
              <w:rPr>
                <w:b/>
                <w:bCs/>
                <w:color w:val="auto"/>
                <w:szCs w:val="24"/>
              </w:rPr>
            </w:pPr>
            <w:r>
              <w:rPr>
                <w:b/>
                <w:bCs/>
                <w:color w:val="auto"/>
                <w:szCs w:val="24"/>
              </w:rPr>
              <w:t>1.3</w:t>
            </w:r>
            <w:r>
              <w:rPr>
                <w:rFonts w:hint="eastAsia"/>
                <w:b/>
                <w:bCs/>
                <w:color w:val="auto"/>
                <w:szCs w:val="24"/>
              </w:rPr>
              <w:t xml:space="preserve"> 与规划环境影响评价及跟踪评价符合性分析</w:t>
            </w:r>
          </w:p>
          <w:p w14:paraId="0DA0DF4E">
            <w:pPr>
              <w:pStyle w:val="669"/>
              <w:ind w:firstLine="482"/>
              <w:rPr>
                <w:b/>
                <w:color w:val="auto"/>
              </w:rPr>
            </w:pPr>
            <w:r>
              <w:rPr>
                <w:rFonts w:eastAsiaTheme="minorEastAsia"/>
                <w:b/>
                <w:color w:val="auto"/>
              </w:rPr>
              <w:t>1.3.1</w:t>
            </w:r>
            <w:r>
              <w:rPr>
                <w:rFonts w:hint="eastAsia"/>
                <w:b/>
                <w:color w:val="auto"/>
              </w:rPr>
              <w:t>与《淮南市东部工业区总体规划环境影响报告书》及其审查意见符合性分析</w:t>
            </w:r>
          </w:p>
          <w:p w14:paraId="6FA36A08">
            <w:pPr>
              <w:spacing w:after="0" w:line="460" w:lineRule="exact"/>
              <w:ind w:firstLine="480" w:firstLineChars="200"/>
              <w:rPr>
                <w:color w:val="auto"/>
                <w:szCs w:val="24"/>
              </w:rPr>
            </w:pPr>
            <w:r>
              <w:rPr>
                <w:color w:val="auto"/>
                <w:szCs w:val="24"/>
              </w:rPr>
              <w:t>本项目</w:t>
            </w:r>
            <w:r>
              <w:rPr>
                <w:rFonts w:hint="eastAsia"/>
                <w:color w:val="auto"/>
                <w:szCs w:val="24"/>
              </w:rPr>
              <w:t>与</w:t>
            </w:r>
            <w:r>
              <w:rPr>
                <w:color w:val="auto"/>
                <w:szCs w:val="24"/>
              </w:rPr>
              <w:t>《</w:t>
            </w:r>
            <w:r>
              <w:rPr>
                <w:rFonts w:hint="eastAsia"/>
                <w:color w:val="auto"/>
                <w:szCs w:val="24"/>
              </w:rPr>
              <w:t>淮南市东部工业区总体规划环境影响报告书</w:t>
            </w:r>
            <w:r>
              <w:rPr>
                <w:color w:val="auto"/>
                <w:szCs w:val="24"/>
              </w:rPr>
              <w:t>》</w:t>
            </w:r>
            <w:r>
              <w:rPr>
                <w:rFonts w:hint="eastAsia"/>
                <w:color w:val="auto"/>
                <w:szCs w:val="24"/>
              </w:rPr>
              <w:t>及其审查意见符合性分析见下表</w:t>
            </w:r>
            <w:r>
              <w:rPr>
                <w:color w:val="auto"/>
                <w:szCs w:val="24"/>
              </w:rPr>
              <w:t>：</w:t>
            </w:r>
          </w:p>
          <w:p w14:paraId="02D6A422">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1</w:t>
            </w:r>
            <w:r>
              <w:rPr>
                <w:rFonts w:hint="eastAsia"/>
                <w:lang w:eastAsia="zh-CN"/>
              </w:rPr>
              <w:t>-</w:t>
            </w:r>
            <w:r>
              <w:fldChar w:fldCharType="begin"/>
            </w:r>
            <w:r>
              <w:instrText xml:space="preserve"> SEQ 表 \* ARABIC \s 1 </w:instrText>
            </w:r>
            <w:r>
              <w:fldChar w:fldCharType="separate"/>
            </w:r>
            <w:r>
              <w:t>2</w:t>
            </w:r>
            <w:r>
              <w:fldChar w:fldCharType="end"/>
            </w:r>
            <w:r>
              <w:rPr>
                <w:b/>
                <w:bCs/>
                <w:color w:val="auto"/>
                <w:sz w:val="21"/>
              </w:rPr>
              <w:t xml:space="preserve"> 与区域规划环评及审查意见符合性分析</w:t>
            </w:r>
          </w:p>
          <w:tbl>
            <w:tblPr>
              <w:tblStyle w:val="57"/>
              <w:tblpPr w:leftFromText="180" w:rightFromText="180" w:vertAnchor="text" w:tblpXSpec="center" w:tblpY="1"/>
              <w:tblOverlap w:val="never"/>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23"/>
              <w:gridCol w:w="3762"/>
              <w:gridCol w:w="3467"/>
              <w:gridCol w:w="665"/>
            </w:tblGrid>
            <w:tr w14:paraId="2510E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trPr>
              <w:tc>
                <w:tcPr>
                  <w:tcW w:w="423" w:type="dxa"/>
                  <w:vAlign w:val="center"/>
                </w:tcPr>
                <w:p w14:paraId="6B0B9F8F">
                  <w:pPr>
                    <w:adjustRightInd w:val="0"/>
                    <w:spacing w:after="0"/>
                    <w:jc w:val="center"/>
                    <w:textAlignment w:val="baseline"/>
                    <w:rPr>
                      <w:bCs/>
                      <w:color w:val="auto"/>
                      <w:sz w:val="18"/>
                      <w:szCs w:val="18"/>
                    </w:rPr>
                  </w:pPr>
                  <w:r>
                    <w:rPr>
                      <w:bCs/>
                      <w:color w:val="auto"/>
                      <w:sz w:val="18"/>
                      <w:szCs w:val="18"/>
                    </w:rPr>
                    <w:t>序号</w:t>
                  </w:r>
                </w:p>
              </w:tc>
              <w:tc>
                <w:tcPr>
                  <w:tcW w:w="3762" w:type="dxa"/>
                  <w:vAlign w:val="center"/>
                </w:tcPr>
                <w:p w14:paraId="37F51654">
                  <w:pPr>
                    <w:adjustRightInd w:val="0"/>
                    <w:spacing w:after="0"/>
                    <w:jc w:val="center"/>
                    <w:textAlignment w:val="baseline"/>
                    <w:rPr>
                      <w:color w:val="auto"/>
                      <w:sz w:val="18"/>
                      <w:szCs w:val="18"/>
                    </w:rPr>
                  </w:pPr>
                  <w:r>
                    <w:rPr>
                      <w:color w:val="auto"/>
                      <w:sz w:val="18"/>
                      <w:szCs w:val="18"/>
                    </w:rPr>
                    <w:t>淮南经济技术开发区规划环评及审查意见</w:t>
                  </w:r>
                </w:p>
              </w:tc>
              <w:tc>
                <w:tcPr>
                  <w:tcW w:w="3467" w:type="dxa"/>
                  <w:vAlign w:val="center"/>
                </w:tcPr>
                <w:p w14:paraId="50666536">
                  <w:pPr>
                    <w:adjustRightInd w:val="0"/>
                    <w:spacing w:after="0"/>
                    <w:jc w:val="center"/>
                    <w:textAlignment w:val="baseline"/>
                    <w:rPr>
                      <w:color w:val="auto"/>
                      <w:sz w:val="18"/>
                      <w:szCs w:val="18"/>
                    </w:rPr>
                  </w:pPr>
                  <w:r>
                    <w:rPr>
                      <w:color w:val="auto"/>
                      <w:sz w:val="18"/>
                      <w:szCs w:val="18"/>
                    </w:rPr>
                    <w:t>拟建项目基本情况</w:t>
                  </w:r>
                </w:p>
              </w:tc>
              <w:tc>
                <w:tcPr>
                  <w:tcW w:w="665" w:type="dxa"/>
                  <w:vAlign w:val="center"/>
                </w:tcPr>
                <w:p w14:paraId="0345BA83">
                  <w:pPr>
                    <w:adjustRightInd w:val="0"/>
                    <w:spacing w:after="0"/>
                    <w:jc w:val="center"/>
                    <w:textAlignment w:val="baseline"/>
                    <w:rPr>
                      <w:color w:val="auto"/>
                      <w:sz w:val="18"/>
                      <w:szCs w:val="18"/>
                    </w:rPr>
                  </w:pPr>
                  <w:r>
                    <w:rPr>
                      <w:color w:val="auto"/>
                      <w:sz w:val="18"/>
                      <w:szCs w:val="18"/>
                    </w:rPr>
                    <w:t>符合性分析</w:t>
                  </w:r>
                </w:p>
              </w:tc>
            </w:tr>
            <w:tr w14:paraId="7DF115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423" w:type="dxa"/>
                  <w:vAlign w:val="center"/>
                </w:tcPr>
                <w:p w14:paraId="150742A5">
                  <w:pPr>
                    <w:adjustRightInd w:val="0"/>
                    <w:spacing w:after="0"/>
                    <w:jc w:val="center"/>
                    <w:textAlignment w:val="baseline"/>
                    <w:rPr>
                      <w:color w:val="auto"/>
                      <w:sz w:val="18"/>
                      <w:szCs w:val="18"/>
                    </w:rPr>
                  </w:pPr>
                  <w:r>
                    <w:rPr>
                      <w:color w:val="auto"/>
                      <w:sz w:val="18"/>
                      <w:szCs w:val="18"/>
                    </w:rPr>
                    <w:t>1</w:t>
                  </w:r>
                </w:p>
              </w:tc>
              <w:tc>
                <w:tcPr>
                  <w:tcW w:w="3762" w:type="dxa"/>
                  <w:vAlign w:val="center"/>
                </w:tcPr>
                <w:p w14:paraId="529477FA">
                  <w:pPr>
                    <w:adjustRightInd w:val="0"/>
                    <w:spacing w:after="0"/>
                    <w:textAlignment w:val="baseline"/>
                    <w:rPr>
                      <w:color w:val="auto"/>
                      <w:sz w:val="18"/>
                      <w:szCs w:val="18"/>
                    </w:rPr>
                  </w:pPr>
                  <w:r>
                    <w:rPr>
                      <w:color w:val="auto"/>
                      <w:sz w:val="18"/>
                      <w:szCs w:val="18"/>
                    </w:rPr>
                    <w:t>淮南开发区规划建设范围是：东至中兴路高压廊道西侧，南至合阜铁路、西至建兴路西侧-建设路西侧、北至电厂路南侧范围内的符合淮南市土地利用总体规划（2006-2020年）允许建设用地范围。</w:t>
                  </w:r>
                </w:p>
              </w:tc>
              <w:tc>
                <w:tcPr>
                  <w:tcW w:w="3467" w:type="dxa"/>
                  <w:vAlign w:val="center"/>
                </w:tcPr>
                <w:p w14:paraId="24CB88F7">
                  <w:pPr>
                    <w:adjustRightInd w:val="0"/>
                    <w:spacing w:after="0"/>
                    <w:textAlignment w:val="baseline"/>
                    <w:rPr>
                      <w:color w:val="auto"/>
                      <w:sz w:val="18"/>
                      <w:szCs w:val="18"/>
                    </w:rPr>
                  </w:pPr>
                  <w:r>
                    <w:rPr>
                      <w:color w:val="auto"/>
                      <w:sz w:val="18"/>
                      <w:szCs w:val="18"/>
                    </w:rPr>
                    <w:t>本项目在淮南经济技术开发区规划范围内。</w:t>
                  </w:r>
                </w:p>
              </w:tc>
              <w:tc>
                <w:tcPr>
                  <w:tcW w:w="665" w:type="dxa"/>
                  <w:vAlign w:val="center"/>
                </w:tcPr>
                <w:p w14:paraId="2F5228B9">
                  <w:pPr>
                    <w:adjustRightInd w:val="0"/>
                    <w:spacing w:after="0"/>
                    <w:jc w:val="center"/>
                    <w:textAlignment w:val="baseline"/>
                    <w:rPr>
                      <w:color w:val="auto"/>
                      <w:sz w:val="18"/>
                      <w:szCs w:val="18"/>
                    </w:rPr>
                  </w:pPr>
                  <w:r>
                    <w:rPr>
                      <w:color w:val="auto"/>
                      <w:sz w:val="18"/>
                      <w:szCs w:val="18"/>
                    </w:rPr>
                    <w:t>相符</w:t>
                  </w:r>
                </w:p>
              </w:tc>
            </w:tr>
            <w:tr w14:paraId="06077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423" w:type="dxa"/>
                  <w:vAlign w:val="center"/>
                </w:tcPr>
                <w:p w14:paraId="24D2B69A">
                  <w:pPr>
                    <w:adjustRightInd w:val="0"/>
                    <w:spacing w:after="0"/>
                    <w:jc w:val="center"/>
                    <w:textAlignment w:val="baseline"/>
                    <w:rPr>
                      <w:color w:val="auto"/>
                      <w:sz w:val="18"/>
                      <w:szCs w:val="18"/>
                    </w:rPr>
                  </w:pPr>
                  <w:r>
                    <w:rPr>
                      <w:color w:val="auto"/>
                      <w:sz w:val="18"/>
                      <w:szCs w:val="18"/>
                    </w:rPr>
                    <w:t>2</w:t>
                  </w:r>
                </w:p>
              </w:tc>
              <w:tc>
                <w:tcPr>
                  <w:tcW w:w="3762" w:type="dxa"/>
                  <w:vAlign w:val="center"/>
                </w:tcPr>
                <w:p w14:paraId="42B40963">
                  <w:pPr>
                    <w:adjustRightInd w:val="0"/>
                    <w:spacing w:after="0"/>
                    <w:textAlignment w:val="baseline"/>
                    <w:rPr>
                      <w:color w:val="auto"/>
                      <w:sz w:val="18"/>
                      <w:szCs w:val="18"/>
                    </w:rPr>
                  </w:pPr>
                  <w:r>
                    <w:rPr>
                      <w:color w:val="auto"/>
                      <w:sz w:val="18"/>
                      <w:szCs w:val="18"/>
                    </w:rPr>
                    <w:t>明确开发区环境保护的总体要求。开发区建设须坚持环境效益、经济效益和社会效益相统一的原则，按循环经济理念和清洁生产原则指导开发区建设，促进开发区可持续发展。</w:t>
                  </w:r>
                </w:p>
              </w:tc>
              <w:tc>
                <w:tcPr>
                  <w:tcW w:w="3467" w:type="dxa"/>
                  <w:vAlign w:val="center"/>
                </w:tcPr>
                <w:p w14:paraId="0FD8F3D5">
                  <w:pPr>
                    <w:adjustRightInd w:val="0"/>
                    <w:spacing w:after="0"/>
                    <w:textAlignment w:val="baseline"/>
                    <w:rPr>
                      <w:color w:val="auto"/>
                      <w:sz w:val="18"/>
                      <w:szCs w:val="18"/>
                    </w:rPr>
                  </w:pPr>
                  <w:r>
                    <w:rPr>
                      <w:color w:val="auto"/>
                      <w:sz w:val="18"/>
                      <w:szCs w:val="18"/>
                    </w:rPr>
                    <w:t>本项目属于</w:t>
                  </w:r>
                  <w:r>
                    <w:rPr>
                      <w:rFonts w:hint="eastAsia"/>
                      <w:color w:val="auto"/>
                      <w:sz w:val="18"/>
                      <w:szCs w:val="18"/>
                      <w:lang w:eastAsia="zh-CN"/>
                    </w:rPr>
                    <w:t>C1431米、面制品制造</w:t>
                  </w:r>
                  <w:r>
                    <w:rPr>
                      <w:color w:val="auto"/>
                      <w:sz w:val="18"/>
                      <w:szCs w:val="18"/>
                    </w:rPr>
                    <w:t>，建设满足环境效益、经济效益和社会效益相统一，满足清洁生产要求。</w:t>
                  </w:r>
                </w:p>
              </w:tc>
              <w:tc>
                <w:tcPr>
                  <w:tcW w:w="665" w:type="dxa"/>
                  <w:vAlign w:val="center"/>
                </w:tcPr>
                <w:p w14:paraId="110EF631">
                  <w:pPr>
                    <w:adjustRightInd w:val="0"/>
                    <w:spacing w:after="0"/>
                    <w:jc w:val="center"/>
                    <w:textAlignment w:val="baseline"/>
                    <w:rPr>
                      <w:color w:val="auto"/>
                      <w:sz w:val="18"/>
                      <w:szCs w:val="18"/>
                    </w:rPr>
                  </w:pPr>
                  <w:r>
                    <w:rPr>
                      <w:color w:val="auto"/>
                      <w:sz w:val="18"/>
                      <w:szCs w:val="18"/>
                    </w:rPr>
                    <w:t>相符</w:t>
                  </w:r>
                </w:p>
              </w:tc>
            </w:tr>
            <w:tr w14:paraId="2F7C0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423" w:type="dxa"/>
                  <w:vAlign w:val="center"/>
                </w:tcPr>
                <w:p w14:paraId="6794E0FC">
                  <w:pPr>
                    <w:adjustRightInd w:val="0"/>
                    <w:spacing w:after="0"/>
                    <w:jc w:val="center"/>
                    <w:textAlignment w:val="baseline"/>
                    <w:rPr>
                      <w:color w:val="auto"/>
                      <w:sz w:val="18"/>
                      <w:szCs w:val="18"/>
                    </w:rPr>
                  </w:pPr>
                  <w:r>
                    <w:rPr>
                      <w:color w:val="auto"/>
                      <w:sz w:val="18"/>
                      <w:szCs w:val="18"/>
                    </w:rPr>
                    <w:t>3</w:t>
                  </w:r>
                </w:p>
              </w:tc>
              <w:tc>
                <w:tcPr>
                  <w:tcW w:w="3762" w:type="dxa"/>
                  <w:vAlign w:val="center"/>
                </w:tcPr>
                <w:p w14:paraId="55881D14">
                  <w:pPr>
                    <w:adjustRightInd w:val="0"/>
                    <w:spacing w:after="0"/>
                    <w:textAlignment w:val="baseline"/>
                    <w:rPr>
                      <w:color w:val="auto"/>
                      <w:sz w:val="18"/>
                      <w:szCs w:val="18"/>
                    </w:rPr>
                  </w:pPr>
                  <w:r>
                    <w:rPr>
                      <w:color w:val="auto"/>
                      <w:sz w:val="18"/>
                      <w:szCs w:val="18"/>
                    </w:rPr>
                    <w:t>按照开发区产业功能定位，进一步优化开发区内产业结构，严格限制非开发区产业定位方向的项目入区建设，国家产业政策、技术政策和环保法律法规政策明令禁止的项目不得入区建设。</w:t>
                  </w:r>
                </w:p>
              </w:tc>
              <w:tc>
                <w:tcPr>
                  <w:tcW w:w="3467" w:type="dxa"/>
                  <w:vAlign w:val="center"/>
                </w:tcPr>
                <w:p w14:paraId="61D079EE">
                  <w:pPr>
                    <w:adjustRightInd w:val="0"/>
                    <w:spacing w:after="0"/>
                    <w:textAlignment w:val="baseline"/>
                    <w:rPr>
                      <w:color w:val="auto"/>
                      <w:sz w:val="18"/>
                      <w:szCs w:val="18"/>
                    </w:rPr>
                  </w:pPr>
                  <w:r>
                    <w:rPr>
                      <w:color w:val="auto"/>
                      <w:sz w:val="18"/>
                      <w:szCs w:val="18"/>
                    </w:rPr>
                    <w:t>本项目为</w:t>
                  </w:r>
                  <w:r>
                    <w:rPr>
                      <w:rFonts w:hint="eastAsia"/>
                      <w:color w:val="auto"/>
                      <w:sz w:val="18"/>
                      <w:szCs w:val="18"/>
                      <w:lang w:eastAsia="zh-CN"/>
                    </w:rPr>
                    <w:t>C1431米、面制品制造</w:t>
                  </w:r>
                  <w:r>
                    <w:rPr>
                      <w:color w:val="auto"/>
                      <w:sz w:val="18"/>
                      <w:szCs w:val="18"/>
                    </w:rPr>
                    <w:t>，对照《</w:t>
                  </w:r>
                  <w:bookmarkStart w:id="16" w:name="OLE_LINK28"/>
                  <w:r>
                    <w:rPr>
                      <w:color w:val="auto"/>
                      <w:sz w:val="18"/>
                      <w:szCs w:val="18"/>
                    </w:rPr>
                    <w:t>产业结构调整指导目录</w:t>
                  </w:r>
                  <w:bookmarkEnd w:id="16"/>
                  <w:r>
                    <w:rPr>
                      <w:color w:val="auto"/>
                      <w:sz w:val="18"/>
                      <w:szCs w:val="18"/>
                    </w:rPr>
                    <w:t>》（2024年本），本项目不属于禁止类、限制类产业，可视为允许类，与</w:t>
                  </w:r>
                  <w:r>
                    <w:rPr>
                      <w:rFonts w:hint="eastAsia"/>
                      <w:color w:val="auto"/>
                      <w:sz w:val="18"/>
                      <w:szCs w:val="18"/>
                    </w:rPr>
                    <w:t>开发区</w:t>
                  </w:r>
                  <w:r>
                    <w:rPr>
                      <w:color w:val="auto"/>
                      <w:sz w:val="18"/>
                      <w:szCs w:val="18"/>
                    </w:rPr>
                    <w:t>规划和产业功能定位不冲突，符合</w:t>
                  </w:r>
                  <w:bookmarkStart w:id="17" w:name="OLE_LINK30"/>
                  <w:r>
                    <w:rPr>
                      <w:color w:val="auto"/>
                      <w:sz w:val="18"/>
                      <w:szCs w:val="18"/>
                    </w:rPr>
                    <w:t>淮南经开区</w:t>
                  </w:r>
                  <w:bookmarkEnd w:id="17"/>
                  <w:r>
                    <w:rPr>
                      <w:color w:val="auto"/>
                      <w:sz w:val="18"/>
                      <w:szCs w:val="18"/>
                    </w:rPr>
                    <w:t>产业政策要求。</w:t>
                  </w:r>
                </w:p>
              </w:tc>
              <w:tc>
                <w:tcPr>
                  <w:tcW w:w="665" w:type="dxa"/>
                  <w:vAlign w:val="center"/>
                </w:tcPr>
                <w:p w14:paraId="15E28E5C">
                  <w:pPr>
                    <w:adjustRightInd w:val="0"/>
                    <w:spacing w:after="0"/>
                    <w:jc w:val="center"/>
                    <w:textAlignment w:val="baseline"/>
                    <w:rPr>
                      <w:color w:val="auto"/>
                      <w:sz w:val="18"/>
                      <w:szCs w:val="18"/>
                    </w:rPr>
                  </w:pPr>
                  <w:r>
                    <w:rPr>
                      <w:color w:val="auto"/>
                      <w:sz w:val="18"/>
                      <w:szCs w:val="18"/>
                    </w:rPr>
                    <w:t>相符</w:t>
                  </w:r>
                </w:p>
              </w:tc>
            </w:tr>
            <w:tr w14:paraId="4C475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423" w:type="dxa"/>
                  <w:vAlign w:val="center"/>
                </w:tcPr>
                <w:p w14:paraId="44F0DE9B">
                  <w:pPr>
                    <w:adjustRightInd w:val="0"/>
                    <w:spacing w:after="0"/>
                    <w:jc w:val="center"/>
                    <w:textAlignment w:val="baseline"/>
                    <w:rPr>
                      <w:color w:val="auto"/>
                      <w:sz w:val="18"/>
                      <w:szCs w:val="18"/>
                    </w:rPr>
                  </w:pPr>
                  <w:r>
                    <w:rPr>
                      <w:color w:val="auto"/>
                      <w:sz w:val="18"/>
                      <w:szCs w:val="18"/>
                    </w:rPr>
                    <w:t>4</w:t>
                  </w:r>
                </w:p>
              </w:tc>
              <w:tc>
                <w:tcPr>
                  <w:tcW w:w="3762" w:type="dxa"/>
                  <w:vAlign w:val="center"/>
                </w:tcPr>
                <w:p w14:paraId="6798CB14">
                  <w:pPr>
                    <w:adjustRightInd w:val="0"/>
                    <w:spacing w:after="0"/>
                    <w:textAlignment w:val="baseline"/>
                    <w:rPr>
                      <w:color w:val="auto"/>
                      <w:sz w:val="18"/>
                      <w:szCs w:val="18"/>
                    </w:rPr>
                  </w:pPr>
                  <w:r>
                    <w:rPr>
                      <w:color w:val="auto"/>
                      <w:sz w:val="18"/>
                      <w:szCs w:val="18"/>
                    </w:rPr>
                    <w:t>加快环保基础设施建设，确保污染物达标排放。开发区实行雨污分流，加快污水管网等配套工程建设进度，完善环保基础设施，在污水处理厂投入运行前，所有入区的工业企业污水必须达标排放；污水处理厂投入运行后，工业企业污水须达到接管标准。进一步做好开发区的集中供热的论证工作，尽可能使用清洁燃料，逐步替代开发区内现有燃煤锅炉，减少大气污染物排放。开发区内危险废物的收集、贮存应符合《危险废物贮存污染控制标准》（GB18597-2001）的规定要求。声环境执行相应功能区标准，施工期噪声执行《建筑施工场界环境噪声排放标准》（GB12523-2011）中有关规定。</w:t>
                  </w:r>
                </w:p>
              </w:tc>
              <w:tc>
                <w:tcPr>
                  <w:tcW w:w="3467" w:type="dxa"/>
                  <w:vAlign w:val="center"/>
                </w:tcPr>
                <w:p w14:paraId="6BB3B83F">
                  <w:pPr>
                    <w:adjustRightInd w:val="0"/>
                    <w:spacing w:after="0"/>
                    <w:textAlignment w:val="baseline"/>
                    <w:rPr>
                      <w:color w:val="auto"/>
                      <w:sz w:val="18"/>
                      <w:szCs w:val="18"/>
                    </w:rPr>
                  </w:pPr>
                  <w:r>
                    <w:rPr>
                      <w:rFonts w:hint="default"/>
                      <w:sz w:val="18"/>
                      <w:szCs w:val="18"/>
                    </w:rPr>
                    <w:t>采用雨污分流制，雨水排入雨水管网；</w:t>
                  </w:r>
                  <w:r>
                    <w:rPr>
                      <w:rFonts w:hint="eastAsia"/>
                      <w:sz w:val="18"/>
                      <w:szCs w:val="18"/>
                    </w:rPr>
                    <w:t>生活</w:t>
                  </w:r>
                  <w:r>
                    <w:rPr>
                      <w:rFonts w:hint="eastAsia"/>
                      <w:sz w:val="18"/>
                      <w:szCs w:val="18"/>
                      <w:highlight w:val="none"/>
                    </w:rPr>
                    <w:t>污水</w:t>
                  </w:r>
                  <w:r>
                    <w:rPr>
                      <w:rFonts w:hint="default"/>
                      <w:sz w:val="18"/>
                      <w:szCs w:val="18"/>
                      <w:highlight w:val="none"/>
                    </w:rPr>
                    <w:t>依托</w:t>
                  </w:r>
                  <w:r>
                    <w:rPr>
                      <w:rFonts w:hint="eastAsia"/>
                      <w:sz w:val="18"/>
                      <w:szCs w:val="18"/>
                      <w:highlight w:val="none"/>
                    </w:rPr>
                    <w:t>园区</w:t>
                  </w:r>
                  <w:r>
                    <w:rPr>
                      <w:rFonts w:hint="default"/>
                      <w:sz w:val="18"/>
                      <w:szCs w:val="18"/>
                      <w:highlight w:val="none"/>
                    </w:rPr>
                    <w:t>化粪池预处理</w:t>
                  </w:r>
                  <w:r>
                    <w:rPr>
                      <w:rFonts w:hint="eastAsia"/>
                      <w:sz w:val="18"/>
                      <w:szCs w:val="18"/>
                      <w:highlight w:val="none"/>
                    </w:rPr>
                    <w:t>、生产废水经</w:t>
                  </w:r>
                  <w:r>
                    <w:rPr>
                      <w:rFonts w:hint="eastAsia"/>
                      <w:sz w:val="18"/>
                      <w:szCs w:val="18"/>
                      <w:highlight w:val="none"/>
                      <w:lang w:val="en-US" w:eastAsia="zh-CN"/>
                    </w:rPr>
                    <w:t>预</w:t>
                  </w:r>
                  <w:r>
                    <w:rPr>
                      <w:rFonts w:hint="eastAsia"/>
                      <w:sz w:val="18"/>
                      <w:szCs w:val="18"/>
                    </w:rPr>
                    <w:t>处理后汇同生活污水接入园区污水管网，经市政污水管网</w:t>
                  </w:r>
                  <w:r>
                    <w:rPr>
                      <w:rFonts w:hint="default"/>
                      <w:sz w:val="18"/>
                      <w:szCs w:val="18"/>
                    </w:rPr>
                    <w:t>纳管排入淮南经济技术开发区工业污水处理厂处理。</w:t>
                  </w:r>
                  <w:r>
                    <w:rPr>
                      <w:rFonts w:hint="eastAsia"/>
                      <w:sz w:val="18"/>
                      <w:szCs w:val="18"/>
                    </w:rPr>
                    <w:t>本项目无危险废物产生。对照《淮南市中心城区声环境功能区划分方案》（2021年），本项目位于3类声环境功能区，</w:t>
                  </w:r>
                  <w:r>
                    <w:rPr>
                      <w:rFonts w:hint="default"/>
                      <w:sz w:val="18"/>
                      <w:szCs w:val="18"/>
                    </w:rPr>
                    <w:t>项目营运期所在区域声环境执行《声环境质量标准》（GB3096-2008）声环境功能区3类区标准</w:t>
                  </w:r>
                  <w:r>
                    <w:rPr>
                      <w:rFonts w:hint="eastAsia"/>
                      <w:sz w:val="18"/>
                      <w:szCs w:val="18"/>
                    </w:rPr>
                    <w:t>；</w:t>
                  </w:r>
                  <w:r>
                    <w:rPr>
                      <w:rFonts w:hint="default"/>
                      <w:sz w:val="18"/>
                      <w:szCs w:val="18"/>
                    </w:rPr>
                    <w:t>本项目不涉及燃煤锅炉及燃煤使用。</w:t>
                  </w:r>
                </w:p>
              </w:tc>
              <w:tc>
                <w:tcPr>
                  <w:tcW w:w="665" w:type="dxa"/>
                  <w:vAlign w:val="center"/>
                </w:tcPr>
                <w:p w14:paraId="68B03DFF">
                  <w:pPr>
                    <w:adjustRightInd w:val="0"/>
                    <w:spacing w:after="0"/>
                    <w:jc w:val="center"/>
                    <w:textAlignment w:val="baseline"/>
                    <w:rPr>
                      <w:color w:val="auto"/>
                      <w:sz w:val="18"/>
                      <w:szCs w:val="18"/>
                    </w:rPr>
                  </w:pPr>
                  <w:r>
                    <w:rPr>
                      <w:color w:val="auto"/>
                      <w:sz w:val="18"/>
                      <w:szCs w:val="18"/>
                    </w:rPr>
                    <w:t>相符</w:t>
                  </w:r>
                </w:p>
              </w:tc>
            </w:tr>
            <w:tr w14:paraId="0DC707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c>
                <w:tcPr>
                  <w:tcW w:w="423" w:type="dxa"/>
                  <w:vAlign w:val="center"/>
                </w:tcPr>
                <w:p w14:paraId="68AA92FC">
                  <w:pPr>
                    <w:adjustRightInd w:val="0"/>
                    <w:spacing w:after="0"/>
                    <w:jc w:val="center"/>
                    <w:textAlignment w:val="baseline"/>
                    <w:rPr>
                      <w:color w:val="auto"/>
                      <w:sz w:val="18"/>
                      <w:szCs w:val="18"/>
                    </w:rPr>
                  </w:pPr>
                  <w:r>
                    <w:rPr>
                      <w:color w:val="auto"/>
                      <w:sz w:val="18"/>
                      <w:szCs w:val="18"/>
                    </w:rPr>
                    <w:t>5</w:t>
                  </w:r>
                </w:p>
              </w:tc>
              <w:tc>
                <w:tcPr>
                  <w:tcW w:w="3762" w:type="dxa"/>
                  <w:vAlign w:val="center"/>
                </w:tcPr>
                <w:p w14:paraId="72D5ACEE">
                  <w:pPr>
                    <w:adjustRightInd w:val="0"/>
                    <w:spacing w:after="0"/>
                    <w:textAlignment w:val="baseline"/>
                    <w:rPr>
                      <w:color w:val="auto"/>
                      <w:sz w:val="18"/>
                      <w:szCs w:val="18"/>
                    </w:rPr>
                  </w:pPr>
                  <w:r>
                    <w:rPr>
                      <w:color w:val="auto"/>
                      <w:sz w:val="18"/>
                      <w:szCs w:val="18"/>
                    </w:rPr>
                    <w:t>开发区在开发建设过程中，要采取措施防止扬尘与水土流失，加强开发区内生态环境建设。</w:t>
                  </w:r>
                </w:p>
              </w:tc>
              <w:tc>
                <w:tcPr>
                  <w:tcW w:w="3467" w:type="dxa"/>
                  <w:vAlign w:val="center"/>
                </w:tcPr>
                <w:p w14:paraId="0A580912">
                  <w:pPr>
                    <w:adjustRightInd w:val="0"/>
                    <w:spacing w:after="0"/>
                    <w:textAlignment w:val="baseline"/>
                    <w:rPr>
                      <w:color w:val="auto"/>
                      <w:sz w:val="18"/>
                      <w:szCs w:val="18"/>
                    </w:rPr>
                  </w:pPr>
                  <w:r>
                    <w:rPr>
                      <w:color w:val="auto"/>
                      <w:sz w:val="18"/>
                      <w:szCs w:val="18"/>
                    </w:rPr>
                    <w:t>本项目属于新建项目，租赁</w:t>
                  </w:r>
                  <w:r>
                    <w:rPr>
                      <w:rFonts w:hint="eastAsia"/>
                      <w:color w:val="auto"/>
                      <w:sz w:val="18"/>
                      <w:szCs w:val="18"/>
                      <w:lang w:eastAsia="zh-CN"/>
                    </w:rPr>
                    <w:t>园区</w:t>
                  </w:r>
                  <w:r>
                    <w:rPr>
                      <w:color w:val="auto"/>
                      <w:sz w:val="18"/>
                      <w:szCs w:val="18"/>
                    </w:rPr>
                    <w:t>厂房进行建设，施工期涉及设备安装和调试，不涉及土建施工，施工期相对较短，对周围环境影响</w:t>
                  </w:r>
                  <w:r>
                    <w:rPr>
                      <w:rFonts w:hint="eastAsia"/>
                      <w:color w:val="auto"/>
                      <w:sz w:val="18"/>
                      <w:szCs w:val="18"/>
                    </w:rPr>
                    <w:t>较小</w:t>
                  </w:r>
                  <w:r>
                    <w:rPr>
                      <w:color w:val="auto"/>
                      <w:sz w:val="18"/>
                      <w:szCs w:val="18"/>
                    </w:rPr>
                    <w:t>。</w:t>
                  </w:r>
                </w:p>
              </w:tc>
              <w:tc>
                <w:tcPr>
                  <w:tcW w:w="665" w:type="dxa"/>
                  <w:vAlign w:val="center"/>
                </w:tcPr>
                <w:p w14:paraId="6E60AC83">
                  <w:pPr>
                    <w:adjustRightInd w:val="0"/>
                    <w:spacing w:after="0"/>
                    <w:jc w:val="center"/>
                    <w:textAlignment w:val="baseline"/>
                    <w:rPr>
                      <w:color w:val="auto"/>
                      <w:sz w:val="18"/>
                      <w:szCs w:val="18"/>
                    </w:rPr>
                  </w:pPr>
                  <w:r>
                    <w:rPr>
                      <w:color w:val="auto"/>
                      <w:sz w:val="18"/>
                      <w:szCs w:val="18"/>
                    </w:rPr>
                    <w:t>相符</w:t>
                  </w:r>
                </w:p>
              </w:tc>
            </w:tr>
            <w:tr w14:paraId="322BA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74" w:hRule="atLeast"/>
              </w:trPr>
              <w:tc>
                <w:tcPr>
                  <w:tcW w:w="423" w:type="dxa"/>
                  <w:vAlign w:val="center"/>
                </w:tcPr>
                <w:p w14:paraId="27790CFB">
                  <w:pPr>
                    <w:adjustRightInd w:val="0"/>
                    <w:spacing w:after="0"/>
                    <w:jc w:val="center"/>
                    <w:textAlignment w:val="baseline"/>
                    <w:rPr>
                      <w:color w:val="auto"/>
                      <w:sz w:val="18"/>
                      <w:szCs w:val="18"/>
                    </w:rPr>
                  </w:pPr>
                  <w:r>
                    <w:rPr>
                      <w:color w:val="auto"/>
                      <w:sz w:val="18"/>
                      <w:szCs w:val="18"/>
                    </w:rPr>
                    <w:t>6</w:t>
                  </w:r>
                </w:p>
              </w:tc>
              <w:tc>
                <w:tcPr>
                  <w:tcW w:w="3762" w:type="dxa"/>
                  <w:vAlign w:val="center"/>
                </w:tcPr>
                <w:p w14:paraId="69F3B679">
                  <w:pPr>
                    <w:adjustRightInd w:val="0"/>
                    <w:spacing w:after="0"/>
                    <w:textAlignment w:val="baseline"/>
                    <w:rPr>
                      <w:color w:val="auto"/>
                      <w:sz w:val="18"/>
                      <w:szCs w:val="18"/>
                    </w:rPr>
                  </w:pPr>
                  <w:r>
                    <w:rPr>
                      <w:color w:val="auto"/>
                      <w:sz w:val="18"/>
                      <w:szCs w:val="18"/>
                    </w:rPr>
                    <w:t>加强开发区环境监督管理，开发区内所有建设项目，要认真履行有关环境保护法律法规，严格执行建设项目环境影响评价制度和环境保护“三同时”制度。</w:t>
                  </w:r>
                </w:p>
              </w:tc>
              <w:tc>
                <w:tcPr>
                  <w:tcW w:w="3467" w:type="dxa"/>
                  <w:vAlign w:val="center"/>
                </w:tcPr>
                <w:p w14:paraId="45AC3020">
                  <w:pPr>
                    <w:adjustRightInd w:val="0"/>
                    <w:spacing w:after="0"/>
                    <w:textAlignment w:val="baseline"/>
                    <w:rPr>
                      <w:color w:val="auto"/>
                      <w:sz w:val="18"/>
                      <w:szCs w:val="18"/>
                    </w:rPr>
                  </w:pPr>
                  <w:r>
                    <w:rPr>
                      <w:color w:val="auto"/>
                      <w:sz w:val="18"/>
                      <w:szCs w:val="18"/>
                    </w:rPr>
                    <w:t>本项目按要求执行建设项目环境影响评价制度和环境保护“三同时”制度。</w:t>
                  </w:r>
                </w:p>
              </w:tc>
              <w:tc>
                <w:tcPr>
                  <w:tcW w:w="665" w:type="dxa"/>
                  <w:vAlign w:val="center"/>
                </w:tcPr>
                <w:p w14:paraId="79BF123D">
                  <w:pPr>
                    <w:adjustRightInd w:val="0"/>
                    <w:spacing w:after="0"/>
                    <w:jc w:val="center"/>
                    <w:textAlignment w:val="baseline"/>
                    <w:rPr>
                      <w:color w:val="auto"/>
                      <w:sz w:val="18"/>
                      <w:szCs w:val="18"/>
                    </w:rPr>
                  </w:pPr>
                  <w:r>
                    <w:rPr>
                      <w:color w:val="auto"/>
                      <w:sz w:val="18"/>
                      <w:szCs w:val="18"/>
                    </w:rPr>
                    <w:t>相符</w:t>
                  </w:r>
                </w:p>
              </w:tc>
            </w:tr>
          </w:tbl>
          <w:p w14:paraId="50AA7915">
            <w:pPr>
              <w:adjustRightInd w:val="0"/>
              <w:spacing w:after="0" w:line="460" w:lineRule="exact"/>
              <w:ind w:firstLine="480" w:firstLineChars="200"/>
              <w:rPr>
                <w:color w:val="auto"/>
              </w:rPr>
            </w:pPr>
            <w:r>
              <w:rPr>
                <w:color w:val="auto"/>
              </w:rPr>
              <w:t>由上表可知，本项目实施符合《淮南市东部工业区总体规划环境影响报告书》及其审查意见中的相关要求。</w:t>
            </w:r>
          </w:p>
          <w:p w14:paraId="36F40614">
            <w:pPr>
              <w:pStyle w:val="669"/>
              <w:ind w:firstLine="482"/>
              <w:rPr>
                <w:b/>
                <w:color w:val="auto"/>
              </w:rPr>
            </w:pPr>
            <w:r>
              <w:rPr>
                <w:rFonts w:eastAsiaTheme="minorEastAsia"/>
                <w:b/>
                <w:color w:val="auto"/>
              </w:rPr>
              <w:t xml:space="preserve">1.3.2 </w:t>
            </w:r>
            <w:r>
              <w:rPr>
                <w:rFonts w:hint="eastAsia"/>
                <w:b/>
                <w:color w:val="auto"/>
              </w:rPr>
              <w:t>与《淮南经济技术开发区环境影响区域评估报告》相符性分析</w:t>
            </w:r>
          </w:p>
          <w:p w14:paraId="4A99F2E0">
            <w:pPr>
              <w:spacing w:after="0" w:line="460" w:lineRule="exact"/>
              <w:ind w:firstLine="480" w:firstLineChars="200"/>
              <w:rPr>
                <w:color w:val="auto"/>
              </w:rPr>
            </w:pPr>
            <w:r>
              <w:rPr>
                <w:color w:val="auto"/>
              </w:rPr>
              <w:t>《淮南经济技术开发区环境影响区域评估报告》依据《安徽省生态环境厅关于推行</w:t>
            </w:r>
            <w:r>
              <w:rPr>
                <w:rFonts w:hint="eastAsia"/>
                <w:color w:val="auto"/>
              </w:rPr>
              <w:t>“</w:t>
            </w:r>
            <w:r>
              <w:rPr>
                <w:color w:val="auto"/>
              </w:rPr>
              <w:t>环境影响区域评估+环境标准</w:t>
            </w:r>
            <w:r>
              <w:rPr>
                <w:rFonts w:hint="eastAsia"/>
                <w:color w:val="auto"/>
              </w:rPr>
              <w:t>”</w:t>
            </w:r>
            <w:r>
              <w:rPr>
                <w:color w:val="auto"/>
              </w:rPr>
              <w:t>工作的通知》（皖环发[2021]23号）要求针对性得出了生态空间准入清单和环境准入清单，汇总如下表，经对</w:t>
            </w:r>
            <w:r>
              <w:rPr>
                <w:rStyle w:val="683"/>
                <w:color w:val="auto"/>
              </w:rPr>
              <w:t>比分析可知，本项目符合《淮南经济技术开发区环境影响区域评估报告》中明确的生态空间准入清单和环境准入清单各项要求</w:t>
            </w:r>
            <w:r>
              <w:rPr>
                <w:color w:val="auto"/>
              </w:rPr>
              <w:t>。</w:t>
            </w:r>
          </w:p>
          <w:p w14:paraId="6D863DC4">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1</w:t>
            </w:r>
            <w:r>
              <w:rPr>
                <w:rFonts w:hint="eastAsia"/>
                <w:lang w:eastAsia="zh-CN"/>
              </w:rPr>
              <w:t>-</w:t>
            </w:r>
            <w:r>
              <w:fldChar w:fldCharType="begin"/>
            </w:r>
            <w:r>
              <w:instrText xml:space="preserve"> SEQ 表 \* ARABIC \s 1 </w:instrText>
            </w:r>
            <w:r>
              <w:fldChar w:fldCharType="separate"/>
            </w:r>
            <w:r>
              <w:t>3</w:t>
            </w:r>
            <w:r>
              <w:fldChar w:fldCharType="end"/>
            </w:r>
            <w:r>
              <w:rPr>
                <w:b/>
                <w:bCs/>
                <w:color w:val="auto"/>
                <w:sz w:val="21"/>
              </w:rPr>
              <w:t xml:space="preserve"> 与《环境影响区域评估报告》中生态空间准入清单符合性分析</w:t>
            </w:r>
          </w:p>
          <w:tbl>
            <w:tblPr>
              <w:tblStyle w:val="57"/>
              <w:tblpPr w:leftFromText="180" w:rightFromText="180" w:vertAnchor="text" w:tblpXSpec="center" w:tblpY="1"/>
              <w:tblOverlap w:val="never"/>
              <w:tblW w:w="5000" w:type="pct"/>
              <w:tblInd w:w="0"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28" w:type="dxa"/>
                <w:bottom w:w="0" w:type="dxa"/>
                <w:right w:w="28" w:type="dxa"/>
              </w:tblCellMar>
            </w:tblPr>
            <w:tblGrid>
              <w:gridCol w:w="296"/>
              <w:gridCol w:w="296"/>
              <w:gridCol w:w="716"/>
              <w:gridCol w:w="473"/>
              <w:gridCol w:w="1623"/>
              <w:gridCol w:w="2097"/>
              <w:gridCol w:w="2169"/>
              <w:gridCol w:w="658"/>
            </w:tblGrid>
            <w:tr w14:paraId="33FBCA0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75" w:hRule="atLeast"/>
              </w:trPr>
              <w:tc>
                <w:tcPr>
                  <w:tcW w:w="178" w:type="pct"/>
                  <w:vAlign w:val="center"/>
                </w:tcPr>
                <w:p w14:paraId="25E46199">
                  <w:pPr>
                    <w:adjustRightInd w:val="0"/>
                    <w:spacing w:after="0"/>
                    <w:jc w:val="center"/>
                    <w:textAlignment w:val="baseline"/>
                    <w:rPr>
                      <w:color w:val="auto"/>
                      <w:sz w:val="18"/>
                      <w:szCs w:val="18"/>
                    </w:rPr>
                  </w:pPr>
                  <w:r>
                    <w:rPr>
                      <w:color w:val="auto"/>
                      <w:sz w:val="18"/>
                      <w:szCs w:val="18"/>
                    </w:rPr>
                    <w:t>类别</w:t>
                  </w:r>
                </w:p>
              </w:tc>
              <w:tc>
                <w:tcPr>
                  <w:tcW w:w="178" w:type="pct"/>
                  <w:vAlign w:val="center"/>
                </w:tcPr>
                <w:p w14:paraId="4580E061">
                  <w:pPr>
                    <w:adjustRightInd w:val="0"/>
                    <w:spacing w:after="0"/>
                    <w:jc w:val="center"/>
                    <w:textAlignment w:val="baseline"/>
                    <w:rPr>
                      <w:color w:val="auto"/>
                      <w:sz w:val="18"/>
                      <w:szCs w:val="18"/>
                    </w:rPr>
                  </w:pPr>
                  <w:r>
                    <w:rPr>
                      <w:color w:val="auto"/>
                      <w:sz w:val="18"/>
                      <w:szCs w:val="18"/>
                    </w:rPr>
                    <w:t>序号</w:t>
                  </w:r>
                </w:p>
              </w:tc>
              <w:tc>
                <w:tcPr>
                  <w:tcW w:w="430" w:type="pct"/>
                  <w:vAlign w:val="center"/>
                </w:tcPr>
                <w:p w14:paraId="7C2CD31C">
                  <w:pPr>
                    <w:adjustRightInd w:val="0"/>
                    <w:spacing w:after="0"/>
                    <w:jc w:val="center"/>
                    <w:textAlignment w:val="baseline"/>
                    <w:rPr>
                      <w:color w:val="auto"/>
                      <w:sz w:val="18"/>
                      <w:szCs w:val="18"/>
                    </w:rPr>
                  </w:pPr>
                  <w:r>
                    <w:rPr>
                      <w:color w:val="auto"/>
                      <w:sz w:val="18"/>
                      <w:szCs w:val="18"/>
                    </w:rPr>
                    <w:t>范围</w:t>
                  </w:r>
                </w:p>
              </w:tc>
              <w:tc>
                <w:tcPr>
                  <w:tcW w:w="284" w:type="pct"/>
                  <w:vAlign w:val="center"/>
                </w:tcPr>
                <w:p w14:paraId="5EABCC43">
                  <w:pPr>
                    <w:adjustRightInd w:val="0"/>
                    <w:spacing w:after="0"/>
                    <w:jc w:val="center"/>
                    <w:textAlignment w:val="baseline"/>
                    <w:rPr>
                      <w:color w:val="auto"/>
                      <w:sz w:val="18"/>
                      <w:szCs w:val="18"/>
                    </w:rPr>
                  </w:pPr>
                  <w:r>
                    <w:rPr>
                      <w:color w:val="auto"/>
                      <w:sz w:val="18"/>
                      <w:szCs w:val="18"/>
                    </w:rPr>
                    <w:t>面积/亩</w:t>
                  </w:r>
                </w:p>
              </w:tc>
              <w:tc>
                <w:tcPr>
                  <w:tcW w:w="974" w:type="pct"/>
                  <w:vAlign w:val="center"/>
                </w:tcPr>
                <w:p w14:paraId="7FC8002D">
                  <w:pPr>
                    <w:adjustRightInd w:val="0"/>
                    <w:spacing w:after="0"/>
                    <w:jc w:val="center"/>
                    <w:textAlignment w:val="baseline"/>
                    <w:rPr>
                      <w:color w:val="auto"/>
                      <w:sz w:val="18"/>
                      <w:szCs w:val="18"/>
                    </w:rPr>
                  </w:pPr>
                  <w:r>
                    <w:rPr>
                      <w:color w:val="auto"/>
                      <w:sz w:val="18"/>
                      <w:szCs w:val="18"/>
                    </w:rPr>
                    <w:t>保护对象及要求</w:t>
                  </w:r>
                </w:p>
              </w:tc>
              <w:tc>
                <w:tcPr>
                  <w:tcW w:w="1259" w:type="pct"/>
                  <w:vAlign w:val="center"/>
                </w:tcPr>
                <w:p w14:paraId="36BBB662">
                  <w:pPr>
                    <w:adjustRightInd w:val="0"/>
                    <w:spacing w:after="0"/>
                    <w:jc w:val="center"/>
                    <w:textAlignment w:val="baseline"/>
                    <w:rPr>
                      <w:color w:val="auto"/>
                      <w:sz w:val="18"/>
                      <w:szCs w:val="18"/>
                    </w:rPr>
                  </w:pPr>
                  <w:r>
                    <w:rPr>
                      <w:color w:val="auto"/>
                      <w:sz w:val="18"/>
                      <w:szCs w:val="18"/>
                    </w:rPr>
                    <w:t>管制要求</w:t>
                  </w:r>
                </w:p>
              </w:tc>
              <w:tc>
                <w:tcPr>
                  <w:tcW w:w="1302" w:type="pct"/>
                  <w:vAlign w:val="center"/>
                </w:tcPr>
                <w:p w14:paraId="5A50A724">
                  <w:pPr>
                    <w:adjustRightInd w:val="0"/>
                    <w:spacing w:after="0"/>
                    <w:jc w:val="center"/>
                    <w:textAlignment w:val="baseline"/>
                    <w:rPr>
                      <w:color w:val="auto"/>
                      <w:sz w:val="18"/>
                      <w:szCs w:val="18"/>
                    </w:rPr>
                  </w:pPr>
                  <w:r>
                    <w:rPr>
                      <w:color w:val="auto"/>
                      <w:sz w:val="18"/>
                      <w:szCs w:val="18"/>
                    </w:rPr>
                    <w:t>本项目情况</w:t>
                  </w:r>
                </w:p>
              </w:tc>
              <w:tc>
                <w:tcPr>
                  <w:tcW w:w="396" w:type="pct"/>
                  <w:vAlign w:val="center"/>
                </w:tcPr>
                <w:p w14:paraId="6328EC3D">
                  <w:pPr>
                    <w:adjustRightInd w:val="0"/>
                    <w:spacing w:after="0"/>
                    <w:jc w:val="center"/>
                    <w:textAlignment w:val="baseline"/>
                    <w:rPr>
                      <w:color w:val="auto"/>
                      <w:sz w:val="18"/>
                      <w:szCs w:val="18"/>
                    </w:rPr>
                  </w:pPr>
                  <w:r>
                    <w:rPr>
                      <w:color w:val="auto"/>
                      <w:sz w:val="18"/>
                      <w:szCs w:val="18"/>
                    </w:rPr>
                    <w:t>符合性分析</w:t>
                  </w:r>
                </w:p>
              </w:tc>
            </w:tr>
            <w:tr w14:paraId="0F019A3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930" w:hRule="atLeast"/>
              </w:trPr>
              <w:tc>
                <w:tcPr>
                  <w:tcW w:w="178" w:type="pct"/>
                  <w:vMerge w:val="restart"/>
                  <w:vAlign w:val="center"/>
                </w:tcPr>
                <w:p w14:paraId="5D8287FF">
                  <w:pPr>
                    <w:adjustRightInd w:val="0"/>
                    <w:spacing w:after="0"/>
                    <w:jc w:val="center"/>
                    <w:textAlignment w:val="baseline"/>
                    <w:rPr>
                      <w:color w:val="auto"/>
                      <w:sz w:val="18"/>
                      <w:szCs w:val="18"/>
                    </w:rPr>
                  </w:pPr>
                  <w:r>
                    <w:rPr>
                      <w:color w:val="auto"/>
                      <w:sz w:val="18"/>
                      <w:szCs w:val="18"/>
                    </w:rPr>
                    <w:t>生态空间布局</w:t>
                  </w:r>
                </w:p>
              </w:tc>
              <w:tc>
                <w:tcPr>
                  <w:tcW w:w="178" w:type="pct"/>
                  <w:vAlign w:val="center"/>
                </w:tcPr>
                <w:p w14:paraId="73A81B79">
                  <w:pPr>
                    <w:adjustRightInd w:val="0"/>
                    <w:spacing w:after="0"/>
                    <w:jc w:val="center"/>
                    <w:textAlignment w:val="baseline"/>
                    <w:rPr>
                      <w:color w:val="auto"/>
                      <w:sz w:val="18"/>
                      <w:szCs w:val="18"/>
                    </w:rPr>
                  </w:pPr>
                  <w:r>
                    <w:rPr>
                      <w:color w:val="auto"/>
                      <w:sz w:val="18"/>
                      <w:szCs w:val="18"/>
                    </w:rPr>
                    <w:t>1</w:t>
                  </w:r>
                </w:p>
              </w:tc>
              <w:tc>
                <w:tcPr>
                  <w:tcW w:w="430" w:type="pct"/>
                  <w:vAlign w:val="center"/>
                </w:tcPr>
                <w:p w14:paraId="1332E8FF">
                  <w:pPr>
                    <w:adjustRightInd w:val="0"/>
                    <w:spacing w:after="0"/>
                    <w:jc w:val="center"/>
                    <w:textAlignment w:val="baseline"/>
                    <w:rPr>
                      <w:color w:val="auto"/>
                      <w:sz w:val="18"/>
                      <w:szCs w:val="18"/>
                    </w:rPr>
                  </w:pPr>
                  <w:r>
                    <w:rPr>
                      <w:color w:val="auto"/>
                      <w:sz w:val="18"/>
                      <w:szCs w:val="18"/>
                    </w:rPr>
                    <w:t>绿地</w:t>
                  </w:r>
                </w:p>
              </w:tc>
              <w:tc>
                <w:tcPr>
                  <w:tcW w:w="284" w:type="pct"/>
                  <w:vAlign w:val="center"/>
                </w:tcPr>
                <w:p w14:paraId="232131D1">
                  <w:pPr>
                    <w:adjustRightInd w:val="0"/>
                    <w:spacing w:after="0"/>
                    <w:jc w:val="center"/>
                    <w:textAlignment w:val="baseline"/>
                    <w:rPr>
                      <w:color w:val="auto"/>
                      <w:sz w:val="18"/>
                      <w:szCs w:val="18"/>
                    </w:rPr>
                  </w:pPr>
                  <w:r>
                    <w:rPr>
                      <w:color w:val="auto"/>
                      <w:sz w:val="18"/>
                      <w:szCs w:val="18"/>
                    </w:rPr>
                    <w:t>460.39</w:t>
                  </w:r>
                </w:p>
              </w:tc>
              <w:tc>
                <w:tcPr>
                  <w:tcW w:w="974" w:type="pct"/>
                  <w:vMerge w:val="restart"/>
                  <w:vAlign w:val="center"/>
                </w:tcPr>
                <w:p w14:paraId="4B80D4B9">
                  <w:pPr>
                    <w:adjustRightInd w:val="0"/>
                    <w:spacing w:after="0"/>
                    <w:jc w:val="center"/>
                    <w:textAlignment w:val="baseline"/>
                    <w:rPr>
                      <w:color w:val="auto"/>
                      <w:sz w:val="18"/>
                      <w:szCs w:val="18"/>
                    </w:rPr>
                  </w:pPr>
                  <w:r>
                    <w:rPr>
                      <w:color w:val="auto"/>
                      <w:sz w:val="18"/>
                      <w:szCs w:val="18"/>
                    </w:rPr>
                    <w:t>开发区内的生态环境，以及绿化防护、调节气候、蓄纳洪水等功能。</w:t>
                  </w:r>
                </w:p>
              </w:tc>
              <w:tc>
                <w:tcPr>
                  <w:tcW w:w="1259" w:type="pct"/>
                  <w:vMerge w:val="restart"/>
                  <w:vAlign w:val="center"/>
                </w:tcPr>
                <w:p w14:paraId="286DA715">
                  <w:pPr>
                    <w:adjustRightInd w:val="0"/>
                    <w:spacing w:after="0"/>
                    <w:textAlignment w:val="baseline"/>
                    <w:rPr>
                      <w:color w:val="auto"/>
                      <w:sz w:val="18"/>
                      <w:szCs w:val="18"/>
                    </w:rPr>
                  </w:pPr>
                  <w:r>
                    <w:rPr>
                      <w:color w:val="auto"/>
                      <w:sz w:val="18"/>
                      <w:szCs w:val="18"/>
                    </w:rPr>
                    <w:t>限建区。不得建设与其用地类别建设内容要求不相符的项目，限制大规模的城镇开发建设活动，维护区域范围生态绿地和生态廊道的连通性。</w:t>
                  </w:r>
                </w:p>
              </w:tc>
              <w:tc>
                <w:tcPr>
                  <w:tcW w:w="1302" w:type="pct"/>
                  <w:vMerge w:val="restart"/>
                  <w:vAlign w:val="center"/>
                </w:tcPr>
                <w:p w14:paraId="11AF9D5C">
                  <w:pPr>
                    <w:adjustRightInd w:val="0"/>
                    <w:spacing w:after="0"/>
                    <w:textAlignment w:val="baseline"/>
                    <w:rPr>
                      <w:color w:val="auto"/>
                      <w:sz w:val="18"/>
                      <w:szCs w:val="18"/>
                    </w:rPr>
                  </w:pPr>
                  <w:r>
                    <w:rPr>
                      <w:color w:val="auto"/>
                      <w:sz w:val="18"/>
                      <w:szCs w:val="18"/>
                    </w:rPr>
                    <w:t>本项目为</w:t>
                  </w:r>
                  <w:r>
                    <w:rPr>
                      <w:rFonts w:hint="eastAsia"/>
                      <w:color w:val="auto"/>
                      <w:sz w:val="18"/>
                      <w:szCs w:val="18"/>
                      <w:lang w:eastAsia="zh-CN"/>
                    </w:rPr>
                    <w:t>生湿米面制品深加工智能化工厂项目</w:t>
                  </w:r>
                  <w:r>
                    <w:rPr>
                      <w:color w:val="auto"/>
                      <w:sz w:val="18"/>
                      <w:szCs w:val="18"/>
                    </w:rPr>
                    <w:t>，位于淮南经济技术开发区</w:t>
                  </w:r>
                  <w:r>
                    <w:rPr>
                      <w:rFonts w:hint="eastAsia"/>
                      <w:color w:val="auto"/>
                      <w:sz w:val="18"/>
                      <w:szCs w:val="18"/>
                      <w:lang w:eastAsia="zh-CN"/>
                    </w:rPr>
                    <w:t>高端装备产业园区X4号楼一层</w:t>
                  </w:r>
                  <w:r>
                    <w:rPr>
                      <w:color w:val="auto"/>
                      <w:sz w:val="18"/>
                      <w:szCs w:val="18"/>
                    </w:rPr>
                    <w:t>。项目租赁</w:t>
                  </w:r>
                  <w:r>
                    <w:rPr>
                      <w:rFonts w:hint="eastAsia"/>
                      <w:color w:val="auto"/>
                      <w:sz w:val="18"/>
                      <w:szCs w:val="18"/>
                      <w:lang w:eastAsia="zh-CN"/>
                    </w:rPr>
                    <w:t>园区</w:t>
                  </w:r>
                  <w:r>
                    <w:rPr>
                      <w:color w:val="auto"/>
                      <w:sz w:val="18"/>
                      <w:szCs w:val="18"/>
                    </w:rPr>
                    <w:t>厂房进行建设，不新增厂房，不涉及大规模开发建设活动。</w:t>
                  </w:r>
                </w:p>
              </w:tc>
              <w:tc>
                <w:tcPr>
                  <w:tcW w:w="396" w:type="pct"/>
                  <w:vMerge w:val="restart"/>
                  <w:vAlign w:val="center"/>
                </w:tcPr>
                <w:p w14:paraId="193485E6">
                  <w:pPr>
                    <w:adjustRightInd w:val="0"/>
                    <w:spacing w:after="0"/>
                    <w:jc w:val="center"/>
                    <w:textAlignment w:val="baseline"/>
                    <w:rPr>
                      <w:color w:val="auto"/>
                      <w:sz w:val="18"/>
                      <w:szCs w:val="18"/>
                    </w:rPr>
                  </w:pPr>
                  <w:r>
                    <w:rPr>
                      <w:color w:val="auto"/>
                      <w:sz w:val="18"/>
                      <w:szCs w:val="18"/>
                    </w:rPr>
                    <w:t>相符</w:t>
                  </w:r>
                </w:p>
              </w:tc>
            </w:tr>
            <w:tr w14:paraId="724CFB1E">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575" w:hRule="atLeast"/>
              </w:trPr>
              <w:tc>
                <w:tcPr>
                  <w:tcW w:w="178" w:type="pct"/>
                  <w:vMerge w:val="continue"/>
                  <w:vAlign w:val="center"/>
                </w:tcPr>
                <w:p w14:paraId="4B867C76">
                  <w:pPr>
                    <w:adjustRightInd w:val="0"/>
                    <w:spacing w:after="0"/>
                    <w:jc w:val="center"/>
                    <w:textAlignment w:val="baseline"/>
                    <w:rPr>
                      <w:color w:val="auto"/>
                      <w:sz w:val="18"/>
                      <w:szCs w:val="18"/>
                    </w:rPr>
                  </w:pPr>
                </w:p>
              </w:tc>
              <w:tc>
                <w:tcPr>
                  <w:tcW w:w="178" w:type="pct"/>
                  <w:vAlign w:val="center"/>
                </w:tcPr>
                <w:p w14:paraId="01618919">
                  <w:pPr>
                    <w:adjustRightInd w:val="0"/>
                    <w:spacing w:after="0"/>
                    <w:jc w:val="center"/>
                    <w:textAlignment w:val="baseline"/>
                    <w:rPr>
                      <w:color w:val="auto"/>
                      <w:sz w:val="18"/>
                      <w:szCs w:val="18"/>
                    </w:rPr>
                  </w:pPr>
                  <w:r>
                    <w:rPr>
                      <w:color w:val="auto"/>
                      <w:sz w:val="18"/>
                      <w:szCs w:val="18"/>
                    </w:rPr>
                    <w:t>2</w:t>
                  </w:r>
                </w:p>
              </w:tc>
              <w:tc>
                <w:tcPr>
                  <w:tcW w:w="430" w:type="pct"/>
                  <w:vAlign w:val="center"/>
                </w:tcPr>
                <w:p w14:paraId="15D52979">
                  <w:pPr>
                    <w:adjustRightInd w:val="0"/>
                    <w:spacing w:after="0"/>
                    <w:jc w:val="center"/>
                    <w:textAlignment w:val="baseline"/>
                    <w:rPr>
                      <w:color w:val="auto"/>
                      <w:sz w:val="18"/>
                      <w:szCs w:val="18"/>
                    </w:rPr>
                  </w:pPr>
                  <w:r>
                    <w:rPr>
                      <w:color w:val="auto"/>
                      <w:sz w:val="18"/>
                      <w:szCs w:val="18"/>
                    </w:rPr>
                    <w:t>水域</w:t>
                  </w:r>
                </w:p>
              </w:tc>
              <w:tc>
                <w:tcPr>
                  <w:tcW w:w="284" w:type="pct"/>
                  <w:vAlign w:val="center"/>
                </w:tcPr>
                <w:p w14:paraId="2DA4D2F0">
                  <w:pPr>
                    <w:adjustRightInd w:val="0"/>
                    <w:spacing w:after="0"/>
                    <w:jc w:val="center"/>
                    <w:textAlignment w:val="baseline"/>
                    <w:rPr>
                      <w:color w:val="auto"/>
                      <w:sz w:val="18"/>
                      <w:szCs w:val="18"/>
                    </w:rPr>
                  </w:pPr>
                  <w:r>
                    <w:rPr>
                      <w:color w:val="auto"/>
                      <w:sz w:val="18"/>
                      <w:szCs w:val="18"/>
                    </w:rPr>
                    <w:t>9.11</w:t>
                  </w:r>
                </w:p>
              </w:tc>
              <w:tc>
                <w:tcPr>
                  <w:tcW w:w="974" w:type="pct"/>
                  <w:vMerge w:val="continue"/>
                  <w:vAlign w:val="center"/>
                </w:tcPr>
                <w:p w14:paraId="273D0736">
                  <w:pPr>
                    <w:adjustRightInd w:val="0"/>
                    <w:spacing w:after="0"/>
                    <w:jc w:val="center"/>
                    <w:textAlignment w:val="baseline"/>
                    <w:rPr>
                      <w:color w:val="auto"/>
                      <w:sz w:val="18"/>
                      <w:szCs w:val="18"/>
                    </w:rPr>
                  </w:pPr>
                </w:p>
              </w:tc>
              <w:tc>
                <w:tcPr>
                  <w:tcW w:w="1259" w:type="pct"/>
                  <w:vMerge w:val="continue"/>
                  <w:vAlign w:val="center"/>
                </w:tcPr>
                <w:p w14:paraId="6B4A5F6B">
                  <w:pPr>
                    <w:adjustRightInd w:val="0"/>
                    <w:spacing w:after="0"/>
                    <w:textAlignment w:val="baseline"/>
                    <w:rPr>
                      <w:color w:val="auto"/>
                      <w:sz w:val="18"/>
                      <w:szCs w:val="18"/>
                    </w:rPr>
                  </w:pPr>
                </w:p>
              </w:tc>
              <w:tc>
                <w:tcPr>
                  <w:tcW w:w="1302" w:type="pct"/>
                  <w:vMerge w:val="continue"/>
                  <w:vAlign w:val="center"/>
                </w:tcPr>
                <w:p w14:paraId="1F3B884B">
                  <w:pPr>
                    <w:adjustRightInd w:val="0"/>
                    <w:spacing w:after="0"/>
                    <w:textAlignment w:val="baseline"/>
                    <w:rPr>
                      <w:color w:val="auto"/>
                      <w:sz w:val="18"/>
                      <w:szCs w:val="18"/>
                    </w:rPr>
                  </w:pPr>
                </w:p>
              </w:tc>
              <w:tc>
                <w:tcPr>
                  <w:tcW w:w="396" w:type="pct"/>
                  <w:vMerge w:val="continue"/>
                  <w:vAlign w:val="center"/>
                </w:tcPr>
                <w:p w14:paraId="49E85D38">
                  <w:pPr>
                    <w:adjustRightInd w:val="0"/>
                    <w:spacing w:after="0"/>
                    <w:jc w:val="center"/>
                    <w:textAlignment w:val="baseline"/>
                    <w:rPr>
                      <w:color w:val="auto"/>
                      <w:sz w:val="18"/>
                      <w:szCs w:val="18"/>
                    </w:rPr>
                  </w:pPr>
                </w:p>
              </w:tc>
            </w:tr>
            <w:tr w14:paraId="2117D30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279" w:hRule="atLeast"/>
              </w:trPr>
              <w:tc>
                <w:tcPr>
                  <w:tcW w:w="178" w:type="pct"/>
                  <w:vMerge w:val="continue"/>
                  <w:vAlign w:val="center"/>
                </w:tcPr>
                <w:p w14:paraId="0E4A9C92">
                  <w:pPr>
                    <w:adjustRightInd w:val="0"/>
                    <w:spacing w:after="0"/>
                    <w:jc w:val="center"/>
                    <w:textAlignment w:val="baseline"/>
                    <w:rPr>
                      <w:color w:val="auto"/>
                      <w:sz w:val="18"/>
                      <w:szCs w:val="18"/>
                    </w:rPr>
                  </w:pPr>
                </w:p>
              </w:tc>
              <w:tc>
                <w:tcPr>
                  <w:tcW w:w="178" w:type="pct"/>
                  <w:vAlign w:val="center"/>
                </w:tcPr>
                <w:p w14:paraId="5F654B74">
                  <w:pPr>
                    <w:adjustRightInd w:val="0"/>
                    <w:spacing w:after="0"/>
                    <w:jc w:val="center"/>
                    <w:textAlignment w:val="baseline"/>
                    <w:rPr>
                      <w:color w:val="auto"/>
                      <w:sz w:val="18"/>
                      <w:szCs w:val="18"/>
                    </w:rPr>
                  </w:pPr>
                  <w:r>
                    <w:rPr>
                      <w:color w:val="auto"/>
                      <w:sz w:val="18"/>
                      <w:szCs w:val="18"/>
                    </w:rPr>
                    <w:t>3</w:t>
                  </w:r>
                </w:p>
              </w:tc>
              <w:tc>
                <w:tcPr>
                  <w:tcW w:w="430" w:type="pct"/>
                  <w:vAlign w:val="center"/>
                </w:tcPr>
                <w:p w14:paraId="4C0C86BE">
                  <w:pPr>
                    <w:adjustRightInd w:val="0"/>
                    <w:spacing w:after="0"/>
                    <w:jc w:val="center"/>
                    <w:textAlignment w:val="baseline"/>
                    <w:rPr>
                      <w:color w:val="auto"/>
                      <w:sz w:val="18"/>
                      <w:szCs w:val="18"/>
                    </w:rPr>
                  </w:pPr>
                  <w:r>
                    <w:rPr>
                      <w:color w:val="auto"/>
                      <w:sz w:val="18"/>
                      <w:szCs w:val="18"/>
                    </w:rPr>
                    <w:t>生态</w:t>
                  </w:r>
                </w:p>
              </w:tc>
              <w:tc>
                <w:tcPr>
                  <w:tcW w:w="284" w:type="pct"/>
                  <w:vAlign w:val="center"/>
                </w:tcPr>
                <w:p w14:paraId="179A0C8E">
                  <w:pPr>
                    <w:adjustRightInd w:val="0"/>
                    <w:spacing w:after="0"/>
                    <w:jc w:val="center"/>
                    <w:textAlignment w:val="baseline"/>
                    <w:rPr>
                      <w:color w:val="auto"/>
                      <w:sz w:val="18"/>
                      <w:szCs w:val="18"/>
                    </w:rPr>
                  </w:pPr>
                  <w:r>
                    <w:rPr>
                      <w:color w:val="auto"/>
                      <w:sz w:val="18"/>
                      <w:szCs w:val="18"/>
                    </w:rPr>
                    <w:t>32</w:t>
                  </w:r>
                </w:p>
              </w:tc>
              <w:tc>
                <w:tcPr>
                  <w:tcW w:w="974" w:type="pct"/>
                  <w:vAlign w:val="center"/>
                </w:tcPr>
                <w:p w14:paraId="0BE05BC9">
                  <w:pPr>
                    <w:adjustRightInd w:val="0"/>
                    <w:spacing w:after="0"/>
                    <w:jc w:val="center"/>
                    <w:textAlignment w:val="baseline"/>
                    <w:rPr>
                      <w:color w:val="auto"/>
                      <w:sz w:val="18"/>
                      <w:szCs w:val="18"/>
                    </w:rPr>
                  </w:pPr>
                  <w:r>
                    <w:rPr>
                      <w:color w:val="auto"/>
                      <w:sz w:val="18"/>
                      <w:szCs w:val="18"/>
                    </w:rPr>
                    <w:t>淮河干流堤防外缘线1公里范围内</w:t>
                  </w:r>
                  <w:r>
                    <w:rPr>
                      <w:rFonts w:hint="eastAsia"/>
                      <w:color w:val="auto"/>
                      <w:sz w:val="18"/>
                      <w:szCs w:val="18"/>
                    </w:rPr>
                    <w:t>。</w:t>
                  </w:r>
                </w:p>
              </w:tc>
              <w:tc>
                <w:tcPr>
                  <w:tcW w:w="1259" w:type="pct"/>
                  <w:vAlign w:val="center"/>
                </w:tcPr>
                <w:p w14:paraId="392DEA56">
                  <w:pPr>
                    <w:adjustRightInd w:val="0"/>
                    <w:spacing w:after="0"/>
                    <w:textAlignment w:val="baseline"/>
                    <w:rPr>
                      <w:color w:val="auto"/>
                      <w:sz w:val="18"/>
                      <w:szCs w:val="18"/>
                    </w:rPr>
                  </w:pPr>
                  <w:r>
                    <w:rPr>
                      <w:color w:val="auto"/>
                      <w:sz w:val="18"/>
                      <w:szCs w:val="18"/>
                    </w:rPr>
                    <w:t>“禁新建”不得布局新的工业园区。已批未开工的项目，依法停止建设支持重新选址。</w:t>
                  </w:r>
                </w:p>
              </w:tc>
              <w:tc>
                <w:tcPr>
                  <w:tcW w:w="1302" w:type="pct"/>
                  <w:vAlign w:val="center"/>
                </w:tcPr>
                <w:p w14:paraId="3183C78D">
                  <w:pPr>
                    <w:adjustRightInd w:val="0"/>
                    <w:spacing w:after="0"/>
                    <w:textAlignment w:val="baseline"/>
                    <w:rPr>
                      <w:color w:val="auto"/>
                      <w:sz w:val="18"/>
                      <w:szCs w:val="18"/>
                    </w:rPr>
                  </w:pPr>
                  <w:r>
                    <w:rPr>
                      <w:color w:val="auto"/>
                      <w:sz w:val="18"/>
                      <w:szCs w:val="18"/>
                    </w:rPr>
                    <w:t>本项目距离淮河最近距离约</w:t>
                  </w:r>
                  <w:r>
                    <w:rPr>
                      <w:rFonts w:hint="eastAsia"/>
                      <w:color w:val="auto"/>
                      <w:sz w:val="18"/>
                      <w:szCs w:val="18"/>
                      <w:lang w:val="en-US" w:eastAsia="zh-CN"/>
                    </w:rPr>
                    <w:t>6.08</w:t>
                  </w:r>
                  <w:r>
                    <w:rPr>
                      <w:color w:val="auto"/>
                      <w:sz w:val="18"/>
                      <w:szCs w:val="18"/>
                    </w:rPr>
                    <w:t>km，不在淮河岸线一公里范围内。</w:t>
                  </w:r>
                </w:p>
              </w:tc>
              <w:tc>
                <w:tcPr>
                  <w:tcW w:w="396" w:type="pct"/>
                  <w:vAlign w:val="center"/>
                </w:tcPr>
                <w:p w14:paraId="278B2BB0">
                  <w:pPr>
                    <w:adjustRightInd w:val="0"/>
                    <w:spacing w:after="0"/>
                    <w:jc w:val="center"/>
                    <w:textAlignment w:val="baseline"/>
                    <w:rPr>
                      <w:color w:val="auto"/>
                      <w:sz w:val="18"/>
                      <w:szCs w:val="18"/>
                    </w:rPr>
                  </w:pPr>
                  <w:r>
                    <w:rPr>
                      <w:color w:val="auto"/>
                      <w:sz w:val="18"/>
                      <w:szCs w:val="18"/>
                    </w:rPr>
                    <w:t>相符</w:t>
                  </w:r>
                </w:p>
              </w:tc>
            </w:tr>
            <w:tr w14:paraId="2D2CBE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12" w:hRule="atLeast"/>
              </w:trPr>
              <w:tc>
                <w:tcPr>
                  <w:tcW w:w="178" w:type="pct"/>
                  <w:vMerge w:val="restart"/>
                  <w:vAlign w:val="center"/>
                </w:tcPr>
                <w:p w14:paraId="2A06C5ED">
                  <w:pPr>
                    <w:adjustRightInd w:val="0"/>
                    <w:spacing w:after="0"/>
                    <w:jc w:val="center"/>
                    <w:textAlignment w:val="baseline"/>
                    <w:rPr>
                      <w:color w:val="auto"/>
                      <w:sz w:val="18"/>
                      <w:szCs w:val="18"/>
                    </w:rPr>
                  </w:pPr>
                  <w:r>
                    <w:rPr>
                      <w:color w:val="auto"/>
                      <w:sz w:val="18"/>
                      <w:szCs w:val="18"/>
                    </w:rPr>
                    <w:t>产业空间结构</w:t>
                  </w:r>
                </w:p>
              </w:tc>
              <w:tc>
                <w:tcPr>
                  <w:tcW w:w="178" w:type="pct"/>
                  <w:vAlign w:val="center"/>
                </w:tcPr>
                <w:p w14:paraId="60E3D28A">
                  <w:pPr>
                    <w:adjustRightInd w:val="0"/>
                    <w:spacing w:after="0"/>
                    <w:jc w:val="center"/>
                    <w:textAlignment w:val="baseline"/>
                    <w:rPr>
                      <w:color w:val="auto"/>
                      <w:sz w:val="18"/>
                      <w:szCs w:val="18"/>
                    </w:rPr>
                  </w:pPr>
                  <w:r>
                    <w:rPr>
                      <w:color w:val="auto"/>
                      <w:sz w:val="18"/>
                      <w:szCs w:val="18"/>
                    </w:rPr>
                    <w:t>1</w:t>
                  </w:r>
                </w:p>
              </w:tc>
              <w:tc>
                <w:tcPr>
                  <w:tcW w:w="430" w:type="pct"/>
                  <w:vAlign w:val="center"/>
                </w:tcPr>
                <w:p w14:paraId="1F10CFE0">
                  <w:pPr>
                    <w:adjustRightInd w:val="0"/>
                    <w:spacing w:after="0"/>
                    <w:jc w:val="center"/>
                    <w:textAlignment w:val="baseline"/>
                    <w:rPr>
                      <w:color w:val="auto"/>
                      <w:sz w:val="18"/>
                      <w:szCs w:val="18"/>
                    </w:rPr>
                  </w:pPr>
                  <w:r>
                    <w:rPr>
                      <w:color w:val="auto"/>
                      <w:sz w:val="18"/>
                      <w:szCs w:val="18"/>
                    </w:rPr>
                    <w:t>生物</w:t>
                  </w:r>
                </w:p>
                <w:p w14:paraId="630392C0">
                  <w:pPr>
                    <w:adjustRightInd w:val="0"/>
                    <w:spacing w:after="0"/>
                    <w:jc w:val="center"/>
                    <w:textAlignment w:val="baseline"/>
                    <w:rPr>
                      <w:color w:val="auto"/>
                      <w:sz w:val="18"/>
                      <w:szCs w:val="18"/>
                    </w:rPr>
                  </w:pPr>
                  <w:r>
                    <w:rPr>
                      <w:color w:val="auto"/>
                      <w:sz w:val="18"/>
                      <w:szCs w:val="18"/>
                    </w:rPr>
                    <w:t>医药</w:t>
                  </w:r>
                </w:p>
              </w:tc>
              <w:tc>
                <w:tcPr>
                  <w:tcW w:w="284" w:type="pct"/>
                  <w:vAlign w:val="center"/>
                </w:tcPr>
                <w:p w14:paraId="1B21A971">
                  <w:pPr>
                    <w:adjustRightInd w:val="0"/>
                    <w:spacing w:after="0"/>
                    <w:jc w:val="center"/>
                    <w:textAlignment w:val="baseline"/>
                    <w:rPr>
                      <w:color w:val="auto"/>
                      <w:sz w:val="18"/>
                      <w:szCs w:val="18"/>
                    </w:rPr>
                  </w:pPr>
                  <w:r>
                    <w:rPr>
                      <w:color w:val="auto"/>
                      <w:sz w:val="18"/>
                      <w:szCs w:val="18"/>
                    </w:rPr>
                    <w:t>1278</w:t>
                  </w:r>
                </w:p>
              </w:tc>
              <w:tc>
                <w:tcPr>
                  <w:tcW w:w="974" w:type="pct"/>
                  <w:vAlign w:val="center"/>
                </w:tcPr>
                <w:p w14:paraId="756E17C8">
                  <w:pPr>
                    <w:adjustRightInd w:val="0"/>
                    <w:spacing w:after="0"/>
                    <w:jc w:val="center"/>
                    <w:textAlignment w:val="baseline"/>
                    <w:rPr>
                      <w:color w:val="auto"/>
                      <w:sz w:val="18"/>
                      <w:szCs w:val="18"/>
                    </w:rPr>
                  </w:pPr>
                  <w:r>
                    <w:rPr>
                      <w:color w:val="auto"/>
                      <w:sz w:val="18"/>
                      <w:szCs w:val="18"/>
                    </w:rPr>
                    <w:t>发展生物医药产业</w:t>
                  </w:r>
                </w:p>
              </w:tc>
              <w:tc>
                <w:tcPr>
                  <w:tcW w:w="1259" w:type="pct"/>
                  <w:vMerge w:val="restart"/>
                  <w:vAlign w:val="center"/>
                </w:tcPr>
                <w:p w14:paraId="1B935BA7">
                  <w:pPr>
                    <w:adjustRightInd w:val="0"/>
                    <w:spacing w:after="0"/>
                    <w:textAlignment w:val="baseline"/>
                    <w:rPr>
                      <w:color w:val="auto"/>
                      <w:sz w:val="18"/>
                      <w:szCs w:val="18"/>
                    </w:rPr>
                  </w:pPr>
                  <w:r>
                    <w:rPr>
                      <w:color w:val="auto"/>
                      <w:sz w:val="18"/>
                      <w:szCs w:val="18"/>
                    </w:rPr>
                    <w:t>严格控制产业用地边界，强化规划指导，限制占用生态和生活营地。提高环境准入门槛，引进项目应符合环境准入负面清单。落实入区企业污染减缓措施，加强环境保护管理，建立健全区域风险防范体系。</w:t>
                  </w:r>
                </w:p>
              </w:tc>
              <w:tc>
                <w:tcPr>
                  <w:tcW w:w="1302" w:type="pct"/>
                  <w:vMerge w:val="restart"/>
                  <w:vAlign w:val="center"/>
                </w:tcPr>
                <w:p w14:paraId="7F2FE337">
                  <w:pPr>
                    <w:adjustRightInd w:val="0"/>
                    <w:spacing w:after="0"/>
                    <w:textAlignment w:val="baseline"/>
                    <w:rPr>
                      <w:color w:val="auto"/>
                      <w:sz w:val="18"/>
                      <w:szCs w:val="18"/>
                    </w:rPr>
                  </w:pPr>
                  <w:r>
                    <w:rPr>
                      <w:color w:val="auto"/>
                      <w:sz w:val="18"/>
                      <w:szCs w:val="18"/>
                    </w:rPr>
                    <w:t>本项目为</w:t>
                  </w:r>
                  <w:r>
                    <w:rPr>
                      <w:rFonts w:hint="eastAsia"/>
                      <w:color w:val="auto"/>
                      <w:sz w:val="18"/>
                      <w:szCs w:val="18"/>
                      <w:lang w:eastAsia="zh-CN"/>
                    </w:rPr>
                    <w:t>C1431米、面制品制造</w:t>
                  </w:r>
                  <w:r>
                    <w:rPr>
                      <w:color w:val="auto"/>
                      <w:sz w:val="18"/>
                      <w:szCs w:val="18"/>
                    </w:rPr>
                    <w:t>，</w:t>
                  </w:r>
                  <w:r>
                    <w:rPr>
                      <w:rFonts w:hint="eastAsia"/>
                      <w:color w:val="auto"/>
                      <w:sz w:val="18"/>
                      <w:szCs w:val="18"/>
                      <w:lang w:eastAsia="zh-CN"/>
                    </w:rPr>
                    <w:t>属于食品加工产业</w:t>
                  </w:r>
                  <w:r>
                    <w:rPr>
                      <w:rFonts w:hint="eastAsia"/>
                      <w:color w:val="auto"/>
                      <w:sz w:val="18"/>
                      <w:szCs w:val="18"/>
                    </w:rPr>
                    <w:t>，项目建设</w:t>
                  </w:r>
                  <w:r>
                    <w:rPr>
                      <w:rFonts w:hint="eastAsia"/>
                      <w:color w:val="auto"/>
                      <w:sz w:val="18"/>
                      <w:szCs w:val="18"/>
                      <w:lang w:eastAsia="zh-CN"/>
                    </w:rPr>
                    <w:t>符合</w:t>
                  </w:r>
                  <w:r>
                    <w:rPr>
                      <w:color w:val="auto"/>
                      <w:sz w:val="18"/>
                      <w:szCs w:val="18"/>
                    </w:rPr>
                    <w:t>淮南</w:t>
                  </w:r>
                  <w:r>
                    <w:rPr>
                      <w:rFonts w:hint="eastAsia"/>
                      <w:color w:val="auto"/>
                      <w:sz w:val="18"/>
                      <w:szCs w:val="18"/>
                    </w:rPr>
                    <w:t>经济技术开发区主导产业政策要求，</w:t>
                  </w:r>
                  <w:r>
                    <w:rPr>
                      <w:color w:val="auto"/>
                      <w:sz w:val="18"/>
                      <w:szCs w:val="18"/>
                    </w:rPr>
                    <w:t>符合淮南</w:t>
                  </w:r>
                  <w:r>
                    <w:rPr>
                      <w:rFonts w:hint="eastAsia"/>
                      <w:color w:val="auto"/>
                      <w:sz w:val="18"/>
                      <w:szCs w:val="18"/>
                    </w:rPr>
                    <w:t>经济技术开发区</w:t>
                  </w:r>
                  <w:r>
                    <w:rPr>
                      <w:color w:val="auto"/>
                      <w:sz w:val="18"/>
                      <w:szCs w:val="18"/>
                    </w:rPr>
                    <w:t>产业规划和环境准入负面清单要求。</w:t>
                  </w:r>
                </w:p>
              </w:tc>
              <w:tc>
                <w:tcPr>
                  <w:tcW w:w="396" w:type="pct"/>
                  <w:vMerge w:val="restart"/>
                  <w:vAlign w:val="center"/>
                </w:tcPr>
                <w:p w14:paraId="6B2CB51B">
                  <w:pPr>
                    <w:adjustRightInd w:val="0"/>
                    <w:spacing w:after="0"/>
                    <w:jc w:val="center"/>
                    <w:textAlignment w:val="baseline"/>
                    <w:rPr>
                      <w:color w:val="auto"/>
                      <w:sz w:val="18"/>
                      <w:szCs w:val="18"/>
                    </w:rPr>
                  </w:pPr>
                  <w:r>
                    <w:rPr>
                      <w:color w:val="auto"/>
                      <w:sz w:val="18"/>
                      <w:szCs w:val="18"/>
                    </w:rPr>
                    <w:t>相符</w:t>
                  </w:r>
                </w:p>
              </w:tc>
            </w:tr>
            <w:tr w14:paraId="5095F5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601" w:hRule="atLeast"/>
              </w:trPr>
              <w:tc>
                <w:tcPr>
                  <w:tcW w:w="178" w:type="pct"/>
                  <w:vMerge w:val="continue"/>
                  <w:vAlign w:val="center"/>
                </w:tcPr>
                <w:p w14:paraId="2882D7B4">
                  <w:pPr>
                    <w:spacing w:after="0"/>
                    <w:jc w:val="center"/>
                    <w:rPr>
                      <w:color w:val="auto"/>
                    </w:rPr>
                  </w:pPr>
                </w:p>
              </w:tc>
              <w:tc>
                <w:tcPr>
                  <w:tcW w:w="178" w:type="pct"/>
                  <w:vAlign w:val="center"/>
                </w:tcPr>
                <w:p w14:paraId="3E99E0F8">
                  <w:pPr>
                    <w:adjustRightInd w:val="0"/>
                    <w:spacing w:after="0"/>
                    <w:jc w:val="center"/>
                    <w:textAlignment w:val="baseline"/>
                    <w:rPr>
                      <w:color w:val="auto"/>
                      <w:sz w:val="18"/>
                      <w:szCs w:val="18"/>
                    </w:rPr>
                  </w:pPr>
                  <w:r>
                    <w:rPr>
                      <w:color w:val="auto"/>
                      <w:sz w:val="18"/>
                      <w:szCs w:val="18"/>
                    </w:rPr>
                    <w:t>2</w:t>
                  </w:r>
                </w:p>
              </w:tc>
              <w:tc>
                <w:tcPr>
                  <w:tcW w:w="430" w:type="pct"/>
                  <w:vAlign w:val="center"/>
                </w:tcPr>
                <w:p w14:paraId="305855FF">
                  <w:pPr>
                    <w:adjustRightInd w:val="0"/>
                    <w:spacing w:after="0"/>
                    <w:jc w:val="center"/>
                    <w:textAlignment w:val="baseline"/>
                    <w:rPr>
                      <w:color w:val="auto"/>
                      <w:sz w:val="18"/>
                      <w:szCs w:val="18"/>
                    </w:rPr>
                  </w:pPr>
                  <w:r>
                    <w:rPr>
                      <w:color w:val="auto"/>
                      <w:sz w:val="18"/>
                      <w:szCs w:val="18"/>
                    </w:rPr>
                    <w:t>纺织</w:t>
                  </w:r>
                </w:p>
                <w:p w14:paraId="47E7F18D">
                  <w:pPr>
                    <w:adjustRightInd w:val="0"/>
                    <w:spacing w:after="0"/>
                    <w:jc w:val="center"/>
                    <w:textAlignment w:val="baseline"/>
                    <w:rPr>
                      <w:color w:val="auto"/>
                      <w:sz w:val="18"/>
                      <w:szCs w:val="18"/>
                    </w:rPr>
                  </w:pPr>
                  <w:r>
                    <w:rPr>
                      <w:color w:val="auto"/>
                      <w:sz w:val="18"/>
                      <w:szCs w:val="18"/>
                    </w:rPr>
                    <w:t>服装</w:t>
                  </w:r>
                </w:p>
              </w:tc>
              <w:tc>
                <w:tcPr>
                  <w:tcW w:w="284" w:type="pct"/>
                  <w:vAlign w:val="center"/>
                </w:tcPr>
                <w:p w14:paraId="282A86DD">
                  <w:pPr>
                    <w:adjustRightInd w:val="0"/>
                    <w:spacing w:after="0"/>
                    <w:jc w:val="center"/>
                    <w:textAlignment w:val="baseline"/>
                    <w:rPr>
                      <w:color w:val="auto"/>
                      <w:sz w:val="18"/>
                      <w:szCs w:val="18"/>
                    </w:rPr>
                  </w:pPr>
                  <w:r>
                    <w:rPr>
                      <w:color w:val="auto"/>
                      <w:sz w:val="18"/>
                      <w:szCs w:val="18"/>
                    </w:rPr>
                    <w:t>267</w:t>
                  </w:r>
                </w:p>
              </w:tc>
              <w:tc>
                <w:tcPr>
                  <w:tcW w:w="974" w:type="pct"/>
                  <w:vAlign w:val="center"/>
                </w:tcPr>
                <w:p w14:paraId="0284A18F">
                  <w:pPr>
                    <w:adjustRightInd w:val="0"/>
                    <w:spacing w:after="0"/>
                    <w:jc w:val="center"/>
                    <w:textAlignment w:val="baseline"/>
                    <w:rPr>
                      <w:color w:val="auto"/>
                      <w:sz w:val="18"/>
                      <w:szCs w:val="18"/>
                    </w:rPr>
                  </w:pPr>
                  <w:r>
                    <w:rPr>
                      <w:color w:val="auto"/>
                      <w:sz w:val="18"/>
                      <w:szCs w:val="18"/>
                    </w:rPr>
                    <w:t>发展纺织服装产业</w:t>
                  </w:r>
                </w:p>
              </w:tc>
              <w:tc>
                <w:tcPr>
                  <w:tcW w:w="1259" w:type="pct"/>
                  <w:vMerge w:val="continue"/>
                  <w:vAlign w:val="center"/>
                </w:tcPr>
                <w:p w14:paraId="35369330">
                  <w:pPr>
                    <w:adjustRightInd w:val="0"/>
                    <w:spacing w:after="0"/>
                    <w:textAlignment w:val="baseline"/>
                    <w:rPr>
                      <w:color w:val="0000FF"/>
                      <w:sz w:val="18"/>
                      <w:szCs w:val="18"/>
                    </w:rPr>
                  </w:pPr>
                </w:p>
              </w:tc>
              <w:tc>
                <w:tcPr>
                  <w:tcW w:w="1302" w:type="pct"/>
                  <w:vMerge w:val="continue"/>
                  <w:vAlign w:val="center"/>
                </w:tcPr>
                <w:p w14:paraId="09B960AD">
                  <w:pPr>
                    <w:adjustRightInd w:val="0"/>
                    <w:spacing w:after="0"/>
                    <w:textAlignment w:val="baseline"/>
                    <w:rPr>
                      <w:color w:val="0000FF"/>
                      <w:sz w:val="18"/>
                      <w:szCs w:val="18"/>
                    </w:rPr>
                  </w:pPr>
                </w:p>
              </w:tc>
              <w:tc>
                <w:tcPr>
                  <w:tcW w:w="396" w:type="pct"/>
                  <w:vMerge w:val="continue"/>
                  <w:vAlign w:val="center"/>
                </w:tcPr>
                <w:p w14:paraId="27BE74DC">
                  <w:pPr>
                    <w:spacing w:after="0"/>
                    <w:jc w:val="center"/>
                    <w:rPr>
                      <w:color w:val="0000FF"/>
                    </w:rPr>
                  </w:pPr>
                </w:p>
              </w:tc>
            </w:tr>
            <w:tr w14:paraId="215B529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12" w:hRule="atLeast"/>
              </w:trPr>
              <w:tc>
                <w:tcPr>
                  <w:tcW w:w="178" w:type="pct"/>
                  <w:vMerge w:val="continue"/>
                  <w:vAlign w:val="center"/>
                </w:tcPr>
                <w:p w14:paraId="23FC4BC6">
                  <w:pPr>
                    <w:spacing w:after="0"/>
                    <w:jc w:val="center"/>
                    <w:rPr>
                      <w:color w:val="auto"/>
                    </w:rPr>
                  </w:pPr>
                </w:p>
              </w:tc>
              <w:tc>
                <w:tcPr>
                  <w:tcW w:w="178" w:type="pct"/>
                  <w:vAlign w:val="center"/>
                </w:tcPr>
                <w:p w14:paraId="20F3A633">
                  <w:pPr>
                    <w:adjustRightInd w:val="0"/>
                    <w:spacing w:after="0"/>
                    <w:jc w:val="center"/>
                    <w:textAlignment w:val="baseline"/>
                    <w:rPr>
                      <w:color w:val="auto"/>
                      <w:sz w:val="18"/>
                      <w:szCs w:val="18"/>
                    </w:rPr>
                  </w:pPr>
                  <w:r>
                    <w:rPr>
                      <w:color w:val="auto"/>
                      <w:sz w:val="18"/>
                      <w:szCs w:val="18"/>
                    </w:rPr>
                    <w:t>3</w:t>
                  </w:r>
                </w:p>
              </w:tc>
              <w:tc>
                <w:tcPr>
                  <w:tcW w:w="430" w:type="pct"/>
                  <w:vAlign w:val="center"/>
                </w:tcPr>
                <w:p w14:paraId="3E3BC001">
                  <w:pPr>
                    <w:adjustRightInd w:val="0"/>
                    <w:spacing w:after="0"/>
                    <w:jc w:val="center"/>
                    <w:textAlignment w:val="baseline"/>
                    <w:rPr>
                      <w:color w:val="auto"/>
                      <w:sz w:val="18"/>
                      <w:szCs w:val="18"/>
                    </w:rPr>
                  </w:pPr>
                  <w:r>
                    <w:rPr>
                      <w:color w:val="auto"/>
                      <w:sz w:val="18"/>
                      <w:szCs w:val="18"/>
                    </w:rPr>
                    <w:t>化学</w:t>
                  </w:r>
                </w:p>
                <w:p w14:paraId="1541B929">
                  <w:pPr>
                    <w:adjustRightInd w:val="0"/>
                    <w:spacing w:after="0"/>
                    <w:jc w:val="center"/>
                    <w:textAlignment w:val="baseline"/>
                    <w:rPr>
                      <w:color w:val="auto"/>
                      <w:sz w:val="18"/>
                      <w:szCs w:val="18"/>
                    </w:rPr>
                  </w:pPr>
                  <w:r>
                    <w:rPr>
                      <w:color w:val="auto"/>
                      <w:sz w:val="18"/>
                      <w:szCs w:val="18"/>
                    </w:rPr>
                    <w:t>工业</w:t>
                  </w:r>
                </w:p>
              </w:tc>
              <w:tc>
                <w:tcPr>
                  <w:tcW w:w="284" w:type="pct"/>
                  <w:vAlign w:val="center"/>
                </w:tcPr>
                <w:p w14:paraId="156928B9">
                  <w:pPr>
                    <w:adjustRightInd w:val="0"/>
                    <w:spacing w:after="0"/>
                    <w:jc w:val="center"/>
                    <w:textAlignment w:val="baseline"/>
                    <w:rPr>
                      <w:color w:val="auto"/>
                      <w:sz w:val="18"/>
                      <w:szCs w:val="18"/>
                    </w:rPr>
                  </w:pPr>
                  <w:r>
                    <w:rPr>
                      <w:color w:val="auto"/>
                      <w:sz w:val="18"/>
                      <w:szCs w:val="18"/>
                    </w:rPr>
                    <w:t>30</w:t>
                  </w:r>
                </w:p>
              </w:tc>
              <w:tc>
                <w:tcPr>
                  <w:tcW w:w="974" w:type="pct"/>
                  <w:vAlign w:val="center"/>
                </w:tcPr>
                <w:p w14:paraId="7E4BF7FA">
                  <w:pPr>
                    <w:adjustRightInd w:val="0"/>
                    <w:spacing w:after="0"/>
                    <w:jc w:val="center"/>
                    <w:textAlignment w:val="baseline"/>
                    <w:rPr>
                      <w:color w:val="auto"/>
                      <w:sz w:val="18"/>
                      <w:szCs w:val="18"/>
                    </w:rPr>
                  </w:pPr>
                  <w:r>
                    <w:rPr>
                      <w:color w:val="auto"/>
                      <w:sz w:val="18"/>
                      <w:szCs w:val="18"/>
                    </w:rPr>
                    <w:t>发展医药化学工业产业</w:t>
                  </w:r>
                </w:p>
              </w:tc>
              <w:tc>
                <w:tcPr>
                  <w:tcW w:w="1259" w:type="pct"/>
                  <w:vMerge w:val="continue"/>
                  <w:vAlign w:val="center"/>
                </w:tcPr>
                <w:p w14:paraId="4375298E">
                  <w:pPr>
                    <w:adjustRightInd w:val="0"/>
                    <w:spacing w:after="0"/>
                    <w:textAlignment w:val="baseline"/>
                    <w:rPr>
                      <w:color w:val="0000FF"/>
                      <w:sz w:val="18"/>
                      <w:szCs w:val="18"/>
                    </w:rPr>
                  </w:pPr>
                </w:p>
              </w:tc>
              <w:tc>
                <w:tcPr>
                  <w:tcW w:w="1302" w:type="pct"/>
                  <w:vMerge w:val="continue"/>
                  <w:vAlign w:val="center"/>
                </w:tcPr>
                <w:p w14:paraId="00C8109F">
                  <w:pPr>
                    <w:adjustRightInd w:val="0"/>
                    <w:spacing w:after="0"/>
                    <w:textAlignment w:val="baseline"/>
                    <w:rPr>
                      <w:color w:val="0000FF"/>
                      <w:sz w:val="18"/>
                      <w:szCs w:val="18"/>
                    </w:rPr>
                  </w:pPr>
                </w:p>
              </w:tc>
              <w:tc>
                <w:tcPr>
                  <w:tcW w:w="396" w:type="pct"/>
                  <w:vMerge w:val="continue"/>
                  <w:vAlign w:val="center"/>
                </w:tcPr>
                <w:p w14:paraId="163243AF">
                  <w:pPr>
                    <w:spacing w:after="0"/>
                    <w:jc w:val="center"/>
                    <w:rPr>
                      <w:color w:val="0000FF"/>
                    </w:rPr>
                  </w:pPr>
                </w:p>
              </w:tc>
            </w:tr>
            <w:tr w14:paraId="39C8BD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12" w:hRule="atLeast"/>
              </w:trPr>
              <w:tc>
                <w:tcPr>
                  <w:tcW w:w="178" w:type="pct"/>
                  <w:vMerge w:val="continue"/>
                  <w:vAlign w:val="center"/>
                </w:tcPr>
                <w:p w14:paraId="477C2ACE">
                  <w:pPr>
                    <w:spacing w:after="0"/>
                    <w:jc w:val="center"/>
                    <w:rPr>
                      <w:color w:val="auto"/>
                    </w:rPr>
                  </w:pPr>
                </w:p>
              </w:tc>
              <w:tc>
                <w:tcPr>
                  <w:tcW w:w="178" w:type="pct"/>
                  <w:vAlign w:val="center"/>
                </w:tcPr>
                <w:p w14:paraId="01830F06">
                  <w:pPr>
                    <w:adjustRightInd w:val="0"/>
                    <w:spacing w:after="0"/>
                    <w:jc w:val="center"/>
                    <w:textAlignment w:val="baseline"/>
                    <w:rPr>
                      <w:color w:val="auto"/>
                      <w:sz w:val="18"/>
                      <w:szCs w:val="18"/>
                    </w:rPr>
                  </w:pPr>
                  <w:r>
                    <w:rPr>
                      <w:color w:val="auto"/>
                      <w:sz w:val="18"/>
                      <w:szCs w:val="18"/>
                    </w:rPr>
                    <w:t>4</w:t>
                  </w:r>
                </w:p>
              </w:tc>
              <w:tc>
                <w:tcPr>
                  <w:tcW w:w="430" w:type="pct"/>
                  <w:vAlign w:val="center"/>
                </w:tcPr>
                <w:p w14:paraId="1BE3FD73">
                  <w:pPr>
                    <w:adjustRightInd w:val="0"/>
                    <w:spacing w:after="0"/>
                    <w:jc w:val="center"/>
                    <w:textAlignment w:val="baseline"/>
                    <w:rPr>
                      <w:color w:val="auto"/>
                      <w:sz w:val="18"/>
                      <w:szCs w:val="18"/>
                    </w:rPr>
                  </w:pPr>
                  <w:r>
                    <w:rPr>
                      <w:color w:val="auto"/>
                      <w:sz w:val="18"/>
                      <w:szCs w:val="18"/>
                    </w:rPr>
                    <w:t>机械电子与新型材料</w:t>
                  </w:r>
                </w:p>
              </w:tc>
              <w:tc>
                <w:tcPr>
                  <w:tcW w:w="284" w:type="pct"/>
                  <w:vAlign w:val="center"/>
                </w:tcPr>
                <w:p w14:paraId="147ED4F6">
                  <w:pPr>
                    <w:adjustRightInd w:val="0"/>
                    <w:spacing w:after="0"/>
                    <w:jc w:val="center"/>
                    <w:textAlignment w:val="baseline"/>
                    <w:rPr>
                      <w:color w:val="auto"/>
                      <w:sz w:val="18"/>
                      <w:szCs w:val="18"/>
                    </w:rPr>
                  </w:pPr>
                  <w:r>
                    <w:rPr>
                      <w:color w:val="auto"/>
                      <w:sz w:val="18"/>
                      <w:szCs w:val="18"/>
                    </w:rPr>
                    <w:t>198</w:t>
                  </w:r>
                </w:p>
              </w:tc>
              <w:tc>
                <w:tcPr>
                  <w:tcW w:w="974" w:type="pct"/>
                  <w:vAlign w:val="center"/>
                </w:tcPr>
                <w:p w14:paraId="60BC987A">
                  <w:pPr>
                    <w:adjustRightInd w:val="0"/>
                    <w:spacing w:after="0"/>
                    <w:jc w:val="center"/>
                    <w:textAlignment w:val="baseline"/>
                    <w:rPr>
                      <w:color w:val="auto"/>
                      <w:sz w:val="18"/>
                      <w:szCs w:val="18"/>
                    </w:rPr>
                  </w:pPr>
                  <w:r>
                    <w:rPr>
                      <w:color w:val="auto"/>
                      <w:sz w:val="18"/>
                      <w:szCs w:val="18"/>
                    </w:rPr>
                    <w:t>发展机械电子与新型材料产业</w:t>
                  </w:r>
                </w:p>
              </w:tc>
              <w:tc>
                <w:tcPr>
                  <w:tcW w:w="1259" w:type="pct"/>
                  <w:vMerge w:val="continue"/>
                  <w:vAlign w:val="center"/>
                </w:tcPr>
                <w:p w14:paraId="3E325DDE">
                  <w:pPr>
                    <w:adjustRightInd w:val="0"/>
                    <w:spacing w:after="0"/>
                    <w:textAlignment w:val="baseline"/>
                    <w:rPr>
                      <w:color w:val="0000FF"/>
                      <w:sz w:val="18"/>
                      <w:szCs w:val="18"/>
                    </w:rPr>
                  </w:pPr>
                </w:p>
              </w:tc>
              <w:tc>
                <w:tcPr>
                  <w:tcW w:w="1302" w:type="pct"/>
                  <w:vMerge w:val="continue"/>
                  <w:vAlign w:val="center"/>
                </w:tcPr>
                <w:p w14:paraId="2D47F234">
                  <w:pPr>
                    <w:adjustRightInd w:val="0"/>
                    <w:spacing w:after="0"/>
                    <w:textAlignment w:val="baseline"/>
                    <w:rPr>
                      <w:color w:val="0000FF"/>
                      <w:sz w:val="18"/>
                      <w:szCs w:val="18"/>
                    </w:rPr>
                  </w:pPr>
                </w:p>
              </w:tc>
              <w:tc>
                <w:tcPr>
                  <w:tcW w:w="396" w:type="pct"/>
                  <w:vMerge w:val="continue"/>
                  <w:vAlign w:val="center"/>
                </w:tcPr>
                <w:p w14:paraId="3C238597">
                  <w:pPr>
                    <w:spacing w:after="0"/>
                    <w:jc w:val="center"/>
                    <w:rPr>
                      <w:color w:val="0000FF"/>
                    </w:rPr>
                  </w:pPr>
                </w:p>
              </w:tc>
            </w:tr>
            <w:tr w14:paraId="2052051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12" w:hRule="atLeast"/>
              </w:trPr>
              <w:tc>
                <w:tcPr>
                  <w:tcW w:w="178" w:type="pct"/>
                  <w:vMerge w:val="continue"/>
                  <w:vAlign w:val="center"/>
                </w:tcPr>
                <w:p w14:paraId="65163609">
                  <w:pPr>
                    <w:spacing w:after="0"/>
                    <w:jc w:val="center"/>
                    <w:rPr>
                      <w:color w:val="auto"/>
                    </w:rPr>
                  </w:pPr>
                </w:p>
              </w:tc>
              <w:tc>
                <w:tcPr>
                  <w:tcW w:w="178" w:type="pct"/>
                  <w:vAlign w:val="center"/>
                </w:tcPr>
                <w:p w14:paraId="2023E484">
                  <w:pPr>
                    <w:adjustRightInd w:val="0"/>
                    <w:spacing w:after="0"/>
                    <w:jc w:val="center"/>
                    <w:textAlignment w:val="baseline"/>
                    <w:rPr>
                      <w:color w:val="auto"/>
                      <w:sz w:val="18"/>
                      <w:szCs w:val="18"/>
                    </w:rPr>
                  </w:pPr>
                  <w:r>
                    <w:rPr>
                      <w:color w:val="auto"/>
                      <w:sz w:val="18"/>
                      <w:szCs w:val="18"/>
                    </w:rPr>
                    <w:t>5</w:t>
                  </w:r>
                </w:p>
              </w:tc>
              <w:tc>
                <w:tcPr>
                  <w:tcW w:w="430" w:type="pct"/>
                  <w:vAlign w:val="center"/>
                </w:tcPr>
                <w:p w14:paraId="1C026F5A">
                  <w:pPr>
                    <w:adjustRightInd w:val="0"/>
                    <w:spacing w:after="0"/>
                    <w:jc w:val="center"/>
                    <w:textAlignment w:val="baseline"/>
                    <w:rPr>
                      <w:color w:val="auto"/>
                      <w:sz w:val="18"/>
                      <w:szCs w:val="18"/>
                    </w:rPr>
                  </w:pPr>
                  <w:r>
                    <w:rPr>
                      <w:color w:val="auto"/>
                      <w:sz w:val="18"/>
                      <w:szCs w:val="18"/>
                    </w:rPr>
                    <w:t>食品</w:t>
                  </w:r>
                </w:p>
                <w:p w14:paraId="2476898B">
                  <w:pPr>
                    <w:adjustRightInd w:val="0"/>
                    <w:spacing w:after="0"/>
                    <w:jc w:val="center"/>
                    <w:textAlignment w:val="baseline"/>
                    <w:rPr>
                      <w:color w:val="auto"/>
                      <w:sz w:val="18"/>
                      <w:szCs w:val="18"/>
                    </w:rPr>
                  </w:pPr>
                  <w:r>
                    <w:rPr>
                      <w:color w:val="auto"/>
                      <w:sz w:val="18"/>
                      <w:szCs w:val="18"/>
                    </w:rPr>
                    <w:t>加工</w:t>
                  </w:r>
                </w:p>
              </w:tc>
              <w:tc>
                <w:tcPr>
                  <w:tcW w:w="284" w:type="pct"/>
                  <w:vAlign w:val="center"/>
                </w:tcPr>
                <w:p w14:paraId="728755A9">
                  <w:pPr>
                    <w:adjustRightInd w:val="0"/>
                    <w:spacing w:after="0"/>
                    <w:jc w:val="center"/>
                    <w:textAlignment w:val="baseline"/>
                    <w:rPr>
                      <w:color w:val="auto"/>
                      <w:sz w:val="18"/>
                      <w:szCs w:val="18"/>
                    </w:rPr>
                  </w:pPr>
                  <w:r>
                    <w:rPr>
                      <w:color w:val="auto"/>
                      <w:sz w:val="18"/>
                      <w:szCs w:val="18"/>
                    </w:rPr>
                    <w:t>454</w:t>
                  </w:r>
                </w:p>
              </w:tc>
              <w:tc>
                <w:tcPr>
                  <w:tcW w:w="974" w:type="pct"/>
                  <w:vAlign w:val="center"/>
                </w:tcPr>
                <w:p w14:paraId="4CEE2F20">
                  <w:pPr>
                    <w:adjustRightInd w:val="0"/>
                    <w:spacing w:after="0"/>
                    <w:jc w:val="center"/>
                    <w:textAlignment w:val="baseline"/>
                    <w:rPr>
                      <w:color w:val="auto"/>
                      <w:sz w:val="18"/>
                      <w:szCs w:val="18"/>
                    </w:rPr>
                  </w:pPr>
                  <w:r>
                    <w:rPr>
                      <w:color w:val="auto"/>
                      <w:sz w:val="18"/>
                      <w:szCs w:val="18"/>
                    </w:rPr>
                    <w:t>发展食品加工产业</w:t>
                  </w:r>
                </w:p>
              </w:tc>
              <w:tc>
                <w:tcPr>
                  <w:tcW w:w="1259" w:type="pct"/>
                  <w:vMerge w:val="continue"/>
                  <w:vAlign w:val="center"/>
                </w:tcPr>
                <w:p w14:paraId="6892CCD8">
                  <w:pPr>
                    <w:adjustRightInd w:val="0"/>
                    <w:spacing w:after="0"/>
                    <w:textAlignment w:val="baseline"/>
                    <w:rPr>
                      <w:color w:val="0000FF"/>
                      <w:sz w:val="18"/>
                      <w:szCs w:val="18"/>
                    </w:rPr>
                  </w:pPr>
                </w:p>
              </w:tc>
              <w:tc>
                <w:tcPr>
                  <w:tcW w:w="1302" w:type="pct"/>
                  <w:vMerge w:val="continue"/>
                  <w:vAlign w:val="center"/>
                </w:tcPr>
                <w:p w14:paraId="62C95BB9">
                  <w:pPr>
                    <w:adjustRightInd w:val="0"/>
                    <w:spacing w:after="0"/>
                    <w:textAlignment w:val="baseline"/>
                    <w:rPr>
                      <w:color w:val="0000FF"/>
                      <w:sz w:val="18"/>
                      <w:szCs w:val="18"/>
                    </w:rPr>
                  </w:pPr>
                </w:p>
              </w:tc>
              <w:tc>
                <w:tcPr>
                  <w:tcW w:w="396" w:type="pct"/>
                  <w:vMerge w:val="continue"/>
                  <w:vAlign w:val="center"/>
                </w:tcPr>
                <w:p w14:paraId="61D0BF91">
                  <w:pPr>
                    <w:spacing w:after="0"/>
                    <w:jc w:val="center"/>
                    <w:rPr>
                      <w:color w:val="0000FF"/>
                    </w:rPr>
                  </w:pPr>
                </w:p>
              </w:tc>
            </w:tr>
            <w:tr w14:paraId="74431A7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160" w:hRule="atLeast"/>
              </w:trPr>
              <w:tc>
                <w:tcPr>
                  <w:tcW w:w="178" w:type="pct"/>
                  <w:vMerge w:val="continue"/>
                  <w:vAlign w:val="center"/>
                </w:tcPr>
                <w:p w14:paraId="05999D39">
                  <w:pPr>
                    <w:spacing w:after="0"/>
                    <w:jc w:val="center"/>
                    <w:rPr>
                      <w:color w:val="auto"/>
                    </w:rPr>
                  </w:pPr>
                </w:p>
              </w:tc>
              <w:tc>
                <w:tcPr>
                  <w:tcW w:w="178" w:type="pct"/>
                  <w:vAlign w:val="center"/>
                </w:tcPr>
                <w:p w14:paraId="713135B9">
                  <w:pPr>
                    <w:adjustRightInd w:val="0"/>
                    <w:spacing w:after="0"/>
                    <w:jc w:val="center"/>
                    <w:textAlignment w:val="baseline"/>
                    <w:rPr>
                      <w:color w:val="auto"/>
                      <w:sz w:val="18"/>
                      <w:szCs w:val="18"/>
                    </w:rPr>
                  </w:pPr>
                  <w:r>
                    <w:rPr>
                      <w:color w:val="auto"/>
                      <w:sz w:val="18"/>
                      <w:szCs w:val="18"/>
                    </w:rPr>
                    <w:t>6</w:t>
                  </w:r>
                </w:p>
              </w:tc>
              <w:tc>
                <w:tcPr>
                  <w:tcW w:w="430" w:type="pct"/>
                  <w:vAlign w:val="center"/>
                </w:tcPr>
                <w:p w14:paraId="07E6E5E2">
                  <w:pPr>
                    <w:adjustRightInd w:val="0"/>
                    <w:spacing w:after="0"/>
                    <w:jc w:val="center"/>
                    <w:textAlignment w:val="baseline"/>
                    <w:rPr>
                      <w:color w:val="auto"/>
                      <w:sz w:val="18"/>
                      <w:szCs w:val="18"/>
                    </w:rPr>
                  </w:pPr>
                  <w:r>
                    <w:rPr>
                      <w:color w:val="auto"/>
                      <w:sz w:val="18"/>
                      <w:szCs w:val="18"/>
                    </w:rPr>
                    <w:t>商贸</w:t>
                  </w:r>
                </w:p>
                <w:p w14:paraId="400DC354">
                  <w:pPr>
                    <w:adjustRightInd w:val="0"/>
                    <w:spacing w:after="0"/>
                    <w:jc w:val="center"/>
                    <w:textAlignment w:val="baseline"/>
                    <w:rPr>
                      <w:color w:val="auto"/>
                      <w:sz w:val="18"/>
                      <w:szCs w:val="18"/>
                    </w:rPr>
                  </w:pPr>
                  <w:r>
                    <w:rPr>
                      <w:color w:val="auto"/>
                      <w:sz w:val="18"/>
                      <w:szCs w:val="18"/>
                    </w:rPr>
                    <w:t>流通</w:t>
                  </w:r>
                </w:p>
              </w:tc>
              <w:tc>
                <w:tcPr>
                  <w:tcW w:w="284" w:type="pct"/>
                  <w:vAlign w:val="center"/>
                </w:tcPr>
                <w:p w14:paraId="6B0B3824">
                  <w:pPr>
                    <w:adjustRightInd w:val="0"/>
                    <w:spacing w:after="0"/>
                    <w:jc w:val="center"/>
                    <w:textAlignment w:val="baseline"/>
                    <w:rPr>
                      <w:color w:val="auto"/>
                      <w:sz w:val="18"/>
                      <w:szCs w:val="18"/>
                    </w:rPr>
                  </w:pPr>
                  <w:r>
                    <w:rPr>
                      <w:color w:val="auto"/>
                      <w:sz w:val="18"/>
                      <w:szCs w:val="18"/>
                    </w:rPr>
                    <w:t>161</w:t>
                  </w:r>
                </w:p>
              </w:tc>
              <w:tc>
                <w:tcPr>
                  <w:tcW w:w="974" w:type="pct"/>
                  <w:vAlign w:val="center"/>
                </w:tcPr>
                <w:p w14:paraId="2875B9FC">
                  <w:pPr>
                    <w:adjustRightInd w:val="0"/>
                    <w:spacing w:after="0"/>
                    <w:jc w:val="center"/>
                    <w:textAlignment w:val="baseline"/>
                    <w:rPr>
                      <w:color w:val="auto"/>
                      <w:sz w:val="18"/>
                      <w:szCs w:val="18"/>
                    </w:rPr>
                  </w:pPr>
                  <w:r>
                    <w:rPr>
                      <w:color w:val="auto"/>
                      <w:sz w:val="18"/>
                      <w:szCs w:val="18"/>
                    </w:rPr>
                    <w:t>发展商贸流通产业</w:t>
                  </w:r>
                </w:p>
              </w:tc>
              <w:tc>
                <w:tcPr>
                  <w:tcW w:w="1259" w:type="pct"/>
                  <w:vMerge w:val="continue"/>
                  <w:vAlign w:val="center"/>
                </w:tcPr>
                <w:p w14:paraId="476CCA98">
                  <w:pPr>
                    <w:adjustRightInd w:val="0"/>
                    <w:spacing w:after="0"/>
                    <w:textAlignment w:val="baseline"/>
                    <w:rPr>
                      <w:color w:val="0000FF"/>
                      <w:sz w:val="18"/>
                      <w:szCs w:val="18"/>
                    </w:rPr>
                  </w:pPr>
                </w:p>
              </w:tc>
              <w:tc>
                <w:tcPr>
                  <w:tcW w:w="1302" w:type="pct"/>
                  <w:vMerge w:val="continue"/>
                  <w:vAlign w:val="center"/>
                </w:tcPr>
                <w:p w14:paraId="33A4FF16">
                  <w:pPr>
                    <w:adjustRightInd w:val="0"/>
                    <w:spacing w:after="0"/>
                    <w:textAlignment w:val="baseline"/>
                    <w:rPr>
                      <w:color w:val="0000FF"/>
                      <w:sz w:val="18"/>
                      <w:szCs w:val="18"/>
                    </w:rPr>
                  </w:pPr>
                </w:p>
              </w:tc>
              <w:tc>
                <w:tcPr>
                  <w:tcW w:w="396" w:type="pct"/>
                  <w:vMerge w:val="continue"/>
                  <w:vAlign w:val="center"/>
                </w:tcPr>
                <w:p w14:paraId="5BDACEF9">
                  <w:pPr>
                    <w:spacing w:after="0"/>
                    <w:jc w:val="center"/>
                    <w:rPr>
                      <w:color w:val="0000FF"/>
                    </w:rPr>
                  </w:pPr>
                </w:p>
              </w:tc>
            </w:tr>
            <w:tr w14:paraId="69F891EA">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480" w:hRule="atLeast"/>
              </w:trPr>
              <w:tc>
                <w:tcPr>
                  <w:tcW w:w="178" w:type="pct"/>
                  <w:vMerge w:val="restart"/>
                  <w:vAlign w:val="center"/>
                </w:tcPr>
                <w:p w14:paraId="4D5A6825">
                  <w:pPr>
                    <w:adjustRightInd w:val="0"/>
                    <w:spacing w:after="0"/>
                    <w:jc w:val="center"/>
                    <w:textAlignment w:val="baseline"/>
                    <w:rPr>
                      <w:color w:val="auto"/>
                      <w:sz w:val="18"/>
                      <w:szCs w:val="18"/>
                    </w:rPr>
                  </w:pPr>
                  <w:r>
                    <w:rPr>
                      <w:color w:val="auto"/>
                      <w:sz w:val="18"/>
                      <w:szCs w:val="18"/>
                    </w:rPr>
                    <w:t>其他要求</w:t>
                  </w:r>
                </w:p>
              </w:tc>
              <w:tc>
                <w:tcPr>
                  <w:tcW w:w="3124" w:type="pct"/>
                  <w:gridSpan w:val="5"/>
                  <w:vAlign w:val="center"/>
                </w:tcPr>
                <w:p w14:paraId="205A4077">
                  <w:pPr>
                    <w:adjustRightInd w:val="0"/>
                    <w:spacing w:after="0"/>
                    <w:textAlignment w:val="baseline"/>
                    <w:rPr>
                      <w:color w:val="auto"/>
                      <w:sz w:val="18"/>
                      <w:szCs w:val="18"/>
                    </w:rPr>
                  </w:pPr>
                  <w:r>
                    <w:rPr>
                      <w:color w:val="auto"/>
                      <w:sz w:val="18"/>
                      <w:szCs w:val="18"/>
                    </w:rPr>
                    <w:t>区内部分紧邻规划居住用地等环境敏感目标的工业用地，严格限制涉及使用危险化学品的企业进入。</w:t>
                  </w:r>
                </w:p>
              </w:tc>
              <w:tc>
                <w:tcPr>
                  <w:tcW w:w="1302" w:type="pct"/>
                  <w:vMerge w:val="restart"/>
                  <w:vAlign w:val="center"/>
                </w:tcPr>
                <w:p w14:paraId="4167D3B9">
                  <w:pPr>
                    <w:adjustRightInd w:val="0"/>
                    <w:spacing w:after="0"/>
                    <w:textAlignment w:val="baseline"/>
                    <w:rPr>
                      <w:color w:val="auto"/>
                      <w:sz w:val="18"/>
                      <w:szCs w:val="18"/>
                    </w:rPr>
                  </w:pPr>
                  <w:r>
                    <w:rPr>
                      <w:color w:val="auto"/>
                      <w:sz w:val="18"/>
                      <w:szCs w:val="18"/>
                    </w:rPr>
                    <w:t>本项目排放的污染物</w:t>
                  </w:r>
                  <w:r>
                    <w:rPr>
                      <w:rFonts w:hint="eastAsia"/>
                      <w:color w:val="auto"/>
                      <w:sz w:val="18"/>
                      <w:szCs w:val="18"/>
                    </w:rPr>
                    <w:t>经环保措施处理后达标排放</w:t>
                  </w:r>
                  <w:r>
                    <w:rPr>
                      <w:color w:val="auto"/>
                      <w:sz w:val="18"/>
                      <w:szCs w:val="18"/>
                    </w:rPr>
                    <w:t>，与周边环境敏感目标保持一定距离。</w:t>
                  </w:r>
                  <w:r>
                    <w:rPr>
                      <w:rFonts w:hint="eastAsia"/>
                      <w:color w:val="auto"/>
                      <w:sz w:val="18"/>
                      <w:szCs w:val="18"/>
                    </w:rPr>
                    <w:t>本项目</w:t>
                  </w:r>
                  <w:r>
                    <w:rPr>
                      <w:rFonts w:hint="eastAsia"/>
                      <w:color w:val="auto"/>
                      <w:sz w:val="18"/>
                      <w:szCs w:val="18"/>
                      <w:lang w:eastAsia="zh-CN"/>
                    </w:rPr>
                    <w:t>所在园区</w:t>
                  </w:r>
                  <w:r>
                    <w:rPr>
                      <w:rFonts w:hint="eastAsia"/>
                      <w:color w:val="auto"/>
                      <w:sz w:val="18"/>
                      <w:szCs w:val="18"/>
                    </w:rPr>
                    <w:t>用地类型为二类工业用地</w:t>
                  </w:r>
                  <w:r>
                    <w:rPr>
                      <w:color w:val="auto"/>
                      <w:sz w:val="18"/>
                      <w:szCs w:val="18"/>
                    </w:rPr>
                    <w:t>。</w:t>
                  </w:r>
                </w:p>
              </w:tc>
              <w:tc>
                <w:tcPr>
                  <w:tcW w:w="396" w:type="pct"/>
                  <w:vMerge w:val="restart"/>
                  <w:vAlign w:val="center"/>
                </w:tcPr>
                <w:p w14:paraId="4732266A">
                  <w:pPr>
                    <w:adjustRightInd w:val="0"/>
                    <w:spacing w:after="0"/>
                    <w:jc w:val="center"/>
                    <w:textAlignment w:val="baseline"/>
                    <w:rPr>
                      <w:color w:val="auto"/>
                      <w:sz w:val="18"/>
                      <w:szCs w:val="18"/>
                    </w:rPr>
                  </w:pPr>
                  <w:r>
                    <w:rPr>
                      <w:color w:val="auto"/>
                      <w:sz w:val="18"/>
                      <w:szCs w:val="18"/>
                    </w:rPr>
                    <w:t>相符</w:t>
                  </w:r>
                </w:p>
              </w:tc>
            </w:tr>
            <w:tr w14:paraId="31F7930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28" w:type="dxa"/>
                  <w:bottom w:w="0" w:type="dxa"/>
                  <w:right w:w="28" w:type="dxa"/>
                </w:tblCellMar>
              </w:tblPrEx>
              <w:trPr>
                <w:trHeight w:val="348" w:hRule="atLeast"/>
              </w:trPr>
              <w:tc>
                <w:tcPr>
                  <w:tcW w:w="178" w:type="pct"/>
                  <w:vMerge w:val="continue"/>
                  <w:vAlign w:val="center"/>
                </w:tcPr>
                <w:p w14:paraId="00029CF2">
                  <w:pPr>
                    <w:adjustRightInd w:val="0"/>
                    <w:spacing w:after="0"/>
                    <w:jc w:val="center"/>
                    <w:textAlignment w:val="baseline"/>
                    <w:rPr>
                      <w:color w:val="auto"/>
                      <w:sz w:val="18"/>
                      <w:szCs w:val="18"/>
                    </w:rPr>
                  </w:pPr>
                </w:p>
              </w:tc>
              <w:tc>
                <w:tcPr>
                  <w:tcW w:w="3124" w:type="pct"/>
                  <w:gridSpan w:val="5"/>
                  <w:vAlign w:val="center"/>
                </w:tcPr>
                <w:p w14:paraId="7F4BA8B5">
                  <w:pPr>
                    <w:adjustRightInd w:val="0"/>
                    <w:spacing w:after="0"/>
                    <w:textAlignment w:val="baseline"/>
                    <w:rPr>
                      <w:color w:val="auto"/>
                      <w:sz w:val="18"/>
                      <w:szCs w:val="18"/>
                    </w:rPr>
                  </w:pPr>
                  <w:r>
                    <w:rPr>
                      <w:color w:val="auto"/>
                      <w:sz w:val="18"/>
                      <w:szCs w:val="18"/>
                    </w:rPr>
                    <w:t>区内规划产业片区内与居住用地相邻的工业用地严格明确为无污染或低污染的二类工业用地，所属地块内的工业企业应达到二类工业用地企业要求，同时应加强企业附属绿地建设。</w:t>
                  </w:r>
                </w:p>
              </w:tc>
              <w:tc>
                <w:tcPr>
                  <w:tcW w:w="1302" w:type="pct"/>
                  <w:vMerge w:val="continue"/>
                  <w:vAlign w:val="center"/>
                </w:tcPr>
                <w:p w14:paraId="14941BD2">
                  <w:pPr>
                    <w:spacing w:after="0"/>
                    <w:rPr>
                      <w:color w:val="0000FF"/>
                    </w:rPr>
                  </w:pPr>
                </w:p>
              </w:tc>
              <w:tc>
                <w:tcPr>
                  <w:tcW w:w="396" w:type="pct"/>
                  <w:vMerge w:val="continue"/>
                  <w:vAlign w:val="center"/>
                </w:tcPr>
                <w:p w14:paraId="10FC167E">
                  <w:pPr>
                    <w:spacing w:after="0"/>
                    <w:jc w:val="center"/>
                    <w:rPr>
                      <w:color w:val="0000FF"/>
                    </w:rPr>
                  </w:pPr>
                </w:p>
              </w:tc>
            </w:tr>
          </w:tbl>
          <w:p w14:paraId="1C050949">
            <w:pPr>
              <w:pStyle w:val="17"/>
              <w:keepNext w:val="0"/>
              <w:keepLines w:val="0"/>
              <w:pageBreakBefore w:val="0"/>
              <w:kinsoku/>
              <w:wordWrap/>
              <w:overflowPunct/>
              <w:topLinePunct w:val="0"/>
              <w:autoSpaceDE/>
              <w:autoSpaceDN/>
              <w:bidi w:val="0"/>
              <w:adjustRightInd w:val="0"/>
              <w:snapToGrid w:val="0"/>
              <w:spacing w:after="0" w:line="240" w:lineRule="auto"/>
              <w:textAlignment w:val="auto"/>
            </w:pPr>
          </w:p>
          <w:p w14:paraId="0A5AE71E"/>
          <w:p w14:paraId="4958403A">
            <w:pPr>
              <w:pStyle w:val="2"/>
            </w:pPr>
          </w:p>
          <w:p w14:paraId="03B4D6A1">
            <w:pPr>
              <w:pStyle w:val="17"/>
              <w:keepNext w:val="0"/>
              <w:keepLines w:val="0"/>
              <w:pageBreakBefore w:val="0"/>
              <w:kinsoku/>
              <w:wordWrap/>
              <w:overflowPunct/>
              <w:topLinePunct w:val="0"/>
              <w:autoSpaceDE/>
              <w:autoSpaceDN/>
              <w:bidi w:val="0"/>
              <w:adjustRightInd w:val="0"/>
              <w:snapToGrid w:val="0"/>
              <w:spacing w:after="0" w:line="240" w:lineRule="auto"/>
              <w:textAlignment w:val="auto"/>
              <w:rPr>
                <w:b/>
                <w:bCs/>
                <w:color w:val="auto"/>
                <w:sz w:val="21"/>
              </w:rPr>
            </w:pPr>
            <w:r>
              <w:t xml:space="preserve">表 </w:t>
            </w:r>
            <w:r>
              <w:rPr>
                <w:rFonts w:hint="eastAsia"/>
                <w:lang w:val="en-US" w:eastAsia="zh-CN"/>
              </w:rPr>
              <w:t>1</w:t>
            </w:r>
            <w:r>
              <w:rPr>
                <w:rFonts w:hint="eastAsia"/>
                <w:lang w:eastAsia="zh-CN"/>
              </w:rPr>
              <w:t>-</w:t>
            </w:r>
            <w:r>
              <w:fldChar w:fldCharType="begin"/>
            </w:r>
            <w:r>
              <w:instrText xml:space="preserve"> SEQ 表 \* ARABIC \s 1 </w:instrText>
            </w:r>
            <w:r>
              <w:fldChar w:fldCharType="separate"/>
            </w:r>
            <w:r>
              <w:t>4</w:t>
            </w:r>
            <w:r>
              <w:fldChar w:fldCharType="end"/>
            </w:r>
            <w:r>
              <w:rPr>
                <w:rFonts w:hint="eastAsia"/>
                <w:lang w:val="en-US" w:eastAsia="zh-CN"/>
              </w:rPr>
              <w:t xml:space="preserve"> </w:t>
            </w:r>
            <w:r>
              <w:rPr>
                <w:b/>
                <w:bCs/>
                <w:color w:val="auto"/>
                <w:sz w:val="21"/>
              </w:rPr>
              <w:t>与《环境影响区域评估报告》中环境准入清单符合性分析</w:t>
            </w:r>
          </w:p>
          <w:tbl>
            <w:tblPr>
              <w:tblStyle w:val="5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574"/>
              <w:gridCol w:w="434"/>
              <w:gridCol w:w="3390"/>
              <w:gridCol w:w="3254"/>
              <w:gridCol w:w="672"/>
            </w:tblGrid>
            <w:tr w14:paraId="0AF71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638" w:hRule="atLeast"/>
                <w:jc w:val="center"/>
              </w:trPr>
              <w:tc>
                <w:tcPr>
                  <w:tcW w:w="574" w:type="dxa"/>
                  <w:tcBorders>
                    <w:top w:val="single" w:color="auto" w:sz="4" w:space="0"/>
                    <w:left w:val="single" w:color="auto" w:sz="4" w:space="0"/>
                    <w:bottom w:val="single" w:color="auto" w:sz="4" w:space="0"/>
                    <w:right w:val="single" w:color="auto" w:sz="4" w:space="0"/>
                  </w:tcBorders>
                  <w:vAlign w:val="center"/>
                </w:tcPr>
                <w:p w14:paraId="7770131C">
                  <w:pPr>
                    <w:spacing w:after="0"/>
                    <w:jc w:val="center"/>
                    <w:rPr>
                      <w:color w:val="auto"/>
                      <w:sz w:val="18"/>
                      <w:szCs w:val="18"/>
                    </w:rPr>
                  </w:pPr>
                  <w:r>
                    <w:rPr>
                      <w:color w:val="auto"/>
                      <w:sz w:val="18"/>
                      <w:szCs w:val="18"/>
                    </w:rPr>
                    <w:t>清单</w:t>
                  </w:r>
                </w:p>
                <w:p w14:paraId="0A02D03A">
                  <w:pPr>
                    <w:spacing w:after="0"/>
                    <w:jc w:val="center"/>
                    <w:rPr>
                      <w:color w:val="auto"/>
                      <w:sz w:val="18"/>
                      <w:szCs w:val="18"/>
                    </w:rPr>
                  </w:pPr>
                  <w:r>
                    <w:rPr>
                      <w:color w:val="auto"/>
                      <w:sz w:val="18"/>
                      <w:szCs w:val="18"/>
                    </w:rPr>
                    <w:t>类别</w:t>
                  </w:r>
                </w:p>
              </w:tc>
              <w:tc>
                <w:tcPr>
                  <w:tcW w:w="3824" w:type="dxa"/>
                  <w:gridSpan w:val="2"/>
                  <w:tcBorders>
                    <w:top w:val="single" w:color="auto" w:sz="4" w:space="0"/>
                    <w:left w:val="nil"/>
                    <w:bottom w:val="single" w:color="auto" w:sz="4" w:space="0"/>
                    <w:right w:val="single" w:color="auto" w:sz="4" w:space="0"/>
                  </w:tcBorders>
                  <w:vAlign w:val="center"/>
                </w:tcPr>
                <w:p w14:paraId="2F16F3B8">
                  <w:pPr>
                    <w:spacing w:after="0"/>
                    <w:jc w:val="center"/>
                    <w:rPr>
                      <w:color w:val="auto"/>
                      <w:sz w:val="18"/>
                      <w:szCs w:val="18"/>
                    </w:rPr>
                  </w:pPr>
                  <w:r>
                    <w:rPr>
                      <w:color w:val="auto"/>
                      <w:sz w:val="18"/>
                      <w:szCs w:val="18"/>
                    </w:rPr>
                    <w:t>准入清单、控制要求</w:t>
                  </w:r>
                </w:p>
              </w:tc>
              <w:tc>
                <w:tcPr>
                  <w:tcW w:w="3254" w:type="dxa"/>
                  <w:tcBorders>
                    <w:top w:val="single" w:color="auto" w:sz="4" w:space="0"/>
                    <w:left w:val="nil"/>
                    <w:bottom w:val="single" w:color="auto" w:sz="4" w:space="0"/>
                    <w:right w:val="single" w:color="auto" w:sz="4" w:space="0"/>
                  </w:tcBorders>
                  <w:vAlign w:val="center"/>
                </w:tcPr>
                <w:p w14:paraId="6DFC601E">
                  <w:pPr>
                    <w:spacing w:after="0"/>
                    <w:jc w:val="center"/>
                    <w:rPr>
                      <w:color w:val="auto"/>
                      <w:sz w:val="18"/>
                      <w:szCs w:val="18"/>
                    </w:rPr>
                  </w:pPr>
                  <w:r>
                    <w:rPr>
                      <w:color w:val="auto"/>
                      <w:sz w:val="18"/>
                      <w:szCs w:val="18"/>
                    </w:rPr>
                    <w:t>本项目情况</w:t>
                  </w:r>
                </w:p>
              </w:tc>
              <w:tc>
                <w:tcPr>
                  <w:tcW w:w="672" w:type="dxa"/>
                  <w:tcBorders>
                    <w:top w:val="single" w:color="auto" w:sz="4" w:space="0"/>
                    <w:left w:val="nil"/>
                    <w:bottom w:val="single" w:color="auto" w:sz="4" w:space="0"/>
                    <w:right w:val="single" w:color="auto" w:sz="4" w:space="0"/>
                  </w:tcBorders>
                  <w:vAlign w:val="center"/>
                </w:tcPr>
                <w:p w14:paraId="41650B81">
                  <w:pPr>
                    <w:spacing w:after="0"/>
                    <w:jc w:val="center"/>
                    <w:rPr>
                      <w:color w:val="auto"/>
                      <w:sz w:val="18"/>
                      <w:szCs w:val="18"/>
                    </w:rPr>
                  </w:pPr>
                  <w:r>
                    <w:rPr>
                      <w:color w:val="auto"/>
                      <w:sz w:val="18"/>
                      <w:szCs w:val="18"/>
                    </w:rPr>
                    <w:t>符合性分析</w:t>
                  </w:r>
                </w:p>
              </w:tc>
            </w:tr>
            <w:tr w14:paraId="4CE46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 w:hRule="atLeast"/>
                <w:jc w:val="center"/>
              </w:trPr>
              <w:tc>
                <w:tcPr>
                  <w:tcW w:w="574" w:type="dxa"/>
                  <w:vMerge w:val="restart"/>
                  <w:tcBorders>
                    <w:top w:val="single" w:color="auto" w:sz="4" w:space="0"/>
                    <w:left w:val="single" w:color="auto" w:sz="4" w:space="0"/>
                    <w:right w:val="single" w:color="auto" w:sz="4" w:space="0"/>
                  </w:tcBorders>
                  <w:vAlign w:val="center"/>
                </w:tcPr>
                <w:p w14:paraId="694036CC">
                  <w:pPr>
                    <w:spacing w:after="0"/>
                    <w:jc w:val="center"/>
                    <w:rPr>
                      <w:color w:val="auto"/>
                      <w:sz w:val="18"/>
                      <w:szCs w:val="18"/>
                    </w:rPr>
                  </w:pPr>
                  <w:r>
                    <w:rPr>
                      <w:color w:val="auto"/>
                      <w:sz w:val="18"/>
                      <w:szCs w:val="18"/>
                    </w:rPr>
                    <w:t>优先</w:t>
                  </w:r>
                </w:p>
                <w:p w14:paraId="3F0D0EDE">
                  <w:pPr>
                    <w:spacing w:after="0"/>
                    <w:jc w:val="center"/>
                    <w:rPr>
                      <w:color w:val="auto"/>
                      <w:sz w:val="18"/>
                      <w:szCs w:val="18"/>
                    </w:rPr>
                  </w:pPr>
                  <w:r>
                    <w:rPr>
                      <w:color w:val="auto"/>
                      <w:sz w:val="18"/>
                      <w:szCs w:val="18"/>
                    </w:rPr>
                    <w:t>引入</w:t>
                  </w:r>
                </w:p>
              </w:tc>
              <w:tc>
                <w:tcPr>
                  <w:tcW w:w="3824" w:type="dxa"/>
                  <w:gridSpan w:val="2"/>
                  <w:tcBorders>
                    <w:top w:val="single" w:color="auto" w:sz="4" w:space="0"/>
                    <w:left w:val="nil"/>
                    <w:bottom w:val="single" w:color="auto" w:sz="4" w:space="0"/>
                    <w:right w:val="single" w:color="auto" w:sz="4" w:space="0"/>
                  </w:tcBorders>
                  <w:vAlign w:val="center"/>
                </w:tcPr>
                <w:p w14:paraId="2EF31887">
                  <w:pPr>
                    <w:spacing w:after="0"/>
                    <w:rPr>
                      <w:color w:val="auto"/>
                      <w:sz w:val="18"/>
                      <w:szCs w:val="18"/>
                    </w:rPr>
                  </w:pPr>
                  <w:r>
                    <w:rPr>
                      <w:color w:val="auto"/>
                      <w:sz w:val="18"/>
                      <w:szCs w:val="18"/>
                    </w:rPr>
                    <w:t>符合开发区产业定位（六大主导产业）的项目；</w:t>
                  </w:r>
                </w:p>
              </w:tc>
              <w:tc>
                <w:tcPr>
                  <w:tcW w:w="3254" w:type="dxa"/>
                  <w:tcBorders>
                    <w:top w:val="single" w:color="auto" w:sz="4" w:space="0"/>
                    <w:left w:val="nil"/>
                    <w:bottom w:val="single" w:color="auto" w:sz="4" w:space="0"/>
                    <w:right w:val="single" w:color="auto" w:sz="4" w:space="0"/>
                  </w:tcBorders>
                  <w:vAlign w:val="center"/>
                </w:tcPr>
                <w:p w14:paraId="31EBD9F1">
                  <w:pPr>
                    <w:spacing w:after="0"/>
                    <w:rPr>
                      <w:color w:val="auto"/>
                      <w:sz w:val="18"/>
                      <w:szCs w:val="18"/>
                    </w:rPr>
                  </w:pPr>
                  <w:r>
                    <w:rPr>
                      <w:color w:val="auto"/>
                      <w:sz w:val="18"/>
                      <w:szCs w:val="18"/>
                    </w:rPr>
                    <w:t>本项目为</w:t>
                  </w:r>
                  <w:r>
                    <w:rPr>
                      <w:rFonts w:hint="eastAsia"/>
                      <w:color w:val="auto"/>
                      <w:sz w:val="18"/>
                      <w:szCs w:val="18"/>
                      <w:lang w:eastAsia="zh-CN"/>
                    </w:rPr>
                    <w:t>C1431米、面制品制造</w:t>
                  </w:r>
                  <w:r>
                    <w:rPr>
                      <w:color w:val="auto"/>
                      <w:sz w:val="18"/>
                      <w:szCs w:val="18"/>
                    </w:rPr>
                    <w:t>，</w:t>
                  </w:r>
                  <w:r>
                    <w:rPr>
                      <w:rFonts w:hint="eastAsia"/>
                      <w:color w:val="auto"/>
                      <w:sz w:val="18"/>
                      <w:szCs w:val="18"/>
                      <w:lang w:eastAsia="zh-CN"/>
                    </w:rPr>
                    <w:t>属于食品加工产业</w:t>
                  </w:r>
                  <w:r>
                    <w:rPr>
                      <w:rFonts w:hint="eastAsia"/>
                      <w:color w:val="auto"/>
                      <w:sz w:val="18"/>
                      <w:szCs w:val="18"/>
                    </w:rPr>
                    <w:t>，符合</w:t>
                  </w:r>
                  <w:r>
                    <w:rPr>
                      <w:color w:val="auto"/>
                      <w:sz w:val="18"/>
                      <w:szCs w:val="18"/>
                    </w:rPr>
                    <w:t>开发区产业定位</w:t>
                  </w:r>
                  <w:r>
                    <w:rPr>
                      <w:rFonts w:hint="eastAsia"/>
                      <w:color w:val="auto"/>
                      <w:sz w:val="18"/>
                      <w:szCs w:val="18"/>
                    </w:rPr>
                    <w:t>。</w:t>
                  </w:r>
                </w:p>
              </w:tc>
              <w:tc>
                <w:tcPr>
                  <w:tcW w:w="672" w:type="dxa"/>
                  <w:tcBorders>
                    <w:top w:val="single" w:color="auto" w:sz="4" w:space="0"/>
                    <w:left w:val="nil"/>
                    <w:bottom w:val="single" w:color="auto" w:sz="4" w:space="0"/>
                    <w:right w:val="single" w:color="auto" w:sz="4" w:space="0"/>
                  </w:tcBorders>
                  <w:vAlign w:val="center"/>
                </w:tcPr>
                <w:p w14:paraId="1D94F0D4">
                  <w:pPr>
                    <w:spacing w:after="0"/>
                    <w:jc w:val="center"/>
                    <w:rPr>
                      <w:color w:val="auto"/>
                      <w:sz w:val="18"/>
                      <w:szCs w:val="18"/>
                    </w:rPr>
                  </w:pPr>
                  <w:r>
                    <w:rPr>
                      <w:color w:val="auto"/>
                      <w:sz w:val="18"/>
                      <w:szCs w:val="18"/>
                    </w:rPr>
                    <w:t>相符</w:t>
                  </w:r>
                </w:p>
              </w:tc>
            </w:tr>
            <w:tr w14:paraId="66F55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continue"/>
                  <w:tcBorders>
                    <w:left w:val="single" w:color="auto" w:sz="4" w:space="0"/>
                    <w:right w:val="single" w:color="auto" w:sz="4" w:space="0"/>
                  </w:tcBorders>
                  <w:vAlign w:val="center"/>
                </w:tcPr>
                <w:p w14:paraId="062467D1">
                  <w:pPr>
                    <w:spacing w:after="0"/>
                    <w:jc w:val="center"/>
                    <w:rPr>
                      <w:color w:val="auto"/>
                      <w:sz w:val="18"/>
                      <w:szCs w:val="18"/>
                    </w:rPr>
                  </w:pPr>
                </w:p>
              </w:tc>
              <w:tc>
                <w:tcPr>
                  <w:tcW w:w="3824" w:type="dxa"/>
                  <w:gridSpan w:val="2"/>
                  <w:tcBorders>
                    <w:top w:val="single" w:color="auto" w:sz="4" w:space="0"/>
                    <w:left w:val="nil"/>
                    <w:bottom w:val="single" w:color="auto" w:sz="4" w:space="0"/>
                    <w:right w:val="single" w:color="auto" w:sz="4" w:space="0"/>
                  </w:tcBorders>
                  <w:vAlign w:val="center"/>
                </w:tcPr>
                <w:p w14:paraId="5639CB87">
                  <w:pPr>
                    <w:spacing w:after="0"/>
                    <w:rPr>
                      <w:color w:val="auto"/>
                      <w:sz w:val="18"/>
                      <w:szCs w:val="18"/>
                    </w:rPr>
                  </w:pPr>
                  <w:bookmarkStart w:id="18" w:name="OLE_LINK31"/>
                  <w:r>
                    <w:rPr>
                      <w:color w:val="auto"/>
                      <w:sz w:val="18"/>
                      <w:szCs w:val="18"/>
                    </w:rPr>
                    <w:t>科技含量高、产品附加值高</w:t>
                  </w:r>
                  <w:bookmarkEnd w:id="18"/>
                  <w:r>
                    <w:rPr>
                      <w:color w:val="auto"/>
                      <w:sz w:val="18"/>
                      <w:szCs w:val="18"/>
                    </w:rPr>
                    <w:t>的项目、能源资源消耗少、排污小的企业；</w:t>
                  </w:r>
                </w:p>
              </w:tc>
              <w:tc>
                <w:tcPr>
                  <w:tcW w:w="3254" w:type="dxa"/>
                  <w:tcBorders>
                    <w:top w:val="single" w:color="auto" w:sz="4" w:space="0"/>
                    <w:left w:val="nil"/>
                    <w:bottom w:val="single" w:color="auto" w:sz="4" w:space="0"/>
                    <w:right w:val="single" w:color="auto" w:sz="4" w:space="0"/>
                  </w:tcBorders>
                  <w:vAlign w:val="center"/>
                </w:tcPr>
                <w:p w14:paraId="76E3F7A3">
                  <w:pPr>
                    <w:spacing w:after="0"/>
                    <w:rPr>
                      <w:color w:val="auto"/>
                      <w:sz w:val="18"/>
                      <w:szCs w:val="18"/>
                    </w:rPr>
                  </w:pPr>
                  <w:r>
                    <w:rPr>
                      <w:color w:val="auto"/>
                      <w:sz w:val="18"/>
                      <w:szCs w:val="18"/>
                    </w:rPr>
                    <w:t>对照《安徽省”两高”项目管理目录》（2022年试行），本项目</w:t>
                  </w:r>
                  <w:r>
                    <w:rPr>
                      <w:rFonts w:hint="eastAsia"/>
                      <w:color w:val="auto"/>
                      <w:sz w:val="18"/>
                      <w:szCs w:val="18"/>
                    </w:rPr>
                    <w:t>不属于两高项目；企业产品为</w:t>
                  </w:r>
                  <w:r>
                    <w:rPr>
                      <w:rFonts w:hint="eastAsia"/>
                      <w:color w:val="auto"/>
                      <w:sz w:val="18"/>
                      <w:szCs w:val="18"/>
                      <w:lang w:eastAsia="zh-CN"/>
                    </w:rPr>
                    <w:t>生湿米面制品</w:t>
                  </w:r>
                  <w:r>
                    <w:rPr>
                      <w:rFonts w:hint="eastAsia"/>
                      <w:color w:val="auto"/>
                      <w:sz w:val="18"/>
                      <w:szCs w:val="18"/>
                    </w:rPr>
                    <w:t>，</w:t>
                  </w:r>
                  <w:r>
                    <w:rPr>
                      <w:color w:val="auto"/>
                      <w:sz w:val="18"/>
                      <w:szCs w:val="18"/>
                    </w:rPr>
                    <w:t>产品附加值高；生产过程中</w:t>
                  </w:r>
                  <w:r>
                    <w:rPr>
                      <w:rFonts w:hint="eastAsia"/>
                      <w:color w:val="auto"/>
                      <w:sz w:val="18"/>
                      <w:szCs w:val="18"/>
                    </w:rPr>
                    <w:t>使用先进设备，能源消耗小，污染物排放量很小，经处理后均可达标排放。</w:t>
                  </w:r>
                </w:p>
              </w:tc>
              <w:tc>
                <w:tcPr>
                  <w:tcW w:w="672" w:type="dxa"/>
                  <w:tcBorders>
                    <w:top w:val="single" w:color="auto" w:sz="4" w:space="0"/>
                    <w:left w:val="nil"/>
                    <w:bottom w:val="single" w:color="auto" w:sz="4" w:space="0"/>
                    <w:right w:val="single" w:color="auto" w:sz="4" w:space="0"/>
                  </w:tcBorders>
                  <w:vAlign w:val="center"/>
                </w:tcPr>
                <w:p w14:paraId="4D31B278">
                  <w:pPr>
                    <w:spacing w:after="0"/>
                    <w:jc w:val="center"/>
                    <w:rPr>
                      <w:color w:val="auto"/>
                      <w:sz w:val="18"/>
                      <w:szCs w:val="18"/>
                    </w:rPr>
                  </w:pPr>
                  <w:r>
                    <w:rPr>
                      <w:color w:val="auto"/>
                      <w:sz w:val="18"/>
                      <w:szCs w:val="18"/>
                    </w:rPr>
                    <w:t>相符</w:t>
                  </w:r>
                </w:p>
              </w:tc>
            </w:tr>
            <w:tr w14:paraId="02B7F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continue"/>
                  <w:tcBorders>
                    <w:left w:val="single" w:color="auto" w:sz="4" w:space="0"/>
                    <w:right w:val="single" w:color="auto" w:sz="4" w:space="0"/>
                  </w:tcBorders>
                  <w:vAlign w:val="center"/>
                </w:tcPr>
                <w:p w14:paraId="4895545D">
                  <w:pPr>
                    <w:spacing w:after="0"/>
                    <w:jc w:val="center"/>
                    <w:rPr>
                      <w:color w:val="auto"/>
                      <w:sz w:val="18"/>
                      <w:szCs w:val="18"/>
                    </w:rPr>
                  </w:pPr>
                </w:p>
              </w:tc>
              <w:tc>
                <w:tcPr>
                  <w:tcW w:w="3824" w:type="dxa"/>
                  <w:gridSpan w:val="2"/>
                  <w:tcBorders>
                    <w:top w:val="single" w:color="auto" w:sz="4" w:space="0"/>
                    <w:left w:val="nil"/>
                    <w:bottom w:val="single" w:color="auto" w:sz="4" w:space="0"/>
                    <w:right w:val="single" w:color="auto" w:sz="4" w:space="0"/>
                  </w:tcBorders>
                  <w:vAlign w:val="center"/>
                </w:tcPr>
                <w:p w14:paraId="5DF65BA6">
                  <w:pPr>
                    <w:spacing w:after="0"/>
                    <w:rPr>
                      <w:color w:val="auto"/>
                      <w:sz w:val="18"/>
                      <w:szCs w:val="18"/>
                    </w:rPr>
                  </w:pPr>
                  <w:r>
                    <w:rPr>
                      <w:color w:val="auto"/>
                      <w:sz w:val="18"/>
                      <w:szCs w:val="18"/>
                    </w:rPr>
                    <w:t>符合产业定位且属于《产业结构调整指导目录》（2024年本）、《战略性新兴产业分类</w:t>
                  </w:r>
                  <w:r>
                    <w:rPr>
                      <w:rFonts w:hint="eastAsia"/>
                      <w:color w:val="auto"/>
                      <w:sz w:val="18"/>
                      <w:szCs w:val="18"/>
                      <w:lang w:eastAsia="zh-CN"/>
                    </w:rPr>
                    <w:t>（</w:t>
                  </w:r>
                  <w:r>
                    <w:rPr>
                      <w:color w:val="auto"/>
                      <w:sz w:val="18"/>
                      <w:szCs w:val="18"/>
                    </w:rPr>
                    <w:t>2018</w:t>
                  </w:r>
                  <w:r>
                    <w:rPr>
                      <w:rFonts w:hint="eastAsia"/>
                      <w:color w:val="auto"/>
                      <w:sz w:val="18"/>
                      <w:szCs w:val="18"/>
                      <w:lang w:eastAsia="zh-CN"/>
                    </w:rPr>
                    <w:t>）</w:t>
                  </w:r>
                  <w:r>
                    <w:rPr>
                      <w:color w:val="auto"/>
                      <w:sz w:val="18"/>
                      <w:szCs w:val="18"/>
                    </w:rPr>
                    <w:t>》</w:t>
                  </w:r>
                  <w:r>
                    <w:rPr>
                      <w:rFonts w:hint="eastAsia"/>
                      <w:color w:val="auto"/>
                      <w:sz w:val="18"/>
                      <w:szCs w:val="18"/>
                      <w:lang w:eastAsia="zh-CN"/>
                    </w:rPr>
                    <w:t>（</w:t>
                  </w:r>
                  <w:r>
                    <w:rPr>
                      <w:color w:val="auto"/>
                      <w:sz w:val="18"/>
                      <w:szCs w:val="18"/>
                    </w:rPr>
                    <w:t>国家统计局令第23号</w:t>
                  </w:r>
                  <w:r>
                    <w:rPr>
                      <w:rFonts w:hint="eastAsia"/>
                      <w:color w:val="auto"/>
                      <w:sz w:val="18"/>
                      <w:szCs w:val="18"/>
                      <w:lang w:eastAsia="zh-CN"/>
                    </w:rPr>
                    <w:t>）</w:t>
                  </w:r>
                  <w:r>
                    <w:rPr>
                      <w:color w:val="auto"/>
                      <w:sz w:val="18"/>
                      <w:szCs w:val="18"/>
                    </w:rPr>
                    <w:t>等政策文件中的项目；</w:t>
                  </w:r>
                </w:p>
              </w:tc>
              <w:tc>
                <w:tcPr>
                  <w:tcW w:w="3254" w:type="dxa"/>
                  <w:vMerge w:val="restart"/>
                  <w:tcBorders>
                    <w:top w:val="single" w:color="auto" w:sz="4" w:space="0"/>
                    <w:left w:val="nil"/>
                    <w:right w:val="single" w:color="auto" w:sz="4" w:space="0"/>
                  </w:tcBorders>
                  <w:vAlign w:val="center"/>
                </w:tcPr>
                <w:p w14:paraId="5DA0EEDB">
                  <w:pPr>
                    <w:spacing w:after="0"/>
                    <w:rPr>
                      <w:color w:val="auto"/>
                      <w:sz w:val="18"/>
                      <w:szCs w:val="18"/>
                    </w:rPr>
                  </w:pPr>
                  <w:r>
                    <w:rPr>
                      <w:color w:val="auto"/>
                      <w:sz w:val="18"/>
                      <w:szCs w:val="18"/>
                    </w:rPr>
                    <w:t>本项目为</w:t>
                  </w:r>
                  <w:r>
                    <w:rPr>
                      <w:rFonts w:hint="eastAsia"/>
                      <w:color w:val="auto"/>
                      <w:sz w:val="18"/>
                      <w:szCs w:val="18"/>
                      <w:lang w:eastAsia="zh-CN"/>
                    </w:rPr>
                    <w:t>C1431米、面制品制造</w:t>
                  </w:r>
                  <w:r>
                    <w:rPr>
                      <w:rFonts w:hint="eastAsia"/>
                      <w:color w:val="auto"/>
                      <w:sz w:val="18"/>
                      <w:szCs w:val="18"/>
                    </w:rPr>
                    <w:t>，</w:t>
                  </w:r>
                  <w:r>
                    <w:rPr>
                      <w:rFonts w:hint="eastAsia"/>
                      <w:color w:val="auto"/>
                      <w:sz w:val="18"/>
                      <w:szCs w:val="18"/>
                      <w:lang w:eastAsia="zh-CN"/>
                    </w:rPr>
                    <w:t>属于食品加工行业中</w:t>
                  </w:r>
                  <w:r>
                    <w:rPr>
                      <w:rFonts w:hint="eastAsia"/>
                      <w:color w:val="auto"/>
                      <w:sz w:val="18"/>
                      <w:szCs w:val="18"/>
                      <w:lang w:val="en-US" w:eastAsia="zh-CN"/>
                    </w:rPr>
                    <w:t>C143方便食品制造，为优先引入行业。</w:t>
                  </w:r>
                  <w:r>
                    <w:rPr>
                      <w:color w:val="auto"/>
                      <w:sz w:val="18"/>
                      <w:szCs w:val="18"/>
                    </w:rPr>
                    <w:t>对照《产业结构调整指导目录》（2024年本），本项目不属于禁止类、限制类产业</w:t>
                  </w:r>
                  <w:r>
                    <w:rPr>
                      <w:rFonts w:hint="eastAsia"/>
                      <w:color w:val="auto"/>
                      <w:sz w:val="18"/>
                      <w:szCs w:val="18"/>
                    </w:rPr>
                    <w:t>，可视为允许类。</w:t>
                  </w:r>
                </w:p>
              </w:tc>
              <w:tc>
                <w:tcPr>
                  <w:tcW w:w="672" w:type="dxa"/>
                  <w:vMerge w:val="restart"/>
                  <w:tcBorders>
                    <w:top w:val="single" w:color="auto" w:sz="4" w:space="0"/>
                    <w:left w:val="nil"/>
                    <w:right w:val="single" w:color="auto" w:sz="4" w:space="0"/>
                  </w:tcBorders>
                  <w:vAlign w:val="center"/>
                </w:tcPr>
                <w:p w14:paraId="1527CA91">
                  <w:pPr>
                    <w:spacing w:after="0"/>
                    <w:jc w:val="center"/>
                    <w:rPr>
                      <w:color w:val="auto"/>
                      <w:sz w:val="18"/>
                      <w:szCs w:val="18"/>
                    </w:rPr>
                  </w:pPr>
                  <w:r>
                    <w:rPr>
                      <w:color w:val="auto"/>
                      <w:sz w:val="18"/>
                      <w:szCs w:val="18"/>
                    </w:rPr>
                    <w:t>相符</w:t>
                  </w:r>
                </w:p>
              </w:tc>
            </w:tr>
            <w:tr w14:paraId="1C46D4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continue"/>
                  <w:tcBorders>
                    <w:left w:val="single" w:color="auto" w:sz="4" w:space="0"/>
                    <w:right w:val="single" w:color="auto" w:sz="4" w:space="0"/>
                  </w:tcBorders>
                  <w:vAlign w:val="center"/>
                </w:tcPr>
                <w:p w14:paraId="4D2573C0">
                  <w:pPr>
                    <w:spacing w:after="0"/>
                    <w:jc w:val="center"/>
                    <w:rPr>
                      <w:color w:val="auto"/>
                      <w:sz w:val="18"/>
                      <w:szCs w:val="18"/>
                    </w:rPr>
                  </w:pPr>
                </w:p>
              </w:tc>
              <w:tc>
                <w:tcPr>
                  <w:tcW w:w="434" w:type="dxa"/>
                  <w:tcBorders>
                    <w:top w:val="single" w:color="auto" w:sz="4" w:space="0"/>
                    <w:left w:val="nil"/>
                    <w:bottom w:val="single" w:color="auto" w:sz="4" w:space="0"/>
                    <w:right w:val="single" w:color="auto" w:sz="4" w:space="0"/>
                  </w:tcBorders>
                  <w:vAlign w:val="center"/>
                </w:tcPr>
                <w:p w14:paraId="6B84B82B">
                  <w:pPr>
                    <w:spacing w:after="0"/>
                    <w:jc w:val="center"/>
                    <w:rPr>
                      <w:color w:val="auto"/>
                      <w:sz w:val="18"/>
                      <w:szCs w:val="18"/>
                    </w:rPr>
                  </w:pPr>
                  <w:r>
                    <w:rPr>
                      <w:color w:val="auto"/>
                      <w:sz w:val="18"/>
                      <w:szCs w:val="18"/>
                    </w:rPr>
                    <w:t>生物医药</w:t>
                  </w:r>
                </w:p>
              </w:tc>
              <w:tc>
                <w:tcPr>
                  <w:tcW w:w="3390" w:type="dxa"/>
                  <w:tcBorders>
                    <w:top w:val="single" w:color="auto" w:sz="4" w:space="0"/>
                    <w:left w:val="single" w:color="auto" w:sz="4" w:space="0"/>
                    <w:bottom w:val="single" w:color="auto" w:sz="4" w:space="0"/>
                    <w:right w:val="single" w:color="auto" w:sz="4" w:space="0"/>
                  </w:tcBorders>
                  <w:vAlign w:val="center"/>
                </w:tcPr>
                <w:p w14:paraId="0DE41F8F">
                  <w:pPr>
                    <w:spacing w:after="0"/>
                    <w:rPr>
                      <w:color w:val="auto"/>
                      <w:sz w:val="18"/>
                      <w:szCs w:val="18"/>
                    </w:rPr>
                  </w:pPr>
                  <w:r>
                    <w:rPr>
                      <w:color w:val="auto"/>
                      <w:sz w:val="18"/>
                      <w:szCs w:val="18"/>
                    </w:rPr>
                    <w:t>27医药制造业：单纯药品复配；仅化学药品制剂制造；中药饮片加工无提炼工艺的；卫生材料及医药用品制造的；</w:t>
                  </w:r>
                </w:p>
              </w:tc>
              <w:tc>
                <w:tcPr>
                  <w:tcW w:w="3254" w:type="dxa"/>
                  <w:vMerge w:val="continue"/>
                  <w:tcBorders>
                    <w:left w:val="nil"/>
                    <w:right w:val="single" w:color="auto" w:sz="4" w:space="0"/>
                  </w:tcBorders>
                  <w:vAlign w:val="center"/>
                </w:tcPr>
                <w:p w14:paraId="110E7936">
                  <w:pPr>
                    <w:spacing w:after="0"/>
                    <w:rPr>
                      <w:color w:val="0000FF"/>
                      <w:sz w:val="18"/>
                      <w:szCs w:val="18"/>
                    </w:rPr>
                  </w:pPr>
                </w:p>
              </w:tc>
              <w:tc>
                <w:tcPr>
                  <w:tcW w:w="672" w:type="dxa"/>
                  <w:vMerge w:val="continue"/>
                  <w:tcBorders>
                    <w:left w:val="nil"/>
                    <w:right w:val="single" w:color="auto" w:sz="4" w:space="0"/>
                  </w:tcBorders>
                  <w:vAlign w:val="center"/>
                </w:tcPr>
                <w:p w14:paraId="43DCF962">
                  <w:pPr>
                    <w:spacing w:after="0"/>
                    <w:jc w:val="center"/>
                    <w:rPr>
                      <w:color w:val="0000FF"/>
                      <w:sz w:val="18"/>
                      <w:szCs w:val="18"/>
                    </w:rPr>
                  </w:pPr>
                </w:p>
              </w:tc>
            </w:tr>
            <w:tr w14:paraId="542C97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125" w:hRule="atLeast"/>
                <w:jc w:val="center"/>
              </w:trPr>
              <w:tc>
                <w:tcPr>
                  <w:tcW w:w="574" w:type="dxa"/>
                  <w:vMerge w:val="continue"/>
                  <w:tcBorders>
                    <w:left w:val="single" w:color="auto" w:sz="4" w:space="0"/>
                    <w:right w:val="single" w:color="auto" w:sz="4" w:space="0"/>
                  </w:tcBorders>
                  <w:vAlign w:val="center"/>
                </w:tcPr>
                <w:p w14:paraId="10A81FFA">
                  <w:pPr>
                    <w:spacing w:after="0"/>
                    <w:jc w:val="center"/>
                    <w:rPr>
                      <w:color w:val="0000FF"/>
                      <w:sz w:val="18"/>
                      <w:szCs w:val="18"/>
                    </w:rPr>
                  </w:pPr>
                </w:p>
              </w:tc>
              <w:tc>
                <w:tcPr>
                  <w:tcW w:w="434" w:type="dxa"/>
                  <w:vMerge w:val="restart"/>
                  <w:tcBorders>
                    <w:top w:val="single" w:color="auto" w:sz="4" w:space="0"/>
                    <w:left w:val="nil"/>
                    <w:right w:val="single" w:color="auto" w:sz="4" w:space="0"/>
                  </w:tcBorders>
                  <w:vAlign w:val="center"/>
                </w:tcPr>
                <w:p w14:paraId="5205CF19">
                  <w:pPr>
                    <w:spacing w:after="0"/>
                    <w:jc w:val="center"/>
                    <w:rPr>
                      <w:color w:val="auto"/>
                      <w:sz w:val="18"/>
                      <w:szCs w:val="18"/>
                    </w:rPr>
                  </w:pPr>
                  <w:r>
                    <w:rPr>
                      <w:color w:val="auto"/>
                      <w:sz w:val="18"/>
                      <w:szCs w:val="18"/>
                    </w:rPr>
                    <w:t>纺织服装</w:t>
                  </w:r>
                </w:p>
              </w:tc>
              <w:tc>
                <w:tcPr>
                  <w:tcW w:w="3390" w:type="dxa"/>
                  <w:tcBorders>
                    <w:top w:val="single" w:color="auto" w:sz="4" w:space="0"/>
                    <w:left w:val="single" w:color="auto" w:sz="4" w:space="0"/>
                    <w:bottom w:val="single" w:color="auto" w:sz="4" w:space="0"/>
                    <w:right w:val="single" w:color="auto" w:sz="4" w:space="0"/>
                  </w:tcBorders>
                  <w:vAlign w:val="center"/>
                </w:tcPr>
                <w:p w14:paraId="1710198F">
                  <w:pPr>
                    <w:spacing w:after="0"/>
                    <w:rPr>
                      <w:color w:val="auto"/>
                      <w:sz w:val="18"/>
                      <w:szCs w:val="18"/>
                    </w:rPr>
                  </w:pPr>
                  <w:r>
                    <w:rPr>
                      <w:color w:val="auto"/>
                      <w:sz w:val="18"/>
                      <w:szCs w:val="18"/>
                    </w:rPr>
                    <w:t>17纺织业：176针织品、编织品及其制品制造、177家用纺织制成品制造、178产业用纺织制成品制造等不涉及洗毛、脱胶、缫丝、染整工艺的、使用有机溶剂的涂层工艺的；</w:t>
                  </w:r>
                </w:p>
              </w:tc>
              <w:tc>
                <w:tcPr>
                  <w:tcW w:w="3254" w:type="dxa"/>
                  <w:vMerge w:val="continue"/>
                  <w:tcBorders>
                    <w:left w:val="nil"/>
                    <w:right w:val="single" w:color="auto" w:sz="4" w:space="0"/>
                  </w:tcBorders>
                  <w:vAlign w:val="center"/>
                </w:tcPr>
                <w:p w14:paraId="69913F02">
                  <w:pPr>
                    <w:spacing w:after="0"/>
                    <w:rPr>
                      <w:color w:val="0000FF"/>
                      <w:sz w:val="18"/>
                      <w:szCs w:val="18"/>
                    </w:rPr>
                  </w:pPr>
                </w:p>
              </w:tc>
              <w:tc>
                <w:tcPr>
                  <w:tcW w:w="672" w:type="dxa"/>
                  <w:vMerge w:val="continue"/>
                  <w:tcBorders>
                    <w:left w:val="nil"/>
                    <w:right w:val="single" w:color="auto" w:sz="4" w:space="0"/>
                  </w:tcBorders>
                  <w:vAlign w:val="center"/>
                </w:tcPr>
                <w:p w14:paraId="33A04724">
                  <w:pPr>
                    <w:spacing w:after="0"/>
                    <w:jc w:val="center"/>
                    <w:rPr>
                      <w:color w:val="0000FF"/>
                      <w:sz w:val="18"/>
                      <w:szCs w:val="18"/>
                    </w:rPr>
                  </w:pPr>
                </w:p>
              </w:tc>
            </w:tr>
            <w:tr w14:paraId="2CA9C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continue"/>
                  <w:tcBorders>
                    <w:left w:val="single" w:color="auto" w:sz="4" w:space="0"/>
                    <w:right w:val="single" w:color="auto" w:sz="4" w:space="0"/>
                  </w:tcBorders>
                  <w:vAlign w:val="center"/>
                </w:tcPr>
                <w:p w14:paraId="1410BDC4">
                  <w:pPr>
                    <w:spacing w:after="0"/>
                    <w:jc w:val="center"/>
                    <w:rPr>
                      <w:color w:val="0000FF"/>
                      <w:sz w:val="18"/>
                      <w:szCs w:val="18"/>
                    </w:rPr>
                  </w:pPr>
                </w:p>
              </w:tc>
              <w:tc>
                <w:tcPr>
                  <w:tcW w:w="434" w:type="dxa"/>
                  <w:vMerge w:val="continue"/>
                  <w:tcBorders>
                    <w:left w:val="nil"/>
                    <w:bottom w:val="single" w:color="auto" w:sz="4" w:space="0"/>
                    <w:right w:val="single" w:color="auto" w:sz="4" w:space="0"/>
                  </w:tcBorders>
                  <w:vAlign w:val="center"/>
                </w:tcPr>
                <w:p w14:paraId="5B58A8D9">
                  <w:pPr>
                    <w:spacing w:after="0"/>
                    <w:jc w:val="center"/>
                    <w:rPr>
                      <w:color w:val="auto"/>
                      <w:sz w:val="18"/>
                      <w:szCs w:val="18"/>
                    </w:rPr>
                  </w:pPr>
                </w:p>
              </w:tc>
              <w:tc>
                <w:tcPr>
                  <w:tcW w:w="3390" w:type="dxa"/>
                  <w:tcBorders>
                    <w:top w:val="single" w:color="auto" w:sz="4" w:space="0"/>
                    <w:left w:val="single" w:color="auto" w:sz="4" w:space="0"/>
                    <w:bottom w:val="single" w:color="auto" w:sz="4" w:space="0"/>
                    <w:right w:val="single" w:color="auto" w:sz="4" w:space="0"/>
                  </w:tcBorders>
                  <w:vAlign w:val="center"/>
                </w:tcPr>
                <w:p w14:paraId="08CCE0C5">
                  <w:pPr>
                    <w:spacing w:after="0"/>
                    <w:rPr>
                      <w:color w:val="auto"/>
                      <w:sz w:val="18"/>
                      <w:szCs w:val="18"/>
                    </w:rPr>
                  </w:pPr>
                  <w:r>
                    <w:rPr>
                      <w:color w:val="auto"/>
                      <w:sz w:val="18"/>
                      <w:szCs w:val="18"/>
                    </w:rPr>
                    <w:t>18纺织服装、服饰业：181机织服装制造、182针织或钩针编织服装制造、183服饰制造等不涉及染色、印花工艺的；</w:t>
                  </w:r>
                </w:p>
              </w:tc>
              <w:tc>
                <w:tcPr>
                  <w:tcW w:w="3254" w:type="dxa"/>
                  <w:vMerge w:val="continue"/>
                  <w:tcBorders>
                    <w:left w:val="nil"/>
                    <w:right w:val="single" w:color="auto" w:sz="4" w:space="0"/>
                  </w:tcBorders>
                  <w:vAlign w:val="center"/>
                </w:tcPr>
                <w:p w14:paraId="38E87E90">
                  <w:pPr>
                    <w:spacing w:after="0"/>
                    <w:rPr>
                      <w:color w:val="0000FF"/>
                      <w:sz w:val="18"/>
                      <w:szCs w:val="18"/>
                    </w:rPr>
                  </w:pPr>
                </w:p>
              </w:tc>
              <w:tc>
                <w:tcPr>
                  <w:tcW w:w="672" w:type="dxa"/>
                  <w:vMerge w:val="continue"/>
                  <w:tcBorders>
                    <w:left w:val="nil"/>
                    <w:right w:val="single" w:color="auto" w:sz="4" w:space="0"/>
                  </w:tcBorders>
                  <w:vAlign w:val="center"/>
                </w:tcPr>
                <w:p w14:paraId="1BA79B1C">
                  <w:pPr>
                    <w:spacing w:after="0"/>
                    <w:jc w:val="center"/>
                    <w:rPr>
                      <w:color w:val="0000FF"/>
                      <w:sz w:val="18"/>
                      <w:szCs w:val="18"/>
                    </w:rPr>
                  </w:pPr>
                </w:p>
              </w:tc>
            </w:tr>
            <w:tr w14:paraId="12D567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44" w:hRule="atLeast"/>
                <w:jc w:val="center"/>
              </w:trPr>
              <w:tc>
                <w:tcPr>
                  <w:tcW w:w="574" w:type="dxa"/>
                  <w:vMerge w:val="continue"/>
                  <w:tcBorders>
                    <w:left w:val="single" w:color="auto" w:sz="4" w:space="0"/>
                    <w:right w:val="single" w:color="auto" w:sz="4" w:space="0"/>
                  </w:tcBorders>
                  <w:vAlign w:val="center"/>
                </w:tcPr>
                <w:p w14:paraId="6CBD21EB">
                  <w:pPr>
                    <w:spacing w:after="0"/>
                    <w:jc w:val="center"/>
                    <w:rPr>
                      <w:color w:val="0000FF"/>
                      <w:sz w:val="18"/>
                      <w:szCs w:val="18"/>
                    </w:rPr>
                  </w:pPr>
                </w:p>
              </w:tc>
              <w:tc>
                <w:tcPr>
                  <w:tcW w:w="434" w:type="dxa"/>
                  <w:tcBorders>
                    <w:top w:val="single" w:color="auto" w:sz="4" w:space="0"/>
                    <w:left w:val="nil"/>
                    <w:bottom w:val="single" w:color="auto" w:sz="4" w:space="0"/>
                    <w:right w:val="single" w:color="auto" w:sz="4" w:space="0"/>
                  </w:tcBorders>
                  <w:vAlign w:val="center"/>
                </w:tcPr>
                <w:p w14:paraId="50A49BB6">
                  <w:pPr>
                    <w:spacing w:after="0"/>
                    <w:jc w:val="center"/>
                    <w:rPr>
                      <w:color w:val="auto"/>
                      <w:sz w:val="18"/>
                      <w:szCs w:val="18"/>
                    </w:rPr>
                  </w:pPr>
                  <w:r>
                    <w:rPr>
                      <w:color w:val="auto"/>
                      <w:sz w:val="18"/>
                      <w:szCs w:val="18"/>
                    </w:rPr>
                    <w:t>化学工业</w:t>
                  </w:r>
                </w:p>
              </w:tc>
              <w:tc>
                <w:tcPr>
                  <w:tcW w:w="3390" w:type="dxa"/>
                  <w:tcBorders>
                    <w:top w:val="single" w:color="auto" w:sz="4" w:space="0"/>
                    <w:left w:val="single" w:color="auto" w:sz="4" w:space="0"/>
                    <w:bottom w:val="single" w:color="auto" w:sz="4" w:space="0"/>
                    <w:right w:val="single" w:color="auto" w:sz="4" w:space="0"/>
                  </w:tcBorders>
                  <w:vAlign w:val="center"/>
                </w:tcPr>
                <w:p w14:paraId="0A3FF05C">
                  <w:pPr>
                    <w:spacing w:after="0"/>
                    <w:rPr>
                      <w:color w:val="auto"/>
                      <w:sz w:val="18"/>
                      <w:szCs w:val="18"/>
                    </w:rPr>
                  </w:pPr>
                  <w:r>
                    <w:rPr>
                      <w:color w:val="auto"/>
                      <w:sz w:val="18"/>
                      <w:szCs w:val="18"/>
                    </w:rPr>
                    <w:t>26化学原材料及化学制品制造业：单纯物理分离、物理提纯、混合、分装的</w:t>
                  </w:r>
                  <w:r>
                    <w:rPr>
                      <w:rFonts w:hint="eastAsia"/>
                      <w:color w:val="auto"/>
                      <w:sz w:val="18"/>
                      <w:szCs w:val="18"/>
                    </w:rPr>
                    <w:t>。</w:t>
                  </w:r>
                </w:p>
              </w:tc>
              <w:tc>
                <w:tcPr>
                  <w:tcW w:w="3254" w:type="dxa"/>
                  <w:vMerge w:val="continue"/>
                  <w:tcBorders>
                    <w:left w:val="nil"/>
                    <w:right w:val="single" w:color="auto" w:sz="4" w:space="0"/>
                  </w:tcBorders>
                  <w:vAlign w:val="center"/>
                </w:tcPr>
                <w:p w14:paraId="1A51440A">
                  <w:pPr>
                    <w:spacing w:after="0"/>
                    <w:rPr>
                      <w:color w:val="0000FF"/>
                      <w:sz w:val="18"/>
                      <w:szCs w:val="18"/>
                    </w:rPr>
                  </w:pPr>
                </w:p>
              </w:tc>
              <w:tc>
                <w:tcPr>
                  <w:tcW w:w="672" w:type="dxa"/>
                  <w:vMerge w:val="continue"/>
                  <w:tcBorders>
                    <w:left w:val="nil"/>
                    <w:right w:val="single" w:color="auto" w:sz="4" w:space="0"/>
                  </w:tcBorders>
                  <w:vAlign w:val="center"/>
                </w:tcPr>
                <w:p w14:paraId="27D75296">
                  <w:pPr>
                    <w:spacing w:after="0"/>
                    <w:jc w:val="center"/>
                    <w:rPr>
                      <w:color w:val="0000FF"/>
                      <w:sz w:val="18"/>
                      <w:szCs w:val="18"/>
                    </w:rPr>
                  </w:pPr>
                </w:p>
              </w:tc>
            </w:tr>
            <w:tr w14:paraId="15919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continue"/>
                  <w:tcBorders>
                    <w:left w:val="single" w:color="auto" w:sz="4" w:space="0"/>
                    <w:right w:val="single" w:color="auto" w:sz="4" w:space="0"/>
                  </w:tcBorders>
                  <w:vAlign w:val="center"/>
                </w:tcPr>
                <w:p w14:paraId="70229ED7">
                  <w:pPr>
                    <w:spacing w:after="0"/>
                    <w:jc w:val="center"/>
                    <w:rPr>
                      <w:color w:val="0000FF"/>
                      <w:sz w:val="18"/>
                      <w:szCs w:val="18"/>
                    </w:rPr>
                  </w:pPr>
                </w:p>
              </w:tc>
              <w:tc>
                <w:tcPr>
                  <w:tcW w:w="434" w:type="dxa"/>
                  <w:vMerge w:val="restart"/>
                  <w:tcBorders>
                    <w:top w:val="single" w:color="auto" w:sz="4" w:space="0"/>
                    <w:left w:val="nil"/>
                    <w:right w:val="single" w:color="auto" w:sz="4" w:space="0"/>
                  </w:tcBorders>
                  <w:vAlign w:val="center"/>
                </w:tcPr>
                <w:p w14:paraId="1295B168">
                  <w:pPr>
                    <w:spacing w:after="0"/>
                    <w:jc w:val="center"/>
                    <w:rPr>
                      <w:color w:val="auto"/>
                      <w:sz w:val="18"/>
                      <w:szCs w:val="18"/>
                    </w:rPr>
                  </w:pPr>
                  <w:r>
                    <w:rPr>
                      <w:color w:val="auto"/>
                      <w:sz w:val="18"/>
                      <w:szCs w:val="18"/>
                    </w:rPr>
                    <w:t>机械电子与新型材料</w:t>
                  </w:r>
                </w:p>
              </w:tc>
              <w:tc>
                <w:tcPr>
                  <w:tcW w:w="3390" w:type="dxa"/>
                  <w:tcBorders>
                    <w:top w:val="single" w:color="auto" w:sz="4" w:space="0"/>
                    <w:left w:val="single" w:color="auto" w:sz="4" w:space="0"/>
                    <w:bottom w:val="single" w:color="auto" w:sz="4" w:space="0"/>
                    <w:right w:val="single" w:color="auto" w:sz="4" w:space="0"/>
                  </w:tcBorders>
                  <w:vAlign w:val="center"/>
                </w:tcPr>
                <w:p w14:paraId="644B79F7">
                  <w:pPr>
                    <w:spacing w:after="0"/>
                    <w:rPr>
                      <w:color w:val="auto"/>
                      <w:sz w:val="18"/>
                      <w:szCs w:val="18"/>
                    </w:rPr>
                  </w:pPr>
                  <w:r>
                    <w:rPr>
                      <w:color w:val="auto"/>
                      <w:sz w:val="18"/>
                      <w:szCs w:val="18"/>
                    </w:rPr>
                    <w:t>34通用设备制造业：无电镀工艺且仅采用分割、焊接、组装工艺、使用非溶剂型低VOCs含量涂料的</w:t>
                  </w:r>
                  <w:r>
                    <w:rPr>
                      <w:rFonts w:hint="eastAsia"/>
                      <w:color w:val="auto"/>
                      <w:sz w:val="18"/>
                      <w:szCs w:val="18"/>
                    </w:rPr>
                    <w:t>。</w:t>
                  </w:r>
                </w:p>
              </w:tc>
              <w:tc>
                <w:tcPr>
                  <w:tcW w:w="3254" w:type="dxa"/>
                  <w:vMerge w:val="continue"/>
                  <w:tcBorders>
                    <w:left w:val="nil"/>
                    <w:right w:val="single" w:color="auto" w:sz="4" w:space="0"/>
                  </w:tcBorders>
                  <w:vAlign w:val="center"/>
                </w:tcPr>
                <w:p w14:paraId="7349D659">
                  <w:pPr>
                    <w:spacing w:after="0"/>
                    <w:rPr>
                      <w:color w:val="0000FF"/>
                      <w:sz w:val="18"/>
                      <w:szCs w:val="18"/>
                    </w:rPr>
                  </w:pPr>
                </w:p>
              </w:tc>
              <w:tc>
                <w:tcPr>
                  <w:tcW w:w="672" w:type="dxa"/>
                  <w:vMerge w:val="continue"/>
                  <w:tcBorders>
                    <w:left w:val="nil"/>
                    <w:right w:val="single" w:color="auto" w:sz="4" w:space="0"/>
                  </w:tcBorders>
                  <w:vAlign w:val="center"/>
                </w:tcPr>
                <w:p w14:paraId="421AFFB5">
                  <w:pPr>
                    <w:spacing w:after="0"/>
                    <w:jc w:val="center"/>
                    <w:rPr>
                      <w:color w:val="0000FF"/>
                      <w:sz w:val="18"/>
                      <w:szCs w:val="18"/>
                    </w:rPr>
                  </w:pPr>
                </w:p>
              </w:tc>
            </w:tr>
            <w:tr w14:paraId="324AFF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continue"/>
                  <w:tcBorders>
                    <w:left w:val="single" w:color="auto" w:sz="4" w:space="0"/>
                    <w:right w:val="single" w:color="auto" w:sz="4" w:space="0"/>
                  </w:tcBorders>
                  <w:vAlign w:val="center"/>
                </w:tcPr>
                <w:p w14:paraId="30E270F9">
                  <w:pPr>
                    <w:spacing w:after="0"/>
                    <w:jc w:val="center"/>
                    <w:rPr>
                      <w:color w:val="0000FF"/>
                      <w:sz w:val="18"/>
                      <w:szCs w:val="18"/>
                    </w:rPr>
                  </w:pPr>
                </w:p>
              </w:tc>
              <w:tc>
                <w:tcPr>
                  <w:tcW w:w="434" w:type="dxa"/>
                  <w:vMerge w:val="continue"/>
                  <w:tcBorders>
                    <w:left w:val="nil"/>
                    <w:right w:val="single" w:color="auto" w:sz="4" w:space="0"/>
                  </w:tcBorders>
                  <w:vAlign w:val="center"/>
                </w:tcPr>
                <w:p w14:paraId="3105F6EF">
                  <w:pPr>
                    <w:spacing w:after="0"/>
                    <w:jc w:val="center"/>
                    <w:rPr>
                      <w:color w:val="auto"/>
                      <w:sz w:val="18"/>
                      <w:szCs w:val="18"/>
                    </w:rPr>
                  </w:pPr>
                </w:p>
              </w:tc>
              <w:tc>
                <w:tcPr>
                  <w:tcW w:w="3390" w:type="dxa"/>
                  <w:tcBorders>
                    <w:top w:val="single" w:color="auto" w:sz="4" w:space="0"/>
                    <w:left w:val="single" w:color="auto" w:sz="4" w:space="0"/>
                    <w:bottom w:val="single" w:color="auto" w:sz="4" w:space="0"/>
                    <w:right w:val="single" w:color="auto" w:sz="4" w:space="0"/>
                  </w:tcBorders>
                  <w:vAlign w:val="center"/>
                </w:tcPr>
                <w:p w14:paraId="5516FAF6">
                  <w:pPr>
                    <w:spacing w:after="0"/>
                    <w:rPr>
                      <w:color w:val="auto"/>
                      <w:sz w:val="18"/>
                      <w:szCs w:val="18"/>
                    </w:rPr>
                  </w:pPr>
                  <w:r>
                    <w:rPr>
                      <w:color w:val="auto"/>
                      <w:sz w:val="18"/>
                      <w:szCs w:val="18"/>
                    </w:rPr>
                    <w:t>35专用设备制造业：351采矿、冶金、建筑专用设备制造、358医疗仪器设备及器械制造等无电镀工艺且采用分割、焊接、组装工艺、使用非溶剂型低VOCs含量涂料的</w:t>
                  </w:r>
                  <w:r>
                    <w:rPr>
                      <w:rFonts w:hint="eastAsia"/>
                      <w:color w:val="auto"/>
                      <w:sz w:val="18"/>
                      <w:szCs w:val="18"/>
                    </w:rPr>
                    <w:t>。</w:t>
                  </w:r>
                </w:p>
              </w:tc>
              <w:tc>
                <w:tcPr>
                  <w:tcW w:w="3254" w:type="dxa"/>
                  <w:vMerge w:val="continue"/>
                  <w:tcBorders>
                    <w:left w:val="nil"/>
                    <w:right w:val="single" w:color="auto" w:sz="4" w:space="0"/>
                  </w:tcBorders>
                  <w:vAlign w:val="center"/>
                </w:tcPr>
                <w:p w14:paraId="0F2E2ACD">
                  <w:pPr>
                    <w:spacing w:after="0"/>
                    <w:rPr>
                      <w:color w:val="0000FF"/>
                      <w:sz w:val="18"/>
                      <w:szCs w:val="18"/>
                    </w:rPr>
                  </w:pPr>
                </w:p>
              </w:tc>
              <w:tc>
                <w:tcPr>
                  <w:tcW w:w="672" w:type="dxa"/>
                  <w:vMerge w:val="continue"/>
                  <w:tcBorders>
                    <w:left w:val="nil"/>
                    <w:right w:val="single" w:color="auto" w:sz="4" w:space="0"/>
                  </w:tcBorders>
                  <w:vAlign w:val="center"/>
                </w:tcPr>
                <w:p w14:paraId="4109826A">
                  <w:pPr>
                    <w:spacing w:after="0"/>
                    <w:jc w:val="center"/>
                    <w:rPr>
                      <w:color w:val="0000FF"/>
                      <w:sz w:val="18"/>
                      <w:szCs w:val="18"/>
                    </w:rPr>
                  </w:pPr>
                </w:p>
              </w:tc>
            </w:tr>
            <w:tr w14:paraId="426D9E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continue"/>
                  <w:tcBorders>
                    <w:left w:val="single" w:color="auto" w:sz="4" w:space="0"/>
                    <w:right w:val="single" w:color="auto" w:sz="4" w:space="0"/>
                  </w:tcBorders>
                  <w:vAlign w:val="center"/>
                </w:tcPr>
                <w:p w14:paraId="3426DC8E">
                  <w:pPr>
                    <w:spacing w:after="0"/>
                    <w:jc w:val="center"/>
                    <w:rPr>
                      <w:color w:val="0000FF"/>
                      <w:sz w:val="18"/>
                      <w:szCs w:val="18"/>
                    </w:rPr>
                  </w:pPr>
                </w:p>
              </w:tc>
              <w:tc>
                <w:tcPr>
                  <w:tcW w:w="434" w:type="dxa"/>
                  <w:vMerge w:val="continue"/>
                  <w:tcBorders>
                    <w:left w:val="nil"/>
                    <w:right w:val="single" w:color="auto" w:sz="4" w:space="0"/>
                  </w:tcBorders>
                  <w:vAlign w:val="center"/>
                </w:tcPr>
                <w:p w14:paraId="02B78E9F">
                  <w:pPr>
                    <w:spacing w:after="0"/>
                    <w:jc w:val="center"/>
                    <w:rPr>
                      <w:color w:val="auto"/>
                      <w:sz w:val="18"/>
                      <w:szCs w:val="18"/>
                    </w:rPr>
                  </w:pPr>
                </w:p>
              </w:tc>
              <w:tc>
                <w:tcPr>
                  <w:tcW w:w="3390" w:type="dxa"/>
                  <w:tcBorders>
                    <w:top w:val="single" w:color="auto" w:sz="4" w:space="0"/>
                    <w:left w:val="single" w:color="auto" w:sz="4" w:space="0"/>
                    <w:bottom w:val="single" w:color="auto" w:sz="4" w:space="0"/>
                    <w:right w:val="single" w:color="auto" w:sz="4" w:space="0"/>
                  </w:tcBorders>
                  <w:vAlign w:val="center"/>
                </w:tcPr>
                <w:p w14:paraId="75851DEF">
                  <w:pPr>
                    <w:spacing w:after="0"/>
                    <w:rPr>
                      <w:color w:val="auto"/>
                      <w:sz w:val="18"/>
                      <w:szCs w:val="18"/>
                    </w:rPr>
                  </w:pPr>
                  <w:r>
                    <w:rPr>
                      <w:color w:val="auto"/>
                      <w:sz w:val="18"/>
                      <w:szCs w:val="18"/>
                    </w:rPr>
                    <w:t>38电气机械和器材制造业：389其他电气机械及器材制造等无电镀工艺且仅采用分割、焊接、组装工艺、使用非溶剂型低VOCs含量涂料的</w:t>
                  </w:r>
                  <w:r>
                    <w:rPr>
                      <w:rFonts w:hint="eastAsia"/>
                      <w:color w:val="auto"/>
                      <w:sz w:val="18"/>
                      <w:szCs w:val="18"/>
                    </w:rPr>
                    <w:t>。</w:t>
                  </w:r>
                </w:p>
              </w:tc>
              <w:tc>
                <w:tcPr>
                  <w:tcW w:w="3254" w:type="dxa"/>
                  <w:vMerge w:val="continue"/>
                  <w:tcBorders>
                    <w:left w:val="nil"/>
                    <w:right w:val="single" w:color="auto" w:sz="4" w:space="0"/>
                  </w:tcBorders>
                  <w:vAlign w:val="center"/>
                </w:tcPr>
                <w:p w14:paraId="2D9280BA">
                  <w:pPr>
                    <w:spacing w:after="0"/>
                    <w:rPr>
                      <w:color w:val="0000FF"/>
                      <w:sz w:val="18"/>
                      <w:szCs w:val="18"/>
                    </w:rPr>
                  </w:pPr>
                </w:p>
              </w:tc>
              <w:tc>
                <w:tcPr>
                  <w:tcW w:w="672" w:type="dxa"/>
                  <w:vMerge w:val="continue"/>
                  <w:tcBorders>
                    <w:left w:val="nil"/>
                    <w:right w:val="single" w:color="auto" w:sz="4" w:space="0"/>
                  </w:tcBorders>
                  <w:vAlign w:val="center"/>
                </w:tcPr>
                <w:p w14:paraId="041E078A">
                  <w:pPr>
                    <w:spacing w:after="0"/>
                    <w:jc w:val="center"/>
                    <w:rPr>
                      <w:color w:val="0000FF"/>
                      <w:sz w:val="18"/>
                      <w:szCs w:val="18"/>
                    </w:rPr>
                  </w:pPr>
                </w:p>
              </w:tc>
            </w:tr>
            <w:tr w14:paraId="01E69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continue"/>
                  <w:tcBorders>
                    <w:left w:val="single" w:color="auto" w:sz="4" w:space="0"/>
                    <w:right w:val="single" w:color="auto" w:sz="4" w:space="0"/>
                  </w:tcBorders>
                  <w:vAlign w:val="center"/>
                </w:tcPr>
                <w:p w14:paraId="33067162">
                  <w:pPr>
                    <w:spacing w:after="0"/>
                    <w:jc w:val="center"/>
                    <w:rPr>
                      <w:color w:val="0000FF"/>
                      <w:sz w:val="18"/>
                      <w:szCs w:val="18"/>
                    </w:rPr>
                  </w:pPr>
                </w:p>
              </w:tc>
              <w:tc>
                <w:tcPr>
                  <w:tcW w:w="434" w:type="dxa"/>
                  <w:vMerge w:val="continue"/>
                  <w:tcBorders>
                    <w:left w:val="nil"/>
                    <w:bottom w:val="single" w:color="auto" w:sz="4" w:space="0"/>
                    <w:right w:val="single" w:color="auto" w:sz="4" w:space="0"/>
                  </w:tcBorders>
                  <w:vAlign w:val="center"/>
                </w:tcPr>
                <w:p w14:paraId="41383239">
                  <w:pPr>
                    <w:spacing w:after="0"/>
                    <w:jc w:val="center"/>
                    <w:rPr>
                      <w:color w:val="auto"/>
                      <w:sz w:val="18"/>
                      <w:szCs w:val="18"/>
                    </w:rPr>
                  </w:pPr>
                </w:p>
              </w:tc>
              <w:tc>
                <w:tcPr>
                  <w:tcW w:w="3390" w:type="dxa"/>
                  <w:tcBorders>
                    <w:top w:val="single" w:color="auto" w:sz="4" w:space="0"/>
                    <w:left w:val="single" w:color="auto" w:sz="4" w:space="0"/>
                    <w:bottom w:val="single" w:color="auto" w:sz="4" w:space="0"/>
                    <w:right w:val="single" w:color="auto" w:sz="4" w:space="0"/>
                  </w:tcBorders>
                  <w:vAlign w:val="center"/>
                </w:tcPr>
                <w:p w14:paraId="45C42789">
                  <w:pPr>
                    <w:spacing w:after="0"/>
                    <w:rPr>
                      <w:color w:val="auto"/>
                      <w:sz w:val="18"/>
                      <w:szCs w:val="18"/>
                    </w:rPr>
                  </w:pPr>
                  <w:r>
                    <w:rPr>
                      <w:color w:val="auto"/>
                      <w:sz w:val="18"/>
                      <w:szCs w:val="18"/>
                    </w:rPr>
                    <w:t>39计算机、通信和其他电子设备制造业：392通信设备制造、393广播电视设备制造、394雷达及配套设备制造、395非专业视听设备制造、396 智能消费设备制造、399其他电子设备制造</w:t>
                  </w:r>
                  <w:r>
                    <w:rPr>
                      <w:rFonts w:hint="eastAsia"/>
                      <w:color w:val="auto"/>
                      <w:sz w:val="18"/>
                      <w:szCs w:val="18"/>
                    </w:rPr>
                    <w:t>。</w:t>
                  </w:r>
                </w:p>
              </w:tc>
              <w:tc>
                <w:tcPr>
                  <w:tcW w:w="3254" w:type="dxa"/>
                  <w:vMerge w:val="continue"/>
                  <w:tcBorders>
                    <w:left w:val="nil"/>
                    <w:right w:val="single" w:color="auto" w:sz="4" w:space="0"/>
                  </w:tcBorders>
                  <w:vAlign w:val="center"/>
                </w:tcPr>
                <w:p w14:paraId="6F94C3E0">
                  <w:pPr>
                    <w:spacing w:after="0"/>
                    <w:rPr>
                      <w:color w:val="0000FF"/>
                      <w:sz w:val="18"/>
                      <w:szCs w:val="18"/>
                    </w:rPr>
                  </w:pPr>
                </w:p>
              </w:tc>
              <w:tc>
                <w:tcPr>
                  <w:tcW w:w="672" w:type="dxa"/>
                  <w:vMerge w:val="continue"/>
                  <w:tcBorders>
                    <w:left w:val="nil"/>
                    <w:right w:val="single" w:color="auto" w:sz="4" w:space="0"/>
                  </w:tcBorders>
                  <w:vAlign w:val="center"/>
                </w:tcPr>
                <w:p w14:paraId="28C0AD16">
                  <w:pPr>
                    <w:spacing w:after="0"/>
                    <w:jc w:val="center"/>
                    <w:rPr>
                      <w:color w:val="0000FF"/>
                      <w:sz w:val="18"/>
                      <w:szCs w:val="18"/>
                    </w:rPr>
                  </w:pPr>
                </w:p>
              </w:tc>
            </w:tr>
            <w:tr w14:paraId="1AC47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continue"/>
                  <w:tcBorders>
                    <w:left w:val="single" w:color="auto" w:sz="4" w:space="0"/>
                    <w:right w:val="single" w:color="auto" w:sz="4" w:space="0"/>
                  </w:tcBorders>
                  <w:vAlign w:val="center"/>
                </w:tcPr>
                <w:p w14:paraId="2E1C76AA">
                  <w:pPr>
                    <w:spacing w:after="0"/>
                    <w:jc w:val="center"/>
                    <w:rPr>
                      <w:color w:val="0000FF"/>
                      <w:sz w:val="18"/>
                      <w:szCs w:val="18"/>
                    </w:rPr>
                  </w:pPr>
                </w:p>
              </w:tc>
              <w:tc>
                <w:tcPr>
                  <w:tcW w:w="434" w:type="dxa"/>
                  <w:tcBorders>
                    <w:top w:val="single" w:color="auto" w:sz="4" w:space="0"/>
                    <w:left w:val="nil"/>
                    <w:bottom w:val="single" w:color="auto" w:sz="4" w:space="0"/>
                    <w:right w:val="single" w:color="auto" w:sz="4" w:space="0"/>
                  </w:tcBorders>
                  <w:vAlign w:val="center"/>
                </w:tcPr>
                <w:p w14:paraId="653F92DB">
                  <w:pPr>
                    <w:spacing w:after="0"/>
                    <w:jc w:val="center"/>
                    <w:rPr>
                      <w:color w:val="auto"/>
                      <w:sz w:val="18"/>
                      <w:szCs w:val="18"/>
                    </w:rPr>
                  </w:pPr>
                  <w:r>
                    <w:rPr>
                      <w:color w:val="auto"/>
                      <w:sz w:val="18"/>
                      <w:szCs w:val="18"/>
                    </w:rPr>
                    <w:t>食品加工</w:t>
                  </w:r>
                </w:p>
              </w:tc>
              <w:tc>
                <w:tcPr>
                  <w:tcW w:w="3390" w:type="dxa"/>
                  <w:tcBorders>
                    <w:top w:val="single" w:color="auto" w:sz="4" w:space="0"/>
                    <w:left w:val="single" w:color="auto" w:sz="4" w:space="0"/>
                    <w:bottom w:val="single" w:color="auto" w:sz="4" w:space="0"/>
                    <w:right w:val="single" w:color="auto" w:sz="4" w:space="0"/>
                  </w:tcBorders>
                  <w:vAlign w:val="center"/>
                </w:tcPr>
                <w:p w14:paraId="055E5595">
                  <w:pPr>
                    <w:spacing w:after="0"/>
                    <w:rPr>
                      <w:color w:val="auto"/>
                      <w:sz w:val="18"/>
                      <w:szCs w:val="18"/>
                    </w:rPr>
                  </w:pPr>
                  <w:r>
                    <w:rPr>
                      <w:color w:val="auto"/>
                      <w:sz w:val="18"/>
                      <w:szCs w:val="18"/>
                    </w:rPr>
                    <w:t>14食品制造业：142糖果、巧克力及蜜饯制造、143方便食品制造、144 乳制品制造、145罐头食品制造</w:t>
                  </w:r>
                  <w:r>
                    <w:rPr>
                      <w:rFonts w:hint="eastAsia"/>
                      <w:color w:val="auto"/>
                      <w:sz w:val="18"/>
                      <w:szCs w:val="18"/>
                    </w:rPr>
                    <w:t>。</w:t>
                  </w:r>
                </w:p>
              </w:tc>
              <w:tc>
                <w:tcPr>
                  <w:tcW w:w="3254" w:type="dxa"/>
                  <w:vMerge w:val="continue"/>
                  <w:tcBorders>
                    <w:left w:val="nil"/>
                    <w:right w:val="single" w:color="auto" w:sz="4" w:space="0"/>
                  </w:tcBorders>
                  <w:vAlign w:val="center"/>
                </w:tcPr>
                <w:p w14:paraId="5F4C3BC7">
                  <w:pPr>
                    <w:spacing w:after="0"/>
                    <w:rPr>
                      <w:color w:val="0000FF"/>
                      <w:sz w:val="18"/>
                      <w:szCs w:val="18"/>
                    </w:rPr>
                  </w:pPr>
                </w:p>
              </w:tc>
              <w:tc>
                <w:tcPr>
                  <w:tcW w:w="672" w:type="dxa"/>
                  <w:vMerge w:val="continue"/>
                  <w:tcBorders>
                    <w:left w:val="nil"/>
                    <w:right w:val="single" w:color="auto" w:sz="4" w:space="0"/>
                  </w:tcBorders>
                  <w:vAlign w:val="center"/>
                </w:tcPr>
                <w:p w14:paraId="7DDB6F03">
                  <w:pPr>
                    <w:spacing w:after="0"/>
                    <w:jc w:val="center"/>
                    <w:rPr>
                      <w:color w:val="0000FF"/>
                      <w:sz w:val="18"/>
                      <w:szCs w:val="18"/>
                    </w:rPr>
                  </w:pPr>
                </w:p>
              </w:tc>
            </w:tr>
            <w:tr w14:paraId="7167D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continue"/>
                  <w:tcBorders>
                    <w:left w:val="single" w:color="auto" w:sz="4" w:space="0"/>
                    <w:bottom w:val="single" w:color="auto" w:sz="4" w:space="0"/>
                    <w:right w:val="single" w:color="auto" w:sz="4" w:space="0"/>
                  </w:tcBorders>
                  <w:vAlign w:val="center"/>
                </w:tcPr>
                <w:p w14:paraId="145922CA">
                  <w:pPr>
                    <w:spacing w:after="0"/>
                    <w:jc w:val="center"/>
                    <w:rPr>
                      <w:color w:val="0000FF"/>
                      <w:sz w:val="18"/>
                      <w:szCs w:val="18"/>
                    </w:rPr>
                  </w:pPr>
                </w:p>
              </w:tc>
              <w:tc>
                <w:tcPr>
                  <w:tcW w:w="434" w:type="dxa"/>
                  <w:tcBorders>
                    <w:top w:val="single" w:color="auto" w:sz="4" w:space="0"/>
                    <w:left w:val="nil"/>
                    <w:bottom w:val="single" w:color="auto" w:sz="4" w:space="0"/>
                    <w:right w:val="single" w:color="auto" w:sz="4" w:space="0"/>
                  </w:tcBorders>
                  <w:vAlign w:val="center"/>
                </w:tcPr>
                <w:p w14:paraId="1945C603">
                  <w:pPr>
                    <w:spacing w:after="0"/>
                    <w:jc w:val="center"/>
                    <w:rPr>
                      <w:color w:val="auto"/>
                      <w:sz w:val="18"/>
                      <w:szCs w:val="18"/>
                    </w:rPr>
                  </w:pPr>
                  <w:r>
                    <w:rPr>
                      <w:color w:val="auto"/>
                      <w:sz w:val="18"/>
                      <w:szCs w:val="18"/>
                    </w:rPr>
                    <w:t>商贸物流</w:t>
                  </w:r>
                </w:p>
              </w:tc>
              <w:tc>
                <w:tcPr>
                  <w:tcW w:w="3390" w:type="dxa"/>
                  <w:tcBorders>
                    <w:top w:val="single" w:color="auto" w:sz="4" w:space="0"/>
                    <w:left w:val="single" w:color="auto" w:sz="4" w:space="0"/>
                    <w:bottom w:val="single" w:color="auto" w:sz="4" w:space="0"/>
                    <w:right w:val="single" w:color="auto" w:sz="4" w:space="0"/>
                  </w:tcBorders>
                  <w:vAlign w:val="center"/>
                </w:tcPr>
                <w:p w14:paraId="3257E866">
                  <w:pPr>
                    <w:spacing w:after="0"/>
                    <w:rPr>
                      <w:color w:val="auto"/>
                      <w:sz w:val="18"/>
                      <w:szCs w:val="18"/>
                    </w:rPr>
                  </w:pPr>
                  <w:r>
                    <w:rPr>
                      <w:color w:val="auto"/>
                      <w:sz w:val="18"/>
                      <w:szCs w:val="18"/>
                    </w:rPr>
                    <w:t>81机动车、电子产品和日用产品修理业：811汽车、摩托车等修理与维护</w:t>
                  </w:r>
                  <w:r>
                    <w:rPr>
                      <w:rFonts w:hint="eastAsia"/>
                      <w:color w:val="auto"/>
                      <w:sz w:val="18"/>
                      <w:szCs w:val="18"/>
                    </w:rPr>
                    <w:t>。</w:t>
                  </w:r>
                </w:p>
              </w:tc>
              <w:tc>
                <w:tcPr>
                  <w:tcW w:w="3254" w:type="dxa"/>
                  <w:vMerge w:val="continue"/>
                  <w:tcBorders>
                    <w:left w:val="nil"/>
                    <w:right w:val="single" w:color="auto" w:sz="4" w:space="0"/>
                  </w:tcBorders>
                  <w:vAlign w:val="center"/>
                </w:tcPr>
                <w:p w14:paraId="67F78B95">
                  <w:pPr>
                    <w:spacing w:after="0"/>
                    <w:rPr>
                      <w:color w:val="0000FF"/>
                      <w:sz w:val="18"/>
                      <w:szCs w:val="18"/>
                    </w:rPr>
                  </w:pPr>
                </w:p>
              </w:tc>
              <w:tc>
                <w:tcPr>
                  <w:tcW w:w="672" w:type="dxa"/>
                  <w:vMerge w:val="continue"/>
                  <w:tcBorders>
                    <w:left w:val="nil"/>
                    <w:right w:val="single" w:color="auto" w:sz="4" w:space="0"/>
                  </w:tcBorders>
                  <w:vAlign w:val="center"/>
                </w:tcPr>
                <w:p w14:paraId="09187475">
                  <w:pPr>
                    <w:spacing w:after="0"/>
                    <w:jc w:val="center"/>
                    <w:rPr>
                      <w:color w:val="0000FF"/>
                      <w:sz w:val="18"/>
                      <w:szCs w:val="18"/>
                    </w:rPr>
                  </w:pPr>
                </w:p>
              </w:tc>
            </w:tr>
            <w:tr w14:paraId="75DEB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restart"/>
                  <w:tcBorders>
                    <w:top w:val="single" w:color="auto" w:sz="4" w:space="0"/>
                    <w:left w:val="single" w:color="auto" w:sz="4" w:space="0"/>
                    <w:right w:val="single" w:color="auto" w:sz="4" w:space="0"/>
                  </w:tcBorders>
                  <w:vAlign w:val="center"/>
                </w:tcPr>
                <w:p w14:paraId="07AE626B">
                  <w:pPr>
                    <w:spacing w:after="0"/>
                    <w:jc w:val="center"/>
                    <w:rPr>
                      <w:color w:val="auto"/>
                      <w:sz w:val="18"/>
                      <w:szCs w:val="18"/>
                    </w:rPr>
                  </w:pPr>
                  <w:r>
                    <w:rPr>
                      <w:color w:val="auto"/>
                      <w:sz w:val="18"/>
                      <w:szCs w:val="18"/>
                    </w:rPr>
                    <w:t>禁止类</w:t>
                  </w:r>
                </w:p>
              </w:tc>
              <w:tc>
                <w:tcPr>
                  <w:tcW w:w="3824" w:type="dxa"/>
                  <w:gridSpan w:val="2"/>
                  <w:tcBorders>
                    <w:top w:val="single" w:color="auto" w:sz="4" w:space="0"/>
                    <w:left w:val="nil"/>
                    <w:bottom w:val="single" w:color="auto" w:sz="4" w:space="0"/>
                    <w:right w:val="single" w:color="auto" w:sz="4" w:space="0"/>
                  </w:tcBorders>
                  <w:vAlign w:val="center"/>
                </w:tcPr>
                <w:p w14:paraId="77AE2A66">
                  <w:pPr>
                    <w:spacing w:after="0"/>
                    <w:rPr>
                      <w:color w:val="auto"/>
                      <w:sz w:val="18"/>
                      <w:szCs w:val="18"/>
                    </w:rPr>
                  </w:pPr>
                  <w:r>
                    <w:rPr>
                      <w:color w:val="auto"/>
                      <w:sz w:val="18"/>
                      <w:szCs w:val="18"/>
                    </w:rPr>
                    <w:t>禁止引入国家明令禁止建设或投资的、引入列入《产业结构调整指导目录》（2024年本）、《外商投资产业指导目录（2017年修订）》、《市场准入负面清单（2020年版）》等相关产业政策中禁止或淘汰类项目、产品、工艺和设备。</w:t>
                  </w:r>
                </w:p>
              </w:tc>
              <w:tc>
                <w:tcPr>
                  <w:tcW w:w="3254" w:type="dxa"/>
                  <w:vMerge w:val="continue"/>
                  <w:tcBorders>
                    <w:left w:val="nil"/>
                    <w:right w:val="single" w:color="auto" w:sz="4" w:space="0"/>
                  </w:tcBorders>
                  <w:vAlign w:val="center"/>
                </w:tcPr>
                <w:p w14:paraId="145884F3">
                  <w:pPr>
                    <w:spacing w:after="0"/>
                    <w:rPr>
                      <w:color w:val="auto"/>
                      <w:sz w:val="18"/>
                      <w:szCs w:val="18"/>
                    </w:rPr>
                  </w:pPr>
                </w:p>
              </w:tc>
              <w:tc>
                <w:tcPr>
                  <w:tcW w:w="672" w:type="dxa"/>
                  <w:vMerge w:val="continue"/>
                  <w:tcBorders>
                    <w:left w:val="nil"/>
                    <w:right w:val="single" w:color="auto" w:sz="4" w:space="0"/>
                  </w:tcBorders>
                  <w:vAlign w:val="center"/>
                </w:tcPr>
                <w:p w14:paraId="242DEE69">
                  <w:pPr>
                    <w:spacing w:after="0"/>
                    <w:jc w:val="center"/>
                    <w:rPr>
                      <w:color w:val="auto"/>
                      <w:sz w:val="18"/>
                      <w:szCs w:val="18"/>
                    </w:rPr>
                  </w:pPr>
                </w:p>
              </w:tc>
            </w:tr>
            <w:tr w14:paraId="1789E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continue"/>
                  <w:tcBorders>
                    <w:left w:val="single" w:color="auto" w:sz="4" w:space="0"/>
                    <w:right w:val="single" w:color="auto" w:sz="4" w:space="0"/>
                  </w:tcBorders>
                  <w:vAlign w:val="center"/>
                </w:tcPr>
                <w:p w14:paraId="5B7FE24E">
                  <w:pPr>
                    <w:spacing w:after="0"/>
                    <w:jc w:val="center"/>
                    <w:rPr>
                      <w:color w:val="auto"/>
                      <w:sz w:val="18"/>
                      <w:szCs w:val="18"/>
                    </w:rPr>
                  </w:pPr>
                </w:p>
              </w:tc>
              <w:tc>
                <w:tcPr>
                  <w:tcW w:w="3824" w:type="dxa"/>
                  <w:gridSpan w:val="2"/>
                  <w:tcBorders>
                    <w:top w:val="single" w:color="auto" w:sz="4" w:space="0"/>
                    <w:left w:val="nil"/>
                    <w:bottom w:val="single" w:color="auto" w:sz="4" w:space="0"/>
                    <w:right w:val="single" w:color="auto" w:sz="4" w:space="0"/>
                  </w:tcBorders>
                  <w:vAlign w:val="center"/>
                </w:tcPr>
                <w:p w14:paraId="6CAA6264">
                  <w:pPr>
                    <w:spacing w:after="0"/>
                    <w:rPr>
                      <w:color w:val="auto"/>
                      <w:sz w:val="18"/>
                      <w:szCs w:val="18"/>
                    </w:rPr>
                  </w:pPr>
                  <w:r>
                    <w:rPr>
                      <w:color w:val="auto"/>
                      <w:sz w:val="18"/>
                      <w:szCs w:val="18"/>
                    </w:rPr>
                    <w:t>禁止引进国家、安徽省明确规定不得审批的建设项目。</w:t>
                  </w:r>
                </w:p>
              </w:tc>
              <w:tc>
                <w:tcPr>
                  <w:tcW w:w="3254" w:type="dxa"/>
                  <w:vMerge w:val="continue"/>
                  <w:tcBorders>
                    <w:left w:val="nil"/>
                    <w:right w:val="single" w:color="auto" w:sz="4" w:space="0"/>
                  </w:tcBorders>
                  <w:vAlign w:val="center"/>
                </w:tcPr>
                <w:p w14:paraId="696612E3">
                  <w:pPr>
                    <w:spacing w:after="0"/>
                    <w:rPr>
                      <w:color w:val="auto"/>
                      <w:sz w:val="18"/>
                      <w:szCs w:val="18"/>
                    </w:rPr>
                  </w:pPr>
                </w:p>
              </w:tc>
              <w:tc>
                <w:tcPr>
                  <w:tcW w:w="672" w:type="dxa"/>
                  <w:vMerge w:val="continue"/>
                  <w:tcBorders>
                    <w:left w:val="nil"/>
                    <w:right w:val="single" w:color="auto" w:sz="4" w:space="0"/>
                  </w:tcBorders>
                  <w:vAlign w:val="center"/>
                </w:tcPr>
                <w:p w14:paraId="2A0110A9">
                  <w:pPr>
                    <w:spacing w:after="0"/>
                    <w:jc w:val="center"/>
                    <w:rPr>
                      <w:color w:val="auto"/>
                      <w:sz w:val="18"/>
                      <w:szCs w:val="18"/>
                    </w:rPr>
                  </w:pPr>
                </w:p>
              </w:tc>
            </w:tr>
            <w:tr w14:paraId="23589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continue"/>
                  <w:tcBorders>
                    <w:left w:val="single" w:color="auto" w:sz="4" w:space="0"/>
                    <w:right w:val="single" w:color="auto" w:sz="4" w:space="0"/>
                  </w:tcBorders>
                  <w:vAlign w:val="center"/>
                </w:tcPr>
                <w:p w14:paraId="15D39E86">
                  <w:pPr>
                    <w:spacing w:after="0"/>
                    <w:jc w:val="center"/>
                    <w:rPr>
                      <w:color w:val="auto"/>
                      <w:sz w:val="18"/>
                      <w:szCs w:val="18"/>
                    </w:rPr>
                  </w:pPr>
                </w:p>
              </w:tc>
              <w:tc>
                <w:tcPr>
                  <w:tcW w:w="3824" w:type="dxa"/>
                  <w:gridSpan w:val="2"/>
                  <w:tcBorders>
                    <w:top w:val="single" w:color="auto" w:sz="4" w:space="0"/>
                    <w:left w:val="nil"/>
                    <w:bottom w:val="single" w:color="auto" w:sz="4" w:space="0"/>
                    <w:right w:val="single" w:color="auto" w:sz="4" w:space="0"/>
                  </w:tcBorders>
                  <w:vAlign w:val="center"/>
                </w:tcPr>
                <w:p w14:paraId="1B3AC186">
                  <w:pPr>
                    <w:spacing w:after="0"/>
                    <w:rPr>
                      <w:color w:val="auto"/>
                      <w:sz w:val="18"/>
                      <w:szCs w:val="18"/>
                    </w:rPr>
                  </w:pPr>
                  <w:r>
                    <w:rPr>
                      <w:color w:val="auto"/>
                      <w:sz w:val="18"/>
                      <w:szCs w:val="18"/>
                    </w:rPr>
                    <w:t>生物医药：兽用药品制造等污染严重的项目。</w:t>
                  </w:r>
                </w:p>
                <w:p w14:paraId="66085581">
                  <w:pPr>
                    <w:spacing w:after="0"/>
                    <w:rPr>
                      <w:color w:val="auto"/>
                      <w:sz w:val="18"/>
                      <w:szCs w:val="18"/>
                    </w:rPr>
                  </w:pPr>
                  <w:r>
                    <w:rPr>
                      <w:color w:val="auto"/>
                      <w:sz w:val="18"/>
                      <w:szCs w:val="18"/>
                    </w:rPr>
                    <w:t>纺织服装：涉及印染等污染重的项目。</w:t>
                  </w:r>
                </w:p>
                <w:p w14:paraId="7950128A">
                  <w:pPr>
                    <w:spacing w:after="0"/>
                    <w:rPr>
                      <w:color w:val="auto"/>
                      <w:sz w:val="18"/>
                      <w:szCs w:val="18"/>
                    </w:rPr>
                  </w:pPr>
                  <w:r>
                    <w:rPr>
                      <w:color w:val="auto"/>
                      <w:sz w:val="18"/>
                      <w:szCs w:val="18"/>
                    </w:rPr>
                    <w:t>化学工业：农药制造等污染较重的化工类项目。</w:t>
                  </w:r>
                </w:p>
                <w:p w14:paraId="17588FF7">
                  <w:pPr>
                    <w:spacing w:after="0"/>
                    <w:rPr>
                      <w:color w:val="auto"/>
                      <w:sz w:val="18"/>
                      <w:szCs w:val="18"/>
                    </w:rPr>
                  </w:pPr>
                  <w:r>
                    <w:rPr>
                      <w:color w:val="auto"/>
                      <w:sz w:val="18"/>
                      <w:szCs w:val="18"/>
                    </w:rPr>
                    <w:t>机械电子与新型材料：电子元件材料制造等可能涉及重金属的项目、水泥陶瓷等高耗能高污染企业。</w:t>
                  </w:r>
                </w:p>
                <w:p w14:paraId="6093DECE">
                  <w:pPr>
                    <w:spacing w:after="0"/>
                    <w:rPr>
                      <w:color w:val="auto"/>
                      <w:sz w:val="18"/>
                      <w:szCs w:val="18"/>
                    </w:rPr>
                  </w:pPr>
                  <w:r>
                    <w:rPr>
                      <w:color w:val="auto"/>
                      <w:sz w:val="18"/>
                      <w:szCs w:val="18"/>
                    </w:rPr>
                    <w:t>食品加工：涉及发酵等污染重的项目。</w:t>
                  </w:r>
                </w:p>
                <w:p w14:paraId="5E256232">
                  <w:pPr>
                    <w:spacing w:after="0"/>
                    <w:rPr>
                      <w:color w:val="auto"/>
                      <w:sz w:val="18"/>
                      <w:szCs w:val="18"/>
                    </w:rPr>
                  </w:pPr>
                  <w:r>
                    <w:rPr>
                      <w:color w:val="auto"/>
                      <w:sz w:val="18"/>
                      <w:szCs w:val="18"/>
                    </w:rPr>
                    <w:t>商贸物流：转运石油、危险化学品等项目。</w:t>
                  </w:r>
                </w:p>
              </w:tc>
              <w:tc>
                <w:tcPr>
                  <w:tcW w:w="3254" w:type="dxa"/>
                  <w:vMerge w:val="continue"/>
                  <w:tcBorders>
                    <w:left w:val="nil"/>
                    <w:right w:val="single" w:color="auto" w:sz="4" w:space="0"/>
                  </w:tcBorders>
                  <w:vAlign w:val="center"/>
                </w:tcPr>
                <w:p w14:paraId="3FBA0778">
                  <w:pPr>
                    <w:spacing w:after="0"/>
                    <w:rPr>
                      <w:color w:val="auto"/>
                      <w:sz w:val="18"/>
                      <w:szCs w:val="18"/>
                    </w:rPr>
                  </w:pPr>
                </w:p>
              </w:tc>
              <w:tc>
                <w:tcPr>
                  <w:tcW w:w="672" w:type="dxa"/>
                  <w:vMerge w:val="continue"/>
                  <w:tcBorders>
                    <w:left w:val="nil"/>
                    <w:right w:val="single" w:color="auto" w:sz="4" w:space="0"/>
                  </w:tcBorders>
                  <w:vAlign w:val="center"/>
                </w:tcPr>
                <w:p w14:paraId="2002378F">
                  <w:pPr>
                    <w:spacing w:after="0"/>
                    <w:jc w:val="center"/>
                    <w:rPr>
                      <w:color w:val="auto"/>
                      <w:sz w:val="18"/>
                      <w:szCs w:val="18"/>
                    </w:rPr>
                  </w:pPr>
                </w:p>
              </w:tc>
            </w:tr>
            <w:tr w14:paraId="40608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vMerge w:val="continue"/>
                  <w:tcBorders>
                    <w:left w:val="single" w:color="auto" w:sz="4" w:space="0"/>
                    <w:bottom w:val="single" w:color="auto" w:sz="4" w:space="0"/>
                    <w:right w:val="single" w:color="auto" w:sz="4" w:space="0"/>
                  </w:tcBorders>
                  <w:vAlign w:val="center"/>
                </w:tcPr>
                <w:p w14:paraId="51D252E0">
                  <w:pPr>
                    <w:spacing w:after="0"/>
                    <w:jc w:val="center"/>
                    <w:rPr>
                      <w:color w:val="auto"/>
                      <w:sz w:val="18"/>
                      <w:szCs w:val="18"/>
                    </w:rPr>
                  </w:pPr>
                </w:p>
              </w:tc>
              <w:tc>
                <w:tcPr>
                  <w:tcW w:w="3824" w:type="dxa"/>
                  <w:gridSpan w:val="2"/>
                  <w:tcBorders>
                    <w:top w:val="single" w:color="auto" w:sz="4" w:space="0"/>
                    <w:left w:val="nil"/>
                    <w:bottom w:val="single" w:color="auto" w:sz="4" w:space="0"/>
                    <w:right w:val="single" w:color="auto" w:sz="4" w:space="0"/>
                  </w:tcBorders>
                  <w:vAlign w:val="center"/>
                </w:tcPr>
                <w:p w14:paraId="4688021E">
                  <w:pPr>
                    <w:spacing w:after="0"/>
                    <w:rPr>
                      <w:color w:val="auto"/>
                      <w:sz w:val="18"/>
                      <w:szCs w:val="18"/>
                    </w:rPr>
                  </w:pPr>
                  <w:r>
                    <w:rPr>
                      <w:color w:val="auto"/>
                      <w:sz w:val="18"/>
                      <w:szCs w:val="18"/>
                    </w:rPr>
                    <w:t>禁止引进化学制浆造纸企业和印染、制革、化工、电镀、酿造等污染严重的小型企业。严格限制在淮河流域新建印染、制革、化工、电镀、酿造等大中型项目或者其他污染严重的项目；建设该类项目的，应当事前征得省人民政府生态环境行政主管部门的同意，并按照规定办理有关手续。禁止其他涉及印染、制革、电镀等与主导产业定位不相符的高能耗、高污染制造项目。</w:t>
                  </w:r>
                </w:p>
              </w:tc>
              <w:tc>
                <w:tcPr>
                  <w:tcW w:w="3254" w:type="dxa"/>
                  <w:vMerge w:val="continue"/>
                  <w:tcBorders>
                    <w:left w:val="nil"/>
                    <w:right w:val="single" w:color="auto" w:sz="4" w:space="0"/>
                  </w:tcBorders>
                  <w:vAlign w:val="center"/>
                </w:tcPr>
                <w:p w14:paraId="7D3F7C4E">
                  <w:pPr>
                    <w:spacing w:after="0"/>
                    <w:rPr>
                      <w:color w:val="auto"/>
                      <w:sz w:val="18"/>
                      <w:szCs w:val="18"/>
                    </w:rPr>
                  </w:pPr>
                </w:p>
              </w:tc>
              <w:tc>
                <w:tcPr>
                  <w:tcW w:w="672" w:type="dxa"/>
                  <w:vMerge w:val="continue"/>
                  <w:tcBorders>
                    <w:left w:val="nil"/>
                    <w:right w:val="single" w:color="auto" w:sz="4" w:space="0"/>
                  </w:tcBorders>
                  <w:vAlign w:val="center"/>
                </w:tcPr>
                <w:p w14:paraId="4E3D8F04">
                  <w:pPr>
                    <w:spacing w:after="0"/>
                    <w:jc w:val="center"/>
                    <w:rPr>
                      <w:color w:val="auto"/>
                      <w:sz w:val="18"/>
                      <w:szCs w:val="18"/>
                    </w:rPr>
                  </w:pPr>
                </w:p>
              </w:tc>
            </w:tr>
            <w:tr w14:paraId="01E59C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tcBorders>
                    <w:top w:val="single" w:color="auto" w:sz="4" w:space="0"/>
                    <w:left w:val="single" w:color="auto" w:sz="4" w:space="0"/>
                    <w:bottom w:val="single" w:color="auto" w:sz="4" w:space="0"/>
                    <w:right w:val="single" w:color="auto" w:sz="4" w:space="0"/>
                  </w:tcBorders>
                  <w:vAlign w:val="center"/>
                </w:tcPr>
                <w:p w14:paraId="1F03418E">
                  <w:pPr>
                    <w:spacing w:after="0"/>
                    <w:jc w:val="center"/>
                    <w:rPr>
                      <w:color w:val="auto"/>
                      <w:sz w:val="18"/>
                      <w:szCs w:val="18"/>
                    </w:rPr>
                  </w:pPr>
                  <w:r>
                    <w:rPr>
                      <w:color w:val="auto"/>
                      <w:sz w:val="18"/>
                      <w:szCs w:val="18"/>
                    </w:rPr>
                    <w:t>限制类</w:t>
                  </w:r>
                </w:p>
              </w:tc>
              <w:tc>
                <w:tcPr>
                  <w:tcW w:w="3824" w:type="dxa"/>
                  <w:gridSpan w:val="2"/>
                  <w:tcBorders>
                    <w:top w:val="single" w:color="auto" w:sz="4" w:space="0"/>
                    <w:left w:val="nil"/>
                    <w:bottom w:val="single" w:color="auto" w:sz="4" w:space="0"/>
                    <w:right w:val="single" w:color="auto" w:sz="4" w:space="0"/>
                  </w:tcBorders>
                  <w:vAlign w:val="center"/>
                </w:tcPr>
                <w:p w14:paraId="21AADDFE">
                  <w:pPr>
                    <w:spacing w:after="0"/>
                    <w:rPr>
                      <w:color w:val="auto"/>
                      <w:sz w:val="18"/>
                      <w:szCs w:val="18"/>
                    </w:rPr>
                  </w:pPr>
                  <w:r>
                    <w:rPr>
                      <w:color w:val="auto"/>
                      <w:sz w:val="18"/>
                      <w:szCs w:val="18"/>
                    </w:rPr>
                    <w:t>限制发展能源、资源消耗量或排污量较大但效益相对较好的企业，主要为除经开区规划六大主导产业外、非禁止类项目，具体项目引入需经充分环境影响论证。</w:t>
                  </w:r>
                </w:p>
              </w:tc>
              <w:tc>
                <w:tcPr>
                  <w:tcW w:w="3254" w:type="dxa"/>
                  <w:vMerge w:val="continue"/>
                  <w:tcBorders>
                    <w:left w:val="nil"/>
                    <w:bottom w:val="single" w:color="auto" w:sz="4" w:space="0"/>
                    <w:right w:val="single" w:color="auto" w:sz="4" w:space="0"/>
                  </w:tcBorders>
                  <w:vAlign w:val="center"/>
                </w:tcPr>
                <w:p w14:paraId="3B45FFCA">
                  <w:pPr>
                    <w:spacing w:after="0"/>
                    <w:rPr>
                      <w:color w:val="auto"/>
                      <w:sz w:val="18"/>
                      <w:szCs w:val="18"/>
                    </w:rPr>
                  </w:pPr>
                </w:p>
              </w:tc>
              <w:tc>
                <w:tcPr>
                  <w:tcW w:w="672" w:type="dxa"/>
                  <w:vMerge w:val="continue"/>
                  <w:tcBorders>
                    <w:left w:val="nil"/>
                    <w:bottom w:val="single" w:color="auto" w:sz="4" w:space="0"/>
                    <w:right w:val="single" w:color="auto" w:sz="4" w:space="0"/>
                  </w:tcBorders>
                  <w:vAlign w:val="center"/>
                </w:tcPr>
                <w:p w14:paraId="73C33F79">
                  <w:pPr>
                    <w:spacing w:after="0"/>
                    <w:jc w:val="center"/>
                    <w:rPr>
                      <w:color w:val="auto"/>
                      <w:sz w:val="18"/>
                      <w:szCs w:val="18"/>
                    </w:rPr>
                  </w:pPr>
                </w:p>
              </w:tc>
            </w:tr>
            <w:tr w14:paraId="24486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tcBorders>
                    <w:top w:val="single" w:color="auto" w:sz="4" w:space="0"/>
                    <w:left w:val="single" w:color="auto" w:sz="4" w:space="0"/>
                    <w:bottom w:val="single" w:color="auto" w:sz="4" w:space="0"/>
                    <w:right w:val="single" w:color="auto" w:sz="4" w:space="0"/>
                  </w:tcBorders>
                  <w:vAlign w:val="center"/>
                </w:tcPr>
                <w:p w14:paraId="4261FEE1">
                  <w:pPr>
                    <w:spacing w:after="0"/>
                    <w:jc w:val="center"/>
                    <w:rPr>
                      <w:color w:val="auto"/>
                      <w:sz w:val="18"/>
                      <w:szCs w:val="18"/>
                    </w:rPr>
                  </w:pPr>
                  <w:r>
                    <w:rPr>
                      <w:color w:val="auto"/>
                      <w:sz w:val="18"/>
                      <w:szCs w:val="18"/>
                    </w:rPr>
                    <w:t>新增或改新建项目风险要求</w:t>
                  </w:r>
                </w:p>
              </w:tc>
              <w:tc>
                <w:tcPr>
                  <w:tcW w:w="3824" w:type="dxa"/>
                  <w:gridSpan w:val="2"/>
                  <w:tcBorders>
                    <w:top w:val="single" w:color="auto" w:sz="4" w:space="0"/>
                    <w:left w:val="nil"/>
                    <w:bottom w:val="single" w:color="auto" w:sz="4" w:space="0"/>
                    <w:right w:val="single" w:color="auto" w:sz="4" w:space="0"/>
                  </w:tcBorders>
                  <w:vAlign w:val="center"/>
                </w:tcPr>
                <w:p w14:paraId="539C9340">
                  <w:pPr>
                    <w:spacing w:after="0"/>
                    <w:rPr>
                      <w:color w:val="auto"/>
                      <w:sz w:val="18"/>
                      <w:szCs w:val="18"/>
                    </w:rPr>
                  </w:pPr>
                  <w:r>
                    <w:rPr>
                      <w:color w:val="auto"/>
                      <w:sz w:val="18"/>
                      <w:szCs w:val="18"/>
                    </w:rPr>
                    <w:t>区内新增或改扩建存在环境风险的项目，在建设项目环评阶段须重点开展环境风险评价，与项目周边环境敏感目标之前控制合理的风险控制距离，提出并落实风险防范措施及应急联动要求，编制应急预案，并与经开区应急预案联动，在经开区进行环境风险源、应急设备、物资等的备案。</w:t>
                  </w:r>
                </w:p>
              </w:tc>
              <w:tc>
                <w:tcPr>
                  <w:tcW w:w="3254" w:type="dxa"/>
                  <w:tcBorders>
                    <w:top w:val="single" w:color="auto" w:sz="4" w:space="0"/>
                    <w:left w:val="nil"/>
                    <w:bottom w:val="single" w:color="auto" w:sz="4" w:space="0"/>
                    <w:right w:val="single" w:color="auto" w:sz="4" w:space="0"/>
                  </w:tcBorders>
                  <w:vAlign w:val="center"/>
                </w:tcPr>
                <w:p w14:paraId="4F977C0C">
                  <w:pPr>
                    <w:spacing w:after="0"/>
                    <w:rPr>
                      <w:color w:val="auto"/>
                      <w:sz w:val="18"/>
                      <w:szCs w:val="18"/>
                    </w:rPr>
                  </w:pPr>
                  <w:r>
                    <w:rPr>
                      <w:color w:val="auto"/>
                      <w:sz w:val="18"/>
                      <w:szCs w:val="18"/>
                    </w:rPr>
                    <w:t>本项目实施过程中注重环境风险管控，建立健全突发环境事件应急预案和应急体系、能力，加强同开发区应急预案联动；项目同周边环境敏感目标保持合理的距离。</w:t>
                  </w:r>
                </w:p>
              </w:tc>
              <w:tc>
                <w:tcPr>
                  <w:tcW w:w="672" w:type="dxa"/>
                  <w:tcBorders>
                    <w:top w:val="single" w:color="auto" w:sz="4" w:space="0"/>
                    <w:left w:val="nil"/>
                    <w:bottom w:val="single" w:color="auto" w:sz="4" w:space="0"/>
                    <w:right w:val="single" w:color="auto" w:sz="4" w:space="0"/>
                  </w:tcBorders>
                  <w:vAlign w:val="center"/>
                </w:tcPr>
                <w:p w14:paraId="28AFBFEF">
                  <w:pPr>
                    <w:spacing w:after="0"/>
                    <w:jc w:val="center"/>
                    <w:rPr>
                      <w:color w:val="auto"/>
                      <w:sz w:val="18"/>
                      <w:szCs w:val="18"/>
                    </w:rPr>
                  </w:pPr>
                  <w:r>
                    <w:rPr>
                      <w:color w:val="auto"/>
                      <w:sz w:val="18"/>
                      <w:szCs w:val="18"/>
                    </w:rPr>
                    <w:t>相符</w:t>
                  </w:r>
                </w:p>
              </w:tc>
            </w:tr>
            <w:tr w14:paraId="07C5F8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1" w:hRule="atLeast"/>
                <w:jc w:val="center"/>
              </w:trPr>
              <w:tc>
                <w:tcPr>
                  <w:tcW w:w="574" w:type="dxa"/>
                  <w:tcBorders>
                    <w:top w:val="single" w:color="auto" w:sz="4" w:space="0"/>
                    <w:left w:val="single" w:color="auto" w:sz="4" w:space="0"/>
                    <w:bottom w:val="single" w:color="auto" w:sz="4" w:space="0"/>
                    <w:right w:val="single" w:color="auto" w:sz="4" w:space="0"/>
                  </w:tcBorders>
                  <w:vAlign w:val="center"/>
                </w:tcPr>
                <w:p w14:paraId="0AA34DB3">
                  <w:pPr>
                    <w:spacing w:after="0"/>
                    <w:jc w:val="center"/>
                    <w:rPr>
                      <w:color w:val="auto"/>
                      <w:sz w:val="18"/>
                      <w:szCs w:val="18"/>
                    </w:rPr>
                  </w:pPr>
                  <w:r>
                    <w:rPr>
                      <w:color w:val="auto"/>
                      <w:sz w:val="18"/>
                      <w:szCs w:val="18"/>
                    </w:rPr>
                    <w:t>清洁生产要求</w:t>
                  </w:r>
                </w:p>
              </w:tc>
              <w:tc>
                <w:tcPr>
                  <w:tcW w:w="3824" w:type="dxa"/>
                  <w:gridSpan w:val="2"/>
                  <w:tcBorders>
                    <w:top w:val="single" w:color="auto" w:sz="4" w:space="0"/>
                    <w:left w:val="nil"/>
                    <w:bottom w:val="single" w:color="auto" w:sz="4" w:space="0"/>
                    <w:right w:val="single" w:color="auto" w:sz="4" w:space="0"/>
                  </w:tcBorders>
                  <w:vAlign w:val="center"/>
                </w:tcPr>
                <w:p w14:paraId="49B206F8">
                  <w:pPr>
                    <w:spacing w:after="0"/>
                    <w:rPr>
                      <w:color w:val="auto"/>
                      <w:sz w:val="18"/>
                      <w:szCs w:val="18"/>
                    </w:rPr>
                  </w:pPr>
                  <w:r>
                    <w:rPr>
                      <w:color w:val="auto"/>
                      <w:sz w:val="18"/>
                      <w:szCs w:val="18"/>
                    </w:rPr>
                    <w:t>引进项目的清洁生产水平至少需达到同期国内先进水平（行业清洁生产标准），优先引进清洁生产水平达到国际先进水平的项目，禁止引进低于国内先进水平的项目。严格审查入区企业行业类型和生产工艺，要求开发区入驻企业采用先进的生产工艺，在生产、产品和服务中最大限度的做到节能、减污、降耗、增效。</w:t>
                  </w:r>
                </w:p>
              </w:tc>
              <w:tc>
                <w:tcPr>
                  <w:tcW w:w="3254" w:type="dxa"/>
                  <w:tcBorders>
                    <w:top w:val="single" w:color="auto" w:sz="4" w:space="0"/>
                    <w:left w:val="nil"/>
                    <w:bottom w:val="single" w:color="auto" w:sz="4" w:space="0"/>
                    <w:right w:val="single" w:color="auto" w:sz="4" w:space="0"/>
                  </w:tcBorders>
                  <w:vAlign w:val="center"/>
                </w:tcPr>
                <w:p w14:paraId="7B36BC97">
                  <w:pPr>
                    <w:spacing w:after="0"/>
                    <w:rPr>
                      <w:color w:val="auto"/>
                      <w:sz w:val="18"/>
                      <w:szCs w:val="18"/>
                    </w:rPr>
                  </w:pPr>
                  <w:r>
                    <w:rPr>
                      <w:rFonts w:hint="eastAsia"/>
                      <w:color w:val="auto"/>
                      <w:sz w:val="18"/>
                      <w:szCs w:val="18"/>
                    </w:rPr>
                    <w:t>本项目</w:t>
                  </w:r>
                  <w:r>
                    <w:rPr>
                      <w:rFonts w:hint="eastAsia"/>
                      <w:color w:val="auto"/>
                      <w:sz w:val="18"/>
                      <w:szCs w:val="18"/>
                      <w:lang w:eastAsia="zh-CN"/>
                    </w:rPr>
                    <w:t>属于C1431米、面制品制造</w:t>
                  </w:r>
                  <w:r>
                    <w:rPr>
                      <w:rFonts w:hint="eastAsia"/>
                      <w:color w:val="auto"/>
                      <w:sz w:val="18"/>
                      <w:szCs w:val="18"/>
                    </w:rPr>
                    <w:t>，</w:t>
                  </w:r>
                  <w:r>
                    <w:rPr>
                      <w:rFonts w:hint="eastAsia"/>
                      <w:color w:val="auto"/>
                      <w:sz w:val="18"/>
                      <w:szCs w:val="18"/>
                      <w:lang w:eastAsia="zh-CN"/>
                    </w:rPr>
                    <w:t>生产过程中</w:t>
                  </w:r>
                  <w:r>
                    <w:rPr>
                      <w:color w:val="auto"/>
                      <w:sz w:val="18"/>
                      <w:szCs w:val="18"/>
                    </w:rPr>
                    <w:t>使用先进设备能达到清洁生产国内先进水平并最大限度的做到节能、减污、降耗、增效。</w:t>
                  </w:r>
                </w:p>
              </w:tc>
              <w:tc>
                <w:tcPr>
                  <w:tcW w:w="672" w:type="dxa"/>
                  <w:tcBorders>
                    <w:top w:val="single" w:color="auto" w:sz="4" w:space="0"/>
                    <w:left w:val="nil"/>
                    <w:bottom w:val="single" w:color="auto" w:sz="4" w:space="0"/>
                    <w:right w:val="single" w:color="auto" w:sz="4" w:space="0"/>
                  </w:tcBorders>
                  <w:vAlign w:val="center"/>
                </w:tcPr>
                <w:p w14:paraId="0615D24E">
                  <w:pPr>
                    <w:spacing w:after="0"/>
                    <w:jc w:val="center"/>
                    <w:rPr>
                      <w:color w:val="auto"/>
                      <w:sz w:val="18"/>
                      <w:szCs w:val="18"/>
                    </w:rPr>
                  </w:pPr>
                  <w:r>
                    <w:rPr>
                      <w:color w:val="auto"/>
                      <w:sz w:val="18"/>
                      <w:szCs w:val="18"/>
                    </w:rPr>
                    <w:t>相符</w:t>
                  </w:r>
                </w:p>
              </w:tc>
            </w:tr>
          </w:tbl>
          <w:p w14:paraId="6FBCB685">
            <w:pPr>
              <w:rPr>
                <w:rFonts w:hint="eastAsia"/>
                <w:lang w:val="en-US" w:eastAsia="zh-CN"/>
              </w:rPr>
            </w:pPr>
          </w:p>
          <w:p w14:paraId="43596A89">
            <w:pPr>
              <w:pStyle w:val="669"/>
              <w:ind w:firstLine="482"/>
              <w:rPr>
                <w:b/>
                <w:color w:val="auto"/>
              </w:rPr>
            </w:pPr>
            <w:r>
              <w:rPr>
                <w:b/>
                <w:color w:val="auto"/>
              </w:rPr>
              <w:t>1.3.3 与《淮南经济技术开发区总体发展规划环境影响跟踪评价报告书》及其审查意见相符性分析</w:t>
            </w:r>
          </w:p>
          <w:p w14:paraId="5858DCDD">
            <w:pPr>
              <w:spacing w:after="0" w:line="460" w:lineRule="exact"/>
              <w:ind w:firstLine="480" w:firstLineChars="200"/>
              <w:jc w:val="left"/>
              <w:rPr>
                <w:color w:val="auto"/>
              </w:rPr>
            </w:pPr>
            <w:r>
              <w:rPr>
                <w:color w:val="auto"/>
              </w:rPr>
              <w:t>对于实施五年以上的产业园区，规划编制部门应组织开展环境影响跟踪评价工作，淮南经济技术开发区管委会于2020年3月23日委托安徽锦程安环科技发展有限公司开展规划的环境影响跟踪评价工作，2020年8月4日安徽省生态环境厅以皖环函[2020]411号文件对《淮南经济技术开发区总体发展规划环境影响跟踪评价报告书》出具审核意见的函。</w:t>
            </w:r>
          </w:p>
          <w:p w14:paraId="641DF4FB">
            <w:pPr>
              <w:spacing w:after="0" w:line="460" w:lineRule="exact"/>
              <w:ind w:firstLine="480" w:firstLineChars="200"/>
              <w:jc w:val="left"/>
              <w:rPr>
                <w:color w:val="auto"/>
              </w:rPr>
            </w:pPr>
            <w:r>
              <w:rPr>
                <w:color w:val="auto"/>
              </w:rPr>
              <w:t>根据《淮南经济技术开发区总体发展规划环境影响跟踪评价报告书》，淮南经济开发区规划主导产业现状以机械电子与新型材料为主导，生物医药、纺织服装、化学工业、食品加工、商贸物流为辅的产业格局，现状及规划主导产业基本符合《安徽省主体功能区规划》中主体功能定位要求。项目于其符合性分析见下表：</w:t>
            </w:r>
          </w:p>
          <w:p w14:paraId="49C5748D">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表 </w:t>
            </w:r>
            <w:r>
              <w:rPr>
                <w:rFonts w:hint="eastAsia"/>
                <w:lang w:val="en-US" w:eastAsia="zh-CN"/>
              </w:rPr>
              <w:t>1</w:t>
            </w:r>
            <w:r>
              <w:rPr>
                <w:rFonts w:hint="eastAsia"/>
                <w:lang w:eastAsia="zh-CN"/>
              </w:rPr>
              <w:t>-</w:t>
            </w:r>
            <w:r>
              <w:fldChar w:fldCharType="begin"/>
            </w:r>
            <w:r>
              <w:instrText xml:space="preserve"> SEQ 表 \* ARABIC \s 1 </w:instrText>
            </w:r>
            <w:r>
              <w:fldChar w:fldCharType="separate"/>
            </w:r>
            <w:r>
              <w:t>5</w:t>
            </w:r>
            <w:r>
              <w:fldChar w:fldCharType="end"/>
            </w:r>
            <w:r>
              <w:rPr>
                <w:rFonts w:hint="eastAsia"/>
                <w:lang w:val="en-US" w:eastAsia="zh-CN"/>
              </w:rPr>
              <w:t xml:space="preserve"> </w:t>
            </w:r>
            <w:r>
              <w:rPr>
                <w:b/>
                <w:bCs/>
                <w:color w:val="auto"/>
                <w:sz w:val="21"/>
              </w:rPr>
              <w:t>与区域规划环境影响跟踪评价及审查意见符合性分析</w:t>
            </w:r>
          </w:p>
          <w:tbl>
            <w:tblPr>
              <w:tblStyle w:val="57"/>
              <w:tblpPr w:leftFromText="180" w:rightFromText="180" w:vertAnchor="text"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417"/>
              <w:gridCol w:w="3982"/>
              <w:gridCol w:w="3169"/>
              <w:gridCol w:w="756"/>
            </w:tblGrid>
            <w:tr w14:paraId="748DD2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96" w:hRule="atLeast"/>
                <w:jc w:val="center"/>
              </w:trPr>
              <w:tc>
                <w:tcPr>
                  <w:tcW w:w="250" w:type="pct"/>
                  <w:vAlign w:val="center"/>
                </w:tcPr>
                <w:p w14:paraId="427B5B66">
                  <w:pPr>
                    <w:spacing w:after="0"/>
                    <w:jc w:val="center"/>
                    <w:rPr>
                      <w:color w:val="auto"/>
                      <w:sz w:val="18"/>
                    </w:rPr>
                  </w:pPr>
                  <w:r>
                    <w:rPr>
                      <w:color w:val="auto"/>
                      <w:sz w:val="18"/>
                    </w:rPr>
                    <w:t>序号</w:t>
                  </w:r>
                </w:p>
              </w:tc>
              <w:tc>
                <w:tcPr>
                  <w:tcW w:w="2391" w:type="pct"/>
                  <w:vAlign w:val="center"/>
                </w:tcPr>
                <w:p w14:paraId="116E2E00">
                  <w:pPr>
                    <w:spacing w:after="0"/>
                    <w:jc w:val="center"/>
                    <w:rPr>
                      <w:color w:val="auto"/>
                      <w:sz w:val="18"/>
                    </w:rPr>
                  </w:pPr>
                  <w:r>
                    <w:rPr>
                      <w:color w:val="auto"/>
                      <w:sz w:val="18"/>
                    </w:rPr>
                    <w:t>淮南经济技术开发区总体发展规划环境影响跟踪评价及审查意见</w:t>
                  </w:r>
                </w:p>
              </w:tc>
              <w:tc>
                <w:tcPr>
                  <w:tcW w:w="1903" w:type="pct"/>
                  <w:vAlign w:val="center"/>
                </w:tcPr>
                <w:p w14:paraId="4AE77696">
                  <w:pPr>
                    <w:spacing w:after="0"/>
                    <w:jc w:val="center"/>
                    <w:rPr>
                      <w:color w:val="auto"/>
                      <w:sz w:val="18"/>
                    </w:rPr>
                  </w:pPr>
                  <w:r>
                    <w:rPr>
                      <w:color w:val="auto"/>
                      <w:sz w:val="18"/>
                    </w:rPr>
                    <w:t>本项目基本情况</w:t>
                  </w:r>
                </w:p>
              </w:tc>
              <w:tc>
                <w:tcPr>
                  <w:tcW w:w="454" w:type="pct"/>
                  <w:vAlign w:val="center"/>
                </w:tcPr>
                <w:p w14:paraId="2CBD485D">
                  <w:pPr>
                    <w:spacing w:after="0"/>
                    <w:jc w:val="center"/>
                    <w:rPr>
                      <w:color w:val="auto"/>
                      <w:sz w:val="18"/>
                    </w:rPr>
                  </w:pPr>
                  <w:r>
                    <w:rPr>
                      <w:color w:val="auto"/>
                      <w:sz w:val="18"/>
                    </w:rPr>
                    <w:t>相符性分析</w:t>
                  </w:r>
                </w:p>
              </w:tc>
            </w:tr>
            <w:tr w14:paraId="70C26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50" w:type="pct"/>
                  <w:vAlign w:val="center"/>
                </w:tcPr>
                <w:p w14:paraId="7FD26E77">
                  <w:pPr>
                    <w:spacing w:after="0"/>
                    <w:jc w:val="center"/>
                    <w:rPr>
                      <w:color w:val="auto"/>
                      <w:sz w:val="18"/>
                    </w:rPr>
                  </w:pPr>
                  <w:r>
                    <w:rPr>
                      <w:color w:val="auto"/>
                      <w:sz w:val="18"/>
                    </w:rPr>
                    <w:t>1</w:t>
                  </w:r>
                </w:p>
              </w:tc>
              <w:tc>
                <w:tcPr>
                  <w:tcW w:w="2391" w:type="pct"/>
                  <w:vAlign w:val="center"/>
                </w:tcPr>
                <w:p w14:paraId="46E4BAF3">
                  <w:pPr>
                    <w:spacing w:after="0"/>
                    <w:rPr>
                      <w:color w:val="auto"/>
                      <w:sz w:val="18"/>
                    </w:rPr>
                  </w:pPr>
                  <w:r>
                    <w:rPr>
                      <w:color w:val="auto"/>
                      <w:sz w:val="18"/>
                    </w:rPr>
                    <w:t>组织开展规划环评编制，鉴于开发区现行规划未开展规划环评报生态环境部审查，建议开发区结合淮南市国土空间规划编制，重新组织开展区域总体发展规划编制，并同步开展规划环评报生态环境部审查。</w:t>
                  </w:r>
                </w:p>
              </w:tc>
              <w:tc>
                <w:tcPr>
                  <w:tcW w:w="1903" w:type="pct"/>
                  <w:vAlign w:val="center"/>
                </w:tcPr>
                <w:p w14:paraId="4FE4CF86">
                  <w:pPr>
                    <w:spacing w:after="0"/>
                    <w:rPr>
                      <w:color w:val="auto"/>
                      <w:sz w:val="18"/>
                    </w:rPr>
                  </w:pPr>
                  <w:r>
                    <w:rPr>
                      <w:color w:val="auto"/>
                      <w:sz w:val="18"/>
                    </w:rPr>
                    <w:t>本项目参照开发区规划部门与结合淮南市国土空间规划，按照国家有关规定，履行环境影响评价手续</w:t>
                  </w:r>
                  <w:r>
                    <w:rPr>
                      <w:rFonts w:hint="eastAsia"/>
                      <w:color w:val="auto"/>
                      <w:sz w:val="18"/>
                    </w:rPr>
                    <w:t>。</w:t>
                  </w:r>
                </w:p>
              </w:tc>
              <w:tc>
                <w:tcPr>
                  <w:tcW w:w="454" w:type="pct"/>
                  <w:vAlign w:val="center"/>
                </w:tcPr>
                <w:p w14:paraId="17FA19F4">
                  <w:pPr>
                    <w:spacing w:after="0"/>
                    <w:jc w:val="center"/>
                    <w:rPr>
                      <w:color w:val="auto"/>
                      <w:sz w:val="18"/>
                    </w:rPr>
                  </w:pPr>
                  <w:r>
                    <w:rPr>
                      <w:color w:val="auto"/>
                      <w:sz w:val="18"/>
                    </w:rPr>
                    <w:t>相符</w:t>
                  </w:r>
                </w:p>
              </w:tc>
            </w:tr>
            <w:tr w14:paraId="03ABF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50" w:type="pct"/>
                  <w:vAlign w:val="center"/>
                </w:tcPr>
                <w:p w14:paraId="6D6B4857">
                  <w:pPr>
                    <w:spacing w:after="0"/>
                    <w:jc w:val="center"/>
                    <w:rPr>
                      <w:color w:val="auto"/>
                      <w:sz w:val="18"/>
                    </w:rPr>
                  </w:pPr>
                  <w:r>
                    <w:rPr>
                      <w:color w:val="auto"/>
                      <w:sz w:val="18"/>
                    </w:rPr>
                    <w:t>2</w:t>
                  </w:r>
                </w:p>
              </w:tc>
              <w:tc>
                <w:tcPr>
                  <w:tcW w:w="2391" w:type="pct"/>
                  <w:vAlign w:val="center"/>
                </w:tcPr>
                <w:p w14:paraId="47C326B8">
                  <w:pPr>
                    <w:spacing w:after="0"/>
                    <w:rPr>
                      <w:color w:val="auto"/>
                      <w:sz w:val="18"/>
                    </w:rPr>
                  </w:pPr>
                  <w:r>
                    <w:rPr>
                      <w:color w:val="auto"/>
                      <w:sz w:val="18"/>
                    </w:rPr>
                    <w:t>完善环境基础设施建设。加快中水回用规划实施，做好管网等配套措施建设，提高中水回用率，完善雨污管网分流改造；现有燃煤工业炉窑不得扩大规模，并实施安徽省大气特别排放限值达标改造。</w:t>
                  </w:r>
                </w:p>
              </w:tc>
              <w:tc>
                <w:tcPr>
                  <w:tcW w:w="1903" w:type="pct"/>
                  <w:vAlign w:val="center"/>
                </w:tcPr>
                <w:p w14:paraId="24B13717">
                  <w:pPr>
                    <w:spacing w:after="0"/>
                    <w:rPr>
                      <w:color w:val="auto"/>
                      <w:sz w:val="18"/>
                    </w:rPr>
                  </w:pPr>
                  <w:r>
                    <w:rPr>
                      <w:color w:val="auto"/>
                      <w:sz w:val="18"/>
                    </w:rPr>
                    <w:t>本项目实施雨污分流</w:t>
                  </w:r>
                  <w:r>
                    <w:rPr>
                      <w:rFonts w:hint="eastAsia"/>
                      <w:color w:val="auto"/>
                      <w:sz w:val="18"/>
                    </w:rPr>
                    <w:t>，租赁淮南经开区高端装备产业园区X4号楼一层进行建设，所在区域基础设施及市政管网配套措施建设完善</w:t>
                  </w:r>
                  <w:r>
                    <w:rPr>
                      <w:color w:val="auto"/>
                      <w:sz w:val="18"/>
                    </w:rPr>
                    <w:t>；项目使用天然气作为能源，</w:t>
                  </w:r>
                  <w:r>
                    <w:rPr>
                      <w:rFonts w:hint="eastAsia"/>
                      <w:color w:val="auto"/>
                      <w:sz w:val="18"/>
                    </w:rPr>
                    <w:t>不涉及</w:t>
                  </w:r>
                  <w:r>
                    <w:rPr>
                      <w:color w:val="auto"/>
                      <w:sz w:val="18"/>
                    </w:rPr>
                    <w:t>燃煤工业炉窑</w:t>
                  </w:r>
                  <w:r>
                    <w:rPr>
                      <w:rFonts w:hint="eastAsia"/>
                      <w:color w:val="auto"/>
                      <w:sz w:val="18"/>
                    </w:rPr>
                    <w:t>。</w:t>
                  </w:r>
                </w:p>
              </w:tc>
              <w:tc>
                <w:tcPr>
                  <w:tcW w:w="454" w:type="pct"/>
                  <w:vAlign w:val="center"/>
                </w:tcPr>
                <w:p w14:paraId="3D9B2374">
                  <w:pPr>
                    <w:spacing w:after="0"/>
                    <w:jc w:val="center"/>
                    <w:rPr>
                      <w:color w:val="auto"/>
                      <w:sz w:val="18"/>
                    </w:rPr>
                  </w:pPr>
                  <w:r>
                    <w:rPr>
                      <w:color w:val="auto"/>
                      <w:sz w:val="18"/>
                    </w:rPr>
                    <w:t>相符</w:t>
                  </w:r>
                </w:p>
              </w:tc>
            </w:tr>
            <w:tr w14:paraId="476BF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jc w:val="center"/>
              </w:trPr>
              <w:tc>
                <w:tcPr>
                  <w:tcW w:w="250" w:type="pct"/>
                  <w:vAlign w:val="center"/>
                </w:tcPr>
                <w:p w14:paraId="776A0F48">
                  <w:pPr>
                    <w:spacing w:after="0"/>
                    <w:jc w:val="center"/>
                    <w:rPr>
                      <w:color w:val="auto"/>
                      <w:sz w:val="18"/>
                    </w:rPr>
                  </w:pPr>
                  <w:r>
                    <w:rPr>
                      <w:color w:val="auto"/>
                      <w:sz w:val="18"/>
                    </w:rPr>
                    <w:t>3</w:t>
                  </w:r>
                </w:p>
              </w:tc>
              <w:tc>
                <w:tcPr>
                  <w:tcW w:w="2391" w:type="pct"/>
                  <w:vAlign w:val="center"/>
                </w:tcPr>
                <w:p w14:paraId="3AD93EDC">
                  <w:pPr>
                    <w:spacing w:after="0"/>
                    <w:rPr>
                      <w:color w:val="auto"/>
                      <w:sz w:val="18"/>
                    </w:rPr>
                  </w:pPr>
                  <w:r>
                    <w:rPr>
                      <w:color w:val="auto"/>
                      <w:sz w:val="18"/>
                    </w:rPr>
                    <w:t>强化区域环境质量改善。以改善区域环境质量为核心，细化开发区“三线一单”并落实。进一步削减现有项目大气污染物排放，提高尾水回用率、降低生产废水排放量，加大地下水和土壤防护力度。</w:t>
                  </w:r>
                </w:p>
              </w:tc>
              <w:tc>
                <w:tcPr>
                  <w:tcW w:w="1903" w:type="pct"/>
                  <w:vAlign w:val="center"/>
                </w:tcPr>
                <w:p w14:paraId="3B4D4195">
                  <w:pPr>
                    <w:spacing w:after="0"/>
                    <w:rPr>
                      <w:color w:val="auto"/>
                      <w:sz w:val="18"/>
                    </w:rPr>
                  </w:pPr>
                  <w:r>
                    <w:rPr>
                      <w:color w:val="auto"/>
                      <w:sz w:val="18"/>
                    </w:rPr>
                    <w:t>本项目</w:t>
                  </w:r>
                  <w:r>
                    <w:rPr>
                      <w:rFonts w:hint="eastAsia"/>
                      <w:color w:val="auto"/>
                      <w:sz w:val="18"/>
                    </w:rPr>
                    <w:t>实施后</w:t>
                  </w:r>
                  <w:r>
                    <w:rPr>
                      <w:color w:val="auto"/>
                      <w:sz w:val="18"/>
                    </w:rPr>
                    <w:t>严格落实大气污染防治防范措施，实施</w:t>
                  </w:r>
                  <w:r>
                    <w:rPr>
                      <w:rFonts w:hint="eastAsia" w:ascii="Times New Roman" w:hAnsi="Times New Roman" w:eastAsia="宋体" w:cs="Times New Roman"/>
                      <w:color w:val="auto"/>
                      <w:sz w:val="18"/>
                    </w:rPr>
                    <w:t>清洁生产，采取分区防渗保护措施，各类污染物采取相应的污染防治措施后排放不会对周边环境造成不良影响。</w:t>
                  </w:r>
                </w:p>
              </w:tc>
              <w:tc>
                <w:tcPr>
                  <w:tcW w:w="454" w:type="pct"/>
                  <w:vAlign w:val="center"/>
                </w:tcPr>
                <w:p w14:paraId="1DD9CBCB">
                  <w:pPr>
                    <w:spacing w:after="0"/>
                    <w:jc w:val="center"/>
                    <w:rPr>
                      <w:color w:val="auto"/>
                      <w:sz w:val="18"/>
                    </w:rPr>
                  </w:pPr>
                  <w:r>
                    <w:rPr>
                      <w:color w:val="auto"/>
                      <w:sz w:val="18"/>
                    </w:rPr>
                    <w:t>相符</w:t>
                  </w:r>
                </w:p>
              </w:tc>
            </w:tr>
          </w:tbl>
          <w:p w14:paraId="701CC9E7">
            <w:pPr>
              <w:spacing w:after="0" w:line="460" w:lineRule="exact"/>
              <w:ind w:firstLine="480" w:firstLineChars="200"/>
              <w:jc w:val="left"/>
              <w:rPr>
                <w:color w:val="auto"/>
              </w:rPr>
            </w:pPr>
            <w:r>
              <w:rPr>
                <w:color w:val="auto"/>
              </w:rPr>
              <w:t>根据淮南经济开发区规划确定的主导产业发展方向，遵循循环经济理念和生态工业园区的要求，大力引进和发展低污染企业。在开发区今后发展中，要始终按照开发区规划确定的主导产业发展方向的要求，改造现有产业，同时限制浪费资源、污染环境的产业发展。本次跟踪评价结合区域生态保护红线、环境质量底线、资源利用上线、环境影响等综合考虑，提出开发区产业准入负面清单，具体见下表。在后续发展过程中，可按照国家、安徽省和淮南市最新的产业政策和规划，对产业发展环境准入负面清单及准入清单进行动态更新。</w:t>
            </w:r>
          </w:p>
          <w:p w14:paraId="63A0D93D">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1</w:t>
            </w:r>
            <w:r>
              <w:rPr>
                <w:rFonts w:hint="eastAsia"/>
                <w:lang w:eastAsia="zh-CN"/>
              </w:rPr>
              <w:t>-</w:t>
            </w:r>
            <w:r>
              <w:fldChar w:fldCharType="begin"/>
            </w:r>
            <w:r>
              <w:instrText xml:space="preserve"> SEQ 表 \* ARABIC \s 1 </w:instrText>
            </w:r>
            <w:r>
              <w:fldChar w:fldCharType="separate"/>
            </w:r>
            <w:r>
              <w:t>6</w:t>
            </w:r>
            <w:r>
              <w:fldChar w:fldCharType="end"/>
            </w:r>
            <w:r>
              <w:rPr>
                <w:b/>
                <w:bCs/>
                <w:color w:val="auto"/>
                <w:sz w:val="21"/>
              </w:rPr>
              <w:t xml:space="preserve"> 与区域规划环境影响跟踪评价及审查意见符合性分析</w:t>
            </w:r>
          </w:p>
          <w:tbl>
            <w:tblPr>
              <w:tblStyle w:val="57"/>
              <w:tblpPr w:leftFromText="180" w:rightFromText="180" w:vertAnchor="text" w:tblpXSpec="center" w:tblpY="1"/>
              <w:tblOverlap w:val="never"/>
              <w:tblW w:w="495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57" w:type="dxa"/>
                <w:bottom w:w="0" w:type="dxa"/>
                <w:right w:w="57" w:type="dxa"/>
              </w:tblCellMar>
            </w:tblPr>
            <w:tblGrid>
              <w:gridCol w:w="566"/>
              <w:gridCol w:w="582"/>
              <w:gridCol w:w="3165"/>
              <w:gridCol w:w="3194"/>
              <w:gridCol w:w="733"/>
            </w:tblGrid>
            <w:tr w14:paraId="693FB8A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454" w:hRule="atLeast"/>
              </w:trPr>
              <w:tc>
                <w:tcPr>
                  <w:tcW w:w="554" w:type="dxa"/>
                  <w:tcBorders>
                    <w:top w:val="single" w:color="000000" w:sz="4" w:space="0"/>
                    <w:left w:val="single" w:color="000000" w:sz="4" w:space="0"/>
                    <w:bottom w:val="single" w:color="000000" w:sz="4" w:space="0"/>
                    <w:right w:val="single" w:color="000000" w:sz="4" w:space="0"/>
                  </w:tcBorders>
                  <w:vAlign w:val="center"/>
                </w:tcPr>
                <w:p w14:paraId="47137926">
                  <w:pPr>
                    <w:spacing w:after="0"/>
                    <w:jc w:val="center"/>
                    <w:rPr>
                      <w:color w:val="auto"/>
                      <w:sz w:val="18"/>
                      <w:szCs w:val="18"/>
                    </w:rPr>
                  </w:pPr>
                  <w:r>
                    <w:rPr>
                      <w:color w:val="auto"/>
                      <w:sz w:val="18"/>
                      <w:szCs w:val="18"/>
                    </w:rPr>
                    <w:t>序号</w:t>
                  </w:r>
                </w:p>
              </w:tc>
              <w:tc>
                <w:tcPr>
                  <w:tcW w:w="571" w:type="dxa"/>
                  <w:tcBorders>
                    <w:top w:val="single" w:color="000000" w:sz="4" w:space="0"/>
                    <w:left w:val="nil"/>
                    <w:bottom w:val="single" w:color="000000" w:sz="4" w:space="0"/>
                    <w:right w:val="single" w:color="000000" w:sz="4" w:space="0"/>
                  </w:tcBorders>
                  <w:vAlign w:val="center"/>
                </w:tcPr>
                <w:p w14:paraId="511B855D">
                  <w:pPr>
                    <w:spacing w:after="0"/>
                    <w:jc w:val="center"/>
                    <w:rPr>
                      <w:color w:val="auto"/>
                      <w:sz w:val="18"/>
                      <w:szCs w:val="18"/>
                    </w:rPr>
                  </w:pPr>
                  <w:r>
                    <w:rPr>
                      <w:color w:val="auto"/>
                      <w:sz w:val="18"/>
                      <w:szCs w:val="18"/>
                    </w:rPr>
                    <w:t>类型</w:t>
                  </w:r>
                </w:p>
              </w:tc>
              <w:tc>
                <w:tcPr>
                  <w:tcW w:w="3106" w:type="dxa"/>
                  <w:tcBorders>
                    <w:top w:val="single" w:color="000000" w:sz="4" w:space="0"/>
                    <w:left w:val="nil"/>
                    <w:bottom w:val="single" w:color="000000" w:sz="4" w:space="0"/>
                    <w:right w:val="single" w:color="000000" w:sz="4" w:space="0"/>
                  </w:tcBorders>
                  <w:vAlign w:val="center"/>
                </w:tcPr>
                <w:p w14:paraId="27D82378">
                  <w:pPr>
                    <w:spacing w:after="0"/>
                    <w:jc w:val="center"/>
                    <w:rPr>
                      <w:color w:val="auto"/>
                      <w:sz w:val="18"/>
                      <w:szCs w:val="18"/>
                    </w:rPr>
                  </w:pPr>
                  <w:r>
                    <w:rPr>
                      <w:color w:val="auto"/>
                      <w:sz w:val="18"/>
                      <w:szCs w:val="18"/>
                    </w:rPr>
                    <w:t>负面清单要求</w:t>
                  </w:r>
                </w:p>
              </w:tc>
              <w:tc>
                <w:tcPr>
                  <w:tcW w:w="3135" w:type="dxa"/>
                  <w:tcBorders>
                    <w:top w:val="single" w:color="000000" w:sz="4" w:space="0"/>
                    <w:left w:val="nil"/>
                    <w:bottom w:val="single" w:color="000000" w:sz="4" w:space="0"/>
                    <w:right w:val="single" w:color="000000" w:sz="4" w:space="0"/>
                  </w:tcBorders>
                  <w:vAlign w:val="center"/>
                </w:tcPr>
                <w:p w14:paraId="29D56E8A">
                  <w:pPr>
                    <w:spacing w:after="0"/>
                    <w:jc w:val="center"/>
                    <w:rPr>
                      <w:color w:val="auto"/>
                      <w:sz w:val="18"/>
                      <w:szCs w:val="18"/>
                    </w:rPr>
                  </w:pPr>
                  <w:r>
                    <w:rPr>
                      <w:color w:val="auto"/>
                      <w:sz w:val="18"/>
                      <w:szCs w:val="18"/>
                    </w:rPr>
                    <w:t>本项目情况</w:t>
                  </w:r>
                </w:p>
              </w:tc>
              <w:tc>
                <w:tcPr>
                  <w:tcW w:w="719" w:type="dxa"/>
                  <w:tcBorders>
                    <w:top w:val="single" w:color="000000" w:sz="4" w:space="0"/>
                    <w:left w:val="nil"/>
                    <w:bottom w:val="single" w:color="000000" w:sz="4" w:space="0"/>
                    <w:right w:val="single" w:color="000000" w:sz="4" w:space="0"/>
                  </w:tcBorders>
                  <w:vAlign w:val="center"/>
                </w:tcPr>
                <w:p w14:paraId="7BFE6398">
                  <w:pPr>
                    <w:spacing w:after="0"/>
                    <w:jc w:val="center"/>
                    <w:rPr>
                      <w:color w:val="auto"/>
                      <w:sz w:val="18"/>
                      <w:szCs w:val="18"/>
                    </w:rPr>
                  </w:pPr>
                  <w:r>
                    <w:rPr>
                      <w:color w:val="auto"/>
                      <w:sz w:val="18"/>
                      <w:szCs w:val="18"/>
                    </w:rPr>
                    <w:t>相符性分析</w:t>
                  </w:r>
                </w:p>
              </w:tc>
            </w:tr>
            <w:tr w14:paraId="476F1AB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454" w:hRule="atLeast"/>
              </w:trPr>
              <w:tc>
                <w:tcPr>
                  <w:tcW w:w="554" w:type="dxa"/>
                  <w:tcBorders>
                    <w:top w:val="single" w:color="000000" w:sz="4" w:space="0"/>
                    <w:left w:val="single" w:color="000000" w:sz="4" w:space="0"/>
                    <w:bottom w:val="single" w:color="000000" w:sz="4" w:space="0"/>
                    <w:right w:val="single" w:color="000000" w:sz="4" w:space="0"/>
                  </w:tcBorders>
                  <w:vAlign w:val="center"/>
                </w:tcPr>
                <w:p w14:paraId="4C9BB104">
                  <w:pPr>
                    <w:spacing w:after="0"/>
                    <w:jc w:val="center"/>
                    <w:rPr>
                      <w:color w:val="auto"/>
                      <w:sz w:val="18"/>
                      <w:szCs w:val="18"/>
                    </w:rPr>
                  </w:pPr>
                  <w:r>
                    <w:rPr>
                      <w:color w:val="auto"/>
                      <w:sz w:val="18"/>
                      <w:szCs w:val="18"/>
                    </w:rPr>
                    <w:t>1</w:t>
                  </w:r>
                </w:p>
              </w:tc>
              <w:tc>
                <w:tcPr>
                  <w:tcW w:w="571" w:type="dxa"/>
                  <w:vMerge w:val="restart"/>
                  <w:tcBorders>
                    <w:top w:val="nil"/>
                    <w:left w:val="nil"/>
                    <w:bottom w:val="single" w:color="000000" w:sz="4" w:space="0"/>
                    <w:right w:val="single" w:color="000000" w:sz="4" w:space="0"/>
                  </w:tcBorders>
                  <w:vAlign w:val="center"/>
                </w:tcPr>
                <w:p w14:paraId="0BE2B1D6">
                  <w:pPr>
                    <w:spacing w:after="0"/>
                    <w:jc w:val="center"/>
                    <w:rPr>
                      <w:color w:val="auto"/>
                      <w:sz w:val="18"/>
                      <w:szCs w:val="18"/>
                    </w:rPr>
                  </w:pPr>
                  <w:r>
                    <w:rPr>
                      <w:color w:val="auto"/>
                      <w:sz w:val="18"/>
                      <w:szCs w:val="18"/>
                    </w:rPr>
                    <w:t>产业导向</w:t>
                  </w:r>
                </w:p>
              </w:tc>
              <w:tc>
                <w:tcPr>
                  <w:tcW w:w="3106" w:type="dxa"/>
                  <w:tcBorders>
                    <w:top w:val="single" w:color="000000" w:sz="4" w:space="0"/>
                    <w:left w:val="nil"/>
                    <w:bottom w:val="single" w:color="000000" w:sz="4" w:space="0"/>
                    <w:right w:val="single" w:color="000000" w:sz="4" w:space="0"/>
                  </w:tcBorders>
                  <w:vAlign w:val="center"/>
                </w:tcPr>
                <w:p w14:paraId="12CD07E2">
                  <w:pPr>
                    <w:adjustRightInd w:val="0"/>
                    <w:spacing w:after="0" w:line="240" w:lineRule="atLeast"/>
                    <w:textAlignment w:val="baseline"/>
                    <w:rPr>
                      <w:color w:val="auto"/>
                      <w:sz w:val="18"/>
                      <w:szCs w:val="18"/>
                    </w:rPr>
                  </w:pPr>
                  <w:r>
                    <w:rPr>
                      <w:color w:val="auto"/>
                      <w:sz w:val="18"/>
                      <w:szCs w:val="18"/>
                    </w:rPr>
                    <w:t>禁止引入国家明令禁止建设或投资的、列入《产业结构调整指导目录》（2024年本）、《外商投资产业指导目录</w:t>
                  </w:r>
                  <w:r>
                    <w:rPr>
                      <w:rFonts w:hint="eastAsia"/>
                      <w:color w:val="auto"/>
                      <w:sz w:val="18"/>
                      <w:szCs w:val="18"/>
                      <w:lang w:eastAsia="zh-CN"/>
                    </w:rPr>
                    <w:t>（</w:t>
                  </w:r>
                  <w:r>
                    <w:rPr>
                      <w:color w:val="auto"/>
                      <w:sz w:val="18"/>
                      <w:szCs w:val="18"/>
                    </w:rPr>
                    <w:t>2017年修订</w:t>
                  </w:r>
                  <w:r>
                    <w:rPr>
                      <w:rFonts w:hint="eastAsia"/>
                      <w:color w:val="auto"/>
                      <w:sz w:val="18"/>
                      <w:szCs w:val="18"/>
                      <w:lang w:eastAsia="zh-CN"/>
                    </w:rPr>
                    <w:t>）</w:t>
                  </w:r>
                  <w:r>
                    <w:rPr>
                      <w:color w:val="auto"/>
                      <w:sz w:val="18"/>
                      <w:szCs w:val="18"/>
                    </w:rPr>
                    <w:t>》、《市场准入负面清单《2019年版</w:t>
                  </w:r>
                  <w:r>
                    <w:rPr>
                      <w:rFonts w:hint="eastAsia"/>
                      <w:color w:val="auto"/>
                      <w:sz w:val="18"/>
                      <w:szCs w:val="18"/>
                      <w:lang w:eastAsia="zh-CN"/>
                    </w:rPr>
                    <w:t>）</w:t>
                  </w:r>
                  <w:r>
                    <w:rPr>
                      <w:color w:val="auto"/>
                      <w:sz w:val="18"/>
                      <w:szCs w:val="18"/>
                    </w:rPr>
                    <w:t>》等相关产业政策中禁止或淘汰类的项目。</w:t>
                  </w:r>
                </w:p>
              </w:tc>
              <w:tc>
                <w:tcPr>
                  <w:tcW w:w="3135" w:type="dxa"/>
                  <w:vMerge w:val="restart"/>
                  <w:tcBorders>
                    <w:top w:val="single" w:color="000000" w:sz="4" w:space="0"/>
                    <w:left w:val="nil"/>
                    <w:right w:val="single" w:color="000000" w:sz="4" w:space="0"/>
                  </w:tcBorders>
                  <w:vAlign w:val="center"/>
                </w:tcPr>
                <w:p w14:paraId="5EB411DC">
                  <w:pPr>
                    <w:adjustRightInd w:val="0"/>
                    <w:spacing w:after="0" w:line="240" w:lineRule="atLeast"/>
                    <w:textAlignment w:val="baseline"/>
                    <w:rPr>
                      <w:color w:val="auto"/>
                      <w:sz w:val="18"/>
                      <w:szCs w:val="18"/>
                    </w:rPr>
                  </w:pPr>
                  <w:r>
                    <w:rPr>
                      <w:color w:val="auto"/>
                      <w:sz w:val="18"/>
                      <w:szCs w:val="18"/>
                    </w:rPr>
                    <w:t>本项目为</w:t>
                  </w:r>
                  <w:r>
                    <w:rPr>
                      <w:rFonts w:hint="eastAsia"/>
                      <w:color w:val="auto"/>
                      <w:sz w:val="18"/>
                      <w:szCs w:val="18"/>
                      <w:lang w:eastAsia="zh-CN"/>
                    </w:rPr>
                    <w:t>C1431米、面制品制造</w:t>
                  </w:r>
                  <w:r>
                    <w:rPr>
                      <w:color w:val="auto"/>
                      <w:sz w:val="18"/>
                      <w:szCs w:val="18"/>
                    </w:rPr>
                    <w:t>，对照</w:t>
                  </w:r>
                  <w:r>
                    <w:rPr>
                      <w:rFonts w:hint="eastAsia"/>
                      <w:color w:val="auto"/>
                      <w:sz w:val="18"/>
                      <w:szCs w:val="18"/>
                    </w:rPr>
                    <w:t>相应</w:t>
                  </w:r>
                  <w:r>
                    <w:rPr>
                      <w:color w:val="auto"/>
                      <w:sz w:val="18"/>
                      <w:szCs w:val="18"/>
                    </w:rPr>
                    <w:t>国家名录，本项目不属于禁止类、限制类产业，可视为允许类，与</w:t>
                  </w:r>
                  <w:r>
                    <w:rPr>
                      <w:rFonts w:hint="eastAsia"/>
                      <w:color w:val="auto"/>
                      <w:sz w:val="18"/>
                      <w:szCs w:val="18"/>
                    </w:rPr>
                    <w:t>开发区</w:t>
                  </w:r>
                  <w:r>
                    <w:rPr>
                      <w:color w:val="auto"/>
                      <w:sz w:val="18"/>
                      <w:szCs w:val="18"/>
                    </w:rPr>
                    <w:t>规划和产业功能定位不冲突，符合淮南经开区产业政策要求。</w:t>
                  </w:r>
                </w:p>
              </w:tc>
              <w:tc>
                <w:tcPr>
                  <w:tcW w:w="719" w:type="dxa"/>
                  <w:tcBorders>
                    <w:top w:val="single" w:color="000000" w:sz="4" w:space="0"/>
                    <w:left w:val="nil"/>
                    <w:bottom w:val="single" w:color="000000" w:sz="4" w:space="0"/>
                    <w:right w:val="single" w:color="000000" w:sz="4" w:space="0"/>
                  </w:tcBorders>
                  <w:vAlign w:val="center"/>
                </w:tcPr>
                <w:p w14:paraId="3D1E1DEE">
                  <w:pPr>
                    <w:spacing w:after="0"/>
                    <w:jc w:val="center"/>
                    <w:rPr>
                      <w:color w:val="auto"/>
                      <w:sz w:val="18"/>
                      <w:szCs w:val="18"/>
                    </w:rPr>
                  </w:pPr>
                  <w:r>
                    <w:rPr>
                      <w:color w:val="auto"/>
                      <w:sz w:val="18"/>
                      <w:szCs w:val="18"/>
                    </w:rPr>
                    <w:t>相符</w:t>
                  </w:r>
                </w:p>
              </w:tc>
            </w:tr>
            <w:tr w14:paraId="2343AA4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782" w:hRule="atLeast"/>
              </w:trPr>
              <w:tc>
                <w:tcPr>
                  <w:tcW w:w="554" w:type="dxa"/>
                  <w:tcBorders>
                    <w:top w:val="single" w:color="000000" w:sz="4" w:space="0"/>
                    <w:left w:val="single" w:color="000000" w:sz="4" w:space="0"/>
                    <w:bottom w:val="single" w:color="000000" w:sz="4" w:space="0"/>
                    <w:right w:val="single" w:color="000000" w:sz="4" w:space="0"/>
                  </w:tcBorders>
                  <w:vAlign w:val="center"/>
                </w:tcPr>
                <w:p w14:paraId="0C609D80">
                  <w:pPr>
                    <w:spacing w:after="0"/>
                    <w:jc w:val="center"/>
                    <w:rPr>
                      <w:color w:val="auto"/>
                      <w:sz w:val="18"/>
                      <w:szCs w:val="18"/>
                    </w:rPr>
                  </w:pPr>
                  <w:r>
                    <w:rPr>
                      <w:color w:val="auto"/>
                      <w:sz w:val="18"/>
                      <w:szCs w:val="18"/>
                    </w:rPr>
                    <w:t>2</w:t>
                  </w:r>
                </w:p>
              </w:tc>
              <w:tc>
                <w:tcPr>
                  <w:tcW w:w="571" w:type="dxa"/>
                  <w:vMerge w:val="continue"/>
                  <w:tcBorders>
                    <w:top w:val="nil"/>
                    <w:left w:val="nil"/>
                    <w:bottom w:val="single" w:color="000000" w:sz="4" w:space="0"/>
                    <w:right w:val="single" w:color="000000" w:sz="4" w:space="0"/>
                  </w:tcBorders>
                  <w:vAlign w:val="center"/>
                </w:tcPr>
                <w:p w14:paraId="7186E1C2">
                  <w:pPr>
                    <w:spacing w:after="0"/>
                    <w:jc w:val="center"/>
                    <w:rPr>
                      <w:color w:val="auto"/>
                      <w:sz w:val="18"/>
                      <w:szCs w:val="18"/>
                    </w:rPr>
                  </w:pPr>
                </w:p>
              </w:tc>
              <w:tc>
                <w:tcPr>
                  <w:tcW w:w="3106" w:type="dxa"/>
                  <w:tcBorders>
                    <w:top w:val="single" w:color="000000" w:sz="4" w:space="0"/>
                    <w:left w:val="nil"/>
                    <w:bottom w:val="single" w:color="000000" w:sz="4" w:space="0"/>
                    <w:right w:val="single" w:color="000000" w:sz="4" w:space="0"/>
                  </w:tcBorders>
                  <w:vAlign w:val="center"/>
                </w:tcPr>
                <w:p w14:paraId="5E8FBA66">
                  <w:pPr>
                    <w:adjustRightInd w:val="0"/>
                    <w:spacing w:after="0" w:line="240" w:lineRule="atLeast"/>
                    <w:textAlignment w:val="baseline"/>
                    <w:rPr>
                      <w:color w:val="auto"/>
                      <w:sz w:val="18"/>
                      <w:szCs w:val="18"/>
                    </w:rPr>
                  </w:pPr>
                  <w:r>
                    <w:rPr>
                      <w:color w:val="auto"/>
                      <w:sz w:val="18"/>
                      <w:szCs w:val="18"/>
                    </w:rPr>
                    <w:t>禁止引进国家、安徽省明确规定不得审批的建设项目。</w:t>
                  </w:r>
                </w:p>
              </w:tc>
              <w:tc>
                <w:tcPr>
                  <w:tcW w:w="3135" w:type="dxa"/>
                  <w:vMerge w:val="continue"/>
                  <w:tcBorders>
                    <w:left w:val="nil"/>
                    <w:bottom w:val="single" w:color="000000" w:sz="4" w:space="0"/>
                    <w:right w:val="single" w:color="000000" w:sz="4" w:space="0"/>
                  </w:tcBorders>
                  <w:vAlign w:val="center"/>
                </w:tcPr>
                <w:p w14:paraId="4AEEBCB0">
                  <w:pPr>
                    <w:adjustRightInd w:val="0"/>
                    <w:spacing w:after="0" w:line="240" w:lineRule="atLeast"/>
                    <w:textAlignment w:val="baseline"/>
                    <w:rPr>
                      <w:color w:val="auto"/>
                      <w:sz w:val="18"/>
                      <w:szCs w:val="18"/>
                    </w:rPr>
                  </w:pPr>
                </w:p>
              </w:tc>
              <w:tc>
                <w:tcPr>
                  <w:tcW w:w="719" w:type="dxa"/>
                  <w:tcBorders>
                    <w:top w:val="single" w:color="000000" w:sz="4" w:space="0"/>
                    <w:left w:val="nil"/>
                    <w:bottom w:val="single" w:color="000000" w:sz="4" w:space="0"/>
                    <w:right w:val="single" w:color="000000" w:sz="4" w:space="0"/>
                  </w:tcBorders>
                  <w:vAlign w:val="center"/>
                </w:tcPr>
                <w:p w14:paraId="43C9796A">
                  <w:pPr>
                    <w:spacing w:after="0"/>
                    <w:jc w:val="center"/>
                    <w:rPr>
                      <w:color w:val="auto"/>
                      <w:sz w:val="18"/>
                      <w:szCs w:val="18"/>
                    </w:rPr>
                  </w:pPr>
                  <w:r>
                    <w:rPr>
                      <w:color w:val="auto"/>
                      <w:sz w:val="18"/>
                      <w:szCs w:val="18"/>
                    </w:rPr>
                    <w:t>相符</w:t>
                  </w:r>
                </w:p>
              </w:tc>
            </w:tr>
            <w:tr w14:paraId="7E726B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674" w:hRule="atLeast"/>
              </w:trPr>
              <w:tc>
                <w:tcPr>
                  <w:tcW w:w="554" w:type="dxa"/>
                  <w:tcBorders>
                    <w:top w:val="single" w:color="000000" w:sz="4" w:space="0"/>
                    <w:left w:val="single" w:color="000000" w:sz="4" w:space="0"/>
                    <w:bottom w:val="single" w:color="000000" w:sz="4" w:space="0"/>
                    <w:right w:val="single" w:color="000000" w:sz="4" w:space="0"/>
                  </w:tcBorders>
                  <w:vAlign w:val="center"/>
                </w:tcPr>
                <w:p w14:paraId="75E94128">
                  <w:pPr>
                    <w:spacing w:after="0"/>
                    <w:jc w:val="center"/>
                    <w:rPr>
                      <w:color w:val="auto"/>
                      <w:sz w:val="18"/>
                      <w:szCs w:val="18"/>
                    </w:rPr>
                  </w:pPr>
                  <w:r>
                    <w:rPr>
                      <w:color w:val="auto"/>
                      <w:sz w:val="18"/>
                      <w:szCs w:val="18"/>
                    </w:rPr>
                    <w:t>3</w:t>
                  </w:r>
                </w:p>
              </w:tc>
              <w:tc>
                <w:tcPr>
                  <w:tcW w:w="571" w:type="dxa"/>
                  <w:vMerge w:val="continue"/>
                  <w:tcBorders>
                    <w:top w:val="nil"/>
                    <w:left w:val="nil"/>
                    <w:bottom w:val="single" w:color="000000" w:sz="4" w:space="0"/>
                    <w:right w:val="single" w:color="000000" w:sz="4" w:space="0"/>
                  </w:tcBorders>
                  <w:vAlign w:val="center"/>
                </w:tcPr>
                <w:p w14:paraId="10759F09">
                  <w:pPr>
                    <w:spacing w:after="0"/>
                    <w:jc w:val="center"/>
                    <w:rPr>
                      <w:color w:val="auto"/>
                      <w:sz w:val="18"/>
                      <w:szCs w:val="18"/>
                    </w:rPr>
                  </w:pPr>
                </w:p>
              </w:tc>
              <w:tc>
                <w:tcPr>
                  <w:tcW w:w="3106" w:type="dxa"/>
                  <w:tcBorders>
                    <w:top w:val="single" w:color="000000" w:sz="4" w:space="0"/>
                    <w:left w:val="nil"/>
                    <w:bottom w:val="single" w:color="000000" w:sz="4" w:space="0"/>
                    <w:right w:val="single" w:color="000000" w:sz="4" w:space="0"/>
                  </w:tcBorders>
                  <w:vAlign w:val="center"/>
                </w:tcPr>
                <w:p w14:paraId="0B62C75B">
                  <w:pPr>
                    <w:adjustRightInd w:val="0"/>
                    <w:spacing w:after="0" w:line="240" w:lineRule="atLeast"/>
                    <w:textAlignment w:val="baseline"/>
                    <w:rPr>
                      <w:color w:val="auto"/>
                      <w:sz w:val="18"/>
                      <w:szCs w:val="18"/>
                    </w:rPr>
                  </w:pPr>
                  <w:r>
                    <w:rPr>
                      <w:color w:val="auto"/>
                      <w:sz w:val="18"/>
                      <w:szCs w:val="18"/>
                    </w:rPr>
                    <w:t>禁止引进钢铁、焦化、电解铝、铸造、水泥和平板玻璃等产能类项目。</w:t>
                  </w:r>
                </w:p>
              </w:tc>
              <w:tc>
                <w:tcPr>
                  <w:tcW w:w="3135" w:type="dxa"/>
                  <w:tcBorders>
                    <w:top w:val="single" w:color="000000" w:sz="4" w:space="0"/>
                    <w:left w:val="nil"/>
                    <w:bottom w:val="single" w:color="000000" w:sz="4" w:space="0"/>
                    <w:right w:val="single" w:color="000000" w:sz="4" w:space="0"/>
                  </w:tcBorders>
                  <w:vAlign w:val="center"/>
                </w:tcPr>
                <w:p w14:paraId="6786B28A">
                  <w:pPr>
                    <w:adjustRightInd w:val="0"/>
                    <w:spacing w:after="0" w:line="240" w:lineRule="atLeast"/>
                    <w:jc w:val="center"/>
                    <w:textAlignment w:val="baseline"/>
                    <w:rPr>
                      <w:color w:val="auto"/>
                      <w:sz w:val="18"/>
                      <w:szCs w:val="18"/>
                    </w:rPr>
                  </w:pPr>
                  <w:r>
                    <w:rPr>
                      <w:color w:val="auto"/>
                      <w:sz w:val="18"/>
                      <w:szCs w:val="18"/>
                    </w:rPr>
                    <w:t>本项目不涉及。</w:t>
                  </w:r>
                </w:p>
              </w:tc>
              <w:tc>
                <w:tcPr>
                  <w:tcW w:w="719" w:type="dxa"/>
                  <w:tcBorders>
                    <w:top w:val="single" w:color="000000" w:sz="4" w:space="0"/>
                    <w:left w:val="nil"/>
                    <w:bottom w:val="single" w:color="000000" w:sz="4" w:space="0"/>
                    <w:right w:val="single" w:color="000000" w:sz="4" w:space="0"/>
                  </w:tcBorders>
                  <w:vAlign w:val="center"/>
                </w:tcPr>
                <w:p w14:paraId="357C5916">
                  <w:pPr>
                    <w:spacing w:after="0"/>
                    <w:jc w:val="center"/>
                    <w:rPr>
                      <w:color w:val="auto"/>
                      <w:sz w:val="18"/>
                      <w:szCs w:val="18"/>
                    </w:rPr>
                  </w:pPr>
                  <w:r>
                    <w:rPr>
                      <w:color w:val="auto"/>
                      <w:sz w:val="18"/>
                      <w:szCs w:val="18"/>
                    </w:rPr>
                    <w:t>相符</w:t>
                  </w:r>
                </w:p>
              </w:tc>
            </w:tr>
            <w:tr w14:paraId="5F3062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558" w:hRule="atLeast"/>
              </w:trPr>
              <w:tc>
                <w:tcPr>
                  <w:tcW w:w="554" w:type="dxa"/>
                  <w:tcBorders>
                    <w:top w:val="single" w:color="000000" w:sz="4" w:space="0"/>
                    <w:left w:val="single" w:color="000000" w:sz="4" w:space="0"/>
                    <w:bottom w:val="single" w:color="000000" w:sz="4" w:space="0"/>
                    <w:right w:val="single" w:color="000000" w:sz="4" w:space="0"/>
                  </w:tcBorders>
                  <w:vAlign w:val="center"/>
                </w:tcPr>
                <w:p w14:paraId="0697894F">
                  <w:pPr>
                    <w:spacing w:after="0"/>
                    <w:jc w:val="center"/>
                    <w:rPr>
                      <w:color w:val="auto"/>
                      <w:sz w:val="18"/>
                      <w:szCs w:val="18"/>
                    </w:rPr>
                  </w:pPr>
                  <w:r>
                    <w:rPr>
                      <w:color w:val="auto"/>
                      <w:sz w:val="18"/>
                      <w:szCs w:val="18"/>
                    </w:rPr>
                    <w:t>4</w:t>
                  </w:r>
                </w:p>
              </w:tc>
              <w:tc>
                <w:tcPr>
                  <w:tcW w:w="571" w:type="dxa"/>
                  <w:vMerge w:val="continue"/>
                  <w:tcBorders>
                    <w:top w:val="nil"/>
                    <w:left w:val="nil"/>
                    <w:bottom w:val="single" w:color="000000" w:sz="4" w:space="0"/>
                    <w:right w:val="single" w:color="000000" w:sz="4" w:space="0"/>
                  </w:tcBorders>
                  <w:vAlign w:val="center"/>
                </w:tcPr>
                <w:p w14:paraId="7E7B4761">
                  <w:pPr>
                    <w:spacing w:after="0"/>
                    <w:jc w:val="center"/>
                    <w:rPr>
                      <w:color w:val="auto"/>
                      <w:sz w:val="18"/>
                      <w:szCs w:val="18"/>
                    </w:rPr>
                  </w:pPr>
                </w:p>
              </w:tc>
              <w:tc>
                <w:tcPr>
                  <w:tcW w:w="3106" w:type="dxa"/>
                  <w:tcBorders>
                    <w:top w:val="single" w:color="000000" w:sz="4" w:space="0"/>
                    <w:left w:val="nil"/>
                    <w:bottom w:val="single" w:color="000000" w:sz="4" w:space="0"/>
                    <w:right w:val="single" w:color="000000" w:sz="4" w:space="0"/>
                  </w:tcBorders>
                  <w:vAlign w:val="center"/>
                </w:tcPr>
                <w:p w14:paraId="5A6E5078">
                  <w:pPr>
                    <w:adjustRightInd w:val="0"/>
                    <w:spacing w:after="0" w:line="240" w:lineRule="atLeast"/>
                    <w:textAlignment w:val="baseline"/>
                    <w:rPr>
                      <w:color w:val="auto"/>
                      <w:sz w:val="18"/>
                      <w:szCs w:val="18"/>
                    </w:rPr>
                  </w:pPr>
                  <w:r>
                    <w:rPr>
                      <w:color w:val="auto"/>
                      <w:sz w:val="18"/>
                      <w:szCs w:val="18"/>
                    </w:rPr>
                    <w:t>禁止新引入农药制造等污染较重的化工类项目。</w:t>
                  </w:r>
                </w:p>
              </w:tc>
              <w:tc>
                <w:tcPr>
                  <w:tcW w:w="3135" w:type="dxa"/>
                  <w:tcBorders>
                    <w:top w:val="single" w:color="000000" w:sz="4" w:space="0"/>
                    <w:left w:val="nil"/>
                    <w:bottom w:val="single" w:color="000000" w:sz="4" w:space="0"/>
                    <w:right w:val="single" w:color="000000" w:sz="4" w:space="0"/>
                  </w:tcBorders>
                  <w:vAlign w:val="center"/>
                </w:tcPr>
                <w:p w14:paraId="5511EBBA">
                  <w:pPr>
                    <w:adjustRightInd w:val="0"/>
                    <w:spacing w:after="0" w:line="240" w:lineRule="atLeast"/>
                    <w:jc w:val="center"/>
                    <w:textAlignment w:val="baseline"/>
                    <w:rPr>
                      <w:color w:val="auto"/>
                      <w:sz w:val="18"/>
                      <w:szCs w:val="18"/>
                    </w:rPr>
                  </w:pPr>
                  <w:r>
                    <w:rPr>
                      <w:color w:val="auto"/>
                      <w:sz w:val="18"/>
                      <w:szCs w:val="18"/>
                    </w:rPr>
                    <w:t>本项目不涉及。</w:t>
                  </w:r>
                </w:p>
              </w:tc>
              <w:tc>
                <w:tcPr>
                  <w:tcW w:w="719" w:type="dxa"/>
                  <w:tcBorders>
                    <w:top w:val="single" w:color="000000" w:sz="4" w:space="0"/>
                    <w:left w:val="nil"/>
                    <w:bottom w:val="single" w:color="000000" w:sz="4" w:space="0"/>
                    <w:right w:val="single" w:color="000000" w:sz="4" w:space="0"/>
                  </w:tcBorders>
                  <w:vAlign w:val="center"/>
                </w:tcPr>
                <w:p w14:paraId="2B8D1A22">
                  <w:pPr>
                    <w:spacing w:after="0"/>
                    <w:jc w:val="center"/>
                    <w:rPr>
                      <w:color w:val="auto"/>
                      <w:sz w:val="18"/>
                      <w:szCs w:val="18"/>
                    </w:rPr>
                  </w:pPr>
                  <w:r>
                    <w:rPr>
                      <w:color w:val="auto"/>
                      <w:sz w:val="18"/>
                      <w:szCs w:val="18"/>
                    </w:rPr>
                    <w:t>相符</w:t>
                  </w:r>
                </w:p>
              </w:tc>
            </w:tr>
            <w:tr w14:paraId="3AF41E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454" w:hRule="atLeast"/>
              </w:trPr>
              <w:tc>
                <w:tcPr>
                  <w:tcW w:w="554" w:type="dxa"/>
                  <w:tcBorders>
                    <w:top w:val="single" w:color="000000" w:sz="4" w:space="0"/>
                    <w:left w:val="single" w:color="000000" w:sz="4" w:space="0"/>
                    <w:bottom w:val="single" w:color="000000" w:sz="4" w:space="0"/>
                    <w:right w:val="single" w:color="000000" w:sz="4" w:space="0"/>
                  </w:tcBorders>
                  <w:vAlign w:val="center"/>
                </w:tcPr>
                <w:p w14:paraId="5E4CBFCD">
                  <w:pPr>
                    <w:spacing w:after="0"/>
                    <w:jc w:val="center"/>
                    <w:rPr>
                      <w:color w:val="auto"/>
                      <w:sz w:val="18"/>
                      <w:szCs w:val="18"/>
                    </w:rPr>
                  </w:pPr>
                  <w:r>
                    <w:rPr>
                      <w:color w:val="auto"/>
                      <w:sz w:val="18"/>
                      <w:szCs w:val="18"/>
                    </w:rPr>
                    <w:t>5</w:t>
                  </w:r>
                </w:p>
              </w:tc>
              <w:tc>
                <w:tcPr>
                  <w:tcW w:w="571" w:type="dxa"/>
                  <w:vMerge w:val="continue"/>
                  <w:tcBorders>
                    <w:top w:val="nil"/>
                    <w:left w:val="nil"/>
                    <w:bottom w:val="single" w:color="000000" w:sz="4" w:space="0"/>
                    <w:right w:val="single" w:color="000000" w:sz="4" w:space="0"/>
                  </w:tcBorders>
                  <w:vAlign w:val="center"/>
                </w:tcPr>
                <w:p w14:paraId="4166F251">
                  <w:pPr>
                    <w:spacing w:after="0"/>
                    <w:jc w:val="center"/>
                    <w:rPr>
                      <w:color w:val="auto"/>
                      <w:sz w:val="18"/>
                      <w:szCs w:val="18"/>
                    </w:rPr>
                  </w:pPr>
                </w:p>
              </w:tc>
              <w:tc>
                <w:tcPr>
                  <w:tcW w:w="3106" w:type="dxa"/>
                  <w:tcBorders>
                    <w:top w:val="single" w:color="000000" w:sz="4" w:space="0"/>
                    <w:left w:val="nil"/>
                    <w:bottom w:val="single" w:color="000000" w:sz="4" w:space="0"/>
                    <w:right w:val="single" w:color="000000" w:sz="4" w:space="0"/>
                  </w:tcBorders>
                  <w:vAlign w:val="center"/>
                </w:tcPr>
                <w:p w14:paraId="256AD4E9">
                  <w:pPr>
                    <w:adjustRightInd w:val="0"/>
                    <w:spacing w:after="0" w:line="240" w:lineRule="atLeast"/>
                    <w:textAlignment w:val="baseline"/>
                    <w:rPr>
                      <w:color w:val="auto"/>
                      <w:sz w:val="18"/>
                      <w:szCs w:val="18"/>
                    </w:rPr>
                  </w:pPr>
                  <w:r>
                    <w:rPr>
                      <w:color w:val="auto"/>
                      <w:sz w:val="18"/>
                      <w:szCs w:val="18"/>
                    </w:rPr>
                    <w:t>禁止引进化学制浆造纸企业和印染、制革、化工、电镀、酿造等污染严重的小型企业。</w:t>
                  </w:r>
                </w:p>
              </w:tc>
              <w:tc>
                <w:tcPr>
                  <w:tcW w:w="3135" w:type="dxa"/>
                  <w:tcBorders>
                    <w:top w:val="single" w:color="000000" w:sz="4" w:space="0"/>
                    <w:left w:val="nil"/>
                    <w:bottom w:val="single" w:color="000000" w:sz="4" w:space="0"/>
                    <w:right w:val="single" w:color="000000" w:sz="4" w:space="0"/>
                  </w:tcBorders>
                  <w:vAlign w:val="center"/>
                </w:tcPr>
                <w:p w14:paraId="0E76AD10">
                  <w:pPr>
                    <w:adjustRightInd w:val="0"/>
                    <w:spacing w:after="0" w:line="240" w:lineRule="atLeast"/>
                    <w:jc w:val="center"/>
                    <w:textAlignment w:val="baseline"/>
                    <w:rPr>
                      <w:color w:val="auto"/>
                      <w:sz w:val="18"/>
                      <w:szCs w:val="18"/>
                    </w:rPr>
                  </w:pPr>
                  <w:r>
                    <w:rPr>
                      <w:color w:val="auto"/>
                      <w:sz w:val="18"/>
                      <w:szCs w:val="18"/>
                    </w:rPr>
                    <w:t>本项目不涉及。</w:t>
                  </w:r>
                </w:p>
              </w:tc>
              <w:tc>
                <w:tcPr>
                  <w:tcW w:w="719" w:type="dxa"/>
                  <w:tcBorders>
                    <w:top w:val="single" w:color="000000" w:sz="4" w:space="0"/>
                    <w:left w:val="nil"/>
                    <w:bottom w:val="single" w:color="000000" w:sz="4" w:space="0"/>
                    <w:right w:val="single" w:color="000000" w:sz="4" w:space="0"/>
                  </w:tcBorders>
                  <w:vAlign w:val="center"/>
                </w:tcPr>
                <w:p w14:paraId="79D9FE0C">
                  <w:pPr>
                    <w:spacing w:after="0"/>
                    <w:jc w:val="center"/>
                    <w:rPr>
                      <w:color w:val="auto"/>
                      <w:sz w:val="18"/>
                      <w:szCs w:val="18"/>
                    </w:rPr>
                  </w:pPr>
                  <w:r>
                    <w:rPr>
                      <w:color w:val="auto"/>
                      <w:sz w:val="18"/>
                      <w:szCs w:val="18"/>
                    </w:rPr>
                    <w:t>相符</w:t>
                  </w:r>
                </w:p>
              </w:tc>
            </w:tr>
            <w:tr w14:paraId="6A9933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454" w:hRule="atLeast"/>
              </w:trPr>
              <w:tc>
                <w:tcPr>
                  <w:tcW w:w="554" w:type="dxa"/>
                  <w:tcBorders>
                    <w:top w:val="single" w:color="000000" w:sz="4" w:space="0"/>
                    <w:left w:val="single" w:color="000000" w:sz="4" w:space="0"/>
                    <w:bottom w:val="single" w:color="000000" w:sz="4" w:space="0"/>
                    <w:right w:val="single" w:color="000000" w:sz="4" w:space="0"/>
                  </w:tcBorders>
                  <w:vAlign w:val="center"/>
                </w:tcPr>
                <w:p w14:paraId="42395BE2">
                  <w:pPr>
                    <w:spacing w:after="0"/>
                    <w:jc w:val="center"/>
                    <w:rPr>
                      <w:color w:val="auto"/>
                      <w:sz w:val="18"/>
                      <w:szCs w:val="18"/>
                    </w:rPr>
                  </w:pPr>
                  <w:r>
                    <w:rPr>
                      <w:color w:val="auto"/>
                      <w:sz w:val="18"/>
                      <w:szCs w:val="18"/>
                    </w:rPr>
                    <w:t>6</w:t>
                  </w:r>
                </w:p>
              </w:tc>
              <w:tc>
                <w:tcPr>
                  <w:tcW w:w="571" w:type="dxa"/>
                  <w:vMerge w:val="continue"/>
                  <w:tcBorders>
                    <w:top w:val="nil"/>
                    <w:left w:val="nil"/>
                    <w:bottom w:val="single" w:color="000000" w:sz="4" w:space="0"/>
                    <w:right w:val="single" w:color="000000" w:sz="4" w:space="0"/>
                  </w:tcBorders>
                  <w:vAlign w:val="center"/>
                </w:tcPr>
                <w:p w14:paraId="2D86D6C0">
                  <w:pPr>
                    <w:spacing w:after="0"/>
                    <w:jc w:val="center"/>
                    <w:rPr>
                      <w:color w:val="auto"/>
                      <w:sz w:val="18"/>
                      <w:szCs w:val="18"/>
                    </w:rPr>
                  </w:pPr>
                </w:p>
              </w:tc>
              <w:tc>
                <w:tcPr>
                  <w:tcW w:w="3106" w:type="dxa"/>
                  <w:tcBorders>
                    <w:top w:val="single" w:color="000000" w:sz="4" w:space="0"/>
                    <w:left w:val="nil"/>
                    <w:bottom w:val="single" w:color="000000" w:sz="4" w:space="0"/>
                    <w:right w:val="single" w:color="000000" w:sz="4" w:space="0"/>
                  </w:tcBorders>
                  <w:vAlign w:val="center"/>
                </w:tcPr>
                <w:p w14:paraId="28E961F0">
                  <w:pPr>
                    <w:adjustRightInd w:val="0"/>
                    <w:spacing w:after="0" w:line="240" w:lineRule="atLeast"/>
                    <w:textAlignment w:val="baseline"/>
                    <w:rPr>
                      <w:color w:val="auto"/>
                      <w:sz w:val="18"/>
                      <w:szCs w:val="18"/>
                    </w:rPr>
                  </w:pPr>
                  <w:r>
                    <w:rPr>
                      <w:color w:val="auto"/>
                      <w:sz w:val="18"/>
                      <w:szCs w:val="18"/>
                    </w:rPr>
                    <w:t>严格控制化学药品原药制造等污染较重的项目。</w:t>
                  </w:r>
                </w:p>
              </w:tc>
              <w:tc>
                <w:tcPr>
                  <w:tcW w:w="3135" w:type="dxa"/>
                  <w:tcBorders>
                    <w:top w:val="single" w:color="000000" w:sz="4" w:space="0"/>
                    <w:left w:val="nil"/>
                    <w:bottom w:val="single" w:color="000000" w:sz="4" w:space="0"/>
                    <w:right w:val="single" w:color="000000" w:sz="4" w:space="0"/>
                  </w:tcBorders>
                  <w:vAlign w:val="center"/>
                </w:tcPr>
                <w:p w14:paraId="1C5EF407">
                  <w:pPr>
                    <w:adjustRightInd w:val="0"/>
                    <w:spacing w:after="0" w:line="240" w:lineRule="atLeast"/>
                    <w:jc w:val="center"/>
                    <w:textAlignment w:val="baseline"/>
                    <w:rPr>
                      <w:color w:val="auto"/>
                      <w:sz w:val="18"/>
                      <w:szCs w:val="18"/>
                    </w:rPr>
                  </w:pPr>
                  <w:r>
                    <w:rPr>
                      <w:color w:val="auto"/>
                      <w:sz w:val="18"/>
                      <w:szCs w:val="18"/>
                    </w:rPr>
                    <w:t>本项目不涉及。</w:t>
                  </w:r>
                </w:p>
              </w:tc>
              <w:tc>
                <w:tcPr>
                  <w:tcW w:w="719" w:type="dxa"/>
                  <w:tcBorders>
                    <w:top w:val="single" w:color="000000" w:sz="4" w:space="0"/>
                    <w:left w:val="nil"/>
                    <w:bottom w:val="single" w:color="000000" w:sz="4" w:space="0"/>
                    <w:right w:val="single" w:color="000000" w:sz="4" w:space="0"/>
                  </w:tcBorders>
                  <w:vAlign w:val="center"/>
                </w:tcPr>
                <w:p w14:paraId="01C48118">
                  <w:pPr>
                    <w:spacing w:after="0"/>
                    <w:jc w:val="center"/>
                    <w:rPr>
                      <w:color w:val="auto"/>
                      <w:sz w:val="18"/>
                      <w:szCs w:val="18"/>
                    </w:rPr>
                  </w:pPr>
                  <w:r>
                    <w:rPr>
                      <w:color w:val="auto"/>
                      <w:sz w:val="18"/>
                      <w:szCs w:val="18"/>
                    </w:rPr>
                    <w:t>相符</w:t>
                  </w:r>
                </w:p>
              </w:tc>
            </w:tr>
            <w:tr w14:paraId="7C9B1D3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907" w:hRule="atLeast"/>
              </w:trPr>
              <w:tc>
                <w:tcPr>
                  <w:tcW w:w="554" w:type="dxa"/>
                  <w:tcBorders>
                    <w:top w:val="single" w:color="000000" w:sz="4" w:space="0"/>
                    <w:left w:val="single" w:color="000000" w:sz="4" w:space="0"/>
                    <w:bottom w:val="single" w:color="000000" w:sz="4" w:space="0"/>
                    <w:right w:val="single" w:color="000000" w:sz="4" w:space="0"/>
                  </w:tcBorders>
                  <w:vAlign w:val="center"/>
                </w:tcPr>
                <w:p w14:paraId="12524362">
                  <w:pPr>
                    <w:spacing w:after="0"/>
                    <w:jc w:val="center"/>
                    <w:rPr>
                      <w:color w:val="auto"/>
                      <w:sz w:val="18"/>
                      <w:szCs w:val="18"/>
                    </w:rPr>
                  </w:pPr>
                  <w:r>
                    <w:rPr>
                      <w:color w:val="auto"/>
                      <w:sz w:val="18"/>
                      <w:szCs w:val="18"/>
                    </w:rPr>
                    <w:t>7</w:t>
                  </w:r>
                </w:p>
              </w:tc>
              <w:tc>
                <w:tcPr>
                  <w:tcW w:w="571" w:type="dxa"/>
                  <w:vMerge w:val="continue"/>
                  <w:tcBorders>
                    <w:top w:val="nil"/>
                    <w:left w:val="nil"/>
                    <w:bottom w:val="single" w:color="000000" w:sz="4" w:space="0"/>
                    <w:right w:val="single" w:color="000000" w:sz="4" w:space="0"/>
                  </w:tcBorders>
                  <w:vAlign w:val="center"/>
                </w:tcPr>
                <w:p w14:paraId="78EFBD5F">
                  <w:pPr>
                    <w:spacing w:after="0"/>
                    <w:jc w:val="center"/>
                    <w:rPr>
                      <w:color w:val="auto"/>
                      <w:sz w:val="18"/>
                      <w:szCs w:val="18"/>
                    </w:rPr>
                  </w:pPr>
                </w:p>
              </w:tc>
              <w:tc>
                <w:tcPr>
                  <w:tcW w:w="3106" w:type="dxa"/>
                  <w:tcBorders>
                    <w:top w:val="single" w:color="000000" w:sz="4" w:space="0"/>
                    <w:left w:val="nil"/>
                    <w:bottom w:val="single" w:color="000000" w:sz="4" w:space="0"/>
                    <w:right w:val="single" w:color="000000" w:sz="4" w:space="0"/>
                  </w:tcBorders>
                  <w:vAlign w:val="center"/>
                </w:tcPr>
                <w:p w14:paraId="2040DD40">
                  <w:pPr>
                    <w:adjustRightInd w:val="0"/>
                    <w:spacing w:after="0" w:line="240" w:lineRule="atLeast"/>
                    <w:textAlignment w:val="baseline"/>
                    <w:rPr>
                      <w:color w:val="auto"/>
                      <w:sz w:val="18"/>
                      <w:szCs w:val="18"/>
                    </w:rPr>
                  </w:pPr>
                  <w:r>
                    <w:rPr>
                      <w:color w:val="auto"/>
                      <w:sz w:val="18"/>
                      <w:szCs w:val="18"/>
                    </w:rPr>
                    <w:t>严格控制非主导产业高污染、高能耗类项目。</w:t>
                  </w:r>
                </w:p>
              </w:tc>
              <w:tc>
                <w:tcPr>
                  <w:tcW w:w="3135" w:type="dxa"/>
                  <w:tcBorders>
                    <w:top w:val="single" w:color="000000" w:sz="4" w:space="0"/>
                    <w:left w:val="nil"/>
                    <w:bottom w:val="single" w:color="000000" w:sz="4" w:space="0"/>
                    <w:right w:val="single" w:color="000000" w:sz="4" w:space="0"/>
                  </w:tcBorders>
                  <w:vAlign w:val="center"/>
                </w:tcPr>
                <w:p w14:paraId="73749DEA">
                  <w:pPr>
                    <w:adjustRightInd w:val="0"/>
                    <w:spacing w:after="0" w:line="240" w:lineRule="atLeast"/>
                    <w:textAlignment w:val="baseline"/>
                    <w:rPr>
                      <w:color w:val="auto"/>
                      <w:sz w:val="18"/>
                      <w:szCs w:val="18"/>
                    </w:rPr>
                  </w:pPr>
                  <w:bookmarkStart w:id="19" w:name="_Hlk178344686"/>
                  <w:r>
                    <w:rPr>
                      <w:color w:val="auto"/>
                      <w:sz w:val="18"/>
                      <w:szCs w:val="18"/>
                    </w:rPr>
                    <w:t>本项目属于</w:t>
                  </w:r>
                  <w:r>
                    <w:rPr>
                      <w:rFonts w:hint="eastAsia"/>
                      <w:color w:val="auto"/>
                      <w:sz w:val="18"/>
                      <w:szCs w:val="18"/>
                      <w:lang w:eastAsia="zh-CN"/>
                    </w:rPr>
                    <w:t>C1431米、面制品制造</w:t>
                  </w:r>
                  <w:r>
                    <w:rPr>
                      <w:color w:val="auto"/>
                      <w:sz w:val="18"/>
                      <w:szCs w:val="18"/>
                    </w:rPr>
                    <w:t>，</w:t>
                  </w:r>
                  <w:bookmarkEnd w:id="19"/>
                  <w:r>
                    <w:rPr>
                      <w:color w:val="auto"/>
                      <w:sz w:val="18"/>
                      <w:szCs w:val="18"/>
                    </w:rPr>
                    <w:t>对照《安徽省”两高”项目管理目录》（2022年试行），不在两高项目范围内，不属于高污染、高能耗类项目。</w:t>
                  </w:r>
                </w:p>
              </w:tc>
              <w:tc>
                <w:tcPr>
                  <w:tcW w:w="719" w:type="dxa"/>
                  <w:tcBorders>
                    <w:top w:val="single" w:color="000000" w:sz="4" w:space="0"/>
                    <w:left w:val="nil"/>
                    <w:bottom w:val="single" w:color="000000" w:sz="4" w:space="0"/>
                    <w:right w:val="single" w:color="000000" w:sz="4" w:space="0"/>
                  </w:tcBorders>
                  <w:vAlign w:val="center"/>
                </w:tcPr>
                <w:p w14:paraId="5BDB06A7">
                  <w:pPr>
                    <w:spacing w:after="0"/>
                    <w:jc w:val="center"/>
                    <w:rPr>
                      <w:color w:val="auto"/>
                      <w:sz w:val="18"/>
                      <w:szCs w:val="18"/>
                    </w:rPr>
                  </w:pPr>
                  <w:r>
                    <w:rPr>
                      <w:color w:val="auto"/>
                      <w:sz w:val="18"/>
                      <w:szCs w:val="18"/>
                    </w:rPr>
                    <w:t>相符</w:t>
                  </w:r>
                </w:p>
              </w:tc>
            </w:tr>
            <w:tr w14:paraId="19FF93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488" w:hRule="atLeast"/>
              </w:trPr>
              <w:tc>
                <w:tcPr>
                  <w:tcW w:w="554" w:type="dxa"/>
                  <w:tcBorders>
                    <w:top w:val="single" w:color="000000" w:sz="4" w:space="0"/>
                    <w:left w:val="single" w:color="000000" w:sz="4" w:space="0"/>
                    <w:bottom w:val="single" w:color="000000" w:sz="4" w:space="0"/>
                    <w:right w:val="single" w:color="000000" w:sz="4" w:space="0"/>
                  </w:tcBorders>
                  <w:vAlign w:val="center"/>
                </w:tcPr>
                <w:p w14:paraId="65BBC98C">
                  <w:pPr>
                    <w:spacing w:after="0"/>
                    <w:jc w:val="center"/>
                    <w:rPr>
                      <w:color w:val="auto"/>
                      <w:sz w:val="18"/>
                      <w:szCs w:val="18"/>
                    </w:rPr>
                  </w:pPr>
                  <w:r>
                    <w:rPr>
                      <w:color w:val="auto"/>
                      <w:sz w:val="18"/>
                      <w:szCs w:val="18"/>
                    </w:rPr>
                    <w:t>8</w:t>
                  </w:r>
                </w:p>
              </w:tc>
              <w:tc>
                <w:tcPr>
                  <w:tcW w:w="571" w:type="dxa"/>
                  <w:vMerge w:val="restart"/>
                  <w:tcBorders>
                    <w:top w:val="nil"/>
                    <w:left w:val="nil"/>
                    <w:bottom w:val="single" w:color="000000" w:sz="4" w:space="0"/>
                    <w:right w:val="single" w:color="000000" w:sz="4" w:space="0"/>
                  </w:tcBorders>
                  <w:vAlign w:val="center"/>
                </w:tcPr>
                <w:p w14:paraId="702FFDA9">
                  <w:pPr>
                    <w:spacing w:after="0"/>
                    <w:jc w:val="center"/>
                    <w:rPr>
                      <w:color w:val="auto"/>
                      <w:sz w:val="18"/>
                      <w:szCs w:val="18"/>
                    </w:rPr>
                  </w:pPr>
                  <w:r>
                    <w:rPr>
                      <w:color w:val="auto"/>
                      <w:sz w:val="18"/>
                      <w:szCs w:val="18"/>
                    </w:rPr>
                    <w:t>生产工艺</w:t>
                  </w:r>
                </w:p>
              </w:tc>
              <w:tc>
                <w:tcPr>
                  <w:tcW w:w="3106" w:type="dxa"/>
                  <w:tcBorders>
                    <w:top w:val="single" w:color="000000" w:sz="4" w:space="0"/>
                    <w:left w:val="nil"/>
                    <w:bottom w:val="single" w:color="000000" w:sz="4" w:space="0"/>
                    <w:right w:val="single" w:color="000000" w:sz="4" w:space="0"/>
                  </w:tcBorders>
                  <w:vAlign w:val="center"/>
                </w:tcPr>
                <w:p w14:paraId="7C233B9F">
                  <w:pPr>
                    <w:adjustRightInd w:val="0"/>
                    <w:spacing w:after="0" w:line="240" w:lineRule="atLeast"/>
                    <w:textAlignment w:val="baseline"/>
                    <w:rPr>
                      <w:color w:val="auto"/>
                      <w:sz w:val="18"/>
                      <w:szCs w:val="18"/>
                    </w:rPr>
                  </w:pPr>
                  <w:r>
                    <w:rPr>
                      <w:color w:val="auto"/>
                      <w:sz w:val="18"/>
                      <w:szCs w:val="18"/>
                    </w:rPr>
                    <w:t>禁止引进炼油、产生致癌、致畸、致突变物质的项目。</w:t>
                  </w:r>
                </w:p>
              </w:tc>
              <w:tc>
                <w:tcPr>
                  <w:tcW w:w="3135" w:type="dxa"/>
                  <w:tcBorders>
                    <w:top w:val="single" w:color="000000" w:sz="4" w:space="0"/>
                    <w:left w:val="nil"/>
                    <w:bottom w:val="single" w:color="000000" w:sz="4" w:space="0"/>
                    <w:right w:val="single" w:color="000000" w:sz="4" w:space="0"/>
                  </w:tcBorders>
                  <w:vAlign w:val="center"/>
                </w:tcPr>
                <w:p w14:paraId="6EB32D15">
                  <w:pPr>
                    <w:adjustRightInd w:val="0"/>
                    <w:spacing w:after="0" w:line="240" w:lineRule="atLeast"/>
                    <w:jc w:val="center"/>
                    <w:textAlignment w:val="baseline"/>
                    <w:rPr>
                      <w:color w:val="auto"/>
                      <w:sz w:val="18"/>
                      <w:szCs w:val="18"/>
                    </w:rPr>
                  </w:pPr>
                  <w:r>
                    <w:rPr>
                      <w:color w:val="auto"/>
                      <w:sz w:val="18"/>
                      <w:szCs w:val="18"/>
                    </w:rPr>
                    <w:t>本项目不涉及</w:t>
                  </w:r>
                  <w:r>
                    <w:rPr>
                      <w:rFonts w:hint="eastAsia"/>
                      <w:color w:val="auto"/>
                      <w:sz w:val="18"/>
                      <w:szCs w:val="18"/>
                    </w:rPr>
                    <w:t>。</w:t>
                  </w:r>
                </w:p>
              </w:tc>
              <w:tc>
                <w:tcPr>
                  <w:tcW w:w="719" w:type="dxa"/>
                  <w:tcBorders>
                    <w:top w:val="single" w:color="000000" w:sz="4" w:space="0"/>
                    <w:left w:val="nil"/>
                    <w:bottom w:val="single" w:color="000000" w:sz="4" w:space="0"/>
                    <w:right w:val="single" w:color="000000" w:sz="4" w:space="0"/>
                  </w:tcBorders>
                  <w:vAlign w:val="center"/>
                </w:tcPr>
                <w:p w14:paraId="6AD5753D">
                  <w:pPr>
                    <w:spacing w:after="0"/>
                    <w:jc w:val="center"/>
                    <w:rPr>
                      <w:color w:val="auto"/>
                      <w:sz w:val="18"/>
                      <w:szCs w:val="18"/>
                    </w:rPr>
                  </w:pPr>
                  <w:r>
                    <w:rPr>
                      <w:color w:val="auto"/>
                      <w:sz w:val="18"/>
                      <w:szCs w:val="18"/>
                    </w:rPr>
                    <w:t>相符</w:t>
                  </w:r>
                </w:p>
              </w:tc>
            </w:tr>
            <w:tr w14:paraId="49547D3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1125" w:hRule="atLeast"/>
              </w:trPr>
              <w:tc>
                <w:tcPr>
                  <w:tcW w:w="554" w:type="dxa"/>
                  <w:tcBorders>
                    <w:top w:val="single" w:color="000000" w:sz="4" w:space="0"/>
                    <w:left w:val="single" w:color="000000" w:sz="4" w:space="0"/>
                    <w:bottom w:val="single" w:color="000000" w:sz="4" w:space="0"/>
                    <w:right w:val="single" w:color="000000" w:sz="4" w:space="0"/>
                  </w:tcBorders>
                  <w:vAlign w:val="center"/>
                </w:tcPr>
                <w:p w14:paraId="7CD1510D">
                  <w:pPr>
                    <w:spacing w:after="0"/>
                    <w:jc w:val="center"/>
                    <w:rPr>
                      <w:color w:val="auto"/>
                      <w:sz w:val="18"/>
                      <w:szCs w:val="18"/>
                    </w:rPr>
                  </w:pPr>
                  <w:r>
                    <w:rPr>
                      <w:color w:val="auto"/>
                      <w:sz w:val="18"/>
                      <w:szCs w:val="18"/>
                    </w:rPr>
                    <w:t>9</w:t>
                  </w:r>
                </w:p>
              </w:tc>
              <w:tc>
                <w:tcPr>
                  <w:tcW w:w="571" w:type="dxa"/>
                  <w:vMerge w:val="continue"/>
                  <w:tcBorders>
                    <w:top w:val="nil"/>
                    <w:left w:val="nil"/>
                    <w:bottom w:val="single" w:color="000000" w:sz="4" w:space="0"/>
                    <w:right w:val="single" w:color="000000" w:sz="4" w:space="0"/>
                  </w:tcBorders>
                  <w:vAlign w:val="center"/>
                </w:tcPr>
                <w:p w14:paraId="051F4D92">
                  <w:pPr>
                    <w:spacing w:after="0"/>
                    <w:jc w:val="center"/>
                    <w:rPr>
                      <w:color w:val="auto"/>
                      <w:sz w:val="18"/>
                      <w:szCs w:val="18"/>
                    </w:rPr>
                  </w:pPr>
                </w:p>
              </w:tc>
              <w:tc>
                <w:tcPr>
                  <w:tcW w:w="3106" w:type="dxa"/>
                  <w:tcBorders>
                    <w:top w:val="single" w:color="000000" w:sz="4" w:space="0"/>
                    <w:left w:val="nil"/>
                    <w:bottom w:val="single" w:color="000000" w:sz="4" w:space="0"/>
                    <w:right w:val="single" w:color="000000" w:sz="4" w:space="0"/>
                  </w:tcBorders>
                  <w:vAlign w:val="center"/>
                </w:tcPr>
                <w:p w14:paraId="1CEF989B">
                  <w:pPr>
                    <w:adjustRightInd w:val="0"/>
                    <w:spacing w:after="0" w:line="240" w:lineRule="atLeast"/>
                    <w:textAlignment w:val="baseline"/>
                    <w:rPr>
                      <w:color w:val="auto"/>
                      <w:sz w:val="18"/>
                      <w:szCs w:val="18"/>
                    </w:rPr>
                  </w:pPr>
                  <w:r>
                    <w:rPr>
                      <w:color w:val="auto"/>
                      <w:sz w:val="18"/>
                      <w:szCs w:val="18"/>
                    </w:rPr>
                    <w:t>为主导产业及配套的上下游及延伸产业链项目的生产工艺、设备、污染治理技术等未达到清洁生产国内先进水平的、不符合环保相关要求的项目。</w:t>
                  </w:r>
                </w:p>
              </w:tc>
              <w:tc>
                <w:tcPr>
                  <w:tcW w:w="3135" w:type="dxa"/>
                  <w:tcBorders>
                    <w:top w:val="single" w:color="000000" w:sz="4" w:space="0"/>
                    <w:left w:val="nil"/>
                    <w:bottom w:val="single" w:color="000000" w:sz="4" w:space="0"/>
                    <w:right w:val="single" w:color="000000" w:sz="4" w:space="0"/>
                  </w:tcBorders>
                  <w:vAlign w:val="center"/>
                </w:tcPr>
                <w:p w14:paraId="2EBE3F7C">
                  <w:pPr>
                    <w:adjustRightInd w:val="0"/>
                    <w:spacing w:after="0" w:line="240" w:lineRule="atLeast"/>
                    <w:textAlignment w:val="baseline"/>
                    <w:rPr>
                      <w:color w:val="auto"/>
                      <w:sz w:val="18"/>
                      <w:szCs w:val="18"/>
                    </w:rPr>
                  </w:pPr>
                  <w:r>
                    <w:rPr>
                      <w:rFonts w:hint="eastAsia" w:ascii="Times New Roman" w:hAnsi="Times New Roman" w:eastAsia="宋体" w:cs="Times New Roman"/>
                      <w:color w:val="auto"/>
                      <w:sz w:val="18"/>
                      <w:szCs w:val="18"/>
                    </w:rPr>
                    <w:t>本</w:t>
                  </w:r>
                  <w:r>
                    <w:rPr>
                      <w:rFonts w:ascii="Times New Roman" w:hAnsi="Times New Roman" w:eastAsia="宋体" w:cs="Times New Roman"/>
                      <w:color w:val="auto"/>
                      <w:sz w:val="18"/>
                      <w:szCs w:val="18"/>
                    </w:rPr>
                    <w:t>项目能达到清洁生产国内先进水平</w:t>
                  </w:r>
                  <w:r>
                    <w:rPr>
                      <w:rFonts w:hint="eastAsia" w:ascii="Times New Roman" w:hAnsi="Times New Roman" w:eastAsia="宋体" w:cs="Times New Roman"/>
                      <w:color w:val="auto"/>
                      <w:sz w:val="18"/>
                      <w:szCs w:val="18"/>
                    </w:rPr>
                    <w:t>，符合环保相关要求</w:t>
                  </w:r>
                  <w:r>
                    <w:rPr>
                      <w:rFonts w:ascii="Times New Roman" w:hAnsi="Times New Roman" w:eastAsia="宋体" w:cs="Times New Roman"/>
                      <w:color w:val="auto"/>
                      <w:sz w:val="18"/>
                      <w:szCs w:val="18"/>
                    </w:rPr>
                    <w:t>。</w:t>
                  </w:r>
                </w:p>
              </w:tc>
              <w:tc>
                <w:tcPr>
                  <w:tcW w:w="719" w:type="dxa"/>
                  <w:tcBorders>
                    <w:top w:val="single" w:color="000000" w:sz="4" w:space="0"/>
                    <w:left w:val="nil"/>
                    <w:bottom w:val="single" w:color="000000" w:sz="4" w:space="0"/>
                    <w:right w:val="single" w:color="000000" w:sz="4" w:space="0"/>
                  </w:tcBorders>
                  <w:vAlign w:val="center"/>
                </w:tcPr>
                <w:p w14:paraId="53965555">
                  <w:pPr>
                    <w:spacing w:after="0"/>
                    <w:jc w:val="center"/>
                    <w:rPr>
                      <w:color w:val="auto"/>
                      <w:sz w:val="18"/>
                      <w:szCs w:val="18"/>
                    </w:rPr>
                  </w:pPr>
                  <w:r>
                    <w:rPr>
                      <w:color w:val="auto"/>
                      <w:sz w:val="18"/>
                      <w:szCs w:val="18"/>
                    </w:rPr>
                    <w:t>相符</w:t>
                  </w:r>
                </w:p>
              </w:tc>
            </w:tr>
            <w:tr w14:paraId="61DB049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454" w:hRule="atLeast"/>
              </w:trPr>
              <w:tc>
                <w:tcPr>
                  <w:tcW w:w="554" w:type="dxa"/>
                  <w:tcBorders>
                    <w:top w:val="single" w:color="000000" w:sz="4" w:space="0"/>
                    <w:left w:val="single" w:color="000000" w:sz="4" w:space="0"/>
                    <w:bottom w:val="single" w:color="000000" w:sz="4" w:space="0"/>
                    <w:right w:val="single" w:color="000000" w:sz="4" w:space="0"/>
                  </w:tcBorders>
                  <w:vAlign w:val="center"/>
                </w:tcPr>
                <w:p w14:paraId="49537613">
                  <w:pPr>
                    <w:spacing w:after="0"/>
                    <w:jc w:val="center"/>
                    <w:rPr>
                      <w:color w:val="auto"/>
                      <w:sz w:val="18"/>
                      <w:szCs w:val="18"/>
                    </w:rPr>
                  </w:pPr>
                  <w:r>
                    <w:rPr>
                      <w:color w:val="auto"/>
                      <w:sz w:val="18"/>
                      <w:szCs w:val="18"/>
                    </w:rPr>
                    <w:t>10</w:t>
                  </w:r>
                </w:p>
              </w:tc>
              <w:tc>
                <w:tcPr>
                  <w:tcW w:w="571" w:type="dxa"/>
                  <w:tcBorders>
                    <w:top w:val="single" w:color="000000" w:sz="4" w:space="0"/>
                    <w:left w:val="nil"/>
                    <w:bottom w:val="single" w:color="000000" w:sz="4" w:space="0"/>
                    <w:right w:val="single" w:color="000000" w:sz="4" w:space="0"/>
                  </w:tcBorders>
                  <w:vAlign w:val="center"/>
                </w:tcPr>
                <w:p w14:paraId="21E5965D">
                  <w:pPr>
                    <w:spacing w:after="0"/>
                    <w:jc w:val="center"/>
                    <w:rPr>
                      <w:color w:val="auto"/>
                      <w:sz w:val="18"/>
                      <w:szCs w:val="18"/>
                    </w:rPr>
                  </w:pPr>
                  <w:r>
                    <w:rPr>
                      <w:color w:val="auto"/>
                      <w:sz w:val="18"/>
                      <w:szCs w:val="18"/>
                    </w:rPr>
                    <w:t>环保要求</w:t>
                  </w:r>
                </w:p>
              </w:tc>
              <w:tc>
                <w:tcPr>
                  <w:tcW w:w="3106" w:type="dxa"/>
                  <w:tcBorders>
                    <w:top w:val="single" w:color="000000" w:sz="4" w:space="0"/>
                    <w:left w:val="nil"/>
                    <w:bottom w:val="single" w:color="000000" w:sz="4" w:space="0"/>
                    <w:right w:val="single" w:color="000000" w:sz="4" w:space="0"/>
                  </w:tcBorders>
                  <w:vAlign w:val="center"/>
                </w:tcPr>
                <w:p w14:paraId="7FC630FE">
                  <w:pPr>
                    <w:adjustRightInd w:val="0"/>
                    <w:spacing w:after="0" w:line="240" w:lineRule="atLeast"/>
                    <w:textAlignment w:val="baseline"/>
                    <w:rPr>
                      <w:color w:val="auto"/>
                      <w:sz w:val="18"/>
                      <w:szCs w:val="18"/>
                    </w:rPr>
                  </w:pPr>
                  <w:r>
                    <w:rPr>
                      <w:color w:val="auto"/>
                      <w:sz w:val="18"/>
                      <w:szCs w:val="18"/>
                    </w:rPr>
                    <w:t>禁止引入尚需自行建设燃煤锅炉的企业入区，引进项目必须使用清洁能源或实施集中供热。</w:t>
                  </w:r>
                </w:p>
              </w:tc>
              <w:tc>
                <w:tcPr>
                  <w:tcW w:w="3135" w:type="dxa"/>
                  <w:tcBorders>
                    <w:top w:val="single" w:color="000000" w:sz="4" w:space="0"/>
                    <w:left w:val="nil"/>
                    <w:bottom w:val="single" w:color="000000" w:sz="4" w:space="0"/>
                    <w:right w:val="single" w:color="000000" w:sz="4" w:space="0"/>
                  </w:tcBorders>
                  <w:vAlign w:val="center"/>
                </w:tcPr>
                <w:p w14:paraId="71527DDA">
                  <w:pPr>
                    <w:adjustRightInd w:val="0"/>
                    <w:spacing w:after="0" w:line="240" w:lineRule="atLeast"/>
                    <w:jc w:val="center"/>
                    <w:textAlignment w:val="baseline"/>
                    <w:rPr>
                      <w:color w:val="auto"/>
                      <w:sz w:val="18"/>
                      <w:szCs w:val="18"/>
                    </w:rPr>
                  </w:pPr>
                  <w:r>
                    <w:rPr>
                      <w:color w:val="auto"/>
                      <w:sz w:val="18"/>
                      <w:szCs w:val="18"/>
                    </w:rPr>
                    <w:t>本项目不涉及</w:t>
                  </w:r>
                  <w:r>
                    <w:rPr>
                      <w:rFonts w:hint="eastAsia"/>
                      <w:color w:val="auto"/>
                      <w:sz w:val="18"/>
                      <w:szCs w:val="18"/>
                    </w:rPr>
                    <w:t>。</w:t>
                  </w:r>
                </w:p>
              </w:tc>
              <w:tc>
                <w:tcPr>
                  <w:tcW w:w="719" w:type="dxa"/>
                  <w:tcBorders>
                    <w:top w:val="single" w:color="000000" w:sz="4" w:space="0"/>
                    <w:left w:val="nil"/>
                    <w:bottom w:val="single" w:color="000000" w:sz="4" w:space="0"/>
                    <w:right w:val="single" w:color="000000" w:sz="4" w:space="0"/>
                  </w:tcBorders>
                  <w:vAlign w:val="center"/>
                </w:tcPr>
                <w:p w14:paraId="04B2FE86">
                  <w:pPr>
                    <w:spacing w:after="0"/>
                    <w:jc w:val="center"/>
                    <w:rPr>
                      <w:color w:val="auto"/>
                      <w:sz w:val="18"/>
                      <w:szCs w:val="18"/>
                    </w:rPr>
                  </w:pPr>
                  <w:r>
                    <w:rPr>
                      <w:color w:val="auto"/>
                      <w:sz w:val="18"/>
                      <w:szCs w:val="18"/>
                    </w:rPr>
                    <w:t>相符</w:t>
                  </w:r>
                </w:p>
              </w:tc>
            </w:tr>
            <w:tr w14:paraId="661FD6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70" w:hRule="atLeast"/>
              </w:trPr>
              <w:tc>
                <w:tcPr>
                  <w:tcW w:w="554" w:type="dxa"/>
                  <w:tcBorders>
                    <w:top w:val="single" w:color="000000" w:sz="4" w:space="0"/>
                    <w:left w:val="single" w:color="000000" w:sz="4" w:space="0"/>
                    <w:bottom w:val="single" w:color="000000" w:sz="4" w:space="0"/>
                    <w:right w:val="single" w:color="000000" w:sz="4" w:space="0"/>
                  </w:tcBorders>
                  <w:vAlign w:val="center"/>
                </w:tcPr>
                <w:p w14:paraId="2A4AF6C2">
                  <w:pPr>
                    <w:spacing w:after="0"/>
                    <w:jc w:val="center"/>
                    <w:rPr>
                      <w:color w:val="auto"/>
                      <w:sz w:val="18"/>
                      <w:szCs w:val="18"/>
                    </w:rPr>
                  </w:pPr>
                  <w:r>
                    <w:rPr>
                      <w:color w:val="auto"/>
                      <w:sz w:val="18"/>
                      <w:szCs w:val="18"/>
                    </w:rPr>
                    <w:t>11</w:t>
                  </w:r>
                </w:p>
              </w:tc>
              <w:tc>
                <w:tcPr>
                  <w:tcW w:w="571" w:type="dxa"/>
                  <w:tcBorders>
                    <w:top w:val="single" w:color="000000" w:sz="4" w:space="0"/>
                    <w:left w:val="nil"/>
                    <w:bottom w:val="single" w:color="000000" w:sz="4" w:space="0"/>
                    <w:right w:val="single" w:color="000000" w:sz="4" w:space="0"/>
                  </w:tcBorders>
                  <w:vAlign w:val="center"/>
                </w:tcPr>
                <w:p w14:paraId="18E94047">
                  <w:pPr>
                    <w:spacing w:after="0"/>
                    <w:jc w:val="center"/>
                    <w:rPr>
                      <w:color w:val="auto"/>
                      <w:sz w:val="18"/>
                      <w:szCs w:val="18"/>
                    </w:rPr>
                  </w:pPr>
                  <w:r>
                    <w:rPr>
                      <w:color w:val="auto"/>
                      <w:sz w:val="18"/>
                      <w:szCs w:val="18"/>
                    </w:rPr>
                    <w:t>清洁生产</w:t>
                  </w:r>
                </w:p>
              </w:tc>
              <w:tc>
                <w:tcPr>
                  <w:tcW w:w="3106" w:type="dxa"/>
                  <w:tcBorders>
                    <w:top w:val="single" w:color="000000" w:sz="4" w:space="0"/>
                    <w:left w:val="nil"/>
                    <w:bottom w:val="single" w:color="000000" w:sz="4" w:space="0"/>
                    <w:right w:val="single" w:color="000000" w:sz="4" w:space="0"/>
                  </w:tcBorders>
                  <w:vAlign w:val="center"/>
                </w:tcPr>
                <w:p w14:paraId="4753A86D">
                  <w:pPr>
                    <w:adjustRightInd w:val="0"/>
                    <w:spacing w:after="0" w:line="240" w:lineRule="atLeast"/>
                    <w:textAlignment w:val="baseline"/>
                    <w:rPr>
                      <w:color w:val="auto"/>
                      <w:sz w:val="18"/>
                      <w:szCs w:val="18"/>
                    </w:rPr>
                  </w:pPr>
                  <w:r>
                    <w:rPr>
                      <w:color w:val="auto"/>
                      <w:sz w:val="18"/>
                      <w:szCs w:val="18"/>
                    </w:rPr>
                    <w:t>禁止引入清洁生产低于国内先进水平的项目。</w:t>
                  </w:r>
                </w:p>
              </w:tc>
              <w:tc>
                <w:tcPr>
                  <w:tcW w:w="3135" w:type="dxa"/>
                  <w:tcBorders>
                    <w:top w:val="single" w:color="000000" w:sz="4" w:space="0"/>
                    <w:left w:val="nil"/>
                    <w:bottom w:val="single" w:color="000000" w:sz="4" w:space="0"/>
                    <w:right w:val="single" w:color="000000" w:sz="4" w:space="0"/>
                  </w:tcBorders>
                  <w:vAlign w:val="center"/>
                </w:tcPr>
                <w:p w14:paraId="6F71461F">
                  <w:pPr>
                    <w:adjustRightInd w:val="0"/>
                    <w:spacing w:after="0" w:line="240" w:lineRule="atLeast"/>
                    <w:jc w:val="center"/>
                    <w:textAlignment w:val="baseline"/>
                    <w:rPr>
                      <w:color w:val="auto"/>
                      <w:sz w:val="18"/>
                      <w:szCs w:val="18"/>
                    </w:rPr>
                  </w:pPr>
                  <w:r>
                    <w:rPr>
                      <w:color w:val="auto"/>
                      <w:sz w:val="18"/>
                      <w:szCs w:val="18"/>
                    </w:rPr>
                    <w:t>本项目不涉及。</w:t>
                  </w:r>
                </w:p>
              </w:tc>
              <w:tc>
                <w:tcPr>
                  <w:tcW w:w="719" w:type="dxa"/>
                  <w:tcBorders>
                    <w:top w:val="single" w:color="000000" w:sz="4" w:space="0"/>
                    <w:left w:val="nil"/>
                    <w:bottom w:val="single" w:color="000000" w:sz="4" w:space="0"/>
                    <w:right w:val="single" w:color="000000" w:sz="4" w:space="0"/>
                  </w:tcBorders>
                  <w:vAlign w:val="center"/>
                </w:tcPr>
                <w:p w14:paraId="679BFC02">
                  <w:pPr>
                    <w:spacing w:after="0"/>
                    <w:jc w:val="center"/>
                    <w:rPr>
                      <w:color w:val="auto"/>
                      <w:sz w:val="18"/>
                      <w:szCs w:val="18"/>
                    </w:rPr>
                  </w:pPr>
                  <w:r>
                    <w:rPr>
                      <w:color w:val="auto"/>
                      <w:sz w:val="18"/>
                      <w:szCs w:val="18"/>
                    </w:rPr>
                    <w:t>相符</w:t>
                  </w:r>
                </w:p>
              </w:tc>
            </w:tr>
            <w:tr w14:paraId="3EC259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57" w:type="dxa"/>
                  <w:bottom w:w="0" w:type="dxa"/>
                  <w:right w:w="57" w:type="dxa"/>
                </w:tblCellMar>
              </w:tblPrEx>
              <w:trPr>
                <w:trHeight w:val="406" w:hRule="atLeast"/>
              </w:trPr>
              <w:tc>
                <w:tcPr>
                  <w:tcW w:w="8085" w:type="dxa"/>
                  <w:gridSpan w:val="5"/>
                  <w:tcBorders>
                    <w:top w:val="single" w:color="000000" w:sz="4" w:space="0"/>
                    <w:left w:val="single" w:color="000000" w:sz="4" w:space="0"/>
                    <w:bottom w:val="single" w:color="000000" w:sz="4" w:space="0"/>
                    <w:right w:val="single" w:color="000000" w:sz="4" w:space="0"/>
                  </w:tcBorders>
                  <w:vAlign w:val="center"/>
                </w:tcPr>
                <w:p w14:paraId="6E75F845">
                  <w:pPr>
                    <w:spacing w:after="0"/>
                    <w:jc w:val="center"/>
                    <w:rPr>
                      <w:color w:val="0000FF"/>
                      <w:sz w:val="18"/>
                      <w:szCs w:val="18"/>
                    </w:rPr>
                  </w:pPr>
                  <w:r>
                    <w:rPr>
                      <w:color w:val="auto"/>
                      <w:sz w:val="18"/>
                      <w:szCs w:val="18"/>
                    </w:rPr>
                    <w:t>注：相关指南更新时以最新版要求为准。</w:t>
                  </w:r>
                </w:p>
              </w:tc>
            </w:tr>
          </w:tbl>
          <w:p w14:paraId="40E661D6">
            <w:pPr>
              <w:spacing w:after="0" w:line="460" w:lineRule="exact"/>
              <w:ind w:firstLine="480" w:firstLineChars="200"/>
              <w:rPr>
                <w:color w:val="auto"/>
              </w:rPr>
            </w:pPr>
            <w:r>
              <w:rPr>
                <w:color w:val="auto"/>
              </w:rPr>
              <w:t>综上所述，本项目为</w:t>
            </w:r>
            <w:r>
              <w:rPr>
                <w:rFonts w:hint="eastAsia"/>
                <w:color w:val="auto"/>
                <w:lang w:eastAsia="zh-CN"/>
              </w:rPr>
              <w:t>生湿米面制品深加工智能化工厂项目</w:t>
            </w:r>
            <w:r>
              <w:rPr>
                <w:color w:val="auto"/>
              </w:rPr>
              <w:t>，属于</w:t>
            </w:r>
            <w:r>
              <w:rPr>
                <w:rFonts w:hint="eastAsia"/>
                <w:color w:val="auto"/>
                <w:lang w:eastAsia="zh-CN"/>
              </w:rPr>
              <w:t>C1431米、面制品制造</w:t>
            </w:r>
            <w:r>
              <w:rPr>
                <w:color w:val="auto"/>
              </w:rPr>
              <w:t>，不在淮南经济技术开发区负面准入清单</w:t>
            </w:r>
            <w:r>
              <w:rPr>
                <w:rFonts w:hint="eastAsia"/>
                <w:color w:val="auto"/>
              </w:rPr>
              <w:t>内</w:t>
            </w:r>
            <w:r>
              <w:rPr>
                <w:color w:val="auto"/>
              </w:rPr>
              <w:t>。同时本项目</w:t>
            </w:r>
            <w:r>
              <w:rPr>
                <w:rFonts w:hint="eastAsia"/>
                <w:color w:val="auto"/>
              </w:rPr>
              <w:t>属于</w:t>
            </w:r>
            <w:r>
              <w:rPr>
                <w:color w:val="auto"/>
              </w:rPr>
              <w:t>淮南经济技术开发区</w:t>
            </w:r>
            <w:r>
              <w:rPr>
                <w:rFonts w:hint="eastAsia"/>
                <w:color w:val="auto"/>
              </w:rPr>
              <w:t>主导产业</w:t>
            </w:r>
            <w:r>
              <w:rPr>
                <w:color w:val="auto"/>
              </w:rPr>
              <w:t>，</w:t>
            </w:r>
            <w:r>
              <w:rPr>
                <w:rFonts w:hint="eastAsia"/>
                <w:color w:val="auto"/>
              </w:rPr>
              <w:t>为鼓励类行业</w:t>
            </w:r>
            <w:r>
              <w:rPr>
                <w:color w:val="auto"/>
              </w:rPr>
              <w:t>，符合淮南经开区产业政策要求。</w:t>
            </w:r>
            <w:r>
              <w:rPr>
                <w:rFonts w:hint="eastAsia"/>
                <w:color w:val="auto"/>
              </w:rPr>
              <w:t>本项目</w:t>
            </w:r>
            <w:r>
              <w:rPr>
                <w:color w:val="auto"/>
              </w:rPr>
              <w:t>在做好项目污染防治措施及风险防控措施后，项目建设与周边环境较为相容，对项目所在区域环境影响较小。</w:t>
            </w:r>
          </w:p>
          <w:p w14:paraId="61441F10">
            <w:pPr>
              <w:snapToGrid w:val="0"/>
              <w:spacing w:after="0" w:line="460" w:lineRule="exact"/>
              <w:rPr>
                <w:b/>
                <w:color w:val="auto"/>
              </w:rPr>
            </w:pPr>
            <w:r>
              <w:rPr>
                <w:b/>
                <w:color w:val="auto"/>
              </w:rPr>
              <w:t>1.4 产业政策相符性分析</w:t>
            </w:r>
          </w:p>
          <w:p w14:paraId="0D689E3B">
            <w:pPr>
              <w:spacing w:after="0" w:line="460" w:lineRule="exact"/>
              <w:ind w:firstLine="480" w:firstLineChars="200"/>
              <w:rPr>
                <w:color w:val="auto"/>
              </w:rPr>
            </w:pPr>
            <w:r>
              <w:rPr>
                <w:color w:val="auto"/>
              </w:rPr>
              <w:t>本项目为</w:t>
            </w:r>
            <w:r>
              <w:rPr>
                <w:rFonts w:hint="eastAsia"/>
                <w:color w:val="auto"/>
                <w:lang w:eastAsia="zh-CN"/>
              </w:rPr>
              <w:t>C1431米、面制品制造</w:t>
            </w:r>
            <w:r>
              <w:rPr>
                <w:color w:val="auto"/>
              </w:rPr>
              <w:t>，</w:t>
            </w:r>
            <w:r>
              <w:rPr>
                <w:rFonts w:hint="eastAsia"/>
                <w:color w:val="auto"/>
              </w:rPr>
              <w:t>对照《产业结构调整指导目录》（2024年本），本项目不属于禁止类、限制类产业，可视为允许类。对照</w:t>
            </w:r>
            <w:r>
              <w:rPr>
                <w:color w:val="auto"/>
              </w:rPr>
              <w:t>《市场准入负面清单》（2022年版），本项目不涉及清单禁止准入的事项，属于市场准入负面清单以外的行业，可依法平等进入。</w:t>
            </w:r>
            <w:r>
              <w:rPr>
                <w:color w:val="auto"/>
                <w:lang w:val="zh-CN"/>
              </w:rPr>
              <w:t>因此，本项目</w:t>
            </w:r>
            <w:r>
              <w:rPr>
                <w:rFonts w:hint="eastAsia"/>
                <w:color w:val="auto"/>
                <w:lang w:val="zh-CN"/>
              </w:rPr>
              <w:t>建设与</w:t>
            </w:r>
            <w:r>
              <w:rPr>
                <w:color w:val="auto"/>
                <w:lang w:val="zh-CN"/>
              </w:rPr>
              <w:t>国家及地方的产业政策的要求</w:t>
            </w:r>
            <w:r>
              <w:rPr>
                <w:color w:val="auto"/>
              </w:rPr>
              <w:t>不冲突，基本</w:t>
            </w:r>
            <w:r>
              <w:rPr>
                <w:color w:val="auto"/>
                <w:lang w:val="zh-CN"/>
              </w:rPr>
              <w:t>符合国家及地方的产业政策的要求</w:t>
            </w:r>
            <w:r>
              <w:rPr>
                <w:color w:val="auto"/>
              </w:rPr>
              <w:t>。</w:t>
            </w:r>
          </w:p>
          <w:p w14:paraId="018AE2C1">
            <w:pPr>
              <w:spacing w:after="0" w:line="460" w:lineRule="exact"/>
              <w:ind w:firstLine="480" w:firstLineChars="200"/>
              <w:rPr>
                <w:color w:val="auto"/>
              </w:rPr>
            </w:pPr>
            <w:r>
              <w:rPr>
                <w:rFonts w:hint="eastAsia"/>
                <w:color w:val="auto"/>
                <w:lang w:val="en-US" w:eastAsia="zh-CN"/>
              </w:rPr>
              <w:t>2025</w:t>
            </w:r>
            <w:r>
              <w:rPr>
                <w:color w:val="auto"/>
              </w:rPr>
              <w:t>年</w:t>
            </w:r>
            <w:r>
              <w:rPr>
                <w:rFonts w:hint="eastAsia"/>
                <w:color w:val="auto"/>
                <w:lang w:val="en-US" w:eastAsia="zh-CN"/>
              </w:rPr>
              <w:t>4</w:t>
            </w:r>
            <w:r>
              <w:rPr>
                <w:color w:val="auto"/>
              </w:rPr>
              <w:t>月</w:t>
            </w:r>
            <w:r>
              <w:rPr>
                <w:rFonts w:hint="eastAsia"/>
                <w:color w:val="auto"/>
                <w:lang w:val="en-US" w:eastAsia="zh-CN"/>
              </w:rPr>
              <w:t>25</w:t>
            </w:r>
            <w:r>
              <w:rPr>
                <w:color w:val="auto"/>
              </w:rPr>
              <w:t>日</w:t>
            </w:r>
            <w:r>
              <w:rPr>
                <w:rFonts w:hint="eastAsia"/>
                <w:color w:val="auto"/>
              </w:rPr>
              <w:t>，本项目</w:t>
            </w:r>
            <w:r>
              <w:rPr>
                <w:color w:val="auto"/>
              </w:rPr>
              <w:t>已由淮南经济技术开发区管委会经济发展局同意</w:t>
            </w:r>
            <w:r>
              <w:rPr>
                <w:color w:val="auto"/>
                <w:lang w:val="zh-CN"/>
              </w:rPr>
              <w:t>备案，项目备案号为</w:t>
            </w:r>
            <w:r>
              <w:rPr>
                <w:rFonts w:hint="eastAsia"/>
                <w:color w:val="auto"/>
              </w:rPr>
              <w:t>2504-340461-04-01-849727</w:t>
            </w:r>
            <w:r>
              <w:rPr>
                <w:color w:val="auto"/>
                <w:lang w:val="zh-CN"/>
              </w:rPr>
              <w:t>。</w:t>
            </w:r>
          </w:p>
          <w:p w14:paraId="4829A4C2">
            <w:pPr>
              <w:snapToGrid w:val="0"/>
              <w:spacing w:after="0" w:line="460" w:lineRule="exact"/>
              <w:rPr>
                <w:b/>
                <w:color w:val="auto"/>
              </w:rPr>
            </w:pPr>
            <w:r>
              <w:rPr>
                <w:b/>
                <w:color w:val="auto"/>
              </w:rPr>
              <w:t>1.5</w:t>
            </w:r>
            <w:r>
              <w:rPr>
                <w:rFonts w:hint="eastAsia"/>
                <w:b/>
                <w:color w:val="auto"/>
              </w:rPr>
              <w:t xml:space="preserve"> </w:t>
            </w:r>
            <w:r>
              <w:rPr>
                <w:b/>
                <w:bCs/>
                <w:color w:val="auto"/>
              </w:rPr>
              <w:t>与</w:t>
            </w:r>
            <w:r>
              <w:rPr>
                <w:b/>
                <w:color w:val="auto"/>
              </w:rPr>
              <w:t>淮南市</w:t>
            </w:r>
            <w:r>
              <w:rPr>
                <w:b/>
                <w:iCs/>
                <w:color w:val="auto"/>
              </w:rPr>
              <w:t>“三区三线”相符性分析</w:t>
            </w:r>
          </w:p>
          <w:p w14:paraId="00A28B7C">
            <w:pPr>
              <w:pStyle w:val="180"/>
              <w:wordWrap/>
              <w:ind w:firstLine="480"/>
              <w:rPr>
                <w:color w:val="auto"/>
              </w:rPr>
            </w:pPr>
            <w:r>
              <w:rPr>
                <w:color w:val="auto"/>
              </w:rPr>
              <w:t>本项目位于淮南经济技术开发区，用地性质为工业用地，根据《淮南市“三区三线”划定方案》</w:t>
            </w:r>
            <w:r>
              <w:rPr>
                <w:rFonts w:hint="eastAsia"/>
                <w:color w:val="auto"/>
              </w:rPr>
              <w:t>（2022年11月）</w:t>
            </w:r>
            <w:r>
              <w:rPr>
                <w:color w:val="auto"/>
              </w:rPr>
              <w:t>，本项目不在淮南市生态红线范围内。建设项目影响范围内无重要生态影响功能区域</w:t>
            </w:r>
            <w:r>
              <w:rPr>
                <w:rFonts w:hint="eastAsia"/>
                <w:color w:val="auto"/>
              </w:rPr>
              <w:t>、</w:t>
            </w:r>
            <w:r>
              <w:rPr>
                <w:color w:val="auto"/>
              </w:rPr>
              <w:t>无自然保护区、风景名胜区、森林公园、地质公园、重要湿地等特殊生态敏感区以及重要生态敏感区。因此</w:t>
            </w:r>
            <w:r>
              <w:rPr>
                <w:rFonts w:hint="eastAsia"/>
                <w:color w:val="auto"/>
              </w:rPr>
              <w:t>，</w:t>
            </w:r>
            <w:r>
              <w:rPr>
                <w:color w:val="auto"/>
              </w:rPr>
              <w:t>本项目的建设不违背生态红线区域保护规划的要求。</w:t>
            </w:r>
          </w:p>
          <w:p w14:paraId="76CDCD4A">
            <w:pPr>
              <w:pStyle w:val="180"/>
              <w:wordWrap/>
              <w:ind w:firstLine="480"/>
              <w:rPr>
                <w:color w:val="auto"/>
              </w:rPr>
            </w:pPr>
            <w:r>
              <w:rPr>
                <w:color w:val="auto"/>
              </w:rPr>
              <w:t>本项目所在淮南市“三区三线”划</w:t>
            </w:r>
            <w:r>
              <w:rPr>
                <w:rFonts w:hint="eastAsia"/>
                <w:color w:val="auto"/>
              </w:rPr>
              <w:t>定</w:t>
            </w:r>
            <w:r>
              <w:rPr>
                <w:color w:val="auto"/>
              </w:rPr>
              <w:t>图</w:t>
            </w:r>
            <w:r>
              <w:rPr>
                <w:rFonts w:hint="eastAsia"/>
                <w:color w:val="auto"/>
              </w:rPr>
              <w:t>如下所示：</w:t>
            </w:r>
          </w:p>
          <w:p w14:paraId="50498765">
            <w:pPr>
              <w:spacing w:after="0" w:line="360" w:lineRule="auto"/>
              <w:jc w:val="center"/>
              <w:rPr>
                <w:rFonts w:hint="eastAsia" w:eastAsia="宋体"/>
                <w:color w:val="0000FF"/>
                <w:lang w:eastAsia="zh-CN"/>
              </w:rPr>
            </w:pPr>
            <w:r>
              <w:rPr>
                <w:sz w:val="24"/>
              </w:rPr>
              <mc:AlternateContent>
                <mc:Choice Requires="wps">
                  <w:drawing>
                    <wp:anchor distT="0" distB="0" distL="114300" distR="114300" simplePos="0" relativeHeight="251670528" behindDoc="0" locked="0" layoutInCell="1" allowOverlap="1">
                      <wp:simplePos x="0" y="0"/>
                      <wp:positionH relativeFrom="column">
                        <wp:posOffset>3972560</wp:posOffset>
                      </wp:positionH>
                      <wp:positionV relativeFrom="paragraph">
                        <wp:posOffset>2252980</wp:posOffset>
                      </wp:positionV>
                      <wp:extent cx="115570" cy="88265"/>
                      <wp:effectExtent l="23495" t="17145" r="32385" b="27940"/>
                      <wp:wrapNone/>
                      <wp:docPr id="23" name="五角星 23"/>
                      <wp:cNvGraphicFramePr/>
                      <a:graphic xmlns:a="http://schemas.openxmlformats.org/drawingml/2006/main">
                        <a:graphicData uri="http://schemas.microsoft.com/office/word/2010/wordprocessingShape">
                          <wps:wsp>
                            <wps:cNvSpPr/>
                            <wps:spPr>
                              <a:xfrm>
                                <a:off x="5518785" y="4008755"/>
                                <a:ext cx="115570" cy="8826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12.8pt;margin-top:177.4pt;height:6.95pt;width:9.1pt;z-index:251670528;v-text-anchor:middle;mso-width-relative:page;mso-height-relative:page;" fillcolor="#FF0000" filled="t" stroked="t" coordsize="115570,88265" o:gfxdata="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C40Ueo2QAAAAsBAAAPAAAAAAAAAAEA&#10;IAAAACIAAABkcnMvZG93bnJldi54bWxQSwECFAAUAAAACACHTuJAQaYH8IACAAAEBQAADgAAAAAA&#10;AAABACAAAAAoAQAAZHJzL2Uyb0RvYy54bWxQSwUGAAAAAAYABgBZAQAAGgYAAAAA&#10;" path="m0,33714l44144,33714,57785,0,71425,33714,115569,33714,79856,54550,93498,88264,57785,67427,22071,88264,35713,54550xe">
                      <v:path o:connectlocs="57785,0;0,33714;22071,88264;93498,88264;115569,33714" o:connectangles="247,164,82,82,0"/>
                      <v:fill on="t" focussize="0,0"/>
                      <v:stroke weight="1pt" color="#FF0000 [2404]" miterlimit="8" joinstyle="miter"/>
                      <v:imagedata o:title=""/>
                      <o:lock v:ext="edit" aspectratio="f"/>
                    </v:shape>
                  </w:pict>
                </mc:Fallback>
              </mc:AlternateContent>
            </w:r>
            <w:r>
              <w:rPr>
                <w:rFonts w:hint="eastAsia" w:eastAsia="宋体"/>
                <w:color w:val="0000FF"/>
                <w:lang w:eastAsia="zh-CN"/>
              </w:rPr>
              <w:drawing>
                <wp:inline distT="0" distB="0" distL="114300" distR="114300">
                  <wp:extent cx="5298440" cy="7061200"/>
                  <wp:effectExtent l="0" t="0" r="16510" b="6350"/>
                  <wp:docPr id="39" name="图片 39" descr="局部截取_20250715_08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局部截取_20250715_081045"/>
                          <pic:cNvPicPr>
                            <a:picLocks noChangeAspect="1"/>
                          </pic:cNvPicPr>
                        </pic:nvPicPr>
                        <pic:blipFill>
                          <a:blip r:embed="rId24"/>
                          <a:stretch>
                            <a:fillRect/>
                          </a:stretch>
                        </pic:blipFill>
                        <pic:spPr>
                          <a:xfrm>
                            <a:off x="0" y="0"/>
                            <a:ext cx="5298440" cy="7061200"/>
                          </a:xfrm>
                          <a:prstGeom prst="rect">
                            <a:avLst/>
                          </a:prstGeom>
                        </pic:spPr>
                      </pic:pic>
                    </a:graphicData>
                  </a:graphic>
                </wp:inline>
              </w:drawing>
            </w:r>
          </w:p>
          <w:p w14:paraId="2FDC0848">
            <w:pPr>
              <w:pStyle w:val="17"/>
              <w:keepNext w:val="0"/>
              <w:keepLines w:val="0"/>
              <w:pageBreakBefore w:val="0"/>
              <w:kinsoku/>
              <w:wordWrap/>
              <w:overflowPunct/>
              <w:topLinePunct w:val="0"/>
              <w:autoSpaceDE/>
              <w:autoSpaceDN/>
              <w:bidi w:val="0"/>
              <w:adjustRightInd w:val="0"/>
              <w:snapToGrid w:val="0"/>
              <w:spacing w:after="0" w:line="240" w:lineRule="auto"/>
              <w:textAlignment w:val="auto"/>
              <w:rPr>
                <w:color w:val="0000FF"/>
              </w:rPr>
            </w:pPr>
            <w:r>
              <w:t xml:space="preserve">图 </w:t>
            </w:r>
            <w:r>
              <w:rPr>
                <w:rFonts w:hint="eastAsia"/>
                <w:lang w:val="en-US" w:eastAsia="zh-CN"/>
              </w:rPr>
              <w:t>1</w:t>
            </w:r>
            <w:r>
              <w:rPr>
                <w:rFonts w:hint="eastAsia"/>
                <w:lang w:eastAsia="zh-CN"/>
              </w:rPr>
              <w:t>-</w:t>
            </w:r>
            <w:r>
              <w:fldChar w:fldCharType="begin"/>
            </w:r>
            <w:r>
              <w:instrText xml:space="preserve"> SEQ 图 \* ARABIC \s 1 </w:instrText>
            </w:r>
            <w:r>
              <w:fldChar w:fldCharType="separate"/>
            </w:r>
            <w:r>
              <w:t>3</w:t>
            </w:r>
            <w:r>
              <w:fldChar w:fldCharType="end"/>
            </w:r>
            <w:r>
              <w:rPr>
                <w:color w:val="auto"/>
              </w:rPr>
              <w:t xml:space="preserve"> 淮南市“三区三线”划</w:t>
            </w:r>
            <w:r>
              <w:rPr>
                <w:rFonts w:hint="eastAsia"/>
                <w:color w:val="auto"/>
              </w:rPr>
              <w:t>定</w:t>
            </w:r>
            <w:r>
              <w:rPr>
                <w:color w:val="auto"/>
              </w:rPr>
              <w:t>图</w:t>
            </w:r>
            <w:r>
              <w:rPr>
                <w:color w:val="auto"/>
                <w:highlight w:val="none"/>
              </w:rPr>
              <w:t>（详见附图</w:t>
            </w:r>
            <w:r>
              <w:rPr>
                <w:rFonts w:hint="eastAsia"/>
                <w:color w:val="auto"/>
                <w:highlight w:val="none"/>
                <w:lang w:val="en-US" w:eastAsia="zh-CN"/>
              </w:rPr>
              <w:t>8</w:t>
            </w:r>
            <w:r>
              <w:rPr>
                <w:color w:val="auto"/>
                <w:highlight w:val="none"/>
              </w:rPr>
              <w:t>）</w:t>
            </w:r>
          </w:p>
        </w:tc>
      </w:tr>
      <w:tr w14:paraId="314D07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46" w:hRule="atLeast"/>
          <w:jc w:val="center"/>
        </w:trPr>
        <w:tc>
          <w:tcPr>
            <w:tcW w:w="699" w:type="dxa"/>
            <w:vAlign w:val="center"/>
          </w:tcPr>
          <w:p w14:paraId="705E018F">
            <w:pPr>
              <w:adjustRightInd w:val="0"/>
              <w:snapToGrid w:val="0"/>
              <w:spacing w:after="0"/>
              <w:ind w:left="-72" w:leftChars="-30" w:right="-72" w:rightChars="-30"/>
              <w:jc w:val="center"/>
              <w:rPr>
                <w:color w:val="auto"/>
              </w:rPr>
            </w:pPr>
            <w:r>
              <w:rPr>
                <w:color w:val="auto"/>
              </w:rPr>
              <w:t>其他符合性分析</w:t>
            </w:r>
          </w:p>
        </w:tc>
        <w:tc>
          <w:tcPr>
            <w:tcW w:w="8331" w:type="dxa"/>
            <w:vAlign w:val="center"/>
          </w:tcPr>
          <w:p w14:paraId="616EC348">
            <w:pPr>
              <w:pStyle w:val="598"/>
              <w:rPr>
                <w:color w:val="auto"/>
              </w:rPr>
            </w:pPr>
            <w:r>
              <w:rPr>
                <w:color w:val="auto"/>
              </w:rPr>
              <w:t>1.6 与</w:t>
            </w:r>
            <w:r>
              <w:rPr>
                <w:rFonts w:hint="eastAsia"/>
                <w:color w:val="auto"/>
              </w:rPr>
              <w:t>淮南市</w:t>
            </w:r>
            <w:r>
              <w:rPr>
                <w:rFonts w:hint="eastAsia"/>
                <w:b/>
                <w:bCs/>
              </w:rPr>
              <w:t>“</w:t>
            </w:r>
            <w:r>
              <w:rPr>
                <w:b/>
                <w:bCs/>
              </w:rPr>
              <w:t>三线一单</w:t>
            </w:r>
            <w:r>
              <w:rPr>
                <w:rFonts w:hint="eastAsia"/>
                <w:b/>
                <w:bCs/>
              </w:rPr>
              <w:t>”符合性分析</w:t>
            </w:r>
          </w:p>
          <w:p w14:paraId="71469691">
            <w:pPr>
              <w:pStyle w:val="180"/>
              <w:wordWrap/>
              <w:ind w:firstLine="480"/>
              <w:rPr>
                <w:rFonts w:ascii="Times New Roman" w:hAnsi="Times New Roman" w:eastAsia="宋体" w:cs="Times New Roman"/>
                <w:color w:val="auto"/>
              </w:rPr>
            </w:pPr>
            <w:r>
              <w:rPr>
                <w:color w:val="auto"/>
              </w:rPr>
              <w:t>根据环境保护部环评[2016]150号《关于以改善环境质量为核心加强环境影响评价管理的通知》要求：为适应以改善环境质量为核心的环境管理要求，切实加强环境影响评价（以下简称环评）管理，落实“生态保护红线、环境质量底线、资源利用上线和</w:t>
            </w:r>
            <w:r>
              <w:rPr>
                <w:rFonts w:hint="eastAsia"/>
                <w:color w:val="auto"/>
              </w:rPr>
              <w:t>生态环境准入清单</w:t>
            </w:r>
            <w:r>
              <w:rPr>
                <w:color w:val="auto"/>
              </w:rPr>
              <w:t>”（以下简称“三线一单”）约束，建立项目环评审批与规划环评、现有项目环境管理、区域环境质量联动机制，更好地发挥环评制度从源头防范环境污染和生态破坏的作用，加快推进改善环境质量</w:t>
            </w:r>
            <w:r>
              <w:rPr>
                <w:rFonts w:ascii="Times New Roman" w:hAnsi="Times New Roman" w:eastAsia="宋体" w:cs="Times New Roman"/>
                <w:color w:val="auto"/>
              </w:rPr>
              <w:t>。</w:t>
            </w:r>
          </w:p>
          <w:p w14:paraId="3C0B2AB8">
            <w:pPr>
              <w:pStyle w:val="180"/>
              <w:wordWrap/>
              <w:ind w:firstLine="480"/>
              <w:rPr>
                <w:rFonts w:ascii="Times New Roman" w:hAnsi="Times New Roman" w:eastAsia="宋体" w:cs="Times New Roman"/>
                <w:color w:val="auto"/>
              </w:rPr>
            </w:pPr>
            <w:r>
              <w:rPr>
                <w:rFonts w:ascii="Times New Roman" w:hAnsi="Times New Roman" w:eastAsia="宋体" w:cs="Times New Roman"/>
                <w:color w:val="auto"/>
              </w:rPr>
              <w:t>本项目</w:t>
            </w:r>
            <w:r>
              <w:rPr>
                <w:rFonts w:hint="eastAsia" w:ascii="Times New Roman" w:hAnsi="Times New Roman" w:eastAsia="宋体" w:cs="Times New Roman"/>
                <w:color w:val="auto"/>
              </w:rPr>
              <w:t>与淮南市“三线一单”符合性分析如下：</w:t>
            </w:r>
          </w:p>
          <w:p w14:paraId="092A10EB">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表 </w:t>
            </w:r>
            <w:r>
              <w:rPr>
                <w:rFonts w:hint="eastAsia"/>
                <w:lang w:val="en-US" w:eastAsia="zh-CN"/>
              </w:rPr>
              <w:t>1</w:t>
            </w:r>
            <w:r>
              <w:rPr>
                <w:rFonts w:hint="eastAsia"/>
                <w:lang w:eastAsia="zh-CN"/>
              </w:rPr>
              <w:t>-</w:t>
            </w:r>
            <w:r>
              <w:fldChar w:fldCharType="begin"/>
            </w:r>
            <w:r>
              <w:instrText xml:space="preserve"> SEQ 表 \* ARABIC \s 1 </w:instrText>
            </w:r>
            <w:r>
              <w:fldChar w:fldCharType="separate"/>
            </w:r>
            <w:r>
              <w:t>7</w:t>
            </w:r>
            <w:r>
              <w:fldChar w:fldCharType="end"/>
            </w:r>
            <w:r>
              <w:rPr>
                <w:rFonts w:hint="eastAsia"/>
                <w:lang w:val="en-US" w:eastAsia="zh-CN"/>
              </w:rPr>
              <w:t xml:space="preserve"> </w:t>
            </w:r>
            <w:r>
              <w:rPr>
                <w:rFonts w:hint="eastAsia"/>
                <w:color w:val="auto"/>
              </w:rPr>
              <w:t xml:space="preserve"> </w:t>
            </w:r>
            <w:r>
              <w:rPr>
                <w:color w:val="auto"/>
              </w:rPr>
              <w:t>本项目</w:t>
            </w:r>
            <w:r>
              <w:rPr>
                <w:rFonts w:hint="eastAsia"/>
                <w:color w:val="auto"/>
              </w:rPr>
              <w:t>与淮南市</w:t>
            </w:r>
            <w:r>
              <w:rPr>
                <w:color w:val="auto"/>
              </w:rPr>
              <w:t>“三线一单”符合性分析一览表</w:t>
            </w:r>
          </w:p>
          <w:tbl>
            <w:tblPr>
              <w:tblStyle w:val="57"/>
              <w:tblpPr w:leftFromText="180" w:rightFromText="180" w:vertAnchor="text"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607"/>
              <w:gridCol w:w="3278"/>
              <w:gridCol w:w="3727"/>
              <w:gridCol w:w="712"/>
            </w:tblGrid>
            <w:tr w14:paraId="32820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77" w:type="dxa"/>
                  <w:vAlign w:val="center"/>
                </w:tcPr>
                <w:p w14:paraId="2E8AE4F1">
                  <w:pPr>
                    <w:pStyle w:val="286"/>
                    <w:framePr w:hSpace="0" w:wrap="auto" w:vAnchor="margin" w:hAnchor="text" w:xAlign="left" w:yAlign="inline"/>
                    <w:rPr>
                      <w:color w:val="auto"/>
                    </w:rPr>
                  </w:pPr>
                  <w:r>
                    <w:rPr>
                      <w:color w:val="auto"/>
                    </w:rPr>
                    <w:t>内容</w:t>
                  </w:r>
                </w:p>
              </w:tc>
              <w:tc>
                <w:tcPr>
                  <w:tcW w:w="3118" w:type="dxa"/>
                  <w:vAlign w:val="center"/>
                </w:tcPr>
                <w:p w14:paraId="217DBD75">
                  <w:pPr>
                    <w:pStyle w:val="286"/>
                    <w:framePr w:hSpace="0" w:wrap="auto" w:vAnchor="margin" w:hAnchor="text" w:xAlign="left" w:yAlign="inline"/>
                    <w:rPr>
                      <w:color w:val="auto"/>
                    </w:rPr>
                  </w:pPr>
                  <w:r>
                    <w:rPr>
                      <w:color w:val="auto"/>
                    </w:rPr>
                    <w:t>文件要求</w:t>
                  </w:r>
                </w:p>
              </w:tc>
              <w:tc>
                <w:tcPr>
                  <w:tcW w:w="3544" w:type="dxa"/>
                  <w:vAlign w:val="center"/>
                </w:tcPr>
                <w:p w14:paraId="6FD9E50D">
                  <w:pPr>
                    <w:pStyle w:val="286"/>
                    <w:framePr w:hSpace="0" w:wrap="auto" w:vAnchor="margin" w:hAnchor="text" w:xAlign="left" w:yAlign="inline"/>
                    <w:rPr>
                      <w:color w:val="auto"/>
                    </w:rPr>
                  </w:pPr>
                  <w:r>
                    <w:rPr>
                      <w:color w:val="auto"/>
                    </w:rPr>
                    <w:t>本项目情况对照简析</w:t>
                  </w:r>
                </w:p>
              </w:tc>
              <w:tc>
                <w:tcPr>
                  <w:tcW w:w="677" w:type="dxa"/>
                  <w:vAlign w:val="center"/>
                </w:tcPr>
                <w:p w14:paraId="153522BB">
                  <w:pPr>
                    <w:pStyle w:val="286"/>
                    <w:framePr w:hSpace="0" w:wrap="auto" w:vAnchor="margin" w:hAnchor="text" w:xAlign="left" w:yAlign="inline"/>
                    <w:rPr>
                      <w:color w:val="auto"/>
                    </w:rPr>
                  </w:pPr>
                  <w:r>
                    <w:rPr>
                      <w:rFonts w:hint="eastAsia"/>
                      <w:color w:val="auto"/>
                    </w:rPr>
                    <w:t>符合性分析</w:t>
                  </w:r>
                </w:p>
              </w:tc>
            </w:tr>
            <w:tr w14:paraId="086F5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77" w:type="dxa"/>
                  <w:vAlign w:val="center"/>
                </w:tcPr>
                <w:p w14:paraId="4282FC93">
                  <w:pPr>
                    <w:pStyle w:val="286"/>
                    <w:framePr w:hSpace="0" w:wrap="auto" w:vAnchor="margin" w:hAnchor="text" w:xAlign="left" w:yAlign="inline"/>
                    <w:rPr>
                      <w:color w:val="auto"/>
                    </w:rPr>
                  </w:pPr>
                  <w:r>
                    <w:rPr>
                      <w:color w:val="auto"/>
                    </w:rPr>
                    <w:t>生态保护红线</w:t>
                  </w:r>
                </w:p>
              </w:tc>
              <w:tc>
                <w:tcPr>
                  <w:tcW w:w="3118" w:type="dxa"/>
                  <w:vAlign w:val="center"/>
                </w:tcPr>
                <w:p w14:paraId="36207DE0">
                  <w:pPr>
                    <w:pStyle w:val="286"/>
                    <w:framePr w:hSpace="0" w:wrap="auto" w:vAnchor="margin" w:hAnchor="text" w:xAlign="left" w:yAlign="inline"/>
                    <w:rPr>
                      <w:color w:val="auto"/>
                    </w:rPr>
                  </w:pPr>
                  <w:r>
                    <w:rPr>
                      <w:color w:val="auto"/>
                    </w:rPr>
                    <w:t>生态保护红线是生态空间范围内具有特殊重要生态功能必须实行强制性严格保护的区域。在生态保护红线范围内，严控各类开发建设活动，依法不予审批新建工业项目和矿产开发。</w:t>
                  </w:r>
                </w:p>
              </w:tc>
              <w:tc>
                <w:tcPr>
                  <w:tcW w:w="3544" w:type="dxa"/>
                  <w:vAlign w:val="center"/>
                </w:tcPr>
                <w:p w14:paraId="1789D87D">
                  <w:pPr>
                    <w:pStyle w:val="286"/>
                    <w:framePr w:hSpace="0" w:wrap="auto" w:vAnchor="margin" w:hAnchor="text" w:xAlign="left" w:yAlign="inline"/>
                    <w:rPr>
                      <w:color w:val="auto"/>
                    </w:rPr>
                  </w:pPr>
                  <w:r>
                    <w:rPr>
                      <w:color w:val="auto"/>
                    </w:rPr>
                    <w:t>本项目位于淮南经济技术开发区，用地性质为工业用地，根据《淮南市“三区三线”划定方案》</w:t>
                  </w:r>
                  <w:r>
                    <w:rPr>
                      <w:rFonts w:hint="eastAsia"/>
                      <w:color w:val="auto"/>
                    </w:rPr>
                    <w:t>（2022年11月）</w:t>
                  </w:r>
                  <w:r>
                    <w:rPr>
                      <w:color w:val="auto"/>
                    </w:rPr>
                    <w:t>，本项目不在淮南市生态红线范围内。</w:t>
                  </w:r>
                </w:p>
              </w:tc>
              <w:tc>
                <w:tcPr>
                  <w:tcW w:w="677" w:type="dxa"/>
                  <w:vAlign w:val="center"/>
                </w:tcPr>
                <w:p w14:paraId="1E42EC48">
                  <w:pPr>
                    <w:pStyle w:val="286"/>
                    <w:framePr w:hSpace="0" w:wrap="auto" w:vAnchor="margin" w:hAnchor="text" w:xAlign="left" w:yAlign="inline"/>
                    <w:rPr>
                      <w:color w:val="auto"/>
                    </w:rPr>
                  </w:pPr>
                  <w:r>
                    <w:rPr>
                      <w:color w:val="auto"/>
                    </w:rPr>
                    <w:t>符合</w:t>
                  </w:r>
                </w:p>
              </w:tc>
            </w:tr>
            <w:tr w14:paraId="71B90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77" w:type="dxa"/>
                  <w:vAlign w:val="center"/>
                </w:tcPr>
                <w:p w14:paraId="32FC343C">
                  <w:pPr>
                    <w:pStyle w:val="286"/>
                    <w:framePr w:hSpace="0" w:wrap="auto" w:vAnchor="margin" w:hAnchor="text" w:xAlign="left" w:yAlign="inline"/>
                    <w:rPr>
                      <w:color w:val="auto"/>
                    </w:rPr>
                  </w:pPr>
                  <w:r>
                    <w:rPr>
                      <w:color w:val="auto"/>
                    </w:rPr>
                    <w:t>环境质量</w:t>
                  </w:r>
                  <w:r>
                    <w:rPr>
                      <w:rFonts w:hint="eastAsia"/>
                      <w:color w:val="auto"/>
                    </w:rPr>
                    <w:t>底线</w:t>
                  </w:r>
                </w:p>
              </w:tc>
              <w:tc>
                <w:tcPr>
                  <w:tcW w:w="3118" w:type="dxa"/>
                  <w:vAlign w:val="center"/>
                </w:tcPr>
                <w:p w14:paraId="106CA4A3">
                  <w:pPr>
                    <w:pStyle w:val="286"/>
                    <w:framePr w:hSpace="0" w:wrap="auto" w:vAnchor="margin" w:hAnchor="text" w:xAlign="left" w:yAlign="inline"/>
                    <w:rPr>
                      <w:color w:val="auto"/>
                    </w:rPr>
                  </w:pPr>
                  <w:r>
                    <w:rPr>
                      <w:color w:val="auto"/>
                    </w:rPr>
                    <w:t>环境质量现状超标地区以及未达到环境质量目标考核要求的地区上新项目将受到限制；对环境质量现状超标的地区，项目拟采取的措施不能满足区域环境质量改善目标管理要求的，依法不予审批其环评文件。</w:t>
                  </w:r>
                </w:p>
              </w:tc>
              <w:tc>
                <w:tcPr>
                  <w:tcW w:w="3544" w:type="dxa"/>
                  <w:vAlign w:val="center"/>
                </w:tcPr>
                <w:p w14:paraId="32F4B597">
                  <w:pPr>
                    <w:pStyle w:val="286"/>
                    <w:framePr w:hSpace="0" w:wrap="auto" w:vAnchor="margin" w:hAnchor="text" w:xAlign="left" w:yAlign="inline"/>
                    <w:rPr>
                      <w:color w:val="0000FF"/>
                    </w:rPr>
                  </w:pPr>
                  <w:r>
                    <w:rPr>
                      <w:lang w:val="zh-CN"/>
                    </w:rPr>
                    <w:t>根据《</w:t>
                  </w:r>
                  <w:r>
                    <w:rPr>
                      <w:rFonts w:hint="eastAsia"/>
                    </w:rPr>
                    <w:t>2024年淮南市生态环境质量状况公报</w:t>
                  </w:r>
                  <w:r>
                    <w:rPr>
                      <w:lang w:val="zh-CN"/>
                    </w:rPr>
                    <w:t>》，本项目所在区域为大气环境</w:t>
                  </w:r>
                  <w:r>
                    <w:rPr>
                      <w:rFonts w:hint="eastAsia"/>
                    </w:rPr>
                    <w:t>PM</w:t>
                  </w:r>
                  <w:r>
                    <w:rPr>
                      <w:rFonts w:hint="eastAsia"/>
                      <w:vertAlign w:val="subscript"/>
                    </w:rPr>
                    <w:t>2.5</w:t>
                  </w:r>
                  <w:r>
                    <w:rPr>
                      <w:lang w:val="zh-CN"/>
                    </w:rPr>
                    <w:t>不达标区，</w:t>
                  </w:r>
                  <w:r>
                    <w:t>为进一步缓解大气不达标情况，改善淮南市环境空气质量，淮南市通过集中专项整治</w:t>
                  </w:r>
                  <w:r>
                    <w:rPr>
                      <w:rFonts w:hint="eastAsia"/>
                    </w:rPr>
                    <w:t>“</w:t>
                  </w:r>
                  <w:r>
                    <w:t>小散乱污</w:t>
                  </w:r>
                  <w:r>
                    <w:rPr>
                      <w:rFonts w:hint="eastAsia"/>
                    </w:rPr>
                    <w:t>”</w:t>
                  </w:r>
                  <w:r>
                    <w:t>企业、企业清洁生产技术改造、小锅炉升级改造、燃煤机组超低排放改造，整治散装物料堆场，督促企业完成挥发性有机物整改任务等措施改善环境空气质量；根据《</w:t>
                  </w:r>
                  <w:r>
                    <w:rPr>
                      <w:rFonts w:hint="eastAsia"/>
                      <w:lang w:val="en-US" w:eastAsia="zh-CN"/>
                    </w:rPr>
                    <w:t>2025年5</w:t>
                  </w:r>
                  <w:r>
                    <w:rPr>
                      <w:rFonts w:hint="eastAsia"/>
                    </w:rPr>
                    <w:t>月</w:t>
                  </w:r>
                  <w:r>
                    <w:t>淮南市环境质量</w:t>
                  </w:r>
                  <w:r>
                    <w:rPr>
                      <w:rFonts w:hint="eastAsia"/>
                    </w:rPr>
                    <w:t>月</w:t>
                  </w:r>
                  <w:r>
                    <w:t>报》地表水总体状况，</w:t>
                  </w:r>
                  <w:r>
                    <w:rPr>
                      <w:color w:val="auto"/>
                      <w:lang w:val="zh-CN"/>
                    </w:rPr>
                    <w:t>区域地表水淮河各监测断面水质</w:t>
                  </w:r>
                  <w:r>
                    <w:rPr>
                      <w:rFonts w:hint="eastAsia"/>
                      <w:color w:val="auto"/>
                      <w:lang w:val="zh-CN"/>
                    </w:rPr>
                    <w:t>保持稳定</w:t>
                  </w:r>
                  <w:r>
                    <w:rPr>
                      <w:color w:val="auto"/>
                      <w:lang w:val="zh-CN"/>
                    </w:rPr>
                    <w:t>；</w:t>
                  </w:r>
                  <w:r>
                    <w:rPr>
                      <w:rFonts w:hint="eastAsia"/>
                      <w:color w:val="auto"/>
                    </w:rPr>
                    <w:t>本项目排放的</w:t>
                  </w:r>
                  <w:r>
                    <w:rPr>
                      <w:rFonts w:hint="eastAsia" w:ascii="宋体" w:hAnsi="宋体"/>
                      <w:color w:val="auto"/>
                    </w:rPr>
                    <w:t>生产废水和生活污水处理后排入</w:t>
                  </w:r>
                  <w:r>
                    <w:rPr>
                      <w:rFonts w:hint="eastAsia" w:ascii="宋体" w:hAnsi="宋体"/>
                      <w:color w:val="auto"/>
                      <w:lang w:val="en-US" w:eastAsia="zh-CN"/>
                    </w:rPr>
                    <w:t>淮南经济技术开发区工业污水处理厂</w:t>
                  </w:r>
                  <w:r>
                    <w:rPr>
                      <w:rFonts w:hint="eastAsia" w:ascii="宋体" w:hAnsi="宋体"/>
                      <w:color w:val="auto"/>
                    </w:rPr>
                    <w:t>处理达标后外排淮河，对淮河影响较小，故不会破坏项目的环境质量底线。区域声环境质量达到《声环境质量标准》（GB3096-2008）3类标准。该项目运营过程中</w:t>
                  </w:r>
                  <w:r>
                    <w:rPr>
                      <w:rFonts w:ascii="宋体" w:hAnsi="宋体"/>
                      <w:color w:val="auto"/>
                    </w:rPr>
                    <w:t>产生的污染物</w:t>
                  </w:r>
                  <w:r>
                    <w:rPr>
                      <w:rFonts w:hint="eastAsia" w:ascii="宋体" w:hAnsi="宋体"/>
                      <w:color w:val="auto"/>
                    </w:rPr>
                    <w:t>经环保措施处理后可达标</w:t>
                  </w:r>
                  <w:r>
                    <w:rPr>
                      <w:rFonts w:ascii="宋体" w:hAnsi="宋体"/>
                      <w:color w:val="auto"/>
                    </w:rPr>
                    <w:t>排放</w:t>
                  </w:r>
                  <w:r>
                    <w:rPr>
                      <w:rFonts w:hint="eastAsia" w:ascii="宋体" w:hAnsi="宋体"/>
                      <w:color w:val="auto"/>
                    </w:rPr>
                    <w:t>，</w:t>
                  </w:r>
                  <w:r>
                    <w:rPr>
                      <w:rFonts w:ascii="宋体" w:hAnsi="宋体"/>
                      <w:color w:val="auto"/>
                    </w:rPr>
                    <w:t>对周围环境造成的影响较小，不会降低当地环境质量，不会触碰区域环境质量底线。</w:t>
                  </w:r>
                </w:p>
              </w:tc>
              <w:tc>
                <w:tcPr>
                  <w:tcW w:w="677" w:type="dxa"/>
                  <w:vAlign w:val="center"/>
                </w:tcPr>
                <w:p w14:paraId="70E73A6B">
                  <w:pPr>
                    <w:pStyle w:val="286"/>
                    <w:framePr w:hSpace="0" w:wrap="auto" w:vAnchor="margin" w:hAnchor="text" w:xAlign="left" w:yAlign="inline"/>
                    <w:rPr>
                      <w:color w:val="0000FF"/>
                    </w:rPr>
                  </w:pPr>
                  <w:r>
                    <w:rPr>
                      <w:color w:val="auto"/>
                    </w:rPr>
                    <w:t>符合</w:t>
                  </w:r>
                </w:p>
              </w:tc>
            </w:tr>
            <w:tr w14:paraId="4BEEE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77" w:type="dxa"/>
                  <w:vAlign w:val="center"/>
                </w:tcPr>
                <w:p w14:paraId="6395CD90">
                  <w:pPr>
                    <w:pStyle w:val="286"/>
                    <w:framePr w:hSpace="0" w:wrap="auto" w:vAnchor="margin" w:hAnchor="text" w:xAlign="left" w:yAlign="inline"/>
                    <w:rPr>
                      <w:color w:val="auto"/>
                    </w:rPr>
                  </w:pPr>
                  <w:r>
                    <w:rPr>
                      <w:color w:val="auto"/>
                    </w:rPr>
                    <w:t>资源利用上线</w:t>
                  </w:r>
                </w:p>
              </w:tc>
              <w:tc>
                <w:tcPr>
                  <w:tcW w:w="3118" w:type="dxa"/>
                  <w:vAlign w:val="center"/>
                </w:tcPr>
                <w:p w14:paraId="04FC0294">
                  <w:pPr>
                    <w:pStyle w:val="286"/>
                    <w:framePr w:hSpace="0" w:wrap="auto" w:vAnchor="margin" w:hAnchor="text" w:xAlign="left" w:yAlign="inline"/>
                    <w:rPr>
                      <w:color w:val="auto"/>
                    </w:rPr>
                  </w:pPr>
                  <w:r>
                    <w:rPr>
                      <w:color w:val="auto"/>
                    </w:rPr>
                    <w:t>依据有关资源利用上线要求，即各地区能源、水、土地等资源消耗是不得突破的“天花板”。</w:t>
                  </w:r>
                </w:p>
              </w:tc>
              <w:tc>
                <w:tcPr>
                  <w:tcW w:w="3544" w:type="dxa"/>
                  <w:vAlign w:val="center"/>
                </w:tcPr>
                <w:p w14:paraId="52FBA581">
                  <w:pPr>
                    <w:pStyle w:val="286"/>
                    <w:framePr w:hSpace="0" w:wrap="auto" w:vAnchor="margin" w:hAnchor="text" w:xAlign="left" w:yAlign="inline"/>
                    <w:rPr>
                      <w:color w:val="auto"/>
                    </w:rPr>
                  </w:pPr>
                  <w:r>
                    <w:rPr>
                      <w:color w:val="auto"/>
                    </w:rPr>
                    <w:t>本项目运营过程主要资源消耗为</w:t>
                  </w:r>
                  <w:r>
                    <w:rPr>
                      <w:rFonts w:hint="eastAsia"/>
                      <w:color w:val="auto"/>
                      <w:lang w:eastAsia="zh-CN"/>
                    </w:rPr>
                    <w:t>水、电</w:t>
                  </w:r>
                  <w:r>
                    <w:rPr>
                      <w:color w:val="auto"/>
                    </w:rPr>
                    <w:t>和天然气，</w:t>
                  </w:r>
                  <w:r>
                    <w:rPr>
                      <w:rFonts w:hint="eastAsia"/>
                      <w:color w:val="auto"/>
                    </w:rPr>
                    <w:t>依托</w:t>
                  </w:r>
                  <w:r>
                    <w:rPr>
                      <w:color w:val="auto"/>
                    </w:rPr>
                    <w:t>经开区市政</w:t>
                  </w:r>
                  <w:r>
                    <w:rPr>
                      <w:rFonts w:hint="eastAsia"/>
                      <w:color w:val="auto"/>
                      <w:lang w:eastAsia="zh-CN"/>
                    </w:rPr>
                    <w:t>供水</w:t>
                  </w:r>
                  <w:r>
                    <w:rPr>
                      <w:color w:val="auto"/>
                    </w:rPr>
                    <w:t>供电供气，对当地能源、水、土地资源影响</w:t>
                  </w:r>
                  <w:r>
                    <w:rPr>
                      <w:rFonts w:hint="eastAsia"/>
                      <w:color w:val="auto"/>
                    </w:rPr>
                    <w:t>较小</w:t>
                  </w:r>
                  <w:r>
                    <w:rPr>
                      <w:color w:val="auto"/>
                    </w:rPr>
                    <w:t>，不会超出当地资源利用上线。</w:t>
                  </w:r>
                </w:p>
              </w:tc>
              <w:tc>
                <w:tcPr>
                  <w:tcW w:w="677" w:type="dxa"/>
                  <w:vAlign w:val="center"/>
                </w:tcPr>
                <w:p w14:paraId="1B09397B">
                  <w:pPr>
                    <w:pStyle w:val="286"/>
                    <w:framePr w:hSpace="0" w:wrap="auto" w:vAnchor="margin" w:hAnchor="text" w:xAlign="left" w:yAlign="inline"/>
                    <w:rPr>
                      <w:color w:val="auto"/>
                    </w:rPr>
                  </w:pPr>
                  <w:r>
                    <w:rPr>
                      <w:color w:val="auto"/>
                    </w:rPr>
                    <w:t>符合</w:t>
                  </w:r>
                </w:p>
              </w:tc>
            </w:tr>
            <w:tr w14:paraId="05E27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577" w:type="dxa"/>
                  <w:vAlign w:val="center"/>
                </w:tcPr>
                <w:p w14:paraId="26509F98">
                  <w:pPr>
                    <w:pStyle w:val="286"/>
                    <w:framePr w:hSpace="0" w:wrap="auto" w:vAnchor="margin" w:hAnchor="text" w:xAlign="left" w:yAlign="inline"/>
                    <w:rPr>
                      <w:color w:val="auto"/>
                    </w:rPr>
                  </w:pPr>
                  <w:r>
                    <w:rPr>
                      <w:color w:val="auto"/>
                    </w:rPr>
                    <w:t>生态环境准入清单</w:t>
                  </w:r>
                </w:p>
              </w:tc>
              <w:tc>
                <w:tcPr>
                  <w:tcW w:w="3118" w:type="dxa"/>
                  <w:vAlign w:val="center"/>
                </w:tcPr>
                <w:p w14:paraId="7E073FDD">
                  <w:pPr>
                    <w:pStyle w:val="286"/>
                    <w:framePr w:hSpace="0" w:wrap="auto" w:vAnchor="margin" w:hAnchor="text" w:xAlign="left" w:yAlign="inline"/>
                    <w:rPr>
                      <w:color w:val="auto"/>
                    </w:rPr>
                  </w:pPr>
                  <w:r>
                    <w:rPr>
                      <w:color w:val="auto"/>
                    </w:rPr>
                    <w:t>生态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tc>
              <w:tc>
                <w:tcPr>
                  <w:tcW w:w="3544" w:type="dxa"/>
                  <w:vAlign w:val="center"/>
                </w:tcPr>
                <w:p w14:paraId="772A0395">
                  <w:pPr>
                    <w:pStyle w:val="286"/>
                    <w:framePr w:hSpace="0" w:wrap="auto" w:vAnchor="margin" w:hAnchor="text" w:xAlign="left" w:yAlign="inline"/>
                    <w:rPr>
                      <w:color w:val="auto"/>
                    </w:rPr>
                  </w:pPr>
                  <w:r>
                    <w:rPr>
                      <w:color w:val="auto"/>
                    </w:rPr>
                    <w:t>本项目为</w:t>
                  </w:r>
                  <w:r>
                    <w:rPr>
                      <w:rFonts w:hint="eastAsia"/>
                      <w:color w:val="auto"/>
                      <w:lang w:eastAsia="zh-CN"/>
                    </w:rPr>
                    <w:t>C1431米、面制品制造</w:t>
                  </w:r>
                  <w:r>
                    <w:rPr>
                      <w:color w:val="auto"/>
                    </w:rPr>
                    <w:t>，</w:t>
                  </w:r>
                  <w:r>
                    <w:rPr>
                      <w:rFonts w:hint="eastAsia"/>
                      <w:color w:val="auto"/>
                    </w:rPr>
                    <w:t>对照《安徽省“两高”项目管理目录》</w:t>
                  </w:r>
                  <w:r>
                    <w:rPr>
                      <w:rFonts w:hint="eastAsia"/>
                      <w:color w:val="auto"/>
                      <w:lang w:eastAsia="zh-CN"/>
                    </w:rPr>
                    <w:t>（</w:t>
                  </w:r>
                  <w:r>
                    <w:rPr>
                      <w:rFonts w:hint="eastAsia"/>
                      <w:color w:val="auto"/>
                    </w:rPr>
                    <w:t>2022年试行</w:t>
                  </w:r>
                  <w:r>
                    <w:rPr>
                      <w:rFonts w:hint="eastAsia"/>
                      <w:color w:val="auto"/>
                      <w:lang w:eastAsia="zh-CN"/>
                    </w:rPr>
                    <w:t>）</w:t>
                  </w:r>
                  <w:r>
                    <w:rPr>
                      <w:rFonts w:hint="eastAsia"/>
                      <w:color w:val="auto"/>
                    </w:rPr>
                    <w:t>，本项目不在安徽省两高目录范围内，</w:t>
                  </w:r>
                  <w:r>
                    <w:rPr>
                      <w:color w:val="auto"/>
                    </w:rPr>
                    <w:t>不属于高耗能高污染项目</w:t>
                  </w:r>
                  <w:r>
                    <w:rPr>
                      <w:rFonts w:hint="eastAsia"/>
                      <w:color w:val="auto"/>
                    </w:rPr>
                    <w:t>；对照《产业结构调整指导目录》（2024年本），本项目不属于禁止类、限制类产业，可视为允许类。</w:t>
                  </w:r>
                </w:p>
              </w:tc>
              <w:tc>
                <w:tcPr>
                  <w:tcW w:w="677" w:type="dxa"/>
                  <w:vAlign w:val="center"/>
                </w:tcPr>
                <w:p w14:paraId="21D8668A">
                  <w:pPr>
                    <w:pStyle w:val="286"/>
                    <w:framePr w:hSpace="0" w:wrap="auto" w:vAnchor="margin" w:hAnchor="text" w:xAlign="left" w:yAlign="inline"/>
                    <w:rPr>
                      <w:color w:val="auto"/>
                    </w:rPr>
                  </w:pPr>
                  <w:r>
                    <w:rPr>
                      <w:color w:val="auto"/>
                    </w:rPr>
                    <w:t>符合</w:t>
                  </w:r>
                </w:p>
              </w:tc>
            </w:tr>
          </w:tbl>
          <w:p w14:paraId="5BD1FA7B">
            <w:pPr>
              <w:pStyle w:val="598"/>
              <w:rPr>
                <w:color w:val="auto"/>
              </w:rPr>
            </w:pPr>
            <w:r>
              <w:rPr>
                <w:color w:val="auto"/>
              </w:rPr>
              <w:t>1.7 与淮南市“三线一单”生态管控单元符合性分析</w:t>
            </w:r>
          </w:p>
          <w:p w14:paraId="2183192D">
            <w:pPr>
              <w:pStyle w:val="180"/>
              <w:wordWrap/>
              <w:ind w:firstLine="480"/>
              <w:rPr>
                <w:color w:val="auto"/>
                <w:lang w:val="zh-CN"/>
              </w:rPr>
            </w:pPr>
            <w:r>
              <w:rPr>
                <w:rFonts w:hint="eastAsia"/>
                <w:color w:val="auto"/>
              </w:rPr>
              <w:t>本项目位于淮南经济技术开发区</w:t>
            </w:r>
            <w:r>
              <w:rPr>
                <w:rFonts w:hint="eastAsia"/>
                <w:color w:val="auto"/>
                <w:lang w:eastAsia="zh-CN"/>
              </w:rPr>
              <w:t>高端装备产业园区</w:t>
            </w:r>
            <w:r>
              <w:rPr>
                <w:rFonts w:hint="eastAsia"/>
                <w:color w:val="auto"/>
                <w:lang w:val="en-US" w:eastAsia="zh-CN"/>
              </w:rPr>
              <w:t>X4号厂房</w:t>
            </w:r>
            <w:r>
              <w:rPr>
                <w:rFonts w:hint="eastAsia"/>
                <w:color w:val="auto"/>
              </w:rPr>
              <w:t>，经查阅“安徽省三线一单公众服务平台”（</w:t>
            </w:r>
            <w:r>
              <w:rPr>
                <w:color w:val="auto"/>
              </w:rPr>
              <w:t>http</w:t>
            </w:r>
            <w:r>
              <w:rPr>
                <w:rFonts w:hint="eastAsia"/>
                <w:color w:val="auto"/>
                <w:lang w:eastAsia="zh-CN"/>
              </w:rPr>
              <w:t>：</w:t>
            </w:r>
            <w:r>
              <w:rPr>
                <w:color w:val="auto"/>
              </w:rPr>
              <w:t>//39.145.8.156</w:t>
            </w:r>
            <w:r>
              <w:rPr>
                <w:rFonts w:hint="eastAsia"/>
                <w:color w:val="auto"/>
                <w:lang w:eastAsia="zh-CN"/>
              </w:rPr>
              <w:t>：</w:t>
            </w:r>
            <w:r>
              <w:rPr>
                <w:color w:val="auto"/>
              </w:rPr>
              <w:t>1509/ah/public/#/home</w:t>
            </w:r>
            <w:r>
              <w:rPr>
                <w:rFonts w:hint="eastAsia"/>
                <w:color w:val="auto"/>
              </w:rPr>
              <w:t>），本项目所在区域管控单元分类属于“重点管控单元”，涉及的管控单元细类为大气重点和水重点。本项目</w:t>
            </w:r>
            <w:r>
              <w:rPr>
                <w:color w:val="auto"/>
              </w:rPr>
              <w:t>生态管控单元查询</w:t>
            </w:r>
            <w:r>
              <w:rPr>
                <w:rFonts w:hint="eastAsia"/>
                <w:color w:val="auto"/>
              </w:rPr>
              <w:t>情况（截选）如下图</w:t>
            </w:r>
            <w:r>
              <w:rPr>
                <w:rFonts w:hint="eastAsia"/>
                <w:snapToGrid w:val="0"/>
                <w:color w:val="auto"/>
              </w:rPr>
              <w:t>1.</w:t>
            </w:r>
            <w:r>
              <w:rPr>
                <w:snapToGrid w:val="0"/>
                <w:color w:val="auto"/>
              </w:rPr>
              <w:t>7</w:t>
            </w:r>
            <w:r>
              <w:rPr>
                <w:rFonts w:hint="eastAsia"/>
                <w:snapToGrid w:val="0"/>
                <w:color w:val="auto"/>
              </w:rPr>
              <w:t>-1</w:t>
            </w:r>
            <w:r>
              <w:rPr>
                <w:color w:val="auto"/>
              </w:rPr>
              <w:t>。</w:t>
            </w:r>
          </w:p>
          <w:p w14:paraId="3D699AAE">
            <w:pPr>
              <w:spacing w:after="0"/>
              <w:jc w:val="center"/>
            </w:pPr>
            <w:r>
              <w:rPr>
                <w:sz w:val="28"/>
              </w:rPr>
              <mc:AlternateContent>
                <mc:Choice Requires="wps">
                  <w:drawing>
                    <wp:anchor distT="0" distB="0" distL="114300" distR="114300" simplePos="0" relativeHeight="251671552" behindDoc="0" locked="0" layoutInCell="1" allowOverlap="1">
                      <wp:simplePos x="0" y="0"/>
                      <wp:positionH relativeFrom="column">
                        <wp:posOffset>1995805</wp:posOffset>
                      </wp:positionH>
                      <wp:positionV relativeFrom="paragraph">
                        <wp:posOffset>1834515</wp:posOffset>
                      </wp:positionV>
                      <wp:extent cx="76200" cy="76200"/>
                      <wp:effectExtent l="17145" t="19685" r="20955" b="18415"/>
                      <wp:wrapNone/>
                      <wp:docPr id="29" name="五角星 29"/>
                      <wp:cNvGraphicFramePr/>
                      <a:graphic xmlns:a="http://schemas.openxmlformats.org/drawingml/2006/main">
                        <a:graphicData uri="http://schemas.microsoft.com/office/word/2010/wordprocessingShape">
                          <wps:wsp>
                            <wps:cNvSpPr/>
                            <wps:spPr>
                              <a:xfrm>
                                <a:off x="3236595" y="4260215"/>
                                <a:ext cx="76200" cy="76200"/>
                              </a:xfrm>
                              <a:prstGeom prst="star5">
                                <a:avLst>
                                  <a:gd name="adj" fmla="val 20379"/>
                                  <a:gd name="hf" fmla="val 105146"/>
                                  <a:gd name="vf" fmla="val 110557"/>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57.15pt;margin-top:144.45pt;height:6pt;width:6pt;z-index:251671552;v-text-anchor:middle;mso-width-relative:page;mso-height-relative:page;" fillcolor="#FF0000" filled="t" stroked="t" coordsize="76200,76200" o:gfxdata="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&#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m4/DYtoAAAALAQAADwAAAAAAAAABACAAAAAiAAAAZHJz&#10;L2Rvd25yZXYueG1sUEsBAhQAFAAAAAgAh07iQINrodKtAgAAdQUAAA4AAAAAAAAAAQAgAAAAKQEA&#10;AGRycy9lMm9Eb2MueG1sUEsFBgAAAAAGAAYAWQEAAEgGAAAAAA==&#10;" path="m0,29105l28502,28232,38100,0,47697,28232,76199,29105,53628,47427,61647,76199,38100,59290,14552,76199,22571,47427xe">
                      <v:path o:connectlocs="38100,0;0,29105;14552,76199;61647,76199;76199,29105" o:connectangles="247,164,82,82,0"/>
                      <v:fill on="t" focussize="0,0"/>
                      <v:stroke weight="1pt" color="#FF0000 [2404]" miterlimit="8" joinstyle="miter"/>
                      <v:imagedata o:title=""/>
                      <o:lock v:ext="edit" aspectratio="f"/>
                    </v:shape>
                  </w:pict>
                </mc:Fallback>
              </mc:AlternateContent>
            </w:r>
            <w:r>
              <w:rPr>
                <w:color w:val="0000FF"/>
                <w:sz w:val="28"/>
                <w:szCs w:val="28"/>
              </w:rPr>
              <mc:AlternateContent>
                <mc:Choice Requires="wps">
                  <w:drawing>
                    <wp:anchor distT="0" distB="0" distL="114300" distR="114300" simplePos="0" relativeHeight="251663360" behindDoc="0" locked="0" layoutInCell="1" allowOverlap="1">
                      <wp:simplePos x="0" y="0"/>
                      <wp:positionH relativeFrom="column">
                        <wp:posOffset>2113280</wp:posOffset>
                      </wp:positionH>
                      <wp:positionV relativeFrom="paragraph">
                        <wp:posOffset>1238885</wp:posOffset>
                      </wp:positionV>
                      <wp:extent cx="942975" cy="246380"/>
                      <wp:effectExtent l="76200" t="0" r="28575" b="420370"/>
                      <wp:wrapNone/>
                      <wp:docPr id="527589701" name="对话气泡: 矩形 8"/>
                      <wp:cNvGraphicFramePr/>
                      <a:graphic xmlns:a="http://schemas.openxmlformats.org/drawingml/2006/main">
                        <a:graphicData uri="http://schemas.microsoft.com/office/word/2010/wordprocessingShape">
                          <wps:wsp>
                            <wps:cNvSpPr/>
                            <wps:spPr>
                              <a:xfrm>
                                <a:off x="0" y="0"/>
                                <a:ext cx="942975" cy="246380"/>
                              </a:xfrm>
                              <a:prstGeom prst="wedgeRectCallout">
                                <a:avLst>
                                  <a:gd name="adj1" fmla="val -54789"/>
                                  <a:gd name="adj2" fmla="val 193530"/>
                                </a:avLst>
                              </a:prstGeom>
                              <a:solidFill>
                                <a:schemeClr val="bg1"/>
                              </a:solidFill>
                              <a:ln w="952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4D17E89D">
                                  <w:pPr>
                                    <w:jc w:val="center"/>
                                    <w:rPr>
                                      <w:b/>
                                      <w:bCs/>
                                      <w:color w:val="FF0000"/>
                                      <w:sz w:val="21"/>
                                      <w:szCs w:val="21"/>
                                    </w:rPr>
                                  </w:pPr>
                                  <w:r>
                                    <w:rPr>
                                      <w:rFonts w:hint="eastAsia"/>
                                      <w:b/>
                                      <w:bCs/>
                                      <w:color w:val="FF0000"/>
                                      <w:sz w:val="21"/>
                                      <w:szCs w:val="21"/>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矩形 8" o:spid="_x0000_s1026" o:spt="61" type="#_x0000_t61" style="position:absolute;left:0pt;margin-left:166.4pt;margin-top:97.55pt;height:19.4pt;width:74.25pt;z-index:251663360;v-text-anchor:middle;mso-width-relative:page;mso-height-relative:page;" fillcolor="#FFFFFF [3212]" filled="t" stroked="t" coordsize="21600,21600" o:gfxdata="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" adj="-1034,52602">
                      <v:fill on="t" focussize="0,0"/>
                      <v:stroke color="#FF0000 [3204]" miterlimit="8" joinstyle="miter"/>
                      <v:imagedata o:title=""/>
                      <o:lock v:ext="edit" aspectratio="f"/>
                      <v:textbox>
                        <w:txbxContent>
                          <w:p w14:paraId="4D17E89D">
                            <w:pPr>
                              <w:jc w:val="center"/>
                              <w:rPr>
                                <w:b/>
                                <w:bCs/>
                                <w:color w:val="FF0000"/>
                                <w:sz w:val="21"/>
                                <w:szCs w:val="21"/>
                              </w:rPr>
                            </w:pPr>
                            <w:r>
                              <w:rPr>
                                <w:rFonts w:hint="eastAsia"/>
                                <w:b/>
                                <w:bCs/>
                                <w:color w:val="FF0000"/>
                                <w:sz w:val="21"/>
                                <w:szCs w:val="21"/>
                              </w:rPr>
                              <w:t>本项目位置</w:t>
                            </w:r>
                          </w:p>
                        </w:txbxContent>
                      </v:textbox>
                    </v:shape>
                  </w:pict>
                </mc:Fallback>
              </mc:AlternateContent>
            </w:r>
            <w:r>
              <w:drawing>
                <wp:inline distT="0" distB="0" distL="114300" distR="114300">
                  <wp:extent cx="5285740" cy="2797175"/>
                  <wp:effectExtent l="9525" t="9525" r="19685" b="12700"/>
                  <wp:docPr id="2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4"/>
                          <pic:cNvPicPr>
                            <a:picLocks noChangeAspect="1"/>
                          </pic:cNvPicPr>
                        </pic:nvPicPr>
                        <pic:blipFill>
                          <a:blip r:embed="rId25"/>
                          <a:stretch>
                            <a:fillRect/>
                          </a:stretch>
                        </pic:blipFill>
                        <pic:spPr>
                          <a:xfrm>
                            <a:off x="0" y="0"/>
                            <a:ext cx="5285740" cy="2797175"/>
                          </a:xfrm>
                          <a:prstGeom prst="rect">
                            <a:avLst/>
                          </a:prstGeom>
                          <a:noFill/>
                          <a:ln>
                            <a:solidFill>
                              <a:schemeClr val="tx1"/>
                            </a:solidFill>
                          </a:ln>
                        </pic:spPr>
                      </pic:pic>
                    </a:graphicData>
                  </a:graphic>
                </wp:inline>
              </w:drawing>
            </w:r>
          </w:p>
          <w:p w14:paraId="4AA9C619">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图 </w:t>
            </w:r>
            <w:r>
              <w:rPr>
                <w:rFonts w:hint="eastAsia"/>
                <w:lang w:val="en-US" w:eastAsia="zh-CN"/>
              </w:rPr>
              <w:t>1</w:t>
            </w:r>
            <w:r>
              <w:rPr>
                <w:rFonts w:hint="eastAsia"/>
                <w:lang w:eastAsia="zh-CN"/>
              </w:rPr>
              <w:t>-</w:t>
            </w:r>
            <w:r>
              <w:fldChar w:fldCharType="begin"/>
            </w:r>
            <w:r>
              <w:instrText xml:space="preserve"> SEQ 图 \* ARABIC \s 1 </w:instrText>
            </w:r>
            <w:r>
              <w:fldChar w:fldCharType="separate"/>
            </w:r>
            <w:r>
              <w:t>4</w:t>
            </w:r>
            <w:r>
              <w:fldChar w:fldCharType="end"/>
            </w:r>
            <w:r>
              <w:rPr>
                <w:rFonts w:hint="eastAsia"/>
                <w:lang w:val="en-US" w:eastAsia="zh-CN"/>
              </w:rPr>
              <w:t xml:space="preserve"> </w:t>
            </w:r>
            <w:r>
              <w:rPr>
                <w:rFonts w:hint="eastAsia"/>
                <w:snapToGrid w:val="0"/>
                <w:color w:val="auto"/>
              </w:rPr>
              <w:t>本项目</w:t>
            </w:r>
            <w:r>
              <w:rPr>
                <w:snapToGrid w:val="0"/>
                <w:color w:val="auto"/>
              </w:rPr>
              <w:t>生态管控单元</w:t>
            </w:r>
            <w:r>
              <w:rPr>
                <w:rFonts w:hint="eastAsia"/>
                <w:snapToGrid w:val="0"/>
                <w:color w:val="auto"/>
              </w:rPr>
              <w:t>情况（截选）</w:t>
            </w:r>
          </w:p>
          <w:p w14:paraId="5389CC91">
            <w:pPr>
              <w:pStyle w:val="180"/>
              <w:wordWrap/>
              <w:ind w:firstLine="480"/>
              <w:rPr>
                <w:snapToGrid w:val="0"/>
                <w:color w:val="auto"/>
                <w:sz w:val="20"/>
                <w:szCs w:val="28"/>
              </w:rPr>
            </w:pPr>
            <w:r>
              <w:rPr>
                <w:color w:val="auto"/>
              </w:rPr>
              <w:t>本项目与生态管控单元的符合性分析见下表。</w:t>
            </w:r>
          </w:p>
          <w:p w14:paraId="5A23C054">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1</w:t>
            </w:r>
            <w:r>
              <w:rPr>
                <w:rFonts w:hint="eastAsia"/>
                <w:lang w:eastAsia="zh-CN"/>
              </w:rPr>
              <w:t>-</w:t>
            </w:r>
            <w:r>
              <w:fldChar w:fldCharType="begin"/>
            </w:r>
            <w:r>
              <w:instrText xml:space="preserve"> SEQ 表 \* ARABIC \s 1 </w:instrText>
            </w:r>
            <w:r>
              <w:fldChar w:fldCharType="separate"/>
            </w:r>
            <w:r>
              <w:t>8</w:t>
            </w:r>
            <w:r>
              <w:fldChar w:fldCharType="end"/>
            </w:r>
            <w:r>
              <w:rPr>
                <w:color w:val="auto"/>
              </w:rPr>
              <w:t xml:space="preserve"> 本项目与生态管控单元的符合性分析</w:t>
            </w:r>
          </w:p>
          <w:tbl>
            <w:tblPr>
              <w:tblStyle w:val="57"/>
              <w:tblpPr w:leftFromText="180" w:rightFromText="180" w:vertAnchor="text" w:tblpY="1"/>
              <w:tblOverlap w:val="never"/>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738"/>
              <w:gridCol w:w="4007"/>
              <w:gridCol w:w="2851"/>
              <w:gridCol w:w="724"/>
            </w:tblGrid>
            <w:tr w14:paraId="3BAF7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5" w:hRule="atLeast"/>
              </w:trPr>
              <w:tc>
                <w:tcPr>
                  <w:tcW w:w="443" w:type="pct"/>
                  <w:vAlign w:val="center"/>
                </w:tcPr>
                <w:p w14:paraId="211936BF">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rPr>
                    <w:t>管控</w:t>
                  </w:r>
                  <w:r>
                    <w:rPr>
                      <w:rFonts w:hint="default" w:ascii="Times New Roman" w:hAnsi="Times New Roman" w:eastAsia="宋体" w:cs="Times New Roman"/>
                      <w:color w:val="auto"/>
                      <w:sz w:val="18"/>
                      <w:szCs w:val="18"/>
                      <w:lang w:eastAsia="zh-CN"/>
                    </w:rPr>
                    <w:t>类别</w:t>
                  </w:r>
                </w:p>
              </w:tc>
              <w:tc>
                <w:tcPr>
                  <w:tcW w:w="2408" w:type="pct"/>
                  <w:vAlign w:val="center"/>
                </w:tcPr>
                <w:p w14:paraId="5F55FC8D">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环境管控要求</w:t>
                  </w:r>
                </w:p>
              </w:tc>
              <w:tc>
                <w:tcPr>
                  <w:tcW w:w="1713" w:type="pct"/>
                  <w:vAlign w:val="center"/>
                </w:tcPr>
                <w:p w14:paraId="00C68BC9">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协调性分析</w:t>
                  </w:r>
                </w:p>
              </w:tc>
              <w:tc>
                <w:tcPr>
                  <w:tcW w:w="435" w:type="pct"/>
                  <w:vAlign w:val="center"/>
                </w:tcPr>
                <w:p w14:paraId="5BED5A56">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符合性</w:t>
                  </w:r>
                </w:p>
              </w:tc>
            </w:tr>
            <w:tr w14:paraId="34E37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58" w:hRule="atLeast"/>
              </w:trPr>
              <w:tc>
                <w:tcPr>
                  <w:tcW w:w="443" w:type="pct"/>
                  <w:vMerge w:val="restart"/>
                  <w:vAlign w:val="center"/>
                </w:tcPr>
                <w:p w14:paraId="558A2726">
                  <w:pPr>
                    <w:keepNext w:val="0"/>
                    <w:keepLines w:val="0"/>
                    <w:pageBreakBefore w:val="0"/>
                    <w:widowControl w:val="0"/>
                    <w:tabs>
                      <w:tab w:val="left" w:pos="1830"/>
                    </w:tabs>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val="en-US" w:eastAsia="zh-CN"/>
                    </w:rPr>
                    <w:t>空间布局约束</w:t>
                  </w:r>
                </w:p>
              </w:tc>
              <w:tc>
                <w:tcPr>
                  <w:tcW w:w="2408" w:type="pct"/>
                  <w:shd w:val="clear" w:color="auto" w:fill="auto"/>
                  <w:vAlign w:val="center"/>
                </w:tcPr>
                <w:p w14:paraId="300CCF39">
                  <w:pPr>
                    <w:keepNext w:val="0"/>
                    <w:keepLines w:val="0"/>
                    <w:pageBreakBefore w:val="0"/>
                    <w:widowControl w:val="0"/>
                    <w:tabs>
                      <w:tab w:val="left" w:pos="1830"/>
                    </w:tabs>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vertAlign w:val="baseline"/>
                      <w:lang w:val="en-US" w:eastAsia="zh-CN" w:bidi="ar-SA"/>
                    </w:rPr>
                  </w:pPr>
                  <w:r>
                    <w:rPr>
                      <w:rFonts w:hint="default" w:ascii="Times New Roman" w:hAnsi="Times New Roman" w:eastAsia="宋体" w:cs="Times New Roman"/>
                      <w:color w:val="auto"/>
                      <w:sz w:val="18"/>
                      <w:szCs w:val="18"/>
                    </w:rPr>
                    <w:t>禁止新建燃料类煤气发生炉（园区现有企业统一建设的清洁煤制气中心除外）</w:t>
                  </w:r>
                </w:p>
              </w:tc>
              <w:tc>
                <w:tcPr>
                  <w:tcW w:w="1713" w:type="pct"/>
                  <w:vAlign w:val="center"/>
                </w:tcPr>
                <w:p w14:paraId="76767F31">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lang w:eastAsia="zh-CN"/>
                    </w:rPr>
                    <w:t>本项目不新建燃料类煤气发生炉。</w:t>
                  </w:r>
                </w:p>
              </w:tc>
              <w:tc>
                <w:tcPr>
                  <w:tcW w:w="435" w:type="pct"/>
                  <w:vAlign w:val="center"/>
                </w:tcPr>
                <w:p w14:paraId="3AFA7190">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14:paraId="59EE8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trPr>
              <w:tc>
                <w:tcPr>
                  <w:tcW w:w="443" w:type="pct"/>
                  <w:vMerge w:val="continue"/>
                  <w:vAlign w:val="center"/>
                </w:tcPr>
                <w:p w14:paraId="15689F4F">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18"/>
                      <w:szCs w:val="18"/>
                      <w:lang w:val="en-US" w:eastAsia="zh-CN" w:bidi="ar-SA"/>
                    </w:rPr>
                  </w:pPr>
                </w:p>
              </w:tc>
              <w:tc>
                <w:tcPr>
                  <w:tcW w:w="2408" w:type="pct"/>
                  <w:shd w:val="clear" w:color="auto" w:fill="auto"/>
                  <w:vAlign w:val="center"/>
                </w:tcPr>
                <w:p w14:paraId="69B45AF6">
                  <w:pPr>
                    <w:keepNext w:val="0"/>
                    <w:keepLines w:val="0"/>
                    <w:pageBreakBefore w:val="0"/>
                    <w:widowControl w:val="0"/>
                    <w:tabs>
                      <w:tab w:val="left" w:pos="1830"/>
                    </w:tabs>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vertAlign w:val="baseline"/>
                      <w:lang w:val="en-US" w:eastAsia="zh-CN" w:bidi="ar-SA"/>
                    </w:rPr>
                  </w:pPr>
                  <w:r>
                    <w:rPr>
                      <w:rFonts w:hint="default" w:ascii="Times New Roman" w:hAnsi="Times New Roman" w:eastAsia="宋体" w:cs="Times New Roman"/>
                      <w:color w:val="auto"/>
                      <w:sz w:val="18"/>
                      <w:szCs w:val="18"/>
                    </w:rPr>
                    <w:t>严禁新增钢铁、焦化、电解铝、铸造、水泥和平板玻璃等产能；严格执行钢铁、水泥、平板玻璃等行业产能置换实施办法。</w:t>
                  </w:r>
                </w:p>
              </w:tc>
              <w:tc>
                <w:tcPr>
                  <w:tcW w:w="1713" w:type="pct"/>
                  <w:vAlign w:val="center"/>
                </w:tcPr>
                <w:p w14:paraId="47127139">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rPr>
                    <w:t>本项目</w:t>
                  </w:r>
                  <w:r>
                    <w:rPr>
                      <w:rFonts w:hint="default" w:ascii="Times New Roman" w:hAnsi="Times New Roman" w:eastAsia="宋体" w:cs="Times New Roman"/>
                      <w:color w:val="auto"/>
                      <w:sz w:val="18"/>
                      <w:szCs w:val="18"/>
                      <w:lang w:eastAsia="zh-CN"/>
                    </w:rPr>
                    <w:t>不属于上述行业。</w:t>
                  </w:r>
                </w:p>
              </w:tc>
              <w:tc>
                <w:tcPr>
                  <w:tcW w:w="435" w:type="pct"/>
                  <w:vAlign w:val="center"/>
                </w:tcPr>
                <w:p w14:paraId="298E7A17">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符合</w:t>
                  </w:r>
                </w:p>
              </w:tc>
            </w:tr>
            <w:tr w14:paraId="1B6E2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trPr>
              <w:tc>
                <w:tcPr>
                  <w:tcW w:w="443" w:type="pct"/>
                  <w:vMerge w:val="continue"/>
                  <w:vAlign w:val="center"/>
                </w:tcPr>
                <w:p w14:paraId="3AE62E89">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0"/>
                      <w:sz w:val="18"/>
                      <w:szCs w:val="18"/>
                      <w:lang w:val="en-US" w:eastAsia="zh-CN" w:bidi="ar-SA"/>
                    </w:rPr>
                  </w:pPr>
                </w:p>
              </w:tc>
              <w:tc>
                <w:tcPr>
                  <w:tcW w:w="2408" w:type="pct"/>
                  <w:shd w:val="clear" w:color="auto" w:fill="auto"/>
                  <w:vAlign w:val="center"/>
                </w:tcPr>
                <w:p w14:paraId="2CA1A0E4">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val="en-US" w:eastAsia="zh-CN" w:bidi="ar-SA"/>
                    </w:rPr>
                    <w:t>严格执行国家关于“两高”产业准入目录和产能总量控制政策措施。严禁新增钢铁、焦化、电解铝、铸造、水泥和平板玻璃等产能；新、改、扩建涉及大宗物料运输的建设项目，原则上不得采用公路运输。</w:t>
                  </w:r>
                </w:p>
              </w:tc>
              <w:tc>
                <w:tcPr>
                  <w:tcW w:w="1713" w:type="pct"/>
                  <w:vAlign w:val="center"/>
                </w:tcPr>
                <w:p w14:paraId="0F486F33">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rPr>
                    <w:t>对照《安徽省“两高”项目管理目录》</w:t>
                  </w:r>
                  <w:r>
                    <w:rPr>
                      <w:rFonts w:hint="default" w:ascii="Times New Roman" w:hAnsi="Times New Roman" w:eastAsia="宋体" w:cs="Times New Roman"/>
                      <w:color w:val="auto"/>
                      <w:sz w:val="18"/>
                      <w:szCs w:val="18"/>
                      <w:lang w:eastAsia="zh-CN"/>
                    </w:rPr>
                    <w:t>（</w:t>
                  </w:r>
                  <w:r>
                    <w:rPr>
                      <w:rFonts w:hint="default" w:ascii="Times New Roman" w:hAnsi="Times New Roman" w:eastAsia="宋体" w:cs="Times New Roman"/>
                      <w:color w:val="auto"/>
                      <w:sz w:val="18"/>
                      <w:szCs w:val="18"/>
                    </w:rPr>
                    <w:t>2022年试行</w:t>
                  </w:r>
                  <w:r>
                    <w:rPr>
                      <w:rFonts w:hint="default" w:ascii="Times New Roman" w:hAnsi="Times New Roman" w:eastAsia="宋体" w:cs="Times New Roman"/>
                      <w:color w:val="auto"/>
                      <w:sz w:val="18"/>
                      <w:szCs w:val="18"/>
                      <w:lang w:eastAsia="zh-CN"/>
                    </w:rPr>
                    <w:t>）</w:t>
                  </w:r>
                  <w:r>
                    <w:rPr>
                      <w:rFonts w:hint="default" w:ascii="Times New Roman" w:hAnsi="Times New Roman" w:eastAsia="宋体" w:cs="Times New Roman"/>
                      <w:color w:val="auto"/>
                      <w:sz w:val="18"/>
                      <w:szCs w:val="18"/>
                    </w:rPr>
                    <w:t>，本项目不在安徽省两高目录范围内，不属于高耗能高污染项目</w:t>
                  </w:r>
                  <w:r>
                    <w:rPr>
                      <w:rFonts w:hint="default" w:ascii="Times New Roman" w:hAnsi="Times New Roman" w:eastAsia="宋体" w:cs="Times New Roman"/>
                      <w:color w:val="auto"/>
                      <w:sz w:val="18"/>
                      <w:szCs w:val="18"/>
                      <w:lang w:eastAsia="zh-CN"/>
                    </w:rPr>
                    <w:t>。</w:t>
                  </w:r>
                </w:p>
              </w:tc>
              <w:tc>
                <w:tcPr>
                  <w:tcW w:w="435" w:type="pct"/>
                  <w:vAlign w:val="center"/>
                </w:tcPr>
                <w:p w14:paraId="3B2CD736">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lang w:eastAsia="zh-CN"/>
                    </w:rPr>
                    <w:t>符合</w:t>
                  </w:r>
                </w:p>
              </w:tc>
            </w:tr>
            <w:tr w14:paraId="0563C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trPr>
              <w:tc>
                <w:tcPr>
                  <w:tcW w:w="443" w:type="pct"/>
                  <w:vMerge w:val="continue"/>
                  <w:vAlign w:val="center"/>
                </w:tcPr>
                <w:p w14:paraId="1480221B">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p>
              </w:tc>
              <w:tc>
                <w:tcPr>
                  <w:tcW w:w="2408" w:type="pct"/>
                  <w:shd w:val="clear" w:color="auto" w:fill="auto"/>
                  <w:vAlign w:val="center"/>
                </w:tcPr>
                <w:p w14:paraId="487726D0">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val="en-US" w:eastAsia="zh-CN" w:bidi="ar-SA"/>
                    </w:rPr>
                    <w:t>禁止建设生产和使用高挥发性有机物含量涂料、油墨、胶粘剂、清洗剂等项目。</w:t>
                  </w:r>
                </w:p>
              </w:tc>
              <w:tc>
                <w:tcPr>
                  <w:tcW w:w="1713" w:type="pct"/>
                  <w:vAlign w:val="center"/>
                </w:tcPr>
                <w:p w14:paraId="200C195C">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kern w:val="0"/>
                      <w:sz w:val="18"/>
                      <w:szCs w:val="18"/>
                      <w:lang w:val="en-US" w:eastAsia="zh-CN" w:bidi="ar-SA"/>
                    </w:rPr>
                  </w:pPr>
                  <w:r>
                    <w:rPr>
                      <w:rFonts w:hint="default" w:ascii="Times New Roman" w:hAnsi="Times New Roman" w:eastAsia="宋体" w:cs="Times New Roman"/>
                      <w:color w:val="auto"/>
                      <w:kern w:val="0"/>
                      <w:sz w:val="18"/>
                      <w:szCs w:val="18"/>
                      <w:lang w:val="en-US" w:eastAsia="zh-CN" w:bidi="ar-SA"/>
                    </w:rPr>
                    <w:t>本项目不涉及生产和使用高挥发性有机物含量涂料、油墨、胶粘剂、清洗剂等。</w:t>
                  </w:r>
                </w:p>
              </w:tc>
              <w:tc>
                <w:tcPr>
                  <w:tcW w:w="435" w:type="pct"/>
                  <w:vAlign w:val="center"/>
                </w:tcPr>
                <w:p w14:paraId="36479995">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符合</w:t>
                  </w:r>
                </w:p>
              </w:tc>
            </w:tr>
            <w:tr w14:paraId="66A2EA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trPr>
              <w:tc>
                <w:tcPr>
                  <w:tcW w:w="443" w:type="pct"/>
                  <w:vMerge w:val="continue"/>
                  <w:vAlign w:val="center"/>
                </w:tcPr>
                <w:p w14:paraId="63464A6C">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p>
              </w:tc>
              <w:tc>
                <w:tcPr>
                  <w:tcW w:w="2408" w:type="pct"/>
                  <w:shd w:val="clear" w:color="auto" w:fill="auto"/>
                  <w:vAlign w:val="center"/>
                </w:tcPr>
                <w:p w14:paraId="2D2FEDC6">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val="en-US" w:eastAsia="zh-CN" w:bidi="ar"/>
                    </w:rPr>
                    <w:t>禁止新建不符合国家规定的燃煤发电机组、燃油发电机组和燃煤热电机组。</w:t>
                  </w:r>
                </w:p>
              </w:tc>
              <w:tc>
                <w:tcPr>
                  <w:tcW w:w="1713" w:type="pct"/>
                  <w:vAlign w:val="center"/>
                </w:tcPr>
                <w:p w14:paraId="33F48CF7">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lang w:eastAsia="zh-CN"/>
                    </w:rPr>
                    <w:t>本项目不新建燃煤发电机组、燃油发电机组和燃煤热电机组。</w:t>
                  </w:r>
                </w:p>
              </w:tc>
              <w:tc>
                <w:tcPr>
                  <w:tcW w:w="435" w:type="pct"/>
                  <w:vAlign w:val="center"/>
                </w:tcPr>
                <w:p w14:paraId="581595E0">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符合</w:t>
                  </w:r>
                </w:p>
              </w:tc>
            </w:tr>
            <w:tr w14:paraId="78094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trPr>
              <w:tc>
                <w:tcPr>
                  <w:tcW w:w="443" w:type="pct"/>
                  <w:vMerge w:val="continue"/>
                  <w:vAlign w:val="center"/>
                </w:tcPr>
                <w:p w14:paraId="16E4359B">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p>
              </w:tc>
              <w:tc>
                <w:tcPr>
                  <w:tcW w:w="2408" w:type="pct"/>
                  <w:shd w:val="clear" w:color="auto" w:fill="auto"/>
                  <w:vAlign w:val="center"/>
                </w:tcPr>
                <w:p w14:paraId="23940B3B">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在城市规划区内禁止新建、扩建大气污染严重的建设项目。</w:t>
                  </w:r>
                </w:p>
              </w:tc>
              <w:tc>
                <w:tcPr>
                  <w:tcW w:w="1713" w:type="pct"/>
                  <w:vAlign w:val="center"/>
                </w:tcPr>
                <w:p w14:paraId="25D1B7F9">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vertAlign w:val="baseline"/>
                      <w:lang w:val="en-US" w:eastAsia="zh-CN"/>
                    </w:rPr>
                    <w:t>本项目产生废气经配套相应污染防治措施，可以确保达标排放。</w:t>
                  </w:r>
                </w:p>
              </w:tc>
              <w:tc>
                <w:tcPr>
                  <w:tcW w:w="435" w:type="pct"/>
                  <w:vAlign w:val="center"/>
                </w:tcPr>
                <w:p w14:paraId="2C9A65EF">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符合</w:t>
                  </w:r>
                </w:p>
              </w:tc>
            </w:tr>
            <w:tr w14:paraId="14D05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trPr>
              <w:tc>
                <w:tcPr>
                  <w:tcW w:w="443" w:type="pct"/>
                  <w:vMerge w:val="continue"/>
                  <w:vAlign w:val="center"/>
                </w:tcPr>
                <w:p w14:paraId="5BC031CD">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p>
              </w:tc>
              <w:tc>
                <w:tcPr>
                  <w:tcW w:w="2408" w:type="pct"/>
                  <w:shd w:val="clear" w:color="auto" w:fill="auto"/>
                  <w:vAlign w:val="center"/>
                </w:tcPr>
                <w:p w14:paraId="7F61D61A">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kern w:val="0"/>
                      <w:sz w:val="18"/>
                      <w:szCs w:val="18"/>
                      <w:lang w:val="en-US" w:eastAsia="zh-CN" w:bidi="ar"/>
                    </w:rPr>
                  </w:pPr>
                  <w:r>
                    <w:rPr>
                      <w:rFonts w:hint="default" w:ascii="Times New Roman" w:hAnsi="Times New Roman" w:eastAsia="宋体" w:cs="Times New Roman"/>
                      <w:color w:val="auto"/>
                      <w:kern w:val="0"/>
                      <w:sz w:val="18"/>
                      <w:szCs w:val="18"/>
                      <w:lang w:val="en-US" w:eastAsia="zh-CN" w:bidi="ar"/>
                    </w:rPr>
                    <w:t>禁止淘汰落后类的产业进入开发区。</w:t>
                  </w:r>
                </w:p>
              </w:tc>
              <w:tc>
                <w:tcPr>
                  <w:tcW w:w="1713" w:type="pct"/>
                  <w:vAlign w:val="center"/>
                </w:tcPr>
                <w:p w14:paraId="325AA80A">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vertAlign w:val="baseline"/>
                      <w:lang w:val="en-US" w:eastAsia="zh-CN"/>
                    </w:rPr>
                    <w:t>本项目不属于淘汰落后类产业。</w:t>
                  </w:r>
                </w:p>
              </w:tc>
              <w:tc>
                <w:tcPr>
                  <w:tcW w:w="435" w:type="pct"/>
                  <w:vAlign w:val="center"/>
                </w:tcPr>
                <w:p w14:paraId="45907203">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符合</w:t>
                  </w:r>
                </w:p>
              </w:tc>
            </w:tr>
            <w:tr w14:paraId="18993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79" w:hRule="atLeast"/>
              </w:trPr>
              <w:tc>
                <w:tcPr>
                  <w:tcW w:w="443" w:type="pct"/>
                  <w:vMerge w:val="continue"/>
                  <w:vAlign w:val="center"/>
                </w:tcPr>
                <w:p w14:paraId="7A807388">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p>
              </w:tc>
              <w:tc>
                <w:tcPr>
                  <w:tcW w:w="2408" w:type="pct"/>
                  <w:shd w:val="clear" w:color="auto" w:fill="auto"/>
                  <w:vAlign w:val="center"/>
                </w:tcPr>
                <w:p w14:paraId="7AEEBC99">
                  <w:pPr>
                    <w:keepNext w:val="0"/>
                    <w:keepLines w:val="0"/>
                    <w:pageBreakBefore w:val="0"/>
                    <w:widowControl w:val="0"/>
                    <w:tabs>
                      <w:tab w:val="left" w:pos="1830"/>
                    </w:tabs>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城市建成区排放污水的工业企业应依法持有排污许可证，并严格按证排污。排入城镇水体的工业污水应符合相关行业标准及地方标准要求，严禁任何企业、单位超标和超总量排污，对超标或超总量的排污单位一律限制生产或停产整顿。</w:t>
                  </w:r>
                </w:p>
              </w:tc>
              <w:tc>
                <w:tcPr>
                  <w:tcW w:w="1713" w:type="pct"/>
                  <w:vAlign w:val="center"/>
                </w:tcPr>
                <w:p w14:paraId="7FAE1768">
                  <w:pPr>
                    <w:keepNext w:val="0"/>
                    <w:keepLines w:val="0"/>
                    <w:pageBreakBefore w:val="0"/>
                    <w:widowControl w:val="0"/>
                    <w:tabs>
                      <w:tab w:val="left" w:pos="1830"/>
                    </w:tabs>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本项目目前积极履行环评手续，在实际排污前申领排污许可证，坚决不无证排污。</w:t>
                  </w:r>
                </w:p>
              </w:tc>
              <w:tc>
                <w:tcPr>
                  <w:tcW w:w="435" w:type="pct"/>
                  <w:vAlign w:val="center"/>
                </w:tcPr>
                <w:p w14:paraId="61049CC4">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符合</w:t>
                  </w:r>
                </w:p>
              </w:tc>
            </w:tr>
            <w:tr w14:paraId="00B3AE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407" w:hRule="atLeast"/>
              </w:trPr>
              <w:tc>
                <w:tcPr>
                  <w:tcW w:w="443" w:type="pct"/>
                  <w:vMerge w:val="continue"/>
                  <w:vAlign w:val="center"/>
                </w:tcPr>
                <w:p w14:paraId="07C47A70">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p>
              </w:tc>
              <w:tc>
                <w:tcPr>
                  <w:tcW w:w="2408" w:type="pct"/>
                  <w:shd w:val="clear" w:color="auto" w:fill="auto"/>
                  <w:vAlign w:val="center"/>
                </w:tcPr>
                <w:p w14:paraId="2F5F8360">
                  <w:pPr>
                    <w:keepNext w:val="0"/>
                    <w:keepLines w:val="0"/>
                    <w:pageBreakBefore w:val="0"/>
                    <w:widowControl w:val="0"/>
                    <w:tabs>
                      <w:tab w:val="left" w:pos="1830"/>
                    </w:tabs>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vertAlign w:val="baseline"/>
                      <w:lang w:val="en-US" w:eastAsia="zh-CN"/>
                    </w:rPr>
                  </w:pPr>
                  <w:r>
                    <w:rPr>
                      <w:rFonts w:hint="default" w:ascii="Times New Roman" w:hAnsi="Times New Roman" w:eastAsia="宋体" w:cs="Times New Roman"/>
                      <w:color w:val="auto"/>
                      <w:sz w:val="18"/>
                      <w:szCs w:val="18"/>
                      <w:vertAlign w:val="baseline"/>
                      <w:lang w:val="en-US" w:eastAsia="zh-CN"/>
                    </w:rPr>
                    <w:t>严格限制在淮河流域新建印染、制革、化工、电镀、酿造等大中型项目或者其他污染严重的项目；建设该类项目的，应当事前征得省人民政府生态环境行政主管部门的同意，并按照规定办理有关手续。</w:t>
                  </w:r>
                </w:p>
              </w:tc>
              <w:tc>
                <w:tcPr>
                  <w:tcW w:w="1713" w:type="pct"/>
                  <w:vAlign w:val="center"/>
                </w:tcPr>
                <w:p w14:paraId="0399867C">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default" w:ascii="Times New Roman" w:hAnsi="Times New Roman" w:eastAsia="宋体" w:cs="Times New Roman"/>
                      <w:color w:val="auto"/>
                      <w:kern w:val="0"/>
                      <w:sz w:val="18"/>
                      <w:szCs w:val="18"/>
                      <w:vertAlign w:val="baseline"/>
                      <w:lang w:val="en-US" w:eastAsia="zh-CN" w:bidi="ar-SA"/>
                    </w:rPr>
                  </w:pPr>
                  <w:r>
                    <w:rPr>
                      <w:rFonts w:hint="default" w:ascii="Times New Roman" w:hAnsi="Times New Roman" w:eastAsia="宋体" w:cs="Times New Roman"/>
                      <w:color w:val="auto"/>
                      <w:kern w:val="0"/>
                      <w:sz w:val="18"/>
                      <w:szCs w:val="18"/>
                      <w:vertAlign w:val="baseline"/>
                      <w:lang w:val="en-US" w:eastAsia="zh-CN" w:bidi="ar-SA"/>
                    </w:rPr>
                    <w:t>本项目不属于印染、制革、化工、电镀、酿造等大中型项目或者其他污染严重的项目。</w:t>
                  </w:r>
                </w:p>
              </w:tc>
              <w:tc>
                <w:tcPr>
                  <w:tcW w:w="435" w:type="pct"/>
                  <w:vAlign w:val="center"/>
                </w:tcPr>
                <w:p w14:paraId="79FEF230">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符合</w:t>
                  </w:r>
                </w:p>
              </w:tc>
            </w:tr>
            <w:tr w14:paraId="33749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823" w:hRule="atLeast"/>
              </w:trPr>
              <w:tc>
                <w:tcPr>
                  <w:tcW w:w="443" w:type="pct"/>
                  <w:vMerge w:val="restart"/>
                  <w:vAlign w:val="center"/>
                </w:tcPr>
                <w:p w14:paraId="0AAE9742">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lang w:eastAsia="zh-CN"/>
                    </w:rPr>
                    <w:t>污染物排放管控</w:t>
                  </w:r>
                </w:p>
              </w:tc>
              <w:tc>
                <w:tcPr>
                  <w:tcW w:w="2408" w:type="pct"/>
                  <w:shd w:val="clear" w:color="auto" w:fill="auto"/>
                  <w:vAlign w:val="center"/>
                </w:tcPr>
                <w:p w14:paraId="016C87C3">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val="en-US" w:eastAsia="zh-CN" w:bidi="ar"/>
                    </w:rPr>
                    <w:t>新建、改建、扩建排放重点大气污染物的项目不符合总量控制要求的，不得通过环境影响评价。</w:t>
                  </w:r>
                </w:p>
              </w:tc>
              <w:tc>
                <w:tcPr>
                  <w:tcW w:w="1713" w:type="pct"/>
                  <w:vAlign w:val="center"/>
                </w:tcPr>
                <w:p w14:paraId="1C85F7E1">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eastAsia="zh-CN"/>
                    </w:rPr>
                    <w:t>本项目属于新建项目，所产生的废气经废气处理设施处理达标后无组织排放，不涉及总量申请。</w:t>
                  </w:r>
                </w:p>
              </w:tc>
              <w:tc>
                <w:tcPr>
                  <w:tcW w:w="435" w:type="pct"/>
                  <w:vAlign w:val="center"/>
                </w:tcPr>
                <w:p w14:paraId="6AB9DF74">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符合</w:t>
                  </w:r>
                </w:p>
              </w:tc>
            </w:tr>
            <w:tr w14:paraId="328233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73" w:hRule="atLeast"/>
              </w:trPr>
              <w:tc>
                <w:tcPr>
                  <w:tcW w:w="443" w:type="pct"/>
                  <w:vMerge w:val="continue"/>
                  <w:vAlign w:val="center"/>
                </w:tcPr>
                <w:p w14:paraId="3E0BE737">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p>
              </w:tc>
              <w:tc>
                <w:tcPr>
                  <w:tcW w:w="2408" w:type="pct"/>
                  <w:shd w:val="clear" w:color="auto" w:fill="auto"/>
                  <w:vAlign w:val="center"/>
                </w:tcPr>
                <w:p w14:paraId="451767BB">
                  <w:pPr>
                    <w:keepNext w:val="0"/>
                    <w:keepLines w:val="0"/>
                    <w:pageBreakBefore w:val="0"/>
                    <w:widowControl w:val="0"/>
                    <w:tabs>
                      <w:tab w:val="left" w:pos="1830"/>
                    </w:tabs>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vertAlign w:val="baseline"/>
                      <w:lang w:val="en-US" w:eastAsia="zh-CN"/>
                    </w:rPr>
                    <w:t>开展经济技术开发区、高新技术产业开发区、出口加工区等工业集聚区水污染治理设施排查和污染治理，全面推行工业集聚区企业废水量、水污染物纳管总量双控制度。集聚区内工业废水必须经预处理达到集中处理要求，方可进入污水集中处理设施。</w:t>
                  </w:r>
                </w:p>
              </w:tc>
              <w:tc>
                <w:tcPr>
                  <w:tcW w:w="1713" w:type="pct"/>
                  <w:vAlign w:val="center"/>
                </w:tcPr>
                <w:p w14:paraId="7409A14B">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eastAsia="zh-CN"/>
                    </w:rPr>
                    <w:t>本项目废水经预处理达标后由园区污水管网接入市政污水管网，纳管至淮南经济技术开发区工业污水处理厂集中处理。</w:t>
                  </w:r>
                </w:p>
              </w:tc>
              <w:tc>
                <w:tcPr>
                  <w:tcW w:w="435" w:type="pct"/>
                  <w:vAlign w:val="center"/>
                </w:tcPr>
                <w:p w14:paraId="0CF3A68B">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符合</w:t>
                  </w:r>
                </w:p>
              </w:tc>
            </w:tr>
            <w:tr w14:paraId="6AB2E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1550" w:hRule="atLeast"/>
              </w:trPr>
              <w:tc>
                <w:tcPr>
                  <w:tcW w:w="443" w:type="pct"/>
                  <w:vAlign w:val="center"/>
                </w:tcPr>
                <w:p w14:paraId="0A96D7FE">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lang w:eastAsia="zh-CN"/>
                    </w:rPr>
                  </w:pPr>
                  <w:r>
                    <w:rPr>
                      <w:rFonts w:hint="default" w:ascii="Times New Roman" w:hAnsi="Times New Roman" w:eastAsia="宋体" w:cs="Times New Roman"/>
                      <w:color w:val="auto"/>
                      <w:sz w:val="18"/>
                      <w:szCs w:val="18"/>
                      <w:lang w:eastAsia="zh-CN"/>
                    </w:rPr>
                    <w:t>资源开发效率要求</w:t>
                  </w:r>
                </w:p>
              </w:tc>
              <w:tc>
                <w:tcPr>
                  <w:tcW w:w="2408" w:type="pct"/>
                  <w:shd w:val="clear" w:color="auto" w:fill="auto"/>
                  <w:vAlign w:val="center"/>
                </w:tcPr>
                <w:p w14:paraId="6CD22AD5">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kern w:val="0"/>
                      <w:sz w:val="18"/>
                      <w:szCs w:val="18"/>
                      <w:lang w:val="en-US" w:eastAsia="zh-CN" w:bidi="ar"/>
                    </w:rPr>
                    <w:t>实施“煤改气”和“以电代煤”。在陶瓷、玻璃、铸造等行业积极推进天然气替代煤气化工程，有序实施燃煤设施煤改气。结合区域和行业用能特点，积极推进工业生产、建筑供暖供冷、交通运输、农业生产、居民生活五大领域实施“以电代煤”，着力提高电能占终端能源消费比重。</w:t>
                  </w:r>
                </w:p>
              </w:tc>
              <w:tc>
                <w:tcPr>
                  <w:tcW w:w="1713" w:type="pct"/>
                  <w:vAlign w:val="center"/>
                </w:tcPr>
                <w:p w14:paraId="625E2DE8">
                  <w:pPr>
                    <w:pStyle w:val="286"/>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line="240" w:lineRule="auto"/>
                    <w:ind w:left="0" w:leftChars="0" w:right="0" w:rightChars="0" w:firstLine="0" w:firstLineChars="0"/>
                    <w:jc w:val="both"/>
                    <w:textAlignment w:val="auto"/>
                    <w:rPr>
                      <w:rFonts w:hint="eastAsia" w:ascii="Times New Roman" w:hAnsi="Times New Roman" w:eastAsia="宋体" w:cs="Times New Roman"/>
                      <w:color w:val="auto"/>
                      <w:sz w:val="18"/>
                      <w:szCs w:val="18"/>
                      <w:lang w:eastAsia="zh-CN"/>
                    </w:rPr>
                  </w:pPr>
                  <w:r>
                    <w:rPr>
                      <w:rFonts w:hint="eastAsia" w:ascii="Times New Roman" w:hAnsi="Times New Roman" w:eastAsia="宋体" w:cs="Times New Roman"/>
                      <w:color w:val="auto"/>
                      <w:sz w:val="18"/>
                      <w:szCs w:val="18"/>
                      <w:lang w:eastAsia="zh-CN"/>
                    </w:rPr>
                    <w:t>本项目不新建锅炉，生产过程中涉及到的主要能源为电能、水和蒸汽。</w:t>
                  </w:r>
                  <w:r>
                    <w:rPr>
                      <w:rFonts w:hint="eastAsia" w:ascii="Times New Roman" w:hAnsi="Times New Roman" w:eastAsia="宋体" w:cs="Times New Roman"/>
                      <w:color w:val="auto"/>
                      <w:sz w:val="18"/>
                      <w:szCs w:val="18"/>
                      <w:lang w:val="en-US" w:eastAsia="zh-CN"/>
                    </w:rPr>
                    <w:t>用水采用市政供水管网供水，</w:t>
                  </w:r>
                  <w:r>
                    <w:rPr>
                      <w:rFonts w:hint="eastAsia" w:ascii="Times New Roman" w:hAnsi="Times New Roman" w:eastAsia="宋体" w:cs="Times New Roman"/>
                      <w:color w:val="auto"/>
                      <w:sz w:val="18"/>
                      <w:szCs w:val="18"/>
                      <w:lang w:eastAsia="zh-CN"/>
                    </w:rPr>
                    <w:t>蒸汽通过园区供汽管网统一提供</w:t>
                  </w:r>
                  <w:r>
                    <w:rPr>
                      <w:rFonts w:hint="eastAsia" w:ascii="Times New Roman" w:hAnsi="Times New Roman" w:eastAsia="宋体" w:cs="Times New Roman"/>
                      <w:color w:val="auto"/>
                      <w:sz w:val="18"/>
                      <w:szCs w:val="18"/>
                      <w:lang w:val="en-US" w:eastAsia="zh-CN"/>
                    </w:rPr>
                    <w:t>，不突破资源利用上限。</w:t>
                  </w:r>
                </w:p>
              </w:tc>
              <w:tc>
                <w:tcPr>
                  <w:tcW w:w="435" w:type="pct"/>
                  <w:vAlign w:val="center"/>
                </w:tcPr>
                <w:p w14:paraId="7CE9EFEB">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lang w:eastAsia="zh-CN"/>
                    </w:rPr>
                    <w:t>符合</w:t>
                  </w:r>
                </w:p>
              </w:tc>
            </w:tr>
          </w:tbl>
          <w:p w14:paraId="2F4F3755">
            <w:pPr>
              <w:pStyle w:val="76"/>
              <w:shd w:val="clear" w:color="auto" w:fill="auto"/>
              <w:spacing w:before="120" w:beforeLines="50" w:after="0" w:line="360" w:lineRule="auto"/>
              <w:ind w:firstLine="480" w:firstLineChars="200"/>
              <w:rPr>
                <w:rFonts w:ascii="Times New Roman" w:cs="Times New Roman"/>
                <w:color w:val="auto"/>
                <w:highlight w:val="none"/>
              </w:rPr>
            </w:pPr>
            <w:r>
              <w:rPr>
                <w:rFonts w:ascii="Times New Roman" w:cs="Times New Roman"/>
                <w:color w:val="auto"/>
              </w:rPr>
              <w:t>综上所述，项目运营过程中会产生一定的污染物，采取相应的污染防治措施后，各类污染物的排放对周围环境造成的影响较小，不会降低当地环境质量，不会触碰</w:t>
            </w:r>
            <w:r>
              <w:rPr>
                <w:rFonts w:ascii="Times New Roman" w:cs="Times New Roman"/>
                <w:color w:val="auto"/>
                <w:highlight w:val="none"/>
              </w:rPr>
              <w:t>区域环境质量底线本项目符合“三线一单”管控单元的管理要求。</w:t>
            </w:r>
          </w:p>
          <w:p w14:paraId="0D0A8A74">
            <w:pPr>
              <w:pStyle w:val="598"/>
              <w:framePr w:hSpace="0" w:wrap="auto" w:vAnchor="margin" w:hAnchor="text" w:xAlign="left" w:yAlign="inline"/>
              <w:rPr>
                <w:color w:val="auto"/>
                <w:highlight w:val="none"/>
              </w:rPr>
            </w:pPr>
            <w:r>
              <w:rPr>
                <w:color w:val="auto"/>
                <w:highlight w:val="none"/>
              </w:rPr>
              <w:t>1.</w:t>
            </w:r>
            <w:r>
              <w:rPr>
                <w:rFonts w:hint="eastAsia"/>
                <w:color w:val="auto"/>
                <w:highlight w:val="none"/>
              </w:rPr>
              <w:t>8</w:t>
            </w:r>
            <w:r>
              <w:rPr>
                <w:bCs/>
                <w:color w:val="auto"/>
                <w:highlight w:val="none"/>
              </w:rPr>
              <w:t>与地方及行业环保管理要求的相符性分析</w:t>
            </w:r>
          </w:p>
          <w:p w14:paraId="2588146B">
            <w:pPr>
              <w:pStyle w:val="669"/>
              <w:rPr>
                <w:color w:val="auto"/>
                <w:highlight w:val="none"/>
              </w:rPr>
            </w:pPr>
            <w:r>
              <w:rPr>
                <w:rFonts w:hint="eastAsia"/>
                <w:color w:val="auto"/>
                <w:highlight w:val="none"/>
                <w:lang w:val="en-US" w:eastAsia="zh-CN"/>
              </w:rPr>
              <w:t>1</w:t>
            </w:r>
            <w:r>
              <w:rPr>
                <w:rFonts w:hint="eastAsia"/>
                <w:color w:val="auto"/>
                <w:highlight w:val="none"/>
              </w:rPr>
              <w:t>、与《安徽省淮河流域水污染防治条例》的相符性分析</w:t>
            </w:r>
          </w:p>
          <w:p w14:paraId="70841819">
            <w:pPr>
              <w:pStyle w:val="180"/>
              <w:wordWrap/>
              <w:ind w:firstLine="480"/>
              <w:rPr>
                <w:color w:val="auto"/>
                <w:highlight w:val="none"/>
              </w:rPr>
            </w:pPr>
            <w:r>
              <w:rPr>
                <w:color w:val="auto"/>
                <w:highlight w:val="none"/>
              </w:rPr>
              <w:t>本项目距离淮河最近距离约</w:t>
            </w:r>
            <w:r>
              <w:rPr>
                <w:rFonts w:hint="eastAsia"/>
                <w:color w:val="auto"/>
                <w:highlight w:val="none"/>
                <w:lang w:val="en-US" w:eastAsia="zh-CN"/>
              </w:rPr>
              <w:t>6.08</w:t>
            </w:r>
            <w:r>
              <w:rPr>
                <w:color w:val="auto"/>
                <w:highlight w:val="none"/>
              </w:rPr>
              <w:t>km，对照《安徽省淮河流域水污染防治条例》（安徽省第十三届人民代表大会常务委员会第六次会议修订，2019.1.1），项目符合性分析见下表：</w:t>
            </w:r>
          </w:p>
          <w:p w14:paraId="6AFD9C65">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1</w:t>
            </w:r>
            <w:r>
              <w:rPr>
                <w:rFonts w:hint="eastAsia"/>
                <w:lang w:eastAsia="zh-CN"/>
              </w:rPr>
              <w:t>-</w:t>
            </w:r>
            <w:r>
              <w:fldChar w:fldCharType="begin"/>
            </w:r>
            <w:r>
              <w:instrText xml:space="preserve"> SEQ 表 \* ARABIC \s 1 </w:instrText>
            </w:r>
            <w:r>
              <w:fldChar w:fldCharType="separate"/>
            </w:r>
            <w:r>
              <w:t>9</w:t>
            </w:r>
            <w:r>
              <w:fldChar w:fldCharType="end"/>
            </w:r>
            <w:r>
              <w:rPr>
                <w:color w:val="auto"/>
                <w:highlight w:val="none"/>
              </w:rPr>
              <w:t xml:space="preserve"> 与《安徽省淮河流域水污染防治条例》</w:t>
            </w:r>
            <w:r>
              <w:rPr>
                <w:rFonts w:hint="eastAsia"/>
                <w:color w:val="auto"/>
                <w:highlight w:val="none"/>
              </w:rPr>
              <w:t>的</w:t>
            </w:r>
            <w:r>
              <w:rPr>
                <w:color w:val="auto"/>
                <w:highlight w:val="none"/>
              </w:rPr>
              <w:t>相符性分析</w:t>
            </w:r>
          </w:p>
          <w:tbl>
            <w:tblPr>
              <w:tblStyle w:val="57"/>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28" w:type="dxa"/>
                <w:bottom w:w="0" w:type="dxa"/>
                <w:right w:w="28" w:type="dxa"/>
              </w:tblCellMar>
            </w:tblPr>
            <w:tblGrid>
              <w:gridCol w:w="429"/>
              <w:gridCol w:w="288"/>
              <w:gridCol w:w="4115"/>
              <w:gridCol w:w="2744"/>
              <w:gridCol w:w="748"/>
            </w:tblGrid>
            <w:tr w14:paraId="792F0F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0" w:hRule="atLeast"/>
                <w:jc w:val="center"/>
              </w:trPr>
              <w:tc>
                <w:tcPr>
                  <w:tcW w:w="257" w:type="pct"/>
                  <w:vAlign w:val="center"/>
                </w:tcPr>
                <w:p w14:paraId="2E52A72B">
                  <w:pPr>
                    <w:widowControl/>
                    <w:spacing w:after="0"/>
                    <w:jc w:val="center"/>
                    <w:rPr>
                      <w:color w:val="auto"/>
                      <w:sz w:val="18"/>
                      <w:szCs w:val="18"/>
                      <w:highlight w:val="none"/>
                    </w:rPr>
                  </w:pPr>
                  <w:r>
                    <w:rPr>
                      <w:color w:val="auto"/>
                      <w:sz w:val="18"/>
                      <w:szCs w:val="18"/>
                      <w:highlight w:val="none"/>
                    </w:rPr>
                    <w:t>序号</w:t>
                  </w:r>
                </w:p>
              </w:tc>
              <w:tc>
                <w:tcPr>
                  <w:tcW w:w="172" w:type="pct"/>
                  <w:vAlign w:val="center"/>
                </w:tcPr>
                <w:p w14:paraId="33E3F57D">
                  <w:pPr>
                    <w:widowControl/>
                    <w:spacing w:after="0"/>
                    <w:jc w:val="center"/>
                    <w:rPr>
                      <w:color w:val="auto"/>
                      <w:sz w:val="18"/>
                      <w:szCs w:val="18"/>
                      <w:highlight w:val="none"/>
                    </w:rPr>
                  </w:pPr>
                  <w:r>
                    <w:rPr>
                      <w:color w:val="auto"/>
                      <w:sz w:val="18"/>
                      <w:szCs w:val="18"/>
                      <w:highlight w:val="none"/>
                    </w:rPr>
                    <w:t>条款</w:t>
                  </w:r>
                </w:p>
              </w:tc>
              <w:tc>
                <w:tcPr>
                  <w:tcW w:w="2471" w:type="pct"/>
                  <w:vAlign w:val="center"/>
                </w:tcPr>
                <w:p w14:paraId="4B4D8038">
                  <w:pPr>
                    <w:widowControl/>
                    <w:spacing w:after="0"/>
                    <w:jc w:val="center"/>
                    <w:rPr>
                      <w:color w:val="auto"/>
                      <w:sz w:val="18"/>
                      <w:szCs w:val="18"/>
                      <w:highlight w:val="none"/>
                    </w:rPr>
                  </w:pPr>
                  <w:r>
                    <w:rPr>
                      <w:color w:val="auto"/>
                      <w:sz w:val="18"/>
                      <w:szCs w:val="18"/>
                      <w:highlight w:val="none"/>
                    </w:rPr>
                    <w:t>条例内容</w:t>
                  </w:r>
                </w:p>
              </w:tc>
              <w:tc>
                <w:tcPr>
                  <w:tcW w:w="1648" w:type="pct"/>
                  <w:vAlign w:val="center"/>
                </w:tcPr>
                <w:p w14:paraId="773CCCF1">
                  <w:pPr>
                    <w:widowControl/>
                    <w:spacing w:after="0"/>
                    <w:jc w:val="center"/>
                    <w:rPr>
                      <w:color w:val="auto"/>
                      <w:sz w:val="18"/>
                      <w:szCs w:val="18"/>
                      <w:highlight w:val="none"/>
                    </w:rPr>
                  </w:pPr>
                  <w:r>
                    <w:rPr>
                      <w:rFonts w:hint="eastAsia"/>
                      <w:color w:val="auto"/>
                      <w:sz w:val="18"/>
                      <w:szCs w:val="18"/>
                      <w:highlight w:val="none"/>
                    </w:rPr>
                    <w:t>本</w:t>
                  </w:r>
                  <w:r>
                    <w:rPr>
                      <w:color w:val="auto"/>
                      <w:sz w:val="18"/>
                      <w:szCs w:val="18"/>
                      <w:highlight w:val="none"/>
                    </w:rPr>
                    <w:t>项目建设情况</w:t>
                  </w:r>
                </w:p>
              </w:tc>
              <w:tc>
                <w:tcPr>
                  <w:tcW w:w="449" w:type="pct"/>
                  <w:vAlign w:val="center"/>
                </w:tcPr>
                <w:p w14:paraId="728F2944">
                  <w:pPr>
                    <w:widowControl/>
                    <w:spacing w:after="0"/>
                    <w:jc w:val="center"/>
                    <w:rPr>
                      <w:color w:val="auto"/>
                      <w:sz w:val="18"/>
                      <w:szCs w:val="18"/>
                      <w:highlight w:val="none"/>
                    </w:rPr>
                  </w:pPr>
                  <w:r>
                    <w:rPr>
                      <w:rFonts w:hint="eastAsia"/>
                      <w:color w:val="auto"/>
                      <w:sz w:val="18"/>
                      <w:szCs w:val="18"/>
                      <w:highlight w:val="none"/>
                    </w:rPr>
                    <w:t>相符性</w:t>
                  </w:r>
                </w:p>
              </w:tc>
            </w:tr>
            <w:tr w14:paraId="04A5B8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90" w:hRule="atLeast"/>
                <w:jc w:val="center"/>
              </w:trPr>
              <w:tc>
                <w:tcPr>
                  <w:tcW w:w="257" w:type="pct"/>
                  <w:vAlign w:val="center"/>
                </w:tcPr>
                <w:p w14:paraId="1D6B4269">
                  <w:pPr>
                    <w:widowControl/>
                    <w:spacing w:after="0"/>
                    <w:jc w:val="center"/>
                    <w:rPr>
                      <w:color w:val="auto"/>
                      <w:sz w:val="18"/>
                      <w:szCs w:val="18"/>
                      <w:highlight w:val="none"/>
                    </w:rPr>
                  </w:pPr>
                  <w:r>
                    <w:rPr>
                      <w:rFonts w:hint="eastAsia"/>
                      <w:color w:val="auto"/>
                      <w:sz w:val="18"/>
                      <w:szCs w:val="18"/>
                      <w:highlight w:val="none"/>
                    </w:rPr>
                    <w:t>1</w:t>
                  </w:r>
                </w:p>
              </w:tc>
              <w:tc>
                <w:tcPr>
                  <w:tcW w:w="172" w:type="pct"/>
                  <w:vAlign w:val="center"/>
                </w:tcPr>
                <w:p w14:paraId="36DF8199">
                  <w:pPr>
                    <w:widowControl/>
                    <w:spacing w:after="0"/>
                    <w:jc w:val="center"/>
                    <w:rPr>
                      <w:color w:val="auto"/>
                      <w:sz w:val="18"/>
                      <w:szCs w:val="18"/>
                      <w:highlight w:val="none"/>
                    </w:rPr>
                  </w:pPr>
                  <w:r>
                    <w:rPr>
                      <w:color w:val="auto"/>
                      <w:sz w:val="18"/>
                      <w:szCs w:val="18"/>
                      <w:highlight w:val="none"/>
                    </w:rPr>
                    <w:t>第十三条</w:t>
                  </w:r>
                </w:p>
              </w:tc>
              <w:tc>
                <w:tcPr>
                  <w:tcW w:w="2471" w:type="pct"/>
                  <w:vAlign w:val="center"/>
                </w:tcPr>
                <w:p w14:paraId="377BA10D">
                  <w:pPr>
                    <w:widowControl/>
                    <w:spacing w:after="0"/>
                    <w:rPr>
                      <w:color w:val="auto"/>
                      <w:sz w:val="18"/>
                      <w:szCs w:val="18"/>
                      <w:highlight w:val="none"/>
                    </w:rPr>
                  </w:pPr>
                  <w:r>
                    <w:rPr>
                      <w:color w:val="auto"/>
                      <w:sz w:val="18"/>
                      <w:szCs w:val="18"/>
                      <w:highlight w:val="none"/>
                    </w:rPr>
                    <w:t>严格限制在淮河流域新建印染、制革、化工、电镀、酿造等大中型项目或者其他污染严重的项目；建设该类项目的，应当事前征得省人民政府生态环境行政主管部门的同意，并按照规定办理有关手续</w:t>
                  </w:r>
                  <w:r>
                    <w:rPr>
                      <w:rFonts w:hint="eastAsia"/>
                      <w:color w:val="auto"/>
                      <w:sz w:val="18"/>
                      <w:szCs w:val="18"/>
                      <w:highlight w:val="none"/>
                    </w:rPr>
                    <w:t>。</w:t>
                  </w:r>
                </w:p>
              </w:tc>
              <w:tc>
                <w:tcPr>
                  <w:tcW w:w="1648" w:type="pct"/>
                  <w:vAlign w:val="center"/>
                </w:tcPr>
                <w:p w14:paraId="1CDE3ABA">
                  <w:pPr>
                    <w:widowControl/>
                    <w:spacing w:after="0"/>
                    <w:rPr>
                      <w:color w:val="auto"/>
                      <w:sz w:val="18"/>
                      <w:szCs w:val="18"/>
                      <w:highlight w:val="none"/>
                    </w:rPr>
                  </w:pPr>
                  <w:r>
                    <w:rPr>
                      <w:color w:val="auto"/>
                      <w:sz w:val="18"/>
                      <w:szCs w:val="18"/>
                      <w:highlight w:val="none"/>
                    </w:rPr>
                    <w:t>本项目属于</w:t>
                  </w:r>
                  <w:r>
                    <w:rPr>
                      <w:rFonts w:hint="eastAsia"/>
                      <w:color w:val="auto"/>
                      <w:sz w:val="18"/>
                      <w:szCs w:val="18"/>
                      <w:highlight w:val="none"/>
                      <w:lang w:eastAsia="zh-CN"/>
                    </w:rPr>
                    <w:t>C1431米、面制品制造</w:t>
                  </w:r>
                  <w:r>
                    <w:rPr>
                      <w:snapToGrid w:val="0"/>
                      <w:color w:val="auto"/>
                      <w:sz w:val="18"/>
                      <w:szCs w:val="18"/>
                      <w:highlight w:val="none"/>
                    </w:rPr>
                    <w:t>，不属于</w:t>
                  </w:r>
                  <w:r>
                    <w:rPr>
                      <w:color w:val="auto"/>
                      <w:sz w:val="18"/>
                      <w:szCs w:val="18"/>
                      <w:highlight w:val="none"/>
                    </w:rPr>
                    <w:t>印染、制革、化工、电镀、酿造等大中型项目或者其他污染严重的项目。</w:t>
                  </w:r>
                </w:p>
              </w:tc>
              <w:tc>
                <w:tcPr>
                  <w:tcW w:w="449" w:type="pct"/>
                  <w:vAlign w:val="center"/>
                </w:tcPr>
                <w:p w14:paraId="147FC498">
                  <w:pPr>
                    <w:widowControl/>
                    <w:spacing w:after="0"/>
                    <w:jc w:val="center"/>
                    <w:rPr>
                      <w:color w:val="auto"/>
                      <w:sz w:val="18"/>
                      <w:szCs w:val="18"/>
                      <w:highlight w:val="none"/>
                    </w:rPr>
                  </w:pPr>
                  <w:r>
                    <w:rPr>
                      <w:color w:val="auto"/>
                      <w:sz w:val="18"/>
                      <w:szCs w:val="18"/>
                      <w:highlight w:val="none"/>
                    </w:rPr>
                    <w:t>符合</w:t>
                  </w:r>
                </w:p>
              </w:tc>
            </w:tr>
            <w:tr w14:paraId="6B8599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0" w:hRule="atLeast"/>
                <w:jc w:val="center"/>
              </w:trPr>
              <w:tc>
                <w:tcPr>
                  <w:tcW w:w="257" w:type="pct"/>
                  <w:vMerge w:val="restart"/>
                  <w:vAlign w:val="center"/>
                </w:tcPr>
                <w:p w14:paraId="64A72343">
                  <w:pPr>
                    <w:widowControl/>
                    <w:spacing w:after="0"/>
                    <w:jc w:val="center"/>
                    <w:rPr>
                      <w:color w:val="auto"/>
                      <w:sz w:val="18"/>
                      <w:szCs w:val="18"/>
                    </w:rPr>
                  </w:pPr>
                  <w:r>
                    <w:rPr>
                      <w:rFonts w:hint="eastAsia"/>
                      <w:color w:val="auto"/>
                      <w:sz w:val="18"/>
                      <w:szCs w:val="18"/>
                    </w:rPr>
                    <w:t>2</w:t>
                  </w:r>
                </w:p>
              </w:tc>
              <w:tc>
                <w:tcPr>
                  <w:tcW w:w="172" w:type="pct"/>
                  <w:vMerge w:val="restart"/>
                  <w:vAlign w:val="center"/>
                </w:tcPr>
                <w:p w14:paraId="7B00BA32">
                  <w:pPr>
                    <w:widowControl/>
                    <w:spacing w:after="0"/>
                    <w:jc w:val="center"/>
                    <w:rPr>
                      <w:color w:val="auto"/>
                      <w:sz w:val="18"/>
                      <w:szCs w:val="18"/>
                    </w:rPr>
                  </w:pPr>
                  <w:r>
                    <w:rPr>
                      <w:color w:val="auto"/>
                      <w:sz w:val="18"/>
                      <w:szCs w:val="18"/>
                    </w:rPr>
                    <w:t>第十四</w:t>
                  </w:r>
                </w:p>
                <w:p w14:paraId="65F40FD7">
                  <w:pPr>
                    <w:widowControl/>
                    <w:spacing w:after="0"/>
                    <w:jc w:val="center"/>
                    <w:rPr>
                      <w:color w:val="auto"/>
                      <w:sz w:val="18"/>
                      <w:szCs w:val="18"/>
                    </w:rPr>
                  </w:pPr>
                  <w:r>
                    <w:rPr>
                      <w:color w:val="auto"/>
                      <w:sz w:val="18"/>
                      <w:szCs w:val="18"/>
                    </w:rPr>
                    <w:t>条</w:t>
                  </w:r>
                </w:p>
              </w:tc>
              <w:tc>
                <w:tcPr>
                  <w:tcW w:w="2471" w:type="pct"/>
                  <w:vAlign w:val="center"/>
                </w:tcPr>
                <w:p w14:paraId="5F1098B9">
                  <w:pPr>
                    <w:widowControl/>
                    <w:spacing w:after="0"/>
                    <w:rPr>
                      <w:color w:val="auto"/>
                      <w:sz w:val="18"/>
                      <w:szCs w:val="18"/>
                    </w:rPr>
                  </w:pPr>
                  <w:r>
                    <w:rPr>
                      <w:color w:val="auto"/>
                      <w:sz w:val="18"/>
                      <w:szCs w:val="18"/>
                    </w:rPr>
                    <w:t>新建、改建、扩建直接或者间接向水体排放污染物的建设项目和其他水上设施，应当依法进行环境影响评价。建设项目的水污染防治设施，应当符合经批准或者备案的环境影响评价文件的要求，并与主体工程同时设计、同时施工、同时投入使用</w:t>
                  </w:r>
                  <w:r>
                    <w:rPr>
                      <w:rFonts w:hint="eastAsia"/>
                      <w:color w:val="auto"/>
                      <w:sz w:val="18"/>
                      <w:szCs w:val="18"/>
                    </w:rPr>
                    <w:t>。</w:t>
                  </w:r>
                </w:p>
              </w:tc>
              <w:tc>
                <w:tcPr>
                  <w:tcW w:w="1648" w:type="pct"/>
                  <w:vAlign w:val="center"/>
                </w:tcPr>
                <w:p w14:paraId="1ABFE772">
                  <w:pPr>
                    <w:widowControl/>
                    <w:spacing w:after="0"/>
                    <w:rPr>
                      <w:color w:val="auto"/>
                      <w:sz w:val="18"/>
                      <w:szCs w:val="18"/>
                    </w:rPr>
                  </w:pPr>
                  <w:r>
                    <w:rPr>
                      <w:color w:val="auto"/>
                      <w:sz w:val="18"/>
                      <w:szCs w:val="18"/>
                    </w:rPr>
                    <w:t>本项目</w:t>
                  </w:r>
                  <w:r>
                    <w:rPr>
                      <w:rFonts w:hint="eastAsia"/>
                      <w:color w:val="auto"/>
                      <w:sz w:val="18"/>
                      <w:szCs w:val="18"/>
                    </w:rPr>
                    <w:t>生活污水</w:t>
                  </w:r>
                  <w:r>
                    <w:rPr>
                      <w:rFonts w:hint="eastAsia"/>
                      <w:color w:val="auto"/>
                      <w:sz w:val="18"/>
                      <w:szCs w:val="18"/>
                      <w:lang w:eastAsia="zh-CN"/>
                    </w:rPr>
                    <w:t>依托园区化粪池处理</w:t>
                  </w:r>
                  <w:r>
                    <w:rPr>
                      <w:color w:val="auto"/>
                      <w:sz w:val="18"/>
                      <w:szCs w:val="18"/>
                    </w:rPr>
                    <w:t>，</w:t>
                  </w:r>
                  <w:r>
                    <w:rPr>
                      <w:rFonts w:hint="eastAsia"/>
                      <w:color w:val="auto"/>
                      <w:sz w:val="18"/>
                      <w:szCs w:val="18"/>
                    </w:rPr>
                    <w:t>生产废水经</w:t>
                  </w:r>
                  <w:r>
                    <w:rPr>
                      <w:rFonts w:hint="eastAsia"/>
                      <w:color w:val="auto"/>
                      <w:sz w:val="18"/>
                      <w:szCs w:val="18"/>
                      <w:lang w:eastAsia="zh-CN"/>
                    </w:rPr>
                    <w:t>沉淀池预处理</w:t>
                  </w:r>
                  <w:r>
                    <w:rPr>
                      <w:rFonts w:hint="eastAsia"/>
                      <w:color w:val="auto"/>
                      <w:sz w:val="18"/>
                      <w:szCs w:val="18"/>
                    </w:rPr>
                    <w:t>，</w:t>
                  </w:r>
                  <w:r>
                    <w:rPr>
                      <w:color w:val="auto"/>
                      <w:sz w:val="18"/>
                      <w:szCs w:val="18"/>
                    </w:rPr>
                    <w:t>水污染防治设施与主体工程同时设计、同时施工、同时投入使用。</w:t>
                  </w:r>
                </w:p>
              </w:tc>
              <w:tc>
                <w:tcPr>
                  <w:tcW w:w="449" w:type="pct"/>
                  <w:vAlign w:val="center"/>
                </w:tcPr>
                <w:p w14:paraId="4F1ECC04">
                  <w:pPr>
                    <w:widowControl/>
                    <w:spacing w:after="0"/>
                    <w:jc w:val="center"/>
                    <w:rPr>
                      <w:color w:val="auto"/>
                      <w:sz w:val="18"/>
                      <w:szCs w:val="18"/>
                    </w:rPr>
                  </w:pPr>
                  <w:r>
                    <w:rPr>
                      <w:color w:val="auto"/>
                      <w:sz w:val="18"/>
                      <w:szCs w:val="18"/>
                    </w:rPr>
                    <w:t>符合</w:t>
                  </w:r>
                </w:p>
              </w:tc>
            </w:tr>
            <w:tr w14:paraId="4BEDD31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3131" w:hRule="atLeast"/>
                <w:jc w:val="center"/>
              </w:trPr>
              <w:tc>
                <w:tcPr>
                  <w:tcW w:w="257" w:type="pct"/>
                  <w:vMerge w:val="continue"/>
                  <w:vAlign w:val="center"/>
                </w:tcPr>
                <w:p w14:paraId="7F6C4FAE">
                  <w:pPr>
                    <w:widowControl/>
                    <w:spacing w:after="0"/>
                    <w:jc w:val="center"/>
                    <w:rPr>
                      <w:color w:val="auto"/>
                      <w:sz w:val="18"/>
                      <w:szCs w:val="18"/>
                    </w:rPr>
                  </w:pPr>
                </w:p>
              </w:tc>
              <w:tc>
                <w:tcPr>
                  <w:tcW w:w="172" w:type="pct"/>
                  <w:vMerge w:val="continue"/>
                  <w:vAlign w:val="center"/>
                </w:tcPr>
                <w:p w14:paraId="7939C06A">
                  <w:pPr>
                    <w:widowControl/>
                    <w:spacing w:after="0"/>
                    <w:jc w:val="center"/>
                    <w:rPr>
                      <w:color w:val="auto"/>
                      <w:sz w:val="18"/>
                      <w:szCs w:val="18"/>
                    </w:rPr>
                  </w:pPr>
                </w:p>
              </w:tc>
              <w:tc>
                <w:tcPr>
                  <w:tcW w:w="2471" w:type="pct"/>
                  <w:vAlign w:val="center"/>
                </w:tcPr>
                <w:p w14:paraId="3797AC9A">
                  <w:pPr>
                    <w:widowControl/>
                    <w:spacing w:after="0"/>
                    <w:rPr>
                      <w:color w:val="auto"/>
                      <w:sz w:val="18"/>
                      <w:szCs w:val="18"/>
                    </w:rPr>
                  </w:pPr>
                  <w:r>
                    <w:rPr>
                      <w:color w:val="auto"/>
                      <w:sz w:val="18"/>
                      <w:szCs w:val="18"/>
                    </w:rPr>
                    <w:t>新建、扩建、改建项目，除执行前款规定外，还应当遵守下列规定：</w:t>
                  </w:r>
                </w:p>
                <w:p w14:paraId="50C560CB">
                  <w:pPr>
                    <w:widowControl/>
                    <w:spacing w:after="0"/>
                    <w:rPr>
                      <w:color w:val="auto"/>
                      <w:sz w:val="18"/>
                      <w:szCs w:val="18"/>
                    </w:rPr>
                  </w:pPr>
                  <w:r>
                    <w:rPr>
                      <w:color w:val="auto"/>
                      <w:sz w:val="18"/>
                      <w:szCs w:val="18"/>
                    </w:rPr>
                    <w:t>（一）新建项目的选址应符合城市总体规划，避开饮用水水源地和对环境有特殊要求的功能区；</w:t>
                  </w:r>
                </w:p>
                <w:p w14:paraId="3F1F2536">
                  <w:pPr>
                    <w:widowControl/>
                    <w:spacing w:after="0"/>
                    <w:rPr>
                      <w:color w:val="auto"/>
                      <w:sz w:val="18"/>
                      <w:szCs w:val="18"/>
                    </w:rPr>
                  </w:pPr>
                  <w:r>
                    <w:rPr>
                      <w:color w:val="auto"/>
                      <w:sz w:val="18"/>
                      <w:szCs w:val="18"/>
                    </w:rPr>
                    <w:t>（二）采用资源利用率高、污染物排放量少的先进设备和先进工艺；</w:t>
                  </w:r>
                </w:p>
                <w:p w14:paraId="28E35DD0">
                  <w:pPr>
                    <w:widowControl/>
                    <w:spacing w:after="0"/>
                    <w:rPr>
                      <w:color w:val="auto"/>
                      <w:sz w:val="18"/>
                      <w:szCs w:val="18"/>
                    </w:rPr>
                  </w:pPr>
                  <w:r>
                    <w:rPr>
                      <w:color w:val="auto"/>
                      <w:sz w:val="18"/>
                      <w:szCs w:val="18"/>
                    </w:rPr>
                    <w:t>（三）改建、新建项目和技改项目应当把水污染治理纳入项目内容。</w:t>
                  </w:r>
                </w:p>
                <w:p w14:paraId="3592BC32">
                  <w:pPr>
                    <w:widowControl/>
                    <w:spacing w:after="0"/>
                    <w:rPr>
                      <w:color w:val="auto"/>
                      <w:sz w:val="18"/>
                      <w:szCs w:val="18"/>
                    </w:rPr>
                  </w:pPr>
                  <w:r>
                    <w:rPr>
                      <w:color w:val="auto"/>
                      <w:sz w:val="18"/>
                      <w:szCs w:val="18"/>
                    </w:rPr>
                    <w:t>工程配套建设的水污染防治设施竣工后，建设单位应当按照国务院生态环境行政主管部门规定的标准和程序进行验收。验收合格后，方可投入使用；未经验收或者</w:t>
                  </w:r>
                </w:p>
                <w:p w14:paraId="594A9684">
                  <w:pPr>
                    <w:widowControl/>
                    <w:spacing w:after="0"/>
                    <w:rPr>
                      <w:color w:val="auto"/>
                      <w:sz w:val="18"/>
                      <w:szCs w:val="18"/>
                      <w:lang w:val="zh-CN"/>
                    </w:rPr>
                  </w:pPr>
                  <w:r>
                    <w:rPr>
                      <w:color w:val="auto"/>
                      <w:sz w:val="18"/>
                      <w:szCs w:val="18"/>
                    </w:rPr>
                    <w:t>验收不合格的，不得投入生产或者使用</w:t>
                  </w:r>
                  <w:r>
                    <w:rPr>
                      <w:rFonts w:hint="eastAsia"/>
                      <w:color w:val="auto"/>
                      <w:sz w:val="18"/>
                      <w:szCs w:val="18"/>
                    </w:rPr>
                    <w:t>。</w:t>
                  </w:r>
                </w:p>
              </w:tc>
              <w:tc>
                <w:tcPr>
                  <w:tcW w:w="1648" w:type="pct"/>
                  <w:vAlign w:val="center"/>
                </w:tcPr>
                <w:p w14:paraId="1D7D2351">
                  <w:pPr>
                    <w:widowControl/>
                    <w:spacing w:after="0"/>
                    <w:rPr>
                      <w:color w:val="auto"/>
                      <w:sz w:val="18"/>
                      <w:szCs w:val="18"/>
                      <w:lang w:val="zh-CN"/>
                    </w:rPr>
                  </w:pPr>
                  <w:r>
                    <w:rPr>
                      <w:color w:val="auto"/>
                      <w:sz w:val="18"/>
                      <w:szCs w:val="18"/>
                    </w:rPr>
                    <w:t>本项目选址位于淮南经济技术开发区</w:t>
                  </w:r>
                  <w:r>
                    <w:rPr>
                      <w:rFonts w:hint="eastAsia"/>
                      <w:color w:val="auto"/>
                      <w:sz w:val="18"/>
                      <w:szCs w:val="18"/>
                      <w:lang w:eastAsia="zh-CN"/>
                    </w:rPr>
                    <w:t>高端装备产业园</w:t>
                  </w:r>
                  <w:r>
                    <w:rPr>
                      <w:rFonts w:hint="eastAsia"/>
                      <w:color w:val="auto"/>
                      <w:sz w:val="18"/>
                      <w:szCs w:val="18"/>
                      <w:lang w:val="en-US" w:eastAsia="zh-CN"/>
                    </w:rPr>
                    <w:t>X4号厂房一楼</w:t>
                  </w:r>
                  <w:r>
                    <w:rPr>
                      <w:color w:val="auto"/>
                      <w:sz w:val="18"/>
                      <w:szCs w:val="18"/>
                    </w:rPr>
                    <w:t>，用地类型为二类工业用地，符合用地和产业规划，评价范围内不涉及饮用水水源地和对环境有特殊要求的功能区。要求企业采用资源利用率高，污染物排放量少的先进设备和先进工艺。建设单位应当按照国务院生态环境行政主管部门规定的标准和程序进行验收。验收合格后，方可投入使用；未经验收或者验收不合格的，不得投入生产或者使用。</w:t>
                  </w:r>
                </w:p>
              </w:tc>
              <w:tc>
                <w:tcPr>
                  <w:tcW w:w="449" w:type="pct"/>
                  <w:vAlign w:val="center"/>
                </w:tcPr>
                <w:p w14:paraId="64C09A56">
                  <w:pPr>
                    <w:widowControl/>
                    <w:spacing w:after="0"/>
                    <w:jc w:val="center"/>
                    <w:rPr>
                      <w:color w:val="auto"/>
                      <w:sz w:val="18"/>
                      <w:szCs w:val="18"/>
                      <w:lang w:val="zh-CN"/>
                    </w:rPr>
                  </w:pPr>
                  <w:r>
                    <w:rPr>
                      <w:color w:val="auto"/>
                      <w:sz w:val="18"/>
                      <w:szCs w:val="18"/>
                    </w:rPr>
                    <w:t>符合</w:t>
                  </w:r>
                </w:p>
              </w:tc>
            </w:tr>
            <w:tr w14:paraId="2ECE9B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2082" w:hRule="atLeast"/>
                <w:jc w:val="center"/>
              </w:trPr>
              <w:tc>
                <w:tcPr>
                  <w:tcW w:w="257" w:type="pct"/>
                  <w:vAlign w:val="center"/>
                </w:tcPr>
                <w:p w14:paraId="7DC92C17">
                  <w:pPr>
                    <w:widowControl/>
                    <w:spacing w:after="0"/>
                    <w:jc w:val="center"/>
                    <w:rPr>
                      <w:color w:val="auto"/>
                      <w:sz w:val="18"/>
                      <w:szCs w:val="18"/>
                    </w:rPr>
                  </w:pPr>
                  <w:r>
                    <w:rPr>
                      <w:rFonts w:hint="eastAsia"/>
                      <w:color w:val="auto"/>
                      <w:sz w:val="18"/>
                      <w:szCs w:val="18"/>
                    </w:rPr>
                    <w:t>3</w:t>
                  </w:r>
                </w:p>
              </w:tc>
              <w:tc>
                <w:tcPr>
                  <w:tcW w:w="172" w:type="pct"/>
                  <w:vAlign w:val="center"/>
                </w:tcPr>
                <w:p w14:paraId="29AD7AC6">
                  <w:pPr>
                    <w:widowControl/>
                    <w:spacing w:after="0"/>
                    <w:jc w:val="center"/>
                    <w:rPr>
                      <w:color w:val="auto"/>
                      <w:sz w:val="18"/>
                      <w:szCs w:val="18"/>
                    </w:rPr>
                  </w:pPr>
                  <w:r>
                    <w:rPr>
                      <w:color w:val="auto"/>
                      <w:sz w:val="18"/>
                      <w:szCs w:val="18"/>
                    </w:rPr>
                    <w:t>第十五条</w:t>
                  </w:r>
                </w:p>
              </w:tc>
              <w:tc>
                <w:tcPr>
                  <w:tcW w:w="2471" w:type="pct"/>
                  <w:vAlign w:val="center"/>
                </w:tcPr>
                <w:p w14:paraId="7F4BC0B0">
                  <w:pPr>
                    <w:widowControl/>
                    <w:spacing w:after="0"/>
                    <w:rPr>
                      <w:color w:val="auto"/>
                      <w:sz w:val="18"/>
                      <w:szCs w:val="18"/>
                      <w:lang w:val="zh-CN"/>
                    </w:rPr>
                  </w:pPr>
                  <w:r>
                    <w:rPr>
                      <w:color w:val="auto"/>
                      <w:sz w:val="18"/>
                      <w:szCs w:val="18"/>
                    </w:rPr>
                    <w:t>所有排污单位的污水治理设施，应当确保正常运转，达标排放</w:t>
                  </w:r>
                  <w:r>
                    <w:rPr>
                      <w:rFonts w:hint="eastAsia"/>
                      <w:color w:val="auto"/>
                      <w:sz w:val="18"/>
                      <w:szCs w:val="18"/>
                    </w:rPr>
                    <w:t>。</w:t>
                  </w:r>
                </w:p>
              </w:tc>
              <w:tc>
                <w:tcPr>
                  <w:tcW w:w="1648" w:type="pct"/>
                  <w:vAlign w:val="center"/>
                </w:tcPr>
                <w:p w14:paraId="182C1A13">
                  <w:pPr>
                    <w:widowControl/>
                    <w:spacing w:after="0"/>
                    <w:rPr>
                      <w:color w:val="auto"/>
                      <w:sz w:val="18"/>
                      <w:szCs w:val="18"/>
                      <w:lang w:val="zh-CN"/>
                    </w:rPr>
                  </w:pPr>
                  <w:r>
                    <w:rPr>
                      <w:color w:val="auto"/>
                      <w:sz w:val="18"/>
                      <w:szCs w:val="18"/>
                    </w:rPr>
                    <w:t>本项目依托</w:t>
                  </w:r>
                  <w:r>
                    <w:rPr>
                      <w:rFonts w:hint="eastAsia"/>
                      <w:color w:val="auto"/>
                      <w:sz w:val="18"/>
                      <w:szCs w:val="18"/>
                      <w:lang w:eastAsia="zh-CN"/>
                    </w:rPr>
                    <w:t>高端装备产业园</w:t>
                  </w:r>
                  <w:r>
                    <w:rPr>
                      <w:color w:val="auto"/>
                      <w:sz w:val="18"/>
                      <w:szCs w:val="18"/>
                    </w:rPr>
                    <w:t>区</w:t>
                  </w:r>
                  <w:r>
                    <w:rPr>
                      <w:rFonts w:hint="eastAsia"/>
                      <w:color w:val="auto"/>
                      <w:sz w:val="18"/>
                      <w:szCs w:val="18"/>
                      <w:lang w:eastAsia="zh-CN"/>
                    </w:rPr>
                    <w:t>已建</w:t>
                  </w:r>
                  <w:r>
                    <w:rPr>
                      <w:color w:val="auto"/>
                      <w:sz w:val="18"/>
                      <w:szCs w:val="18"/>
                    </w:rPr>
                    <w:t>污水管网，生活污水经化粪池预处理</w:t>
                  </w:r>
                  <w:r>
                    <w:rPr>
                      <w:rFonts w:hint="eastAsia"/>
                      <w:color w:val="auto"/>
                      <w:sz w:val="18"/>
                      <w:szCs w:val="18"/>
                    </w:rPr>
                    <w:t>、生产废水</w:t>
                  </w:r>
                  <w:r>
                    <w:rPr>
                      <w:color w:val="auto"/>
                      <w:sz w:val="18"/>
                      <w:szCs w:val="18"/>
                    </w:rPr>
                    <w:t>经</w:t>
                  </w:r>
                  <w:r>
                    <w:rPr>
                      <w:rFonts w:hint="eastAsia"/>
                      <w:color w:val="auto"/>
                      <w:sz w:val="18"/>
                      <w:szCs w:val="18"/>
                      <w:lang w:eastAsia="zh-CN"/>
                    </w:rPr>
                    <w:t>沉淀池预处理</w:t>
                  </w:r>
                  <w:r>
                    <w:rPr>
                      <w:rFonts w:hint="eastAsia"/>
                      <w:color w:val="auto"/>
                      <w:sz w:val="18"/>
                      <w:szCs w:val="18"/>
                    </w:rPr>
                    <w:t>达标</w:t>
                  </w:r>
                  <w:r>
                    <w:rPr>
                      <w:color w:val="auto"/>
                      <w:sz w:val="18"/>
                      <w:szCs w:val="18"/>
                    </w:rPr>
                    <w:t>后</w:t>
                  </w:r>
                  <w:r>
                    <w:rPr>
                      <w:rFonts w:hint="eastAsia"/>
                      <w:color w:val="auto"/>
                      <w:sz w:val="18"/>
                      <w:szCs w:val="18"/>
                      <w:lang w:eastAsia="zh-CN"/>
                    </w:rPr>
                    <w:t>一同汇入园区污水管网接入市政污水管网，</w:t>
                  </w:r>
                  <w:r>
                    <w:rPr>
                      <w:color w:val="auto"/>
                      <w:sz w:val="18"/>
                      <w:szCs w:val="18"/>
                    </w:rPr>
                    <w:t>纳管排至淮南经济技术开发区工业污水处理厂处理</w:t>
                  </w:r>
                  <w:r>
                    <w:rPr>
                      <w:rFonts w:hint="eastAsia"/>
                      <w:color w:val="auto"/>
                      <w:sz w:val="18"/>
                      <w:szCs w:val="18"/>
                    </w:rPr>
                    <w:t>。</w:t>
                  </w:r>
                </w:p>
              </w:tc>
              <w:tc>
                <w:tcPr>
                  <w:tcW w:w="449" w:type="pct"/>
                  <w:vAlign w:val="center"/>
                </w:tcPr>
                <w:p w14:paraId="6EF1015F">
                  <w:pPr>
                    <w:widowControl/>
                    <w:spacing w:after="0"/>
                    <w:jc w:val="center"/>
                    <w:rPr>
                      <w:color w:val="auto"/>
                      <w:sz w:val="18"/>
                      <w:szCs w:val="18"/>
                      <w:lang w:val="zh-CN"/>
                    </w:rPr>
                  </w:pPr>
                  <w:r>
                    <w:rPr>
                      <w:color w:val="auto"/>
                      <w:sz w:val="18"/>
                      <w:szCs w:val="18"/>
                    </w:rPr>
                    <w:t>符合</w:t>
                  </w:r>
                </w:p>
              </w:tc>
            </w:tr>
            <w:tr w14:paraId="0EAD02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1558" w:hRule="atLeast"/>
                <w:jc w:val="center"/>
              </w:trPr>
              <w:tc>
                <w:tcPr>
                  <w:tcW w:w="257" w:type="pct"/>
                  <w:vAlign w:val="center"/>
                </w:tcPr>
                <w:p w14:paraId="47396FCF">
                  <w:pPr>
                    <w:widowControl/>
                    <w:spacing w:after="0"/>
                    <w:jc w:val="center"/>
                    <w:rPr>
                      <w:color w:val="auto"/>
                      <w:sz w:val="18"/>
                      <w:szCs w:val="18"/>
                    </w:rPr>
                  </w:pPr>
                  <w:r>
                    <w:rPr>
                      <w:rFonts w:hint="eastAsia"/>
                      <w:color w:val="auto"/>
                      <w:sz w:val="18"/>
                      <w:szCs w:val="18"/>
                    </w:rPr>
                    <w:t>4</w:t>
                  </w:r>
                </w:p>
              </w:tc>
              <w:tc>
                <w:tcPr>
                  <w:tcW w:w="172" w:type="pct"/>
                  <w:vAlign w:val="center"/>
                </w:tcPr>
                <w:p w14:paraId="0183435A">
                  <w:pPr>
                    <w:widowControl/>
                    <w:spacing w:after="0"/>
                    <w:jc w:val="center"/>
                    <w:rPr>
                      <w:color w:val="auto"/>
                      <w:sz w:val="18"/>
                      <w:szCs w:val="18"/>
                    </w:rPr>
                  </w:pPr>
                </w:p>
                <w:p w14:paraId="23BB7D6F">
                  <w:pPr>
                    <w:widowControl/>
                    <w:spacing w:after="0"/>
                    <w:jc w:val="center"/>
                    <w:rPr>
                      <w:color w:val="auto"/>
                      <w:sz w:val="18"/>
                      <w:szCs w:val="18"/>
                      <w:lang w:val="zh-CN"/>
                    </w:rPr>
                  </w:pPr>
                  <w:r>
                    <w:rPr>
                      <w:color w:val="auto"/>
                      <w:sz w:val="18"/>
                      <w:szCs w:val="18"/>
                    </w:rPr>
                    <w:t>第十七条</w:t>
                  </w:r>
                </w:p>
              </w:tc>
              <w:tc>
                <w:tcPr>
                  <w:tcW w:w="2471" w:type="pct"/>
                  <w:vAlign w:val="center"/>
                </w:tcPr>
                <w:p w14:paraId="6AC7C578">
                  <w:pPr>
                    <w:widowControl/>
                    <w:spacing w:after="0"/>
                    <w:rPr>
                      <w:color w:val="auto"/>
                      <w:sz w:val="18"/>
                      <w:szCs w:val="18"/>
                    </w:rPr>
                  </w:pPr>
                  <w:r>
                    <w:rPr>
                      <w:color w:val="auto"/>
                      <w:sz w:val="18"/>
                      <w:szCs w:val="18"/>
                    </w:rPr>
                    <w:t>在饮用水水源保护区内，禁止设置排污口。</w:t>
                  </w:r>
                </w:p>
                <w:p w14:paraId="0CEF7024">
                  <w:pPr>
                    <w:widowControl/>
                    <w:spacing w:after="0"/>
                    <w:rPr>
                      <w:color w:val="auto"/>
                      <w:sz w:val="18"/>
                      <w:szCs w:val="18"/>
                    </w:rPr>
                  </w:pPr>
                  <w:r>
                    <w:rPr>
                      <w:color w:val="auto"/>
                      <w:sz w:val="18"/>
                      <w:szCs w:val="18"/>
                    </w:rPr>
                    <w:t>在风景名胜区水体、重要渔业水体和其他具有特殊经济文化价值的水体的保护区内，不得新建排污口。在保护区附近新建</w:t>
                  </w:r>
                </w:p>
                <w:p w14:paraId="58ADC15C">
                  <w:pPr>
                    <w:widowControl/>
                    <w:spacing w:after="0"/>
                    <w:rPr>
                      <w:color w:val="auto"/>
                      <w:sz w:val="18"/>
                      <w:szCs w:val="18"/>
                      <w:lang w:val="zh-CN"/>
                    </w:rPr>
                  </w:pPr>
                  <w:r>
                    <w:rPr>
                      <w:color w:val="auto"/>
                      <w:sz w:val="18"/>
                      <w:szCs w:val="18"/>
                    </w:rPr>
                    <w:t>排污口，应当保证保护区水体不受污染</w:t>
                  </w:r>
                  <w:r>
                    <w:rPr>
                      <w:rFonts w:hint="eastAsia"/>
                      <w:color w:val="auto"/>
                      <w:sz w:val="18"/>
                      <w:szCs w:val="18"/>
                    </w:rPr>
                    <w:t>。</w:t>
                  </w:r>
                </w:p>
              </w:tc>
              <w:tc>
                <w:tcPr>
                  <w:tcW w:w="1648" w:type="pct"/>
                  <w:vAlign w:val="center"/>
                </w:tcPr>
                <w:p w14:paraId="1CDFCDAD">
                  <w:pPr>
                    <w:widowControl/>
                    <w:spacing w:after="0"/>
                    <w:rPr>
                      <w:color w:val="auto"/>
                      <w:sz w:val="18"/>
                      <w:szCs w:val="18"/>
                      <w:lang w:val="zh-CN"/>
                    </w:rPr>
                  </w:pPr>
                  <w:r>
                    <w:rPr>
                      <w:color w:val="auto"/>
                      <w:sz w:val="18"/>
                      <w:szCs w:val="18"/>
                    </w:rPr>
                    <w:t>本项目生活污水</w:t>
                  </w:r>
                  <w:r>
                    <w:rPr>
                      <w:rFonts w:hint="eastAsia"/>
                      <w:color w:val="auto"/>
                      <w:sz w:val="18"/>
                      <w:szCs w:val="18"/>
                    </w:rPr>
                    <w:t>和生产废水</w:t>
                  </w:r>
                  <w:r>
                    <w:rPr>
                      <w:color w:val="auto"/>
                      <w:sz w:val="18"/>
                      <w:szCs w:val="18"/>
                    </w:rPr>
                    <w:t>依托</w:t>
                  </w:r>
                  <w:r>
                    <w:rPr>
                      <w:rFonts w:hint="eastAsia"/>
                      <w:color w:val="auto"/>
                      <w:sz w:val="18"/>
                      <w:szCs w:val="18"/>
                      <w:lang w:eastAsia="zh-CN"/>
                    </w:rPr>
                    <w:t>产业园区</w:t>
                  </w:r>
                  <w:r>
                    <w:rPr>
                      <w:color w:val="auto"/>
                      <w:sz w:val="18"/>
                      <w:szCs w:val="18"/>
                    </w:rPr>
                    <w:t>排污口排放不新建排污口。</w:t>
                  </w:r>
                </w:p>
              </w:tc>
              <w:tc>
                <w:tcPr>
                  <w:tcW w:w="449" w:type="pct"/>
                  <w:vAlign w:val="center"/>
                </w:tcPr>
                <w:p w14:paraId="50E224DD">
                  <w:pPr>
                    <w:widowControl/>
                    <w:spacing w:after="0"/>
                    <w:jc w:val="center"/>
                    <w:rPr>
                      <w:color w:val="auto"/>
                      <w:sz w:val="18"/>
                      <w:szCs w:val="18"/>
                      <w:lang w:val="zh-CN"/>
                    </w:rPr>
                  </w:pPr>
                  <w:r>
                    <w:rPr>
                      <w:color w:val="auto"/>
                      <w:sz w:val="18"/>
                      <w:szCs w:val="18"/>
                    </w:rPr>
                    <w:t>符合</w:t>
                  </w:r>
                </w:p>
              </w:tc>
            </w:tr>
            <w:tr w14:paraId="0D97FB6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28" w:type="dxa"/>
                  <w:bottom w:w="0" w:type="dxa"/>
                  <w:right w:w="28" w:type="dxa"/>
                </w:tblCellMar>
              </w:tblPrEx>
              <w:trPr>
                <w:trHeight w:val="4762" w:hRule="atLeast"/>
                <w:jc w:val="center"/>
              </w:trPr>
              <w:tc>
                <w:tcPr>
                  <w:tcW w:w="257" w:type="pct"/>
                  <w:vAlign w:val="center"/>
                </w:tcPr>
                <w:p w14:paraId="1E556935">
                  <w:pPr>
                    <w:widowControl/>
                    <w:spacing w:after="0"/>
                    <w:jc w:val="center"/>
                    <w:rPr>
                      <w:color w:val="auto"/>
                      <w:sz w:val="18"/>
                      <w:szCs w:val="18"/>
                    </w:rPr>
                  </w:pPr>
                  <w:r>
                    <w:rPr>
                      <w:rFonts w:hint="eastAsia"/>
                      <w:color w:val="auto"/>
                      <w:sz w:val="18"/>
                      <w:szCs w:val="18"/>
                    </w:rPr>
                    <w:t>5</w:t>
                  </w:r>
                </w:p>
              </w:tc>
              <w:tc>
                <w:tcPr>
                  <w:tcW w:w="172" w:type="pct"/>
                  <w:vAlign w:val="center"/>
                </w:tcPr>
                <w:p w14:paraId="4DB1D172">
                  <w:pPr>
                    <w:widowControl/>
                    <w:spacing w:after="0"/>
                    <w:jc w:val="center"/>
                    <w:rPr>
                      <w:color w:val="auto"/>
                      <w:sz w:val="18"/>
                      <w:szCs w:val="18"/>
                      <w:lang w:val="zh-CN"/>
                    </w:rPr>
                  </w:pPr>
                  <w:r>
                    <w:rPr>
                      <w:color w:val="auto"/>
                      <w:sz w:val="18"/>
                      <w:szCs w:val="18"/>
                    </w:rPr>
                    <w:t>第十九条</w:t>
                  </w:r>
                </w:p>
              </w:tc>
              <w:tc>
                <w:tcPr>
                  <w:tcW w:w="2471" w:type="pct"/>
                  <w:vAlign w:val="center"/>
                </w:tcPr>
                <w:p w14:paraId="39BCEF49">
                  <w:pPr>
                    <w:widowControl/>
                    <w:spacing w:after="0"/>
                    <w:rPr>
                      <w:color w:val="auto"/>
                      <w:sz w:val="18"/>
                      <w:szCs w:val="18"/>
                    </w:rPr>
                  </w:pPr>
                  <w:r>
                    <w:rPr>
                      <w:color w:val="auto"/>
                      <w:sz w:val="18"/>
                      <w:szCs w:val="18"/>
                    </w:rPr>
                    <w:t>禁止下列行为：</w:t>
                  </w:r>
                </w:p>
                <w:p w14:paraId="20349A70">
                  <w:pPr>
                    <w:widowControl/>
                    <w:spacing w:after="0"/>
                    <w:rPr>
                      <w:color w:val="auto"/>
                      <w:sz w:val="18"/>
                      <w:szCs w:val="18"/>
                    </w:rPr>
                  </w:pPr>
                  <w:r>
                    <w:rPr>
                      <w:color w:val="auto"/>
                      <w:sz w:val="18"/>
                      <w:szCs w:val="18"/>
                    </w:rPr>
                    <w:t>（一）向水体排放或者倾倒油类、酸液、碱液和其他有毒有害液体；（二）在水体中清洗装贮过有毒有害污染物的车辆、船舶和容器；（三）向水体排放、倾倒含有汞、镉、砷、铬、铅、氰化物、黄磷等可溶性剧毒废液或者将上述物质直接埋入地下；（四）向水体排放、倾倒工业废渣、城镇垃圾和其他废弃物；（五）向水体排放、倾倒放射性固体废弃物或者放射性废水；（六）利用渗井、渗坑、裂隙、溶洞、塌陷区和废弃矿坑排放、倾倒，或者利用无防渗措施的沟渠、坑塘输送或者存贮含毒污染物或者病原体的废水和其他废弃物；（七）在河流、湖泊、运河、渠道、水库最高水位线以下的滩地和岸坡堆放、贮存固体废弃物和其他污染物；（八）围湖和其他破坏水环境生态平衡的活动；</w:t>
                  </w:r>
                </w:p>
                <w:p w14:paraId="1D158924">
                  <w:pPr>
                    <w:widowControl/>
                    <w:spacing w:after="0"/>
                    <w:rPr>
                      <w:color w:val="auto"/>
                      <w:sz w:val="18"/>
                      <w:szCs w:val="18"/>
                      <w:lang w:val="zh-CN"/>
                    </w:rPr>
                  </w:pPr>
                  <w:r>
                    <w:rPr>
                      <w:color w:val="auto"/>
                      <w:sz w:val="18"/>
                      <w:szCs w:val="18"/>
                    </w:rPr>
                    <w:t>（九）引进不符合国家环境保护规定要求的技术和设备；（十）法律、法规禁止的其他行为</w:t>
                  </w:r>
                  <w:r>
                    <w:rPr>
                      <w:rFonts w:hint="eastAsia"/>
                      <w:color w:val="auto"/>
                      <w:sz w:val="18"/>
                      <w:szCs w:val="18"/>
                    </w:rPr>
                    <w:t>。</w:t>
                  </w:r>
                </w:p>
              </w:tc>
              <w:tc>
                <w:tcPr>
                  <w:tcW w:w="1648" w:type="pct"/>
                  <w:vAlign w:val="center"/>
                </w:tcPr>
                <w:p w14:paraId="5E3AE45F">
                  <w:pPr>
                    <w:widowControl/>
                    <w:spacing w:after="0"/>
                    <w:rPr>
                      <w:color w:val="auto"/>
                      <w:sz w:val="18"/>
                      <w:szCs w:val="18"/>
                      <w:lang w:val="zh-CN"/>
                    </w:rPr>
                  </w:pPr>
                  <w:r>
                    <w:rPr>
                      <w:rFonts w:hint="eastAsia"/>
                      <w:color w:val="auto"/>
                      <w:sz w:val="18"/>
                      <w:szCs w:val="18"/>
                    </w:rPr>
                    <w:t>本项目</w:t>
                  </w:r>
                  <w:r>
                    <w:rPr>
                      <w:color w:val="auto"/>
                      <w:sz w:val="18"/>
                      <w:szCs w:val="18"/>
                    </w:rPr>
                    <w:t>运营期严格遵守《安徽省淮河流域水污染防治条例》，不得有明令禁止的违法行为。</w:t>
                  </w:r>
                </w:p>
              </w:tc>
              <w:tc>
                <w:tcPr>
                  <w:tcW w:w="449" w:type="pct"/>
                  <w:vAlign w:val="center"/>
                </w:tcPr>
                <w:p w14:paraId="1457F67E">
                  <w:pPr>
                    <w:widowControl/>
                    <w:spacing w:after="0"/>
                    <w:jc w:val="center"/>
                    <w:rPr>
                      <w:color w:val="auto"/>
                      <w:sz w:val="18"/>
                      <w:szCs w:val="18"/>
                      <w:lang w:val="zh-CN"/>
                    </w:rPr>
                  </w:pPr>
                  <w:r>
                    <w:rPr>
                      <w:color w:val="auto"/>
                      <w:sz w:val="18"/>
                      <w:szCs w:val="18"/>
                    </w:rPr>
                    <w:t>符合</w:t>
                  </w:r>
                </w:p>
              </w:tc>
            </w:tr>
          </w:tbl>
          <w:p w14:paraId="1A9501D4">
            <w:pPr>
              <w:pStyle w:val="180"/>
              <w:wordWrap/>
              <w:ind w:firstLine="480"/>
              <w:rPr>
                <w:color w:val="auto"/>
              </w:rPr>
            </w:pPr>
            <w:r>
              <w:rPr>
                <w:color w:val="auto"/>
              </w:rPr>
              <w:t>通过上表分析可知，本项目的建设符合《安徽省淮河流域水污染防治条例》中的相关要求。</w:t>
            </w:r>
          </w:p>
          <w:p w14:paraId="5D92730F">
            <w:pPr>
              <w:pStyle w:val="669"/>
              <w:rPr>
                <w:color w:val="auto"/>
              </w:rPr>
            </w:pPr>
            <w:r>
              <w:rPr>
                <w:rFonts w:hint="eastAsia" w:eastAsiaTheme="minorEastAsia"/>
                <w:color w:val="auto"/>
                <w:lang w:val="en-US" w:eastAsia="zh-CN"/>
              </w:rPr>
              <w:t>2</w:t>
            </w:r>
            <w:r>
              <w:rPr>
                <w:rFonts w:hint="eastAsia"/>
                <w:color w:val="auto"/>
              </w:rPr>
              <w:t>、与《淮南市</w:t>
            </w:r>
            <w:r>
              <w:rPr>
                <w:color w:val="auto"/>
              </w:rPr>
              <w:t>2023</w:t>
            </w:r>
            <w:r>
              <w:rPr>
                <w:rFonts w:hint="eastAsia"/>
                <w:color w:val="auto"/>
              </w:rPr>
              <w:t>年大气污染防治工作要点》（淮大气办〔2023〕6号）的相符性分析</w:t>
            </w:r>
          </w:p>
          <w:p w14:paraId="6B603F55">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1</w:t>
            </w:r>
            <w:r>
              <w:rPr>
                <w:rFonts w:hint="eastAsia"/>
                <w:lang w:eastAsia="zh-CN"/>
              </w:rPr>
              <w:t>-</w:t>
            </w:r>
            <w:r>
              <w:fldChar w:fldCharType="begin"/>
            </w:r>
            <w:r>
              <w:instrText xml:space="preserve"> SEQ 表 \* ARABIC \s 1 </w:instrText>
            </w:r>
            <w:r>
              <w:fldChar w:fldCharType="separate"/>
            </w:r>
            <w:r>
              <w:t>10</w:t>
            </w:r>
            <w:r>
              <w:fldChar w:fldCharType="end"/>
            </w:r>
            <w:r>
              <w:rPr>
                <w:rFonts w:hint="eastAsia"/>
                <w:color w:val="auto"/>
              </w:rPr>
              <w:t xml:space="preserve"> </w:t>
            </w:r>
            <w:r>
              <w:rPr>
                <w:color w:val="auto"/>
              </w:rPr>
              <w:t>与</w:t>
            </w:r>
            <w:r>
              <w:rPr>
                <w:rFonts w:hint="eastAsia"/>
                <w:color w:val="auto"/>
              </w:rPr>
              <w:t>“</w:t>
            </w:r>
            <w:r>
              <w:rPr>
                <w:rFonts w:hint="eastAsia" w:ascii="宋体" w:hAnsi="宋体" w:cs="宋体"/>
                <w:color w:val="auto"/>
              </w:rPr>
              <w:t>淮大气办〔</w:t>
            </w:r>
            <w:r>
              <w:rPr>
                <w:rFonts w:hint="eastAsia"/>
                <w:color w:val="auto"/>
              </w:rPr>
              <w:t>2023</w:t>
            </w:r>
            <w:r>
              <w:rPr>
                <w:rFonts w:hint="eastAsia" w:ascii="宋体" w:hAnsi="宋体" w:cs="宋体"/>
                <w:color w:val="auto"/>
              </w:rPr>
              <w:t>〕</w:t>
            </w:r>
            <w:r>
              <w:rPr>
                <w:rFonts w:hint="eastAsia"/>
                <w:color w:val="auto"/>
              </w:rPr>
              <w:t>6</w:t>
            </w:r>
            <w:r>
              <w:rPr>
                <w:rFonts w:hint="eastAsia" w:ascii="宋体" w:hAnsi="宋体" w:cs="宋体"/>
                <w:color w:val="auto"/>
              </w:rPr>
              <w:t>号</w:t>
            </w:r>
            <w:r>
              <w:rPr>
                <w:rFonts w:hint="eastAsia"/>
                <w:color w:val="auto"/>
              </w:rPr>
              <w:t>”的</w:t>
            </w:r>
            <w:r>
              <w:rPr>
                <w:color w:val="auto"/>
              </w:rPr>
              <w:t>相符性分析</w:t>
            </w:r>
          </w:p>
          <w:tbl>
            <w:tblPr>
              <w:tblStyle w:val="57"/>
              <w:tblpPr w:leftFromText="180" w:rightFromText="180" w:vertAnchor="text"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458"/>
              <w:gridCol w:w="4579"/>
              <w:gridCol w:w="2816"/>
              <w:gridCol w:w="471"/>
            </w:tblGrid>
            <w:tr w14:paraId="17BFD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16" w:hRule="atLeast"/>
                <w:jc w:val="center"/>
              </w:trPr>
              <w:tc>
                <w:tcPr>
                  <w:tcW w:w="714" w:type="dxa"/>
                  <w:shd w:val="clear" w:color="auto" w:fill="auto"/>
                  <w:vAlign w:val="center"/>
                </w:tcPr>
                <w:p w14:paraId="11164998">
                  <w:pPr>
                    <w:pStyle w:val="286"/>
                    <w:framePr w:hSpace="0" w:wrap="auto" w:vAnchor="margin" w:hAnchor="text" w:xAlign="left" w:yAlign="inline"/>
                    <w:rPr>
                      <w:color w:val="auto"/>
                    </w:rPr>
                  </w:pPr>
                  <w:r>
                    <w:rPr>
                      <w:color w:val="auto"/>
                    </w:rPr>
                    <w:t>序号</w:t>
                  </w:r>
                </w:p>
              </w:tc>
              <w:tc>
                <w:tcPr>
                  <w:tcW w:w="7642" w:type="dxa"/>
                  <w:shd w:val="clear" w:color="auto" w:fill="auto"/>
                  <w:vAlign w:val="center"/>
                </w:tcPr>
                <w:p w14:paraId="1F11F9DA">
                  <w:pPr>
                    <w:pStyle w:val="286"/>
                    <w:framePr w:hSpace="0" w:wrap="auto" w:vAnchor="margin" w:hAnchor="text" w:xAlign="left" w:yAlign="inline"/>
                    <w:rPr>
                      <w:color w:val="auto"/>
                    </w:rPr>
                  </w:pPr>
                  <w:r>
                    <w:rPr>
                      <w:color w:val="auto"/>
                    </w:rPr>
                    <w:t>文件要求</w:t>
                  </w:r>
                </w:p>
              </w:tc>
              <w:tc>
                <w:tcPr>
                  <w:tcW w:w="4680" w:type="dxa"/>
                  <w:shd w:val="clear" w:color="auto" w:fill="auto"/>
                  <w:vAlign w:val="center"/>
                </w:tcPr>
                <w:p w14:paraId="0FAAEB6D">
                  <w:pPr>
                    <w:pStyle w:val="286"/>
                    <w:framePr w:hSpace="0" w:wrap="auto" w:vAnchor="margin" w:hAnchor="text" w:xAlign="left" w:yAlign="inline"/>
                    <w:rPr>
                      <w:color w:val="auto"/>
                    </w:rPr>
                  </w:pPr>
                  <w:r>
                    <w:rPr>
                      <w:color w:val="auto"/>
                    </w:rPr>
                    <w:t>本项目情况</w:t>
                  </w:r>
                </w:p>
              </w:tc>
              <w:tc>
                <w:tcPr>
                  <w:tcW w:w="738" w:type="dxa"/>
                  <w:shd w:val="clear" w:color="auto" w:fill="auto"/>
                  <w:vAlign w:val="center"/>
                </w:tcPr>
                <w:p w14:paraId="2B167629">
                  <w:pPr>
                    <w:pStyle w:val="286"/>
                    <w:framePr w:hSpace="0" w:wrap="auto" w:vAnchor="margin" w:hAnchor="text" w:xAlign="left" w:yAlign="inline"/>
                    <w:rPr>
                      <w:color w:val="auto"/>
                    </w:rPr>
                  </w:pPr>
                  <w:r>
                    <w:rPr>
                      <w:rFonts w:hint="eastAsia"/>
                      <w:color w:val="auto"/>
                    </w:rPr>
                    <w:t>符合性</w:t>
                  </w:r>
                </w:p>
              </w:tc>
            </w:tr>
            <w:tr w14:paraId="2EAEBF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jc w:val="center"/>
              </w:trPr>
              <w:tc>
                <w:tcPr>
                  <w:tcW w:w="714" w:type="dxa"/>
                  <w:shd w:val="clear" w:color="auto" w:fill="auto"/>
                  <w:vAlign w:val="center"/>
                </w:tcPr>
                <w:p w14:paraId="36250E3D">
                  <w:pPr>
                    <w:pStyle w:val="286"/>
                    <w:framePr w:hSpace="0" w:wrap="auto" w:vAnchor="margin" w:hAnchor="text" w:xAlign="left" w:yAlign="inline"/>
                    <w:rPr>
                      <w:color w:val="auto"/>
                    </w:rPr>
                  </w:pPr>
                  <w:r>
                    <w:rPr>
                      <w:color w:val="auto"/>
                    </w:rPr>
                    <w:t>1</w:t>
                  </w:r>
                </w:p>
              </w:tc>
              <w:tc>
                <w:tcPr>
                  <w:tcW w:w="7642" w:type="dxa"/>
                  <w:shd w:val="clear" w:color="auto" w:fill="auto"/>
                  <w:vAlign w:val="center"/>
                </w:tcPr>
                <w:p w14:paraId="46A00217">
                  <w:pPr>
                    <w:pStyle w:val="286"/>
                    <w:framePr w:hSpace="0" w:wrap="auto" w:vAnchor="margin" w:hAnchor="text" w:xAlign="left" w:yAlign="inline"/>
                    <w:rPr>
                      <w:color w:val="auto"/>
                    </w:rPr>
                  </w:pPr>
                  <w:r>
                    <w:rPr>
                      <w:color w:val="auto"/>
                    </w:rPr>
                    <w:t>持续做好煤炭减量控制。压减非电行业用煤，完成省下达的煤炭消费量年度目标；新、改、新建项目严格实施煤炭减量替代，煤炭替代方案不完善的依法不予审批。加强商品煤质量监督和管理，确保符合国家和地方标准要求。推进煤炭清洁高效利用，鼓励采取政府补贴、企业集资等形式建设集中煤制气设施。禁止新建企业自备燃煤设施，加快供热管网建设，充分释放燃煤电厂、工业余热等供热能力。</w:t>
                  </w:r>
                </w:p>
              </w:tc>
              <w:tc>
                <w:tcPr>
                  <w:tcW w:w="4680" w:type="dxa"/>
                  <w:shd w:val="clear" w:color="auto" w:fill="auto"/>
                  <w:vAlign w:val="center"/>
                </w:tcPr>
                <w:p w14:paraId="037D1496">
                  <w:pPr>
                    <w:pStyle w:val="286"/>
                    <w:framePr w:hSpace="0" w:wrap="auto" w:vAnchor="margin" w:hAnchor="text" w:xAlign="left" w:yAlign="inline"/>
                    <w:rPr>
                      <w:color w:val="auto"/>
                    </w:rPr>
                  </w:pPr>
                  <w:r>
                    <w:rPr>
                      <w:color w:val="auto"/>
                    </w:rPr>
                    <w:t>本项目不使用煤炭和燃煤设施</w:t>
                  </w:r>
                  <w:r>
                    <w:rPr>
                      <w:rFonts w:hint="eastAsia"/>
                      <w:color w:val="auto"/>
                    </w:rPr>
                    <w:t>。</w:t>
                  </w:r>
                </w:p>
              </w:tc>
              <w:tc>
                <w:tcPr>
                  <w:tcW w:w="738" w:type="dxa"/>
                  <w:shd w:val="clear" w:color="auto" w:fill="auto"/>
                  <w:vAlign w:val="center"/>
                </w:tcPr>
                <w:p w14:paraId="708B6501">
                  <w:pPr>
                    <w:pStyle w:val="286"/>
                    <w:framePr w:hSpace="0" w:wrap="auto" w:vAnchor="margin" w:hAnchor="text" w:xAlign="left" w:yAlign="inline"/>
                    <w:rPr>
                      <w:color w:val="auto"/>
                    </w:rPr>
                  </w:pPr>
                  <w:r>
                    <w:rPr>
                      <w:color w:val="auto"/>
                    </w:rPr>
                    <w:t>相符</w:t>
                  </w:r>
                </w:p>
              </w:tc>
            </w:tr>
            <w:tr w14:paraId="273572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90" w:hRule="atLeast"/>
                <w:jc w:val="center"/>
              </w:trPr>
              <w:tc>
                <w:tcPr>
                  <w:tcW w:w="714" w:type="dxa"/>
                  <w:shd w:val="clear" w:color="auto" w:fill="auto"/>
                  <w:vAlign w:val="center"/>
                </w:tcPr>
                <w:p w14:paraId="00E79196">
                  <w:pPr>
                    <w:pStyle w:val="286"/>
                    <w:framePr w:hSpace="0" w:wrap="auto" w:vAnchor="margin" w:hAnchor="text" w:xAlign="left" w:yAlign="inline"/>
                    <w:rPr>
                      <w:color w:val="auto"/>
                    </w:rPr>
                  </w:pPr>
                  <w:r>
                    <w:rPr>
                      <w:color w:val="auto"/>
                    </w:rPr>
                    <w:t>2</w:t>
                  </w:r>
                </w:p>
              </w:tc>
              <w:tc>
                <w:tcPr>
                  <w:tcW w:w="7642" w:type="dxa"/>
                  <w:shd w:val="clear" w:color="auto" w:fill="auto"/>
                  <w:vAlign w:val="center"/>
                </w:tcPr>
                <w:p w14:paraId="4EC8E23C">
                  <w:pPr>
                    <w:pStyle w:val="286"/>
                    <w:framePr w:hSpace="0" w:wrap="auto" w:vAnchor="margin" w:hAnchor="text" w:xAlign="left" w:yAlign="inline"/>
                    <w:rPr>
                      <w:color w:val="auto"/>
                    </w:rPr>
                  </w:pPr>
                  <w:r>
                    <w:rPr>
                      <w:color w:val="auto"/>
                    </w:rPr>
                    <w:t>快产业结构转型升级。开展“两高”项目排查，实施清单管理、分类处置、动态监控，对不符合规定的新申请项目坚决停批停建，科学稳妥推进符合要求的拟建项目。依法依规淘汰落后产能和化解过剩产能。对现有传统产业集群，按照“疏堵结合、分类施治”原则进行整治提升，淘汰关停一批、搬迁入园一批、就地改造一批、做优做强一批。根据企业产业集群特点，因地制宜建设集中的热、汽供应中心，集中喷涂中心，集中回收处置中心，活性炭等吸附剂集中再生中心。</w:t>
                  </w:r>
                </w:p>
              </w:tc>
              <w:tc>
                <w:tcPr>
                  <w:tcW w:w="4680" w:type="dxa"/>
                  <w:shd w:val="clear" w:color="auto" w:fill="auto"/>
                  <w:vAlign w:val="center"/>
                </w:tcPr>
                <w:p w14:paraId="0B9C013A">
                  <w:pPr>
                    <w:pStyle w:val="286"/>
                    <w:framePr w:hSpace="0" w:wrap="auto" w:vAnchor="margin" w:hAnchor="text" w:xAlign="left" w:yAlign="inline"/>
                    <w:rPr>
                      <w:color w:val="auto"/>
                    </w:rPr>
                  </w:pPr>
                  <w:r>
                    <w:rPr>
                      <w:color w:val="auto"/>
                    </w:rPr>
                    <w:t>本项目使用清洁能源，运营过程中产生的污染物均采取合理的处置措施</w:t>
                  </w:r>
                  <w:r>
                    <w:rPr>
                      <w:rFonts w:hint="eastAsia"/>
                      <w:color w:val="auto"/>
                      <w:lang w:val="en-US"/>
                    </w:rPr>
                    <w:t>并</w:t>
                  </w:r>
                  <w:r>
                    <w:rPr>
                      <w:color w:val="auto"/>
                    </w:rPr>
                    <w:t>达标排放。对照《安徽省”两高”项目管理目录》（2022年试行），不在两高项目范围内，不属于高污染、高能耗类项目。</w:t>
                  </w:r>
                </w:p>
              </w:tc>
              <w:tc>
                <w:tcPr>
                  <w:tcW w:w="738" w:type="dxa"/>
                  <w:shd w:val="clear" w:color="auto" w:fill="auto"/>
                  <w:vAlign w:val="center"/>
                </w:tcPr>
                <w:p w14:paraId="7AE7BC73">
                  <w:pPr>
                    <w:pStyle w:val="286"/>
                    <w:framePr w:hSpace="0" w:wrap="auto" w:vAnchor="margin" w:hAnchor="text" w:xAlign="left" w:yAlign="inline"/>
                    <w:rPr>
                      <w:color w:val="auto"/>
                    </w:rPr>
                  </w:pPr>
                  <w:r>
                    <w:rPr>
                      <w:color w:val="auto"/>
                    </w:rPr>
                    <w:t>相符</w:t>
                  </w:r>
                </w:p>
              </w:tc>
            </w:tr>
          </w:tbl>
          <w:p w14:paraId="58FB071F">
            <w:pPr>
              <w:pStyle w:val="180"/>
              <w:wordWrap/>
              <w:ind w:left="0" w:leftChars="0" w:firstLine="0" w:firstLineChars="0"/>
              <w:rPr>
                <w:color w:val="0000FF"/>
              </w:rPr>
            </w:pPr>
          </w:p>
        </w:tc>
      </w:tr>
      <w:bookmarkEnd w:id="13"/>
    </w:tbl>
    <w:p w14:paraId="731EFDE6">
      <w:pPr>
        <w:pStyle w:val="51"/>
        <w:spacing w:before="120" w:beforeLines="50" w:beforeAutospacing="0" w:after="0" w:afterAutospacing="0" w:line="360" w:lineRule="auto"/>
        <w:rPr>
          <w:rFonts w:ascii="Times New Roman" w:hAnsi="Times New Roman"/>
          <w:snapToGrid w:val="0"/>
          <w:color w:val="0000FF"/>
          <w:sz w:val="28"/>
          <w:szCs w:val="28"/>
          <w:lang w:val="en-US"/>
        </w:rPr>
        <w:sectPr>
          <w:pgSz w:w="11907" w:h="16840"/>
          <w:pgMar w:top="1440" w:right="1440" w:bottom="1440" w:left="1440" w:header="851" w:footer="851" w:gutter="0"/>
          <w:pgNumType w:fmt="decimal"/>
          <w:cols w:space="720" w:num="1"/>
          <w:docGrid w:linePitch="312" w:charSpace="0"/>
        </w:sectPr>
      </w:pPr>
      <w:bookmarkStart w:id="20" w:name="_Toc69030994"/>
    </w:p>
    <w:p w14:paraId="06FF5F56">
      <w:pPr>
        <w:pStyle w:val="5"/>
        <w:bidi w:val="0"/>
        <w:spacing w:after="0" w:line="240" w:lineRule="auto"/>
      </w:pPr>
      <w:bookmarkStart w:id="21" w:name="OLE_LINK23"/>
      <w:r>
        <w:t>二、建设项目工程分析</w:t>
      </w:r>
      <w:bookmarkEnd w:id="20"/>
    </w:p>
    <w:tbl>
      <w:tblPr>
        <w:tblStyle w:val="5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8926"/>
      </w:tblGrid>
      <w:tr w14:paraId="7BB8A2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53" w:hRule="atLeast"/>
          <w:jc w:val="center"/>
        </w:trPr>
        <w:tc>
          <w:tcPr>
            <w:tcW w:w="704" w:type="dxa"/>
            <w:vAlign w:val="center"/>
          </w:tcPr>
          <w:p w14:paraId="0DF9269C">
            <w:pPr>
              <w:adjustRightInd w:val="0"/>
              <w:snapToGrid w:val="0"/>
              <w:spacing w:after="0"/>
              <w:jc w:val="center"/>
              <w:rPr>
                <w:color w:val="0000FF"/>
                <w:szCs w:val="21"/>
              </w:rPr>
            </w:pPr>
            <w:r>
              <w:rPr>
                <w:color w:val="auto"/>
              </w:rPr>
              <w:t>建设内容</w:t>
            </w:r>
          </w:p>
        </w:tc>
        <w:tc>
          <w:tcPr>
            <w:tcW w:w="8394" w:type="dxa"/>
          </w:tcPr>
          <w:p w14:paraId="2A4AE346">
            <w:pPr>
              <w:pStyle w:val="179"/>
              <w:keepNext w:val="0"/>
              <w:keepLines w:val="0"/>
              <w:pageBreakBefore w:val="0"/>
              <w:framePr w:hSpace="0" w:wrap="auto" w:vAnchor="margin" w:hAnchor="text" w:xAlign="left" w:yAlign="inline"/>
              <w:widowControl/>
              <w:numPr>
                <w:ilvl w:val="0"/>
                <w:numId w:val="0"/>
              </w:numPr>
              <w:kinsoku/>
              <w:wordWrap/>
              <w:overflowPunct/>
              <w:topLinePunct w:val="0"/>
              <w:autoSpaceDE/>
              <w:autoSpaceDN/>
              <w:bidi w:val="0"/>
              <w:adjustRightInd/>
              <w:snapToGrid/>
              <w:spacing w:after="0" w:line="360" w:lineRule="auto"/>
              <w:textAlignment w:val="auto"/>
              <w:rPr>
                <w:color w:val="auto"/>
              </w:rPr>
            </w:pPr>
            <w:r>
              <w:rPr>
                <w:rFonts w:hint="eastAsia" w:ascii="Times New Roman" w:hAnsi="Times New Roman" w:eastAsia="宋体" w:cs="Times New Roman"/>
                <w:b/>
                <w:color w:val="auto"/>
                <w:sz w:val="24"/>
                <w:lang w:val="en-US" w:eastAsia="zh-CN" w:bidi="en-US"/>
              </w:rPr>
              <w:t>2.1</w:t>
            </w:r>
            <w:r>
              <w:rPr>
                <w:rFonts w:hint="eastAsia"/>
                <w:color w:val="auto"/>
              </w:rPr>
              <w:t>项目概况</w:t>
            </w:r>
          </w:p>
          <w:p w14:paraId="495F6D64">
            <w:pPr>
              <w:keepNext w:val="0"/>
              <w:keepLines w:val="0"/>
              <w:pageBreakBefore w:val="0"/>
              <w:widowControl/>
              <w:suppressLineNumbers w:val="0"/>
              <w:kinsoku/>
              <w:wordWrap/>
              <w:overflowPunct/>
              <w:topLinePunct w:val="0"/>
              <w:autoSpaceDE/>
              <w:autoSpaceDN/>
              <w:bidi w:val="0"/>
              <w:adjustRightInd/>
              <w:snapToGrid/>
              <w:spacing w:after="0" w:line="360" w:lineRule="auto"/>
              <w:ind w:left="0" w:firstLine="480" w:firstLineChars="200"/>
              <w:jc w:val="both"/>
              <w:textAlignment w:val="auto"/>
              <w:rPr>
                <w:color w:val="auto"/>
              </w:rPr>
            </w:pPr>
            <w:r>
              <w:rPr>
                <w:rFonts w:hint="eastAsia"/>
                <w:color w:val="auto"/>
                <w:lang w:eastAsia="zh-CN"/>
              </w:rPr>
              <w:t>安徽京麦源食品有限公司</w:t>
            </w:r>
            <w:r>
              <w:rPr>
                <w:rFonts w:hint="eastAsia"/>
                <w:color w:val="auto"/>
              </w:rPr>
              <w:t>成立于</w:t>
            </w:r>
            <w:r>
              <w:rPr>
                <w:color w:val="auto"/>
              </w:rPr>
              <w:t>20</w:t>
            </w:r>
            <w:r>
              <w:rPr>
                <w:rFonts w:hint="eastAsia"/>
                <w:color w:val="auto"/>
                <w:lang w:val="en-US" w:eastAsia="zh-CN"/>
              </w:rPr>
              <w:t>25</w:t>
            </w:r>
            <w:r>
              <w:rPr>
                <w:rFonts w:hint="eastAsia"/>
                <w:color w:val="auto"/>
              </w:rPr>
              <w:t>年</w:t>
            </w:r>
            <w:r>
              <w:rPr>
                <w:rFonts w:hint="eastAsia"/>
                <w:color w:val="auto"/>
                <w:lang w:val="en-US" w:eastAsia="zh-CN"/>
              </w:rPr>
              <w:t>3</w:t>
            </w:r>
            <w:r>
              <w:rPr>
                <w:rFonts w:hint="eastAsia"/>
                <w:color w:val="auto"/>
              </w:rPr>
              <w:t>月，专业从事</w:t>
            </w:r>
            <w:r>
              <w:rPr>
                <w:rFonts w:hint="eastAsia"/>
                <w:color w:val="auto"/>
                <w:lang w:eastAsia="zh-CN"/>
              </w:rPr>
              <w:t>食品生产、食品销售</w:t>
            </w:r>
            <w:r>
              <w:rPr>
                <w:rFonts w:hint="eastAsia"/>
                <w:color w:val="auto"/>
              </w:rPr>
              <w:t>等业务，公司</w:t>
            </w:r>
            <w:r>
              <w:rPr>
                <w:rFonts w:hint="eastAsia"/>
                <w:color w:val="auto"/>
                <w:lang w:eastAsia="zh-CN"/>
              </w:rPr>
              <w:t>租用</w:t>
            </w:r>
            <w:r>
              <w:rPr>
                <w:rFonts w:hint="eastAsia"/>
                <w:color w:val="auto"/>
              </w:rPr>
              <w:t>安徽省淮南市淮南经济技术开发区</w:t>
            </w:r>
            <w:r>
              <w:rPr>
                <w:rFonts w:hint="eastAsia"/>
                <w:color w:val="auto"/>
                <w:lang w:eastAsia="zh-CN"/>
              </w:rPr>
              <w:t>高端装备产业园</w:t>
            </w:r>
            <w:r>
              <w:rPr>
                <w:rFonts w:hint="eastAsia"/>
                <w:color w:val="auto"/>
                <w:lang w:val="en-US" w:eastAsia="zh-CN"/>
              </w:rPr>
              <w:t>X4号楼一层标准化厂房，</w:t>
            </w:r>
            <w:r>
              <w:rPr>
                <w:rFonts w:hint="eastAsia" w:ascii="新宋体" w:hAnsi="新宋体" w:eastAsia="新宋体" w:cs="新宋体"/>
                <w:color w:val="000000"/>
                <w:kern w:val="0"/>
                <w:sz w:val="24"/>
                <w:szCs w:val="24"/>
                <w:lang w:val="en-US" w:eastAsia="zh-CN" w:bidi="ar"/>
              </w:rPr>
              <w:t>购置大型全自助熟面设备、鲜面条设备、凉皮米皮河粉设备、年糕设备、饼丝设备等，建设原料放置区、脱包区、和面区、成型区、蒸煮区、冷却区、包装区以及相关配套</w:t>
            </w:r>
            <w:r>
              <w:rPr>
                <w:rFonts w:hint="eastAsia" w:ascii="新宋体" w:hAnsi="新宋体" w:eastAsia="新宋体" w:cs="新宋体"/>
                <w:color w:val="auto"/>
                <w:kern w:val="0"/>
                <w:sz w:val="24"/>
                <w:szCs w:val="24"/>
                <w:lang w:val="en-US" w:eastAsia="zh-CN" w:bidi="ar"/>
              </w:rPr>
              <w:t>办公设施</w:t>
            </w:r>
            <w:r>
              <w:rPr>
                <w:rFonts w:hint="eastAsia" w:ascii="新宋体" w:hAnsi="新宋体" w:eastAsia="新宋体" w:cs="新宋体"/>
                <w:szCs w:val="24"/>
                <w:lang w:eastAsia="zh-CN" w:bidi="ar"/>
              </w:rPr>
              <w:t>，</w:t>
            </w:r>
            <w:r>
              <w:rPr>
                <w:rFonts w:hint="default" w:ascii="新宋体" w:hAnsi="新宋体" w:eastAsia="新宋体" w:cs="新宋体"/>
                <w:color w:val="000000"/>
                <w:szCs w:val="24"/>
                <w:lang w:bidi="ar"/>
              </w:rPr>
              <w:t>建设</w:t>
            </w:r>
            <w:r>
              <w:rPr>
                <w:rFonts w:hint="eastAsia" w:ascii="新宋体" w:hAnsi="新宋体" w:eastAsia="新宋体" w:cs="新宋体"/>
                <w:color w:val="000000"/>
                <w:szCs w:val="24"/>
                <w:lang w:bidi="ar"/>
              </w:rPr>
              <w:t>标准化米面制品深加工车间</w:t>
            </w:r>
            <w:r>
              <w:rPr>
                <w:rFonts w:hint="eastAsia" w:ascii="新宋体" w:hAnsi="新宋体" w:eastAsia="新宋体" w:cs="新宋体"/>
                <w:color w:val="auto"/>
                <w:kern w:val="0"/>
                <w:sz w:val="24"/>
                <w:szCs w:val="24"/>
                <w:lang w:val="en-US" w:eastAsia="zh-CN" w:bidi="ar"/>
              </w:rPr>
              <w:t>。</w:t>
            </w:r>
            <w:r>
              <w:rPr>
                <w:rFonts w:hint="eastAsia"/>
                <w:color w:val="auto"/>
              </w:rPr>
              <w:t>项目建成后可</w:t>
            </w:r>
            <w:r>
              <w:rPr>
                <w:rFonts w:hint="eastAsia"/>
                <w:color w:val="auto"/>
                <w:lang w:eastAsia="zh-CN"/>
              </w:rPr>
              <w:t>形成</w:t>
            </w:r>
            <w:r>
              <w:rPr>
                <w:rFonts w:hint="eastAsia"/>
                <w:color w:val="auto"/>
              </w:rPr>
              <w:t>年产</w:t>
            </w:r>
            <w:r>
              <w:rPr>
                <w:rFonts w:hint="eastAsia"/>
                <w:color w:val="auto"/>
                <w:lang w:val="en-US" w:eastAsia="zh-CN"/>
              </w:rPr>
              <w:t>1780吨米面制品的生产能力</w:t>
            </w:r>
            <w:r>
              <w:rPr>
                <w:rFonts w:hint="eastAsia"/>
                <w:color w:val="auto"/>
              </w:rPr>
              <w:t>。</w:t>
            </w:r>
          </w:p>
          <w:p w14:paraId="42105F12">
            <w:pPr>
              <w:pStyle w:val="180"/>
              <w:keepNext w:val="0"/>
              <w:keepLines w:val="0"/>
              <w:pageBreakBefore w:val="0"/>
              <w:widowControl/>
              <w:kinsoku/>
              <w:overflowPunct/>
              <w:topLinePunct w:val="0"/>
              <w:autoSpaceDE/>
              <w:autoSpaceDN/>
              <w:bidi w:val="0"/>
              <w:adjustRightInd/>
              <w:snapToGrid/>
              <w:spacing w:line="360" w:lineRule="auto"/>
              <w:ind w:firstLine="480"/>
              <w:textAlignment w:val="auto"/>
              <w:rPr>
                <w:color w:val="auto"/>
              </w:rPr>
            </w:pPr>
            <w:r>
              <w:rPr>
                <w:rFonts w:hint="eastAsia"/>
                <w:color w:val="auto"/>
                <w:lang w:val="en-US" w:eastAsia="zh-CN"/>
              </w:rPr>
              <w:t>2025</w:t>
            </w:r>
            <w:r>
              <w:rPr>
                <w:rFonts w:hint="eastAsia"/>
                <w:color w:val="auto"/>
              </w:rPr>
              <w:t>年</w:t>
            </w:r>
            <w:r>
              <w:rPr>
                <w:rFonts w:hint="eastAsia"/>
                <w:color w:val="auto"/>
                <w:lang w:val="en-US" w:eastAsia="zh-CN"/>
              </w:rPr>
              <w:t>4</w:t>
            </w:r>
            <w:r>
              <w:rPr>
                <w:rFonts w:hint="eastAsia"/>
                <w:color w:val="auto"/>
              </w:rPr>
              <w:t>月</w:t>
            </w:r>
            <w:r>
              <w:rPr>
                <w:rFonts w:hint="eastAsia"/>
                <w:color w:val="auto"/>
                <w:lang w:val="en-US" w:eastAsia="zh-CN"/>
              </w:rPr>
              <w:t>25</w:t>
            </w:r>
            <w:r>
              <w:rPr>
                <w:rFonts w:hint="eastAsia"/>
                <w:color w:val="auto"/>
              </w:rPr>
              <w:t>日</w:t>
            </w:r>
            <w:r>
              <w:rPr>
                <w:color w:val="auto"/>
              </w:rPr>
              <w:t>，</w:t>
            </w:r>
            <w:r>
              <w:rPr>
                <w:rFonts w:hint="eastAsia"/>
                <w:color w:val="auto"/>
                <w:lang w:eastAsia="zh-CN"/>
              </w:rPr>
              <w:t>安徽京麦源食品有限公司</w:t>
            </w:r>
            <w:r>
              <w:rPr>
                <w:color w:val="auto"/>
              </w:rPr>
              <w:t>取得</w:t>
            </w:r>
            <w:r>
              <w:rPr>
                <w:rFonts w:hint="eastAsia"/>
                <w:color w:val="auto"/>
              </w:rPr>
              <w:t>淮南经济技术开发区管委会经济发展局</w:t>
            </w:r>
            <w:r>
              <w:rPr>
                <w:color w:val="auto"/>
              </w:rPr>
              <w:t>关于本项目的</w:t>
            </w:r>
            <w:r>
              <w:rPr>
                <w:rFonts w:hint="eastAsia"/>
                <w:color w:val="auto"/>
              </w:rPr>
              <w:t>备案，</w:t>
            </w:r>
            <w:r>
              <w:rPr>
                <w:color w:val="auto"/>
              </w:rPr>
              <w:t>项目代码：</w:t>
            </w:r>
            <w:r>
              <w:rPr>
                <w:rFonts w:hint="eastAsia"/>
                <w:color w:val="auto"/>
              </w:rPr>
              <w:t>2504-340461-04-01-849727</w:t>
            </w:r>
            <w:r>
              <w:rPr>
                <w:color w:val="auto"/>
              </w:rPr>
              <w:t>。</w:t>
            </w:r>
          </w:p>
          <w:p w14:paraId="091C0963">
            <w:pPr>
              <w:pStyle w:val="180"/>
              <w:spacing w:line="360" w:lineRule="auto"/>
              <w:ind w:firstLine="480"/>
              <w:rPr>
                <w:color w:val="auto"/>
              </w:rPr>
            </w:pPr>
            <w:r>
              <w:rPr>
                <w:rFonts w:hint="eastAsia"/>
              </w:rPr>
              <w:t>根据《中华人民共和国环境保护法</w:t>
            </w:r>
            <w:r>
              <w:rPr>
                <w:rFonts w:hint="eastAsia"/>
                <w:lang w:eastAsia="zh-CN"/>
              </w:rPr>
              <w:t>》《</w:t>
            </w:r>
            <w:r>
              <w:rPr>
                <w:rFonts w:hint="eastAsia"/>
              </w:rPr>
              <w:t>中华人民共和国环境影响评价法</w:t>
            </w:r>
            <w:r>
              <w:rPr>
                <w:rFonts w:hint="eastAsia"/>
                <w:lang w:eastAsia="zh-CN"/>
              </w:rPr>
              <w:t>》《</w:t>
            </w:r>
            <w:r>
              <w:rPr>
                <w:rFonts w:hint="eastAsia"/>
              </w:rPr>
              <w:t>建设项目环境保护管理条例》（国令第682号）、《建设项目环境影响评价分类管理名录》（2021年版）等法</w:t>
            </w:r>
            <w:r>
              <w:rPr>
                <w:rFonts w:hint="eastAsia"/>
                <w:color w:val="auto"/>
              </w:rPr>
              <w:t>规文件。</w:t>
            </w:r>
            <w:r>
              <w:rPr>
                <w:rFonts w:hint="eastAsia"/>
                <w:color w:val="auto"/>
                <w:lang w:eastAsia="zh-CN"/>
              </w:rPr>
              <w:t>本项目属于</w:t>
            </w:r>
            <w:r>
              <w:rPr>
                <w:rFonts w:hint="eastAsia"/>
                <w:color w:val="auto"/>
              </w:rPr>
              <w:t>“</w:t>
            </w:r>
            <w:r>
              <w:rPr>
                <w:rFonts w:hint="eastAsia"/>
                <w:color w:val="auto"/>
                <w:lang w:eastAsia="zh-CN"/>
              </w:rPr>
              <w:t>十一</w:t>
            </w:r>
            <w:r>
              <w:rPr>
                <w:rFonts w:hint="eastAsia"/>
                <w:color w:val="auto"/>
              </w:rPr>
              <w:t>、</w:t>
            </w:r>
            <w:r>
              <w:rPr>
                <w:rFonts w:hint="eastAsia"/>
                <w:color w:val="auto"/>
                <w:lang w:eastAsia="zh-CN"/>
              </w:rPr>
              <w:t>食品制造业</w:t>
            </w:r>
            <w:r>
              <w:rPr>
                <w:rFonts w:hint="eastAsia"/>
                <w:color w:val="auto"/>
                <w:lang w:val="en-US" w:eastAsia="zh-CN"/>
              </w:rPr>
              <w:t>14</w:t>
            </w:r>
            <w:r>
              <w:rPr>
                <w:rFonts w:hint="eastAsia"/>
                <w:color w:val="auto"/>
              </w:rPr>
              <w:t>”中的“</w:t>
            </w:r>
            <w:r>
              <w:rPr>
                <w:rFonts w:hint="eastAsia"/>
                <w:color w:val="auto"/>
                <w:lang w:val="en-US" w:eastAsia="zh-CN"/>
              </w:rPr>
              <w:t>21</w:t>
            </w:r>
            <w:r>
              <w:rPr>
                <w:rFonts w:hint="eastAsia"/>
                <w:color w:val="auto"/>
              </w:rPr>
              <w:t>、</w:t>
            </w:r>
            <w:r>
              <w:rPr>
                <w:rFonts w:hint="eastAsia"/>
                <w:color w:val="auto"/>
                <w:lang w:eastAsia="zh-CN"/>
              </w:rPr>
              <w:t>方便食品制造</w:t>
            </w:r>
            <w:r>
              <w:rPr>
                <w:rFonts w:hint="eastAsia"/>
                <w:color w:val="auto"/>
                <w:lang w:val="en-US" w:eastAsia="zh-CN"/>
              </w:rPr>
              <w:t>143</w:t>
            </w:r>
            <w:r>
              <w:rPr>
                <w:rFonts w:hint="eastAsia"/>
                <w:color w:val="auto"/>
              </w:rPr>
              <w:t>”中的“</w:t>
            </w:r>
            <w:r>
              <w:rPr>
                <w:rFonts w:hint="eastAsia"/>
                <w:color w:val="auto"/>
                <w:lang w:eastAsia="zh-CN"/>
              </w:rPr>
              <w:t>除单纯分装外的</w:t>
            </w:r>
            <w:r>
              <w:rPr>
                <w:rFonts w:hint="eastAsia"/>
                <w:color w:val="auto"/>
              </w:rPr>
              <w:t>”，故确定项目环评形式为环境影响评价报告表。</w:t>
            </w:r>
          </w:p>
          <w:p w14:paraId="13A0D842">
            <w:pPr>
              <w:pStyle w:val="180"/>
              <w:spacing w:line="360" w:lineRule="auto"/>
              <w:ind w:firstLine="480"/>
              <w:rPr>
                <w:color w:val="auto"/>
              </w:rPr>
            </w:pPr>
            <w:r>
              <w:rPr>
                <w:color w:val="auto"/>
              </w:rPr>
              <w:t>为此，</w:t>
            </w:r>
            <w:r>
              <w:rPr>
                <w:rFonts w:hint="eastAsia"/>
                <w:color w:val="auto"/>
                <w:lang w:eastAsia="zh-CN"/>
              </w:rPr>
              <w:t>安徽京麦源食品有限公司</w:t>
            </w:r>
            <w:r>
              <w:rPr>
                <w:color w:val="auto"/>
              </w:rPr>
              <w:t>委托</w:t>
            </w:r>
            <w:r>
              <w:rPr>
                <w:rFonts w:hint="eastAsia"/>
                <w:color w:val="auto"/>
                <w:lang w:eastAsia="zh-CN"/>
              </w:rPr>
              <w:t>淮南环顺环境科技有限公司</w:t>
            </w:r>
            <w:r>
              <w:rPr>
                <w:color w:val="auto"/>
              </w:rPr>
              <w:t>承担本项目环境影响评价工作。</w:t>
            </w:r>
            <w:r>
              <w:rPr>
                <w:rFonts w:hint="eastAsia"/>
                <w:color w:val="auto"/>
              </w:rPr>
              <w:t>接受委托后，我公司组织技术人员收集相关资料并进行现场踏勘调查，在了解项目所在地及周围环境概况后，本着客观、公正、科学、规范的原则，编制了本环境影响评价报告表。</w:t>
            </w:r>
          </w:p>
          <w:p w14:paraId="4D557D97">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表 </w:t>
            </w:r>
            <w:r>
              <w:rPr>
                <w:rFonts w:hint="eastAsia"/>
                <w:lang w:val="en-US" w:eastAsia="zh-CN"/>
              </w:rPr>
              <w:t>2</w:t>
            </w:r>
            <w:r>
              <w:rPr>
                <w:rFonts w:hint="eastAsia"/>
                <w:lang w:eastAsia="zh-CN"/>
              </w:rPr>
              <w:t>-</w:t>
            </w:r>
            <w:r>
              <w:fldChar w:fldCharType="begin"/>
            </w:r>
            <w:r>
              <w:instrText xml:space="preserve"> SEQ 表 \* ARABIC \s 1 </w:instrText>
            </w:r>
            <w:r>
              <w:fldChar w:fldCharType="separate"/>
            </w:r>
            <w:r>
              <w:t>1</w:t>
            </w:r>
            <w:r>
              <w:fldChar w:fldCharType="end"/>
            </w:r>
            <w:r>
              <w:rPr>
                <w:rFonts w:hint="eastAsia"/>
                <w:lang w:val="en-US" w:eastAsia="zh-CN"/>
              </w:rPr>
              <w:t xml:space="preserve"> </w:t>
            </w:r>
            <w:r>
              <w:rPr>
                <w:color w:val="auto"/>
              </w:rPr>
              <w:t>项目环评分类管理类别判定</w:t>
            </w:r>
          </w:p>
          <w:tbl>
            <w:tblPr>
              <w:tblStyle w:val="5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9"/>
              <w:gridCol w:w="2371"/>
              <w:gridCol w:w="1950"/>
              <w:gridCol w:w="1852"/>
              <w:gridCol w:w="2038"/>
            </w:tblGrid>
            <w:tr w14:paraId="66C72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6" w:hRule="atLeast"/>
                <w:jc w:val="center"/>
              </w:trPr>
              <w:tc>
                <w:tcPr>
                  <w:tcW w:w="2859" w:type="dxa"/>
                  <w:gridSpan w:val="2"/>
                  <w:tcBorders>
                    <w:tl2br w:val="single" w:color="auto" w:sz="4" w:space="0"/>
                  </w:tcBorders>
                  <w:vAlign w:val="center"/>
                </w:tcPr>
                <w:p w14:paraId="7CC9965E">
                  <w:pPr>
                    <w:pStyle w:val="286"/>
                    <w:framePr w:hSpace="0" w:wrap="auto" w:vAnchor="margin" w:hAnchor="text" w:xAlign="left" w:yAlign="inline"/>
                    <w:ind w:left="0" w:leftChars="0" w:right="0" w:rightChars="0" w:firstLine="0" w:firstLineChars="0"/>
                    <w:jc w:val="center"/>
                    <w:rPr>
                      <w:color w:val="auto"/>
                      <w:sz w:val="18"/>
                      <w:szCs w:val="18"/>
                    </w:rPr>
                  </w:pPr>
                  <w:r>
                    <w:rPr>
                      <w:rFonts w:hint="eastAsia"/>
                      <w:color w:val="auto"/>
                      <w:sz w:val="18"/>
                      <w:szCs w:val="18"/>
                      <w:lang w:val="en-US" w:eastAsia="zh-CN"/>
                    </w:rPr>
                    <w:t xml:space="preserve">          </w:t>
                  </w:r>
                  <w:r>
                    <w:rPr>
                      <w:color w:val="auto"/>
                      <w:sz w:val="18"/>
                      <w:szCs w:val="18"/>
                    </w:rPr>
                    <w:t>环评类别</w:t>
                  </w:r>
                </w:p>
                <w:p w14:paraId="5C9A854A">
                  <w:pPr>
                    <w:pStyle w:val="286"/>
                    <w:framePr w:hSpace="0" w:wrap="auto" w:vAnchor="margin" w:hAnchor="text" w:xAlign="left" w:yAlign="inline"/>
                    <w:ind w:left="0" w:leftChars="0" w:right="0" w:rightChars="0" w:firstLine="0" w:firstLineChars="0"/>
                    <w:jc w:val="both"/>
                    <w:rPr>
                      <w:color w:val="auto"/>
                      <w:sz w:val="18"/>
                      <w:szCs w:val="18"/>
                    </w:rPr>
                  </w:pPr>
                  <w:r>
                    <w:rPr>
                      <w:color w:val="auto"/>
                      <w:sz w:val="18"/>
                      <w:szCs w:val="18"/>
                    </w:rPr>
                    <w:t>项目类别</w:t>
                  </w:r>
                </w:p>
              </w:tc>
              <w:tc>
                <w:tcPr>
                  <w:tcW w:w="1950" w:type="dxa"/>
                  <w:vAlign w:val="center"/>
                </w:tcPr>
                <w:p w14:paraId="2EF84C83">
                  <w:pPr>
                    <w:pStyle w:val="286"/>
                    <w:framePr w:hSpace="0" w:wrap="auto" w:vAnchor="margin" w:hAnchor="text" w:xAlign="left" w:yAlign="inline"/>
                    <w:ind w:left="0" w:leftChars="0" w:right="0" w:rightChars="0" w:firstLine="0" w:firstLineChars="0"/>
                    <w:jc w:val="center"/>
                    <w:rPr>
                      <w:color w:val="auto"/>
                      <w:sz w:val="18"/>
                      <w:szCs w:val="18"/>
                    </w:rPr>
                  </w:pPr>
                  <w:r>
                    <w:rPr>
                      <w:color w:val="auto"/>
                      <w:sz w:val="18"/>
                      <w:szCs w:val="18"/>
                    </w:rPr>
                    <w:t>报告书</w:t>
                  </w:r>
                </w:p>
              </w:tc>
              <w:tc>
                <w:tcPr>
                  <w:tcW w:w="1852" w:type="dxa"/>
                  <w:vAlign w:val="center"/>
                </w:tcPr>
                <w:p w14:paraId="069C1543">
                  <w:pPr>
                    <w:pStyle w:val="286"/>
                    <w:framePr w:hSpace="0" w:wrap="auto" w:vAnchor="margin" w:hAnchor="text" w:xAlign="left" w:yAlign="inline"/>
                    <w:ind w:left="0" w:leftChars="0" w:right="0" w:rightChars="0" w:firstLine="0" w:firstLineChars="0"/>
                    <w:jc w:val="center"/>
                    <w:rPr>
                      <w:color w:val="auto"/>
                      <w:sz w:val="18"/>
                      <w:szCs w:val="18"/>
                    </w:rPr>
                  </w:pPr>
                  <w:r>
                    <w:rPr>
                      <w:color w:val="auto"/>
                      <w:sz w:val="18"/>
                      <w:szCs w:val="18"/>
                    </w:rPr>
                    <w:t>报告表</w:t>
                  </w:r>
                </w:p>
              </w:tc>
              <w:tc>
                <w:tcPr>
                  <w:tcW w:w="2037" w:type="dxa"/>
                  <w:vAlign w:val="center"/>
                </w:tcPr>
                <w:p w14:paraId="2CE84C62">
                  <w:pPr>
                    <w:pStyle w:val="286"/>
                    <w:framePr w:hSpace="0" w:wrap="auto" w:vAnchor="margin" w:hAnchor="text" w:xAlign="left" w:yAlign="inline"/>
                    <w:ind w:left="0" w:leftChars="0" w:right="0" w:rightChars="0" w:firstLine="0" w:firstLineChars="0"/>
                    <w:jc w:val="center"/>
                    <w:rPr>
                      <w:color w:val="auto"/>
                      <w:sz w:val="18"/>
                      <w:szCs w:val="18"/>
                    </w:rPr>
                  </w:pPr>
                  <w:r>
                    <w:rPr>
                      <w:color w:val="auto"/>
                      <w:sz w:val="18"/>
                      <w:szCs w:val="18"/>
                    </w:rPr>
                    <w:t>登记表</w:t>
                  </w:r>
                </w:p>
              </w:tc>
            </w:tr>
            <w:tr w14:paraId="07B84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8698" w:type="dxa"/>
                  <w:gridSpan w:val="5"/>
                  <w:vAlign w:val="center"/>
                </w:tcPr>
                <w:p w14:paraId="018C8ADF">
                  <w:pPr>
                    <w:pStyle w:val="286"/>
                    <w:framePr w:hSpace="0" w:wrap="auto" w:vAnchor="margin" w:hAnchor="text" w:xAlign="left" w:yAlign="inline"/>
                    <w:ind w:left="0" w:leftChars="0" w:right="0" w:rightChars="0" w:firstLine="0" w:firstLineChars="0"/>
                    <w:jc w:val="center"/>
                    <w:rPr>
                      <w:color w:val="auto"/>
                      <w:sz w:val="18"/>
                      <w:szCs w:val="18"/>
                    </w:rPr>
                  </w:pPr>
                  <w:r>
                    <w:rPr>
                      <w:rFonts w:hint="eastAsia"/>
                      <w:color w:val="auto"/>
                      <w:sz w:val="18"/>
                      <w:szCs w:val="18"/>
                    </w:rPr>
                    <w:t>十一、食品制造业14</w:t>
                  </w:r>
                </w:p>
              </w:tc>
            </w:tr>
            <w:tr w14:paraId="0F3036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4" w:hRule="atLeast"/>
                <w:jc w:val="center"/>
              </w:trPr>
              <w:tc>
                <w:tcPr>
                  <w:tcW w:w="489" w:type="dxa"/>
                  <w:vAlign w:val="center"/>
                </w:tcPr>
                <w:p w14:paraId="4440D98E">
                  <w:pPr>
                    <w:pStyle w:val="286"/>
                    <w:framePr w:hSpace="0" w:wrap="auto" w:vAnchor="margin" w:hAnchor="text" w:xAlign="left" w:yAlign="inline"/>
                    <w:ind w:left="0" w:leftChars="0" w:right="0" w:rightChars="0" w:firstLine="0" w:firstLineChars="0"/>
                    <w:jc w:val="center"/>
                    <w:rPr>
                      <w:rFonts w:hint="default" w:eastAsia="宋体"/>
                      <w:color w:val="auto"/>
                      <w:sz w:val="18"/>
                      <w:szCs w:val="18"/>
                      <w:lang w:val="en-US" w:eastAsia="zh-CN"/>
                    </w:rPr>
                  </w:pPr>
                  <w:r>
                    <w:rPr>
                      <w:rFonts w:hint="eastAsia"/>
                      <w:color w:val="auto"/>
                      <w:sz w:val="18"/>
                      <w:szCs w:val="18"/>
                      <w:lang w:val="en-US" w:eastAsia="zh-CN"/>
                    </w:rPr>
                    <w:t>21</w:t>
                  </w:r>
                </w:p>
              </w:tc>
              <w:tc>
                <w:tcPr>
                  <w:tcW w:w="2370" w:type="dxa"/>
                  <w:vAlign w:val="center"/>
                </w:tcPr>
                <w:p w14:paraId="06E6F904">
                  <w:pPr>
                    <w:pStyle w:val="286"/>
                    <w:framePr w:hSpace="0" w:wrap="auto" w:vAnchor="margin" w:hAnchor="text" w:xAlign="left" w:yAlign="inline"/>
                    <w:ind w:left="0" w:leftChars="0" w:right="0" w:rightChars="0" w:firstLine="0" w:firstLineChars="0"/>
                    <w:jc w:val="center"/>
                    <w:rPr>
                      <w:color w:val="auto"/>
                      <w:sz w:val="18"/>
                      <w:szCs w:val="18"/>
                    </w:rPr>
                  </w:pPr>
                  <w:r>
                    <w:rPr>
                      <w:rFonts w:hint="eastAsia"/>
                      <w:color w:val="auto"/>
                      <w:sz w:val="18"/>
                      <w:szCs w:val="18"/>
                    </w:rPr>
                    <w:t>糖果、巧克力及蜜饯制造142*</w:t>
                  </w:r>
                  <w:r>
                    <w:rPr>
                      <w:rFonts w:hint="eastAsia"/>
                      <w:color w:val="auto"/>
                      <w:sz w:val="18"/>
                      <w:szCs w:val="18"/>
                      <w:lang w:eastAsia="zh-CN"/>
                    </w:rPr>
                    <w:t>；</w:t>
                  </w:r>
                  <w:r>
                    <w:rPr>
                      <w:rFonts w:hint="eastAsia"/>
                      <w:color w:val="auto"/>
                      <w:sz w:val="18"/>
                      <w:szCs w:val="18"/>
                    </w:rPr>
                    <w:t>方便食品制造143*</w:t>
                  </w:r>
                  <w:r>
                    <w:rPr>
                      <w:rFonts w:hint="eastAsia"/>
                      <w:color w:val="auto"/>
                      <w:sz w:val="18"/>
                      <w:szCs w:val="18"/>
                      <w:lang w:eastAsia="zh-CN"/>
                    </w:rPr>
                    <w:t>；</w:t>
                  </w:r>
                  <w:r>
                    <w:rPr>
                      <w:rFonts w:hint="eastAsia"/>
                      <w:color w:val="auto"/>
                      <w:sz w:val="18"/>
                      <w:szCs w:val="18"/>
                    </w:rPr>
                    <w:t>罐头食品制造145*</w:t>
                  </w:r>
                </w:p>
              </w:tc>
              <w:tc>
                <w:tcPr>
                  <w:tcW w:w="1950" w:type="dxa"/>
                  <w:vAlign w:val="center"/>
                </w:tcPr>
                <w:p w14:paraId="65EBB0C5">
                  <w:pPr>
                    <w:pStyle w:val="286"/>
                    <w:framePr w:hSpace="0" w:wrap="auto" w:vAnchor="margin" w:hAnchor="text" w:xAlign="left" w:yAlign="inline"/>
                    <w:ind w:left="0" w:leftChars="0" w:right="0" w:rightChars="0" w:firstLine="0" w:firstLineChars="0"/>
                    <w:jc w:val="center"/>
                    <w:rPr>
                      <w:rFonts w:hint="eastAsia" w:eastAsia="宋体"/>
                      <w:color w:val="auto"/>
                      <w:sz w:val="18"/>
                      <w:szCs w:val="18"/>
                      <w:lang w:eastAsia="zh-CN"/>
                    </w:rPr>
                  </w:pPr>
                  <w:r>
                    <w:rPr>
                      <w:rFonts w:hint="eastAsia"/>
                      <w:color w:val="auto"/>
                      <w:sz w:val="18"/>
                      <w:szCs w:val="18"/>
                      <w:lang w:val="en-US" w:eastAsia="zh-CN"/>
                    </w:rPr>
                    <w:t>/</w:t>
                  </w:r>
                </w:p>
              </w:tc>
              <w:tc>
                <w:tcPr>
                  <w:tcW w:w="1852" w:type="dxa"/>
                  <w:vAlign w:val="center"/>
                </w:tcPr>
                <w:p w14:paraId="1DE956C0">
                  <w:pPr>
                    <w:pStyle w:val="286"/>
                    <w:framePr w:hSpace="0" w:wrap="auto" w:vAnchor="margin" w:hAnchor="text" w:xAlign="left" w:yAlign="inline"/>
                    <w:ind w:left="0" w:leftChars="0" w:right="0" w:rightChars="0" w:firstLine="0" w:firstLineChars="0"/>
                    <w:jc w:val="center"/>
                    <w:rPr>
                      <w:color w:val="auto"/>
                      <w:sz w:val="18"/>
                      <w:szCs w:val="18"/>
                    </w:rPr>
                  </w:pPr>
                  <w:r>
                    <w:rPr>
                      <w:rFonts w:hint="eastAsia"/>
                      <w:color w:val="auto"/>
                      <w:sz w:val="18"/>
                      <w:szCs w:val="18"/>
                      <w:lang w:eastAsia="zh-CN"/>
                    </w:rPr>
                    <w:t>除单纯分装外的</w:t>
                  </w:r>
                </w:p>
              </w:tc>
              <w:tc>
                <w:tcPr>
                  <w:tcW w:w="2037" w:type="dxa"/>
                  <w:vAlign w:val="center"/>
                </w:tcPr>
                <w:p w14:paraId="1BB1CDC8">
                  <w:pPr>
                    <w:pStyle w:val="286"/>
                    <w:framePr w:hSpace="0" w:wrap="auto" w:vAnchor="margin" w:hAnchor="text" w:xAlign="left" w:yAlign="inline"/>
                    <w:ind w:left="0" w:leftChars="0" w:right="0" w:rightChars="0" w:firstLine="0" w:firstLineChars="0"/>
                    <w:jc w:val="center"/>
                    <w:rPr>
                      <w:color w:val="auto"/>
                      <w:sz w:val="18"/>
                      <w:szCs w:val="18"/>
                    </w:rPr>
                  </w:pPr>
                  <w:r>
                    <w:rPr>
                      <w:color w:val="auto"/>
                      <w:sz w:val="18"/>
                      <w:szCs w:val="18"/>
                    </w:rPr>
                    <w:t>/</w:t>
                  </w:r>
                </w:p>
              </w:tc>
            </w:tr>
          </w:tbl>
          <w:p w14:paraId="7EAA5E35">
            <w:pPr>
              <w:pStyle w:val="179"/>
              <w:keepNext w:val="0"/>
              <w:keepLines w:val="0"/>
              <w:pageBreakBefore w:val="0"/>
              <w:framePr w:hSpace="0" w:wrap="auto" w:vAnchor="margin" w:hAnchor="text" w:xAlign="left" w:yAlign="inline"/>
              <w:widowControl/>
              <w:numPr>
                <w:ilvl w:val="0"/>
                <w:numId w:val="0"/>
              </w:numPr>
              <w:kinsoku/>
              <w:wordWrap/>
              <w:overflowPunct/>
              <w:topLinePunct w:val="0"/>
              <w:autoSpaceDE/>
              <w:autoSpaceDN/>
              <w:bidi w:val="0"/>
              <w:adjustRightInd/>
              <w:snapToGrid w:val="0"/>
              <w:spacing w:line="360" w:lineRule="auto"/>
              <w:ind w:firstLine="482" w:firstLineChars="200"/>
              <w:textAlignment w:val="auto"/>
              <w:rPr>
                <w:rFonts w:hint="eastAsia" w:ascii="Times New Roman" w:hAnsi="Times New Roman" w:cs="Times New Roman" w:eastAsiaTheme="minorEastAsia"/>
                <w:b/>
                <w:color w:val="auto"/>
                <w:sz w:val="24"/>
                <w:lang w:val="en-US" w:eastAsia="zh-CN" w:bidi="en-US"/>
              </w:rPr>
            </w:pPr>
          </w:p>
          <w:p w14:paraId="49E77469">
            <w:pPr>
              <w:pStyle w:val="179"/>
              <w:keepNext w:val="0"/>
              <w:keepLines w:val="0"/>
              <w:pageBreakBefore w:val="0"/>
              <w:framePr w:hSpace="0" w:wrap="auto" w:vAnchor="margin" w:hAnchor="text" w:xAlign="left" w:yAlign="inline"/>
              <w:widowControl/>
              <w:numPr>
                <w:ilvl w:val="0"/>
                <w:numId w:val="0"/>
              </w:numPr>
              <w:kinsoku/>
              <w:wordWrap/>
              <w:overflowPunct/>
              <w:topLinePunct w:val="0"/>
              <w:autoSpaceDE/>
              <w:autoSpaceDN/>
              <w:bidi w:val="0"/>
              <w:adjustRightInd/>
              <w:snapToGrid w:val="0"/>
              <w:spacing w:line="360" w:lineRule="auto"/>
              <w:textAlignment w:val="auto"/>
              <w:rPr>
                <w:rFonts w:eastAsiaTheme="minorEastAsia"/>
                <w:color w:val="auto"/>
              </w:rPr>
            </w:pPr>
            <w:r>
              <w:rPr>
                <w:rFonts w:hint="eastAsia" w:ascii="Times New Roman" w:hAnsi="Times New Roman" w:cs="Times New Roman" w:eastAsiaTheme="minorEastAsia"/>
                <w:b/>
                <w:color w:val="auto"/>
                <w:sz w:val="24"/>
                <w:lang w:val="en-US" w:eastAsia="zh-CN" w:bidi="en-US"/>
              </w:rPr>
              <w:t>2.2</w:t>
            </w:r>
            <w:r>
              <w:rPr>
                <w:rFonts w:hint="eastAsia"/>
                <w:color w:val="auto"/>
              </w:rPr>
              <w:t>项目组成</w:t>
            </w:r>
          </w:p>
          <w:p w14:paraId="4F69AF91">
            <w:pPr>
              <w:pStyle w:val="180"/>
              <w:keepNext w:val="0"/>
              <w:keepLines w:val="0"/>
              <w:pageBreakBefore w:val="0"/>
              <w:widowControl/>
              <w:numPr>
                <w:ilvl w:val="0"/>
                <w:numId w:val="0"/>
              </w:numPr>
              <w:kinsoku/>
              <w:wordWrap/>
              <w:overflowPunct/>
              <w:topLinePunct w:val="0"/>
              <w:autoSpaceDE/>
              <w:autoSpaceDN/>
              <w:bidi w:val="0"/>
              <w:adjustRightInd/>
              <w:snapToGrid w:val="0"/>
              <w:spacing w:line="360" w:lineRule="auto"/>
              <w:ind w:left="0" w:leftChars="0" w:firstLine="482" w:firstLineChars="200"/>
              <w:textAlignment w:val="auto"/>
              <w:rPr>
                <w:b/>
                <w:color w:val="auto"/>
              </w:rPr>
            </w:pPr>
            <w:r>
              <w:rPr>
                <w:rFonts w:hint="eastAsia" w:ascii="Times New Roman" w:hAnsi="Times New Roman" w:eastAsia="宋体" w:cs="Times New Roman"/>
                <w:b/>
                <w:color w:val="auto"/>
                <w:sz w:val="24"/>
                <w:lang w:val="en-US" w:eastAsia="zh-CN" w:bidi="en-US"/>
              </w:rPr>
              <w:t>2.2.1</w:t>
            </w:r>
            <w:r>
              <w:rPr>
                <w:b/>
                <w:color w:val="auto"/>
              </w:rPr>
              <w:t xml:space="preserve"> </w:t>
            </w:r>
            <w:r>
              <w:rPr>
                <w:rFonts w:hint="eastAsia"/>
                <w:b/>
                <w:color w:val="auto"/>
              </w:rPr>
              <w:t>基本概况</w:t>
            </w:r>
          </w:p>
          <w:p w14:paraId="24813C32">
            <w:pPr>
              <w:pStyle w:val="771"/>
              <w:bidi w:val="0"/>
              <w:rPr>
                <w:rFonts w:hint="eastAsia"/>
                <w:lang w:eastAsia="zh-CN"/>
              </w:rPr>
            </w:pPr>
            <w:r>
              <w:rPr>
                <w:rFonts w:hint="eastAsia"/>
              </w:rPr>
              <w:t>（1）项目名称：</w:t>
            </w:r>
            <w:r>
              <w:rPr>
                <w:rFonts w:hint="eastAsia"/>
                <w:lang w:eastAsia="zh-CN"/>
              </w:rPr>
              <w:t>生湿米面制品深加工智能化工厂项目</w:t>
            </w:r>
          </w:p>
          <w:p w14:paraId="0CEF20EF">
            <w:pPr>
              <w:pStyle w:val="771"/>
              <w:bidi w:val="0"/>
              <w:rPr>
                <w:rFonts w:hint="eastAsia"/>
                <w:lang w:eastAsia="zh-CN"/>
              </w:rPr>
            </w:pPr>
            <w:r>
              <w:rPr>
                <w:rFonts w:hint="eastAsia"/>
              </w:rPr>
              <w:t>（2）建设单位：</w:t>
            </w:r>
            <w:r>
              <w:rPr>
                <w:rFonts w:hint="eastAsia"/>
                <w:lang w:eastAsia="zh-CN"/>
              </w:rPr>
              <w:t>安徽京麦源食品有限公司</w:t>
            </w:r>
          </w:p>
          <w:p w14:paraId="4CCF3156">
            <w:pPr>
              <w:pStyle w:val="771"/>
              <w:bidi w:val="0"/>
            </w:pPr>
            <w:r>
              <w:rPr>
                <w:rFonts w:hint="eastAsia"/>
              </w:rPr>
              <w:t>（3）建设性质：新建</w:t>
            </w:r>
          </w:p>
          <w:p w14:paraId="608D4022">
            <w:pPr>
              <w:pStyle w:val="771"/>
              <w:bidi w:val="0"/>
              <w:rPr>
                <w:color w:val="auto"/>
              </w:rPr>
            </w:pPr>
            <w:r>
              <w:rPr>
                <w:rFonts w:hint="eastAsia"/>
              </w:rPr>
              <w:t>（4）建设规模：</w:t>
            </w:r>
            <w:r>
              <w:rPr>
                <w:rFonts w:hint="eastAsia"/>
                <w:lang w:val="en-US" w:eastAsia="zh-CN"/>
              </w:rPr>
              <w:t>本项目租用高端装备产业园区X4号楼一层厂房，建设标准化米面制品深加工车间。购置大型全自助熟面设备、鲜面条设备、凉皮米皮河粉设备、年糕设备、饼丝设备等，建设原料放置区、脱包区、和面区、成型区、蒸煮区、冷却区、包装区以及相关配套办公设施。</w:t>
            </w:r>
          </w:p>
          <w:p w14:paraId="1C93DF4F">
            <w:pPr>
              <w:pStyle w:val="179"/>
              <w:framePr w:hSpace="0" w:wrap="auto" w:vAnchor="margin" w:hAnchor="text" w:xAlign="left" w:yAlign="inline"/>
              <w:numPr>
                <w:ilvl w:val="0"/>
                <w:numId w:val="0"/>
              </w:numPr>
              <w:spacing w:line="360" w:lineRule="auto"/>
              <w:ind w:left="902" w:leftChars="0" w:hanging="420" w:firstLineChars="0"/>
              <w:rPr>
                <w:color w:val="auto"/>
              </w:rPr>
            </w:pPr>
            <w:r>
              <w:rPr>
                <w:rFonts w:hint="eastAsia" w:ascii="Times New Roman" w:hAnsi="Times New Roman" w:eastAsia="宋体" w:cs="Times New Roman"/>
                <w:b/>
                <w:color w:val="auto"/>
                <w:sz w:val="24"/>
                <w:lang w:val="en-US" w:eastAsia="zh-CN" w:bidi="en-US"/>
              </w:rPr>
              <w:t>2.2.2</w:t>
            </w:r>
            <w:r>
              <w:rPr>
                <w:rFonts w:hint="eastAsia"/>
                <w:color w:val="auto"/>
              </w:rPr>
              <w:t xml:space="preserve"> 建设地点</w:t>
            </w:r>
          </w:p>
          <w:p w14:paraId="6FEA9C62">
            <w:pPr>
              <w:pStyle w:val="771"/>
              <w:bidi w:val="0"/>
            </w:pPr>
            <w:r>
              <w:rPr>
                <w:rFonts w:hint="eastAsia"/>
              </w:rPr>
              <w:t>本项目位于淮南经济技术开发区</w:t>
            </w:r>
            <w:r>
              <w:rPr>
                <w:rFonts w:hint="eastAsia"/>
                <w:lang w:eastAsia="zh-CN"/>
              </w:rPr>
              <w:t>高端装备产业园X4号楼一层</w:t>
            </w:r>
            <w:r>
              <w:rPr>
                <w:rFonts w:hint="eastAsia"/>
              </w:rPr>
              <w:t>，项目用地性质为二类工业用地</w:t>
            </w:r>
            <w:r>
              <w:t>。本项目在租赁厂房内实施建设，</w:t>
            </w:r>
            <w:r>
              <w:rPr>
                <w:rFonts w:hint="eastAsia"/>
              </w:rPr>
              <w:t>项目所在地厂区</w:t>
            </w:r>
            <w:r>
              <w:rPr>
                <w:rFonts w:hint="eastAsia"/>
                <w:lang w:eastAsia="zh-CN"/>
              </w:rPr>
              <w:t>四周均为</w:t>
            </w:r>
            <w:r>
              <w:rPr>
                <w:rFonts w:hint="eastAsia"/>
                <w:lang w:val="en-US" w:eastAsia="zh-CN"/>
              </w:rPr>
              <w:t>园区道路和标准化厂房</w:t>
            </w:r>
            <w:r>
              <w:rPr>
                <w:rFonts w:hint="eastAsia"/>
              </w:rPr>
              <w:t>。</w:t>
            </w:r>
          </w:p>
          <w:p w14:paraId="167E4EC5">
            <w:pPr>
              <w:pStyle w:val="771"/>
              <w:bidi w:val="0"/>
            </w:pPr>
            <w:r>
              <w:t>项目周边环境概况详见</w:t>
            </w:r>
            <w:r>
              <w:rPr>
                <w:rFonts w:hint="eastAsia"/>
                <w:lang w:eastAsia="zh-CN"/>
              </w:rPr>
              <w:t>下图</w:t>
            </w:r>
            <w:r>
              <w:t>。</w:t>
            </w:r>
          </w:p>
          <w:p w14:paraId="7D56B7FA">
            <w:pPr>
              <w:pStyle w:val="285"/>
              <w:framePr w:hSpace="0" w:wrap="auto" w:vAnchor="margin" w:hAnchor="text" w:xAlign="left" w:yAlign="inline"/>
              <w:spacing w:line="360" w:lineRule="auto"/>
              <w:rPr>
                <w:rFonts w:hint="eastAsia" w:eastAsia="宋体"/>
                <w:lang w:val="en-US" w:eastAsia="zh-CN"/>
              </w:rPr>
            </w:pPr>
            <w:r>
              <w:drawing>
                <wp:inline distT="0" distB="0" distL="114300" distR="114300">
                  <wp:extent cx="5593080" cy="3322320"/>
                  <wp:effectExtent l="0" t="0" r="7620" b="1143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26"/>
                          <a:stretch>
                            <a:fillRect/>
                          </a:stretch>
                        </pic:blipFill>
                        <pic:spPr>
                          <a:xfrm>
                            <a:off x="0" y="0"/>
                            <a:ext cx="5593080" cy="3322320"/>
                          </a:xfrm>
                          <a:prstGeom prst="rect">
                            <a:avLst/>
                          </a:prstGeom>
                          <a:noFill/>
                          <a:ln>
                            <a:noFill/>
                          </a:ln>
                        </pic:spPr>
                      </pic:pic>
                    </a:graphicData>
                  </a:graphic>
                </wp:inline>
              </w:drawing>
            </w:r>
          </w:p>
          <w:p w14:paraId="4EB51A55">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lang w:val="en-US" w:eastAsia="zh-CN"/>
              </w:rPr>
            </w:pPr>
            <w:r>
              <w:t xml:space="preserve">图 </w:t>
            </w:r>
            <w:r>
              <w:rPr>
                <w:rFonts w:hint="eastAsia"/>
                <w:lang w:val="en-US" w:eastAsia="zh-CN"/>
              </w:rPr>
              <w:t>2</w:t>
            </w:r>
            <w:r>
              <w:rPr>
                <w:rFonts w:hint="eastAsia"/>
                <w:lang w:eastAsia="zh-CN"/>
              </w:rPr>
              <w:t>-</w:t>
            </w:r>
            <w:r>
              <w:fldChar w:fldCharType="begin"/>
            </w:r>
            <w:r>
              <w:instrText xml:space="preserve"> SEQ 图 \* ARABIC \s 1 </w:instrText>
            </w:r>
            <w:r>
              <w:fldChar w:fldCharType="separate"/>
            </w:r>
            <w:r>
              <w:t>1</w:t>
            </w:r>
            <w:r>
              <w:fldChar w:fldCharType="end"/>
            </w:r>
            <w:r>
              <w:rPr>
                <w:rFonts w:hint="eastAsia"/>
                <w:lang w:val="en-US" w:eastAsia="zh-CN"/>
              </w:rPr>
              <w:t xml:space="preserve"> </w:t>
            </w:r>
            <w:r>
              <w:t>项目周边环境概况</w:t>
            </w:r>
            <w:r>
              <w:rPr>
                <w:rFonts w:hint="eastAsia"/>
              </w:rPr>
              <w:t>图</w:t>
            </w:r>
          </w:p>
          <w:p w14:paraId="7306AD70">
            <w:pPr>
              <w:pStyle w:val="179"/>
              <w:framePr w:hSpace="0" w:wrap="auto" w:vAnchor="margin" w:hAnchor="text" w:xAlign="left" w:yAlign="inline"/>
              <w:numPr>
                <w:ilvl w:val="0"/>
                <w:numId w:val="0"/>
              </w:numPr>
              <w:ind w:left="902" w:leftChars="0" w:hanging="420" w:firstLineChars="0"/>
              <w:rPr>
                <w:color w:val="auto"/>
              </w:rPr>
            </w:pPr>
            <w:r>
              <w:rPr>
                <w:rFonts w:hint="eastAsia" w:ascii="Times New Roman" w:hAnsi="Times New Roman" w:eastAsia="宋体" w:cs="Times New Roman"/>
                <w:b/>
                <w:color w:val="auto"/>
                <w:sz w:val="24"/>
                <w:lang w:val="en-US" w:eastAsia="zh-CN" w:bidi="en-US"/>
              </w:rPr>
              <w:t>2.2.3</w:t>
            </w:r>
            <w:r>
              <w:rPr>
                <w:color w:val="auto"/>
              </w:rPr>
              <w:t xml:space="preserve"> </w:t>
            </w:r>
            <w:r>
              <w:rPr>
                <w:rFonts w:hint="eastAsia"/>
                <w:color w:val="auto"/>
              </w:rPr>
              <w:t>工程建设内容</w:t>
            </w:r>
          </w:p>
          <w:p w14:paraId="52EB993C">
            <w:pPr>
              <w:pStyle w:val="180"/>
              <w:wordWrap/>
              <w:ind w:firstLine="480"/>
              <w:rPr>
                <w:rFonts w:hint="eastAsia" w:ascii="Times New Roman" w:hAnsi="Times New Roman" w:eastAsia="宋体" w:cs="Times New Roman"/>
                <w:color w:val="auto"/>
                <w:lang w:val="en-US" w:eastAsia="zh-CN"/>
              </w:rPr>
            </w:pPr>
            <w:r>
              <w:rPr>
                <w:rFonts w:hint="default" w:ascii="Times New Roman" w:hAnsi="Times New Roman" w:eastAsia="宋体" w:cs="Times New Roman"/>
                <w:color w:val="auto"/>
                <w:kern w:val="0"/>
                <w:sz w:val="24"/>
                <w:szCs w:val="24"/>
                <w:lang w:val="en-US" w:eastAsia="zh-CN" w:bidi="ar"/>
              </w:rPr>
              <w:t>淮南经济技术开发区高端装备产业园X4号楼标准化厂房</w:t>
            </w:r>
            <w:r>
              <w:rPr>
                <w:rFonts w:hint="default" w:ascii="Times New Roman" w:hAnsi="Times New Roman" w:eastAsia="宋体" w:cs="Times New Roman"/>
                <w:color w:val="auto"/>
                <w:lang w:val="en-US" w:eastAsia="zh-CN"/>
              </w:rPr>
              <w:t>总共为三层</w:t>
            </w:r>
            <w:r>
              <w:rPr>
                <w:rFonts w:hint="default" w:ascii="Times New Roman" w:hAnsi="Times New Roman" w:eastAsia="宋体" w:cs="Times New Roman"/>
                <w:color w:val="auto"/>
                <w:kern w:val="0"/>
                <w:sz w:val="24"/>
                <w:szCs w:val="24"/>
                <w:lang w:val="en-US" w:eastAsia="zh-CN" w:bidi="ar"/>
              </w:rPr>
              <w:t>，安徽京麦源食品有限公司租赁该楼一层厂房（层高7.3m）进行生产建设，为满足项目生产需要，在层高约3m处自建隔层形成二楼。根据现场踏勘，</w:t>
            </w:r>
            <w:r>
              <w:rPr>
                <w:rFonts w:hint="default" w:ascii="Times New Roman" w:hAnsi="Times New Roman" w:eastAsia="宋体" w:cs="Times New Roman"/>
                <w:color w:val="auto"/>
                <w:lang w:val="zh-CN" w:eastAsia="zh-CN"/>
              </w:rPr>
              <w:t>X4</w:t>
            </w:r>
            <w:r>
              <w:rPr>
                <w:rFonts w:hint="default" w:ascii="Times New Roman" w:hAnsi="Times New Roman" w:eastAsia="宋体" w:cs="Times New Roman"/>
                <w:color w:val="auto"/>
                <w:lang w:val="en-US" w:eastAsia="zh-CN"/>
              </w:rPr>
              <w:t>号楼标准化厂房二层、三层暂无企业入驻。</w:t>
            </w:r>
          </w:p>
          <w:p w14:paraId="197E5346">
            <w:pPr>
              <w:pStyle w:val="180"/>
              <w:keepNext w:val="0"/>
              <w:keepLines w:val="0"/>
              <w:pageBreakBefore w:val="0"/>
              <w:widowControl/>
              <w:kinsoku/>
              <w:wordWrap/>
              <w:overflowPunct/>
              <w:topLinePunct w:val="0"/>
              <w:autoSpaceDE/>
              <w:autoSpaceDN/>
              <w:bidi w:val="0"/>
              <w:adjustRightInd w:val="0"/>
              <w:snapToGrid w:val="0"/>
              <w:spacing w:after="160"/>
              <w:ind w:firstLine="480"/>
              <w:textAlignment w:val="auto"/>
              <w:rPr>
                <w:color w:val="auto"/>
              </w:rPr>
            </w:pPr>
            <w:r>
              <w:rPr>
                <w:color w:val="auto"/>
              </w:rPr>
              <w:t>主要建设内容详见</w:t>
            </w:r>
            <w:r>
              <w:rPr>
                <w:rFonts w:hint="eastAsia"/>
                <w:color w:val="auto"/>
                <w:lang w:eastAsia="zh-CN"/>
              </w:rPr>
              <w:t>下表</w:t>
            </w:r>
            <w:r>
              <w:rPr>
                <w:color w:val="auto"/>
              </w:rPr>
              <w:t>。</w:t>
            </w:r>
          </w:p>
          <w:p w14:paraId="26C7D00B">
            <w:pPr>
              <w:pStyle w:val="180"/>
              <w:keepNext w:val="0"/>
              <w:keepLines w:val="0"/>
              <w:pageBreakBefore w:val="0"/>
              <w:widowControl/>
              <w:kinsoku/>
              <w:wordWrap/>
              <w:overflowPunct/>
              <w:topLinePunct w:val="0"/>
              <w:autoSpaceDE/>
              <w:autoSpaceDN/>
              <w:bidi w:val="0"/>
              <w:adjustRightInd w:val="0"/>
              <w:snapToGrid w:val="0"/>
              <w:spacing w:after="160"/>
              <w:ind w:firstLine="480"/>
              <w:textAlignment w:val="auto"/>
              <w:rPr>
                <w:color w:val="auto"/>
              </w:rPr>
            </w:pPr>
          </w:p>
          <w:p w14:paraId="1A1E49F4">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2</w:t>
            </w:r>
            <w:r>
              <w:rPr>
                <w:rFonts w:hint="eastAsia"/>
                <w:lang w:eastAsia="zh-CN"/>
              </w:rPr>
              <w:t>-</w:t>
            </w:r>
            <w:r>
              <w:fldChar w:fldCharType="begin"/>
            </w:r>
            <w:r>
              <w:instrText xml:space="preserve"> SEQ 表 \* ARABIC \s 1 </w:instrText>
            </w:r>
            <w:r>
              <w:fldChar w:fldCharType="separate"/>
            </w:r>
            <w:r>
              <w:t>2</w:t>
            </w:r>
            <w:r>
              <w:fldChar w:fldCharType="end"/>
            </w:r>
            <w:r>
              <w:rPr>
                <w:color w:val="auto"/>
              </w:rPr>
              <w:t xml:space="preserve"> 项目建设内容组成一览表</w:t>
            </w:r>
          </w:p>
          <w:tbl>
            <w:tblPr>
              <w:tblStyle w:val="57"/>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797"/>
              <w:gridCol w:w="1144"/>
              <w:gridCol w:w="5758"/>
              <w:gridCol w:w="1001"/>
            </w:tblGrid>
            <w:tr w14:paraId="582A5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90" w:hRule="atLeast"/>
              </w:trPr>
              <w:tc>
                <w:tcPr>
                  <w:tcW w:w="458" w:type="pct"/>
                  <w:vAlign w:val="center"/>
                </w:tcPr>
                <w:p w14:paraId="57CA0BD7">
                  <w:pPr>
                    <w:pStyle w:val="286"/>
                    <w:framePr w:hSpace="0" w:wrap="auto" w:vAnchor="margin" w:hAnchor="text" w:xAlign="left" w:yAlign="inline"/>
                    <w:rPr>
                      <w:color w:val="auto"/>
                    </w:rPr>
                  </w:pPr>
                  <w:r>
                    <w:rPr>
                      <w:color w:val="auto"/>
                    </w:rPr>
                    <w:t>工程类别</w:t>
                  </w:r>
                </w:p>
              </w:tc>
              <w:tc>
                <w:tcPr>
                  <w:tcW w:w="657" w:type="pct"/>
                  <w:vAlign w:val="center"/>
                </w:tcPr>
                <w:p w14:paraId="7D350FBE">
                  <w:pPr>
                    <w:pStyle w:val="286"/>
                    <w:framePr w:hSpace="0" w:wrap="auto" w:vAnchor="margin" w:hAnchor="text" w:xAlign="left" w:yAlign="inline"/>
                    <w:rPr>
                      <w:color w:val="auto"/>
                    </w:rPr>
                  </w:pPr>
                  <w:r>
                    <w:rPr>
                      <w:color w:val="auto"/>
                    </w:rPr>
                    <w:t>工程名称</w:t>
                  </w:r>
                </w:p>
              </w:tc>
              <w:tc>
                <w:tcPr>
                  <w:tcW w:w="3308" w:type="pct"/>
                  <w:vAlign w:val="center"/>
                </w:tcPr>
                <w:p w14:paraId="77A9E7A7">
                  <w:pPr>
                    <w:pStyle w:val="286"/>
                    <w:framePr w:hSpace="0" w:wrap="auto" w:vAnchor="margin" w:hAnchor="text" w:xAlign="left" w:yAlign="inline"/>
                    <w:rPr>
                      <w:color w:val="auto"/>
                    </w:rPr>
                  </w:pPr>
                  <w:r>
                    <w:rPr>
                      <w:color w:val="auto"/>
                    </w:rPr>
                    <w:t>工程建设内容</w:t>
                  </w:r>
                </w:p>
              </w:tc>
              <w:tc>
                <w:tcPr>
                  <w:tcW w:w="575" w:type="pct"/>
                  <w:vAlign w:val="center"/>
                </w:tcPr>
                <w:p w14:paraId="4C28E6C8">
                  <w:pPr>
                    <w:pStyle w:val="286"/>
                    <w:framePr w:hSpace="0" w:wrap="auto" w:vAnchor="margin" w:hAnchor="text" w:xAlign="left" w:yAlign="inline"/>
                    <w:rPr>
                      <w:color w:val="auto"/>
                    </w:rPr>
                  </w:pPr>
                  <w:r>
                    <w:rPr>
                      <w:rFonts w:hint="eastAsia"/>
                      <w:color w:val="auto"/>
                    </w:rPr>
                    <w:t>备注</w:t>
                  </w:r>
                </w:p>
              </w:tc>
            </w:tr>
            <w:tr w14:paraId="7BC0E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restart"/>
                  <w:vAlign w:val="center"/>
                </w:tcPr>
                <w:p w14:paraId="6C3AC004">
                  <w:pPr>
                    <w:pStyle w:val="286"/>
                    <w:framePr w:hSpace="0" w:wrap="auto" w:vAnchor="margin" w:hAnchor="text" w:xAlign="left" w:yAlign="inline"/>
                    <w:rPr>
                      <w:color w:val="auto"/>
                    </w:rPr>
                  </w:pPr>
                  <w:r>
                    <w:rPr>
                      <w:color w:val="auto"/>
                    </w:rPr>
                    <w:t>主体</w:t>
                  </w:r>
                </w:p>
                <w:p w14:paraId="24E538D7">
                  <w:pPr>
                    <w:pStyle w:val="286"/>
                    <w:framePr w:hSpace="0" w:wrap="auto" w:vAnchor="margin" w:hAnchor="text" w:xAlign="left" w:yAlign="inline"/>
                    <w:rPr>
                      <w:color w:val="auto"/>
                    </w:rPr>
                  </w:pPr>
                  <w:r>
                    <w:rPr>
                      <w:color w:val="auto"/>
                    </w:rPr>
                    <w:t>工程</w:t>
                  </w:r>
                </w:p>
              </w:tc>
              <w:tc>
                <w:tcPr>
                  <w:tcW w:w="657" w:type="pct"/>
                  <w:shd w:val="clear" w:color="auto" w:fill="auto"/>
                  <w:vAlign w:val="center"/>
                </w:tcPr>
                <w:p w14:paraId="08C24C6D">
                  <w:pPr>
                    <w:pStyle w:val="286"/>
                    <w:framePr w:hSpace="0" w:wrap="auto" w:vAnchor="margin" w:hAnchor="text" w:xAlign="left" w:yAlign="inline"/>
                    <w:rPr>
                      <w:rFonts w:hint="default" w:ascii="Times New Roman" w:hAnsi="Times New Roman" w:eastAsia="宋体" w:cs="宋体"/>
                      <w:color w:val="auto"/>
                      <w:kern w:val="2"/>
                      <w:sz w:val="18"/>
                      <w:szCs w:val="22"/>
                      <w:lang w:val="en-US" w:eastAsia="zh-CN" w:bidi="ar-SA"/>
                    </w:rPr>
                  </w:pPr>
                  <w:r>
                    <w:rPr>
                      <w:color w:val="auto"/>
                    </w:rPr>
                    <w:t>生产</w:t>
                  </w:r>
                  <w:r>
                    <w:rPr>
                      <w:rFonts w:hint="eastAsia"/>
                      <w:color w:val="auto"/>
                      <w:lang w:eastAsia="zh-CN"/>
                    </w:rPr>
                    <w:t>车间</w:t>
                  </w:r>
                  <w:r>
                    <w:rPr>
                      <w:rFonts w:hint="eastAsia"/>
                      <w:color w:val="auto"/>
                      <w:lang w:val="en-US" w:eastAsia="zh-CN"/>
                    </w:rPr>
                    <w:t>1</w:t>
                  </w:r>
                </w:p>
              </w:tc>
              <w:tc>
                <w:tcPr>
                  <w:tcW w:w="3308" w:type="pct"/>
                  <w:shd w:val="clear" w:color="auto" w:fill="auto"/>
                  <w:vAlign w:val="center"/>
                </w:tcPr>
                <w:p w14:paraId="20FAAD8B">
                  <w:pPr>
                    <w:pStyle w:val="286"/>
                    <w:framePr w:hSpace="0" w:wrap="auto" w:vAnchor="margin" w:hAnchor="text" w:xAlign="left" w:yAlign="inline"/>
                    <w:rPr>
                      <w:rFonts w:ascii="Times New Roman" w:hAnsi="Times New Roman" w:eastAsia="宋体" w:cs="宋体"/>
                      <w:color w:val="auto"/>
                      <w:kern w:val="2"/>
                      <w:sz w:val="18"/>
                      <w:szCs w:val="22"/>
                      <w:lang w:val="zh-CN" w:eastAsia="zh-CN" w:bidi="ar-SA"/>
                    </w:rPr>
                  </w:pPr>
                  <w:r>
                    <w:rPr>
                      <w:rFonts w:hint="eastAsia"/>
                      <w:color w:val="auto"/>
                      <w:lang w:eastAsia="zh-CN"/>
                    </w:rPr>
                    <w:t>位于厂区一楼中心区域，建设</w:t>
                  </w:r>
                  <w:r>
                    <w:rPr>
                      <w:rFonts w:hint="eastAsia"/>
                      <w:color w:val="auto"/>
                      <w:lang w:val="en-US" w:eastAsia="zh-CN"/>
                    </w:rPr>
                    <w:t>炒面、热干面、拉条生产车间，</w:t>
                  </w:r>
                  <w:r>
                    <w:rPr>
                      <w:rFonts w:hint="eastAsia" w:cs="Times New Roman"/>
                      <w:color w:val="auto"/>
                      <w:kern w:val="0"/>
                      <w:szCs w:val="20"/>
                      <w:lang w:eastAsia="zh-CN"/>
                    </w:rPr>
                    <w:t>建筑</w:t>
                  </w:r>
                  <w:r>
                    <w:rPr>
                      <w:rFonts w:cs="Times New Roman"/>
                      <w:color w:val="auto"/>
                      <w:kern w:val="0"/>
                      <w:szCs w:val="20"/>
                    </w:rPr>
                    <w:t>面积</w:t>
                  </w:r>
                  <w:r>
                    <w:rPr>
                      <w:rFonts w:hint="eastAsia" w:cs="Times New Roman"/>
                      <w:color w:val="auto"/>
                      <w:kern w:val="0"/>
                      <w:szCs w:val="20"/>
                      <w:lang w:eastAsia="zh-CN"/>
                    </w:rPr>
                    <w:t>约</w:t>
                  </w:r>
                  <w:r>
                    <w:rPr>
                      <w:rFonts w:cs="Times New Roman"/>
                      <w:color w:val="auto"/>
                      <w:kern w:val="0"/>
                      <w:szCs w:val="20"/>
                    </w:rPr>
                    <w:t>为</w:t>
                  </w:r>
                  <w:r>
                    <w:rPr>
                      <w:rFonts w:hint="eastAsia" w:cs="Times New Roman"/>
                      <w:color w:val="auto"/>
                      <w:kern w:val="0"/>
                      <w:szCs w:val="20"/>
                      <w:lang w:val="en-US" w:eastAsia="zh-CN"/>
                    </w:rPr>
                    <w:t>565</w:t>
                  </w:r>
                  <w:r>
                    <w:rPr>
                      <w:rFonts w:cs="Times New Roman"/>
                      <w:color w:val="auto"/>
                      <w:kern w:val="0"/>
                      <w:szCs w:val="20"/>
                      <w:highlight w:val="none"/>
                    </w:rPr>
                    <w:t>m</w:t>
                  </w:r>
                  <w:r>
                    <w:rPr>
                      <w:rFonts w:cs="Times New Roman"/>
                      <w:color w:val="auto"/>
                      <w:kern w:val="0"/>
                      <w:szCs w:val="20"/>
                      <w:highlight w:val="none"/>
                      <w:vertAlign w:val="superscript"/>
                    </w:rPr>
                    <w:t>2</w:t>
                  </w:r>
                  <w:r>
                    <w:rPr>
                      <w:rFonts w:hint="eastAsia" w:cs="Times New Roman"/>
                      <w:color w:val="auto"/>
                      <w:kern w:val="0"/>
                      <w:szCs w:val="20"/>
                      <w:lang w:eastAsia="zh-CN"/>
                    </w:rPr>
                    <w:t>。建设风冷间（</w:t>
                  </w:r>
                  <w:r>
                    <w:rPr>
                      <w:rFonts w:hint="eastAsia" w:cs="Times New Roman"/>
                      <w:color w:val="auto"/>
                      <w:kern w:val="0"/>
                      <w:szCs w:val="20"/>
                      <w:lang w:val="en-US" w:eastAsia="zh-CN"/>
                    </w:rPr>
                    <w:t>95.67m</w:t>
                  </w:r>
                  <w:r>
                    <w:rPr>
                      <w:rFonts w:hint="eastAsia" w:cs="Times New Roman"/>
                      <w:color w:val="auto"/>
                      <w:kern w:val="0"/>
                      <w:szCs w:val="20"/>
                      <w:vertAlign w:val="superscript"/>
                      <w:lang w:val="en-US" w:eastAsia="zh-CN"/>
                    </w:rPr>
                    <w:t>2</w:t>
                  </w:r>
                  <w:r>
                    <w:rPr>
                      <w:rFonts w:hint="eastAsia" w:cs="Times New Roman"/>
                      <w:color w:val="auto"/>
                      <w:kern w:val="0"/>
                      <w:szCs w:val="20"/>
                      <w:lang w:eastAsia="zh-CN"/>
                    </w:rPr>
                    <w:t>）、输送间（</w:t>
                  </w:r>
                  <w:r>
                    <w:rPr>
                      <w:rFonts w:hint="eastAsia" w:cs="Times New Roman"/>
                      <w:color w:val="auto"/>
                      <w:kern w:val="0"/>
                      <w:szCs w:val="20"/>
                      <w:lang w:val="en-US" w:eastAsia="zh-CN"/>
                    </w:rPr>
                    <w:t>32.69m</w:t>
                  </w:r>
                  <w:r>
                    <w:rPr>
                      <w:rFonts w:hint="eastAsia" w:cs="Times New Roman"/>
                      <w:color w:val="auto"/>
                      <w:kern w:val="0"/>
                      <w:szCs w:val="20"/>
                      <w:vertAlign w:val="superscript"/>
                      <w:lang w:val="en-US" w:eastAsia="zh-CN"/>
                    </w:rPr>
                    <w:t>2</w:t>
                  </w:r>
                  <w:r>
                    <w:rPr>
                      <w:rFonts w:hint="eastAsia" w:cs="Times New Roman"/>
                      <w:color w:val="auto"/>
                      <w:kern w:val="0"/>
                      <w:szCs w:val="20"/>
                      <w:lang w:eastAsia="zh-CN"/>
                    </w:rPr>
                    <w:t>），设置</w:t>
                  </w:r>
                  <w:r>
                    <w:rPr>
                      <w:rFonts w:hint="eastAsia" w:cs="Times New Roman"/>
                      <w:color w:val="auto"/>
                      <w:kern w:val="0"/>
                      <w:szCs w:val="20"/>
                      <w:lang w:val="en-US" w:eastAsia="zh-CN"/>
                    </w:rPr>
                    <w:t>1条</w:t>
                  </w:r>
                  <w:r>
                    <w:rPr>
                      <w:rFonts w:hint="eastAsia" w:cs="Times New Roman"/>
                      <w:color w:val="auto"/>
                      <w:kern w:val="0"/>
                      <w:szCs w:val="20"/>
                      <w:lang w:eastAsia="zh-CN"/>
                    </w:rPr>
                    <w:t>生湿面制品设备生产线，用于产品生产。</w:t>
                  </w:r>
                </w:p>
              </w:tc>
              <w:tc>
                <w:tcPr>
                  <w:tcW w:w="575" w:type="pct"/>
                  <w:vMerge w:val="restart"/>
                  <w:vAlign w:val="center"/>
                </w:tcPr>
                <w:p w14:paraId="6F9FB0D8">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0000FF"/>
                      <w:kern w:val="2"/>
                      <w:sz w:val="18"/>
                      <w:szCs w:val="22"/>
                      <w:lang w:val="zh-CN" w:eastAsia="zh-CN" w:bidi="ar-SA"/>
                    </w:rPr>
                  </w:pPr>
                  <w:r>
                    <w:rPr>
                      <w:rFonts w:hint="eastAsia" w:cs="宋体"/>
                      <w:color w:val="auto"/>
                      <w:kern w:val="2"/>
                      <w:sz w:val="18"/>
                      <w:szCs w:val="22"/>
                      <w:lang w:val="zh-CN" w:eastAsia="zh-CN" w:bidi="ar-SA"/>
                    </w:rPr>
                    <w:t>依托已建高端装备产业园标准化厂房，功能区新建</w:t>
                  </w:r>
                </w:p>
              </w:tc>
            </w:tr>
            <w:tr w14:paraId="75B2DE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63A1CB8C">
                  <w:pPr>
                    <w:pStyle w:val="286"/>
                    <w:framePr w:hSpace="0" w:wrap="auto" w:vAnchor="margin" w:hAnchor="text" w:xAlign="left" w:yAlign="inline"/>
                    <w:rPr>
                      <w:color w:val="auto"/>
                    </w:rPr>
                  </w:pPr>
                </w:p>
              </w:tc>
              <w:tc>
                <w:tcPr>
                  <w:tcW w:w="657" w:type="pct"/>
                  <w:vAlign w:val="center"/>
                </w:tcPr>
                <w:p w14:paraId="1DA1EBA1">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生产车间2</w:t>
                  </w:r>
                </w:p>
              </w:tc>
              <w:tc>
                <w:tcPr>
                  <w:tcW w:w="3308" w:type="pct"/>
                  <w:vAlign w:val="center"/>
                </w:tcPr>
                <w:p w14:paraId="0066A050">
                  <w:pPr>
                    <w:pStyle w:val="286"/>
                    <w:framePr w:hSpace="0" w:wrap="auto" w:vAnchor="margin" w:hAnchor="text" w:xAlign="left" w:yAlign="inline"/>
                    <w:rPr>
                      <w:color w:val="auto"/>
                    </w:rPr>
                  </w:pPr>
                  <w:r>
                    <w:rPr>
                      <w:rFonts w:hint="eastAsia"/>
                      <w:color w:val="auto"/>
                      <w:lang w:eastAsia="zh-CN"/>
                    </w:rPr>
                    <w:t>位</w:t>
                  </w:r>
                  <w:r>
                    <w:rPr>
                      <w:rFonts w:hint="eastAsia"/>
                      <w:color w:val="auto"/>
                      <w:highlight w:val="none"/>
                      <w:lang w:eastAsia="zh-CN"/>
                    </w:rPr>
                    <w:t>于</w:t>
                  </w:r>
                  <w:r>
                    <w:rPr>
                      <w:color w:val="auto"/>
                    </w:rPr>
                    <w:t>生产</w:t>
                  </w:r>
                  <w:r>
                    <w:rPr>
                      <w:rFonts w:hint="eastAsia"/>
                      <w:color w:val="auto"/>
                      <w:lang w:eastAsia="zh-CN"/>
                    </w:rPr>
                    <w:t>车间</w:t>
                  </w:r>
                  <w:r>
                    <w:rPr>
                      <w:rFonts w:hint="eastAsia"/>
                      <w:color w:val="auto"/>
                      <w:lang w:val="en-US" w:eastAsia="zh-CN"/>
                    </w:rPr>
                    <w:t>1</w:t>
                  </w:r>
                  <w:r>
                    <w:rPr>
                      <w:rFonts w:hint="eastAsia"/>
                      <w:color w:val="auto"/>
                      <w:highlight w:val="none"/>
                      <w:lang w:eastAsia="zh-CN"/>
                    </w:rPr>
                    <w:t>北侧，建设</w:t>
                  </w:r>
                  <w:r>
                    <w:rPr>
                      <w:rFonts w:hint="eastAsia"/>
                      <w:color w:val="auto"/>
                      <w:highlight w:val="none"/>
                      <w:lang w:val="en-US" w:eastAsia="zh-CN"/>
                    </w:rPr>
                    <w:t>凉皮、河粉、米皮、面皮生产车间，</w:t>
                  </w:r>
                  <w:r>
                    <w:rPr>
                      <w:rFonts w:hint="eastAsia" w:cs="Times New Roman"/>
                      <w:color w:val="auto"/>
                      <w:kern w:val="0"/>
                      <w:szCs w:val="20"/>
                      <w:highlight w:val="none"/>
                      <w:lang w:eastAsia="zh-CN"/>
                    </w:rPr>
                    <w:t>建筑</w:t>
                  </w:r>
                  <w:r>
                    <w:rPr>
                      <w:rFonts w:cs="Times New Roman"/>
                      <w:color w:val="auto"/>
                      <w:kern w:val="0"/>
                      <w:szCs w:val="20"/>
                      <w:highlight w:val="none"/>
                    </w:rPr>
                    <w:t>面积</w:t>
                  </w:r>
                  <w:r>
                    <w:rPr>
                      <w:rFonts w:hint="eastAsia" w:cs="Times New Roman"/>
                      <w:color w:val="auto"/>
                      <w:kern w:val="0"/>
                      <w:szCs w:val="20"/>
                      <w:highlight w:val="none"/>
                      <w:lang w:eastAsia="zh-CN"/>
                    </w:rPr>
                    <w:t>约</w:t>
                  </w:r>
                  <w:r>
                    <w:rPr>
                      <w:rFonts w:cs="Times New Roman"/>
                      <w:color w:val="auto"/>
                      <w:kern w:val="0"/>
                      <w:szCs w:val="20"/>
                      <w:highlight w:val="none"/>
                    </w:rPr>
                    <w:t>为</w:t>
                  </w:r>
                  <w:r>
                    <w:rPr>
                      <w:rFonts w:hint="eastAsia" w:cs="Times New Roman"/>
                      <w:color w:val="auto"/>
                      <w:kern w:val="0"/>
                      <w:szCs w:val="20"/>
                      <w:highlight w:val="none"/>
                      <w:lang w:val="en-US" w:eastAsia="zh-CN"/>
                    </w:rPr>
                    <w:t>422</w:t>
                  </w:r>
                  <w:r>
                    <w:rPr>
                      <w:rFonts w:cs="Times New Roman"/>
                      <w:color w:val="auto"/>
                      <w:kern w:val="0"/>
                      <w:szCs w:val="20"/>
                      <w:highlight w:val="none"/>
                    </w:rPr>
                    <w:t>m</w:t>
                  </w:r>
                  <w:r>
                    <w:rPr>
                      <w:rFonts w:cs="Times New Roman"/>
                      <w:color w:val="auto"/>
                      <w:kern w:val="0"/>
                      <w:szCs w:val="20"/>
                      <w:highlight w:val="none"/>
                      <w:vertAlign w:val="superscript"/>
                    </w:rPr>
                    <w:t>2</w:t>
                  </w:r>
                  <w:r>
                    <w:rPr>
                      <w:rFonts w:hint="eastAsia" w:cs="Times New Roman"/>
                      <w:color w:val="auto"/>
                      <w:kern w:val="0"/>
                      <w:szCs w:val="20"/>
                      <w:highlight w:val="none"/>
                      <w:lang w:eastAsia="zh-CN"/>
                    </w:rPr>
                    <w:t>。</w:t>
                  </w:r>
                  <w:r>
                    <w:rPr>
                      <w:rFonts w:hint="eastAsia" w:cs="Times New Roman"/>
                      <w:color w:val="auto"/>
                      <w:kern w:val="0"/>
                      <w:szCs w:val="20"/>
                      <w:lang w:eastAsia="zh-CN"/>
                    </w:rPr>
                    <w:t>建设洗浆间（</w:t>
                  </w:r>
                  <w:r>
                    <w:rPr>
                      <w:rFonts w:hint="eastAsia" w:cs="Times New Roman"/>
                      <w:color w:val="auto"/>
                      <w:kern w:val="0"/>
                      <w:szCs w:val="20"/>
                      <w:lang w:val="en-US" w:eastAsia="zh-CN"/>
                    </w:rPr>
                    <w:t>80.24m</w:t>
                  </w:r>
                  <w:r>
                    <w:rPr>
                      <w:rFonts w:hint="eastAsia" w:cs="Times New Roman"/>
                      <w:color w:val="auto"/>
                      <w:kern w:val="0"/>
                      <w:szCs w:val="20"/>
                      <w:vertAlign w:val="superscript"/>
                      <w:lang w:val="en-US" w:eastAsia="zh-CN"/>
                    </w:rPr>
                    <w:t>2</w:t>
                  </w:r>
                  <w:r>
                    <w:rPr>
                      <w:rFonts w:hint="eastAsia" w:cs="Times New Roman"/>
                      <w:color w:val="auto"/>
                      <w:kern w:val="0"/>
                      <w:szCs w:val="20"/>
                      <w:lang w:eastAsia="zh-CN"/>
                    </w:rPr>
                    <w:t>）、风冷间（</w:t>
                  </w:r>
                  <w:r>
                    <w:rPr>
                      <w:rFonts w:hint="eastAsia" w:cs="Times New Roman"/>
                      <w:color w:val="auto"/>
                      <w:kern w:val="0"/>
                      <w:szCs w:val="20"/>
                      <w:lang w:val="en-US" w:eastAsia="zh-CN"/>
                    </w:rPr>
                    <w:t>101.94m</w:t>
                  </w:r>
                  <w:r>
                    <w:rPr>
                      <w:rFonts w:hint="eastAsia" w:cs="Times New Roman"/>
                      <w:color w:val="auto"/>
                      <w:kern w:val="0"/>
                      <w:szCs w:val="20"/>
                      <w:vertAlign w:val="superscript"/>
                      <w:lang w:val="en-US" w:eastAsia="zh-CN"/>
                    </w:rPr>
                    <w:t>2</w:t>
                  </w:r>
                  <w:r>
                    <w:rPr>
                      <w:rFonts w:hint="eastAsia" w:cs="Times New Roman"/>
                      <w:color w:val="auto"/>
                      <w:kern w:val="0"/>
                      <w:szCs w:val="20"/>
                      <w:lang w:eastAsia="zh-CN"/>
                    </w:rPr>
                    <w:t>），设置</w:t>
                  </w:r>
                  <w:r>
                    <w:rPr>
                      <w:rFonts w:hint="eastAsia" w:cs="Times New Roman"/>
                      <w:color w:val="auto"/>
                      <w:kern w:val="0"/>
                      <w:szCs w:val="20"/>
                      <w:lang w:val="en-US" w:eastAsia="zh-CN"/>
                    </w:rPr>
                    <w:t>4条</w:t>
                  </w:r>
                  <w:r>
                    <w:rPr>
                      <w:rFonts w:hint="eastAsia" w:cs="Times New Roman"/>
                      <w:color w:val="auto"/>
                      <w:kern w:val="0"/>
                      <w:szCs w:val="20"/>
                      <w:lang w:eastAsia="zh-CN"/>
                    </w:rPr>
                    <w:t>凉皮设备生产线，用于产品生产。</w:t>
                  </w:r>
                </w:p>
              </w:tc>
              <w:tc>
                <w:tcPr>
                  <w:tcW w:w="575" w:type="pct"/>
                  <w:vMerge w:val="continue"/>
                  <w:vAlign w:val="center"/>
                </w:tcPr>
                <w:p w14:paraId="67F7C8CE">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0000FF"/>
                      <w:kern w:val="2"/>
                      <w:sz w:val="18"/>
                      <w:szCs w:val="22"/>
                      <w:lang w:val="zh-CN" w:eastAsia="zh-CN" w:bidi="ar-SA"/>
                    </w:rPr>
                  </w:pPr>
                </w:p>
              </w:tc>
            </w:tr>
            <w:tr w14:paraId="75DD08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68532BED">
                  <w:pPr>
                    <w:pStyle w:val="286"/>
                    <w:framePr w:hSpace="0" w:wrap="auto" w:vAnchor="margin" w:hAnchor="text" w:xAlign="left" w:yAlign="inline"/>
                    <w:rPr>
                      <w:color w:val="0000FF"/>
                    </w:rPr>
                  </w:pPr>
                </w:p>
              </w:tc>
              <w:tc>
                <w:tcPr>
                  <w:tcW w:w="657" w:type="pct"/>
                  <w:vAlign w:val="center"/>
                </w:tcPr>
                <w:p w14:paraId="58A1470A">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生产车间3</w:t>
                  </w:r>
                </w:p>
              </w:tc>
              <w:tc>
                <w:tcPr>
                  <w:tcW w:w="3308" w:type="pct"/>
                  <w:vAlign w:val="center"/>
                </w:tcPr>
                <w:p w14:paraId="20E2A022">
                  <w:pPr>
                    <w:pStyle w:val="286"/>
                    <w:framePr w:hSpace="0" w:wrap="auto" w:vAnchor="margin" w:hAnchor="text" w:xAlign="left" w:yAlign="inline"/>
                    <w:rPr>
                      <w:color w:val="0000FF"/>
                    </w:rPr>
                  </w:pPr>
                  <w:r>
                    <w:rPr>
                      <w:rFonts w:hint="eastAsia"/>
                      <w:color w:val="auto"/>
                      <w:lang w:eastAsia="zh-CN"/>
                    </w:rPr>
                    <w:t>位于</w:t>
                  </w:r>
                  <w:r>
                    <w:rPr>
                      <w:color w:val="auto"/>
                    </w:rPr>
                    <w:t>生产</w:t>
                  </w:r>
                  <w:r>
                    <w:rPr>
                      <w:rFonts w:hint="eastAsia"/>
                      <w:color w:val="auto"/>
                      <w:lang w:eastAsia="zh-CN"/>
                    </w:rPr>
                    <w:t>车间</w:t>
                  </w:r>
                  <w:r>
                    <w:rPr>
                      <w:rFonts w:hint="eastAsia"/>
                      <w:color w:val="auto"/>
                      <w:lang w:val="en-US" w:eastAsia="zh-CN"/>
                    </w:rPr>
                    <w:t>1南侧</w:t>
                  </w:r>
                  <w:r>
                    <w:rPr>
                      <w:rFonts w:hint="eastAsia"/>
                      <w:color w:val="auto"/>
                      <w:lang w:eastAsia="zh-CN"/>
                    </w:rPr>
                    <w:t>，建设</w:t>
                  </w:r>
                  <w:r>
                    <w:rPr>
                      <w:rFonts w:hint="eastAsia"/>
                      <w:color w:val="auto"/>
                      <w:lang w:val="en-US" w:eastAsia="zh-CN"/>
                    </w:rPr>
                    <w:t>年糕生产车间，</w:t>
                  </w:r>
                  <w:r>
                    <w:rPr>
                      <w:rFonts w:hint="eastAsia" w:cs="Times New Roman"/>
                      <w:color w:val="auto"/>
                      <w:kern w:val="0"/>
                      <w:szCs w:val="20"/>
                      <w:highlight w:val="none"/>
                      <w:lang w:eastAsia="zh-CN"/>
                    </w:rPr>
                    <w:t>建筑</w:t>
                  </w:r>
                  <w:r>
                    <w:rPr>
                      <w:rFonts w:cs="Times New Roman"/>
                      <w:color w:val="auto"/>
                      <w:kern w:val="0"/>
                      <w:szCs w:val="20"/>
                      <w:highlight w:val="none"/>
                    </w:rPr>
                    <w:t>面积</w:t>
                  </w:r>
                  <w:r>
                    <w:rPr>
                      <w:rFonts w:cs="Times New Roman"/>
                      <w:color w:val="auto"/>
                      <w:kern w:val="0"/>
                      <w:szCs w:val="20"/>
                    </w:rPr>
                    <w:t>为</w:t>
                  </w:r>
                  <w:r>
                    <w:rPr>
                      <w:rFonts w:hint="eastAsia" w:cs="Times New Roman"/>
                      <w:color w:val="auto"/>
                      <w:kern w:val="0"/>
                      <w:szCs w:val="20"/>
                      <w:highlight w:val="none"/>
                      <w:lang w:val="en-US" w:eastAsia="zh-CN"/>
                    </w:rPr>
                    <w:t>134.06</w:t>
                  </w:r>
                  <w:r>
                    <w:rPr>
                      <w:rFonts w:cs="Times New Roman"/>
                      <w:color w:val="auto"/>
                      <w:kern w:val="0"/>
                      <w:szCs w:val="20"/>
                      <w:highlight w:val="none"/>
                    </w:rPr>
                    <w:t>m</w:t>
                  </w:r>
                  <w:r>
                    <w:rPr>
                      <w:rFonts w:cs="Times New Roman"/>
                      <w:color w:val="auto"/>
                      <w:kern w:val="0"/>
                      <w:szCs w:val="20"/>
                      <w:highlight w:val="none"/>
                      <w:vertAlign w:val="superscript"/>
                    </w:rPr>
                    <w:t>2</w:t>
                  </w:r>
                  <w:r>
                    <w:rPr>
                      <w:rFonts w:hint="eastAsia" w:cs="Times New Roman"/>
                      <w:color w:val="auto"/>
                      <w:kern w:val="0"/>
                      <w:szCs w:val="20"/>
                      <w:lang w:eastAsia="zh-CN"/>
                    </w:rPr>
                    <w:t>。设置</w:t>
                  </w:r>
                  <w:r>
                    <w:rPr>
                      <w:rFonts w:hint="eastAsia" w:cs="Times New Roman"/>
                      <w:color w:val="auto"/>
                      <w:kern w:val="0"/>
                      <w:szCs w:val="20"/>
                      <w:lang w:val="en-US" w:eastAsia="zh-CN"/>
                    </w:rPr>
                    <w:t>1条</w:t>
                  </w:r>
                  <w:r>
                    <w:rPr>
                      <w:rFonts w:hint="eastAsia"/>
                      <w:color w:val="auto"/>
                      <w:lang w:val="en-US" w:eastAsia="zh-CN"/>
                    </w:rPr>
                    <w:t>年糕</w:t>
                  </w:r>
                  <w:r>
                    <w:rPr>
                      <w:rFonts w:hint="eastAsia" w:cs="Times New Roman"/>
                      <w:color w:val="auto"/>
                      <w:kern w:val="0"/>
                      <w:szCs w:val="20"/>
                      <w:lang w:eastAsia="zh-CN"/>
                    </w:rPr>
                    <w:t>设备生产线，用于产品生产。</w:t>
                  </w:r>
                </w:p>
              </w:tc>
              <w:tc>
                <w:tcPr>
                  <w:tcW w:w="575" w:type="pct"/>
                  <w:vMerge w:val="continue"/>
                  <w:vAlign w:val="center"/>
                </w:tcPr>
                <w:p w14:paraId="78D29258">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0000FF"/>
                      <w:kern w:val="2"/>
                      <w:sz w:val="18"/>
                      <w:szCs w:val="22"/>
                      <w:lang w:val="zh-CN" w:eastAsia="zh-CN" w:bidi="ar-SA"/>
                    </w:rPr>
                  </w:pPr>
                </w:p>
              </w:tc>
            </w:tr>
            <w:tr w14:paraId="37DC1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0CC93021">
                  <w:pPr>
                    <w:pStyle w:val="286"/>
                    <w:framePr w:hSpace="0" w:wrap="auto" w:vAnchor="margin" w:hAnchor="text" w:xAlign="left" w:yAlign="inline"/>
                    <w:rPr>
                      <w:color w:val="0000FF"/>
                    </w:rPr>
                  </w:pPr>
                </w:p>
              </w:tc>
              <w:tc>
                <w:tcPr>
                  <w:tcW w:w="657" w:type="pct"/>
                  <w:vAlign w:val="center"/>
                </w:tcPr>
                <w:p w14:paraId="1FB1E263">
                  <w:pPr>
                    <w:pStyle w:val="286"/>
                    <w:framePr w:hSpace="0" w:wrap="auto" w:vAnchor="margin" w:hAnchor="text" w:xAlign="left" w:yAlign="inline"/>
                    <w:rPr>
                      <w:color w:val="auto"/>
                    </w:rPr>
                  </w:pPr>
                  <w:r>
                    <w:rPr>
                      <w:rFonts w:hint="eastAsia"/>
                      <w:color w:val="auto"/>
                      <w:lang w:val="en-US" w:eastAsia="zh-CN"/>
                    </w:rPr>
                    <w:t>生产车间4</w:t>
                  </w:r>
                </w:p>
              </w:tc>
              <w:tc>
                <w:tcPr>
                  <w:tcW w:w="3308" w:type="pct"/>
                  <w:vAlign w:val="center"/>
                </w:tcPr>
                <w:p w14:paraId="4876B57B">
                  <w:pPr>
                    <w:pStyle w:val="286"/>
                    <w:framePr w:hSpace="0" w:wrap="auto" w:vAnchor="margin" w:hAnchor="text" w:xAlign="left" w:yAlign="inline"/>
                    <w:rPr>
                      <w:rFonts w:hint="default" w:eastAsia="宋体"/>
                      <w:color w:val="0000FF"/>
                      <w:lang w:val="en-US" w:eastAsia="zh-CN"/>
                    </w:rPr>
                  </w:pPr>
                  <w:r>
                    <w:rPr>
                      <w:rFonts w:hint="eastAsia"/>
                      <w:color w:val="auto"/>
                      <w:lang w:eastAsia="zh-CN"/>
                    </w:rPr>
                    <w:t>位于</w:t>
                  </w:r>
                  <w:r>
                    <w:rPr>
                      <w:color w:val="auto"/>
                    </w:rPr>
                    <w:t>生产</w:t>
                  </w:r>
                  <w:r>
                    <w:rPr>
                      <w:rFonts w:hint="eastAsia"/>
                      <w:color w:val="auto"/>
                      <w:lang w:eastAsia="zh-CN"/>
                    </w:rPr>
                    <w:t>车间</w:t>
                  </w:r>
                  <w:r>
                    <w:rPr>
                      <w:rFonts w:hint="eastAsia"/>
                      <w:color w:val="auto"/>
                      <w:lang w:val="en-US" w:eastAsia="zh-CN"/>
                    </w:rPr>
                    <w:t>3南侧</w:t>
                  </w:r>
                  <w:r>
                    <w:rPr>
                      <w:rFonts w:hint="eastAsia"/>
                      <w:color w:val="auto"/>
                      <w:lang w:eastAsia="zh-CN"/>
                    </w:rPr>
                    <w:t>，建设鲜面条、饺子皮</w:t>
                  </w:r>
                  <w:r>
                    <w:rPr>
                      <w:rFonts w:hint="eastAsia"/>
                      <w:color w:val="auto"/>
                      <w:lang w:val="en-US" w:eastAsia="zh-CN"/>
                    </w:rPr>
                    <w:t>生产车间，</w:t>
                  </w:r>
                  <w:r>
                    <w:rPr>
                      <w:rFonts w:hint="eastAsia" w:cs="Times New Roman"/>
                      <w:color w:val="auto"/>
                      <w:kern w:val="0"/>
                      <w:szCs w:val="20"/>
                      <w:highlight w:val="none"/>
                      <w:lang w:eastAsia="zh-CN"/>
                    </w:rPr>
                    <w:t>建筑</w:t>
                  </w:r>
                  <w:r>
                    <w:rPr>
                      <w:rFonts w:cs="Times New Roman"/>
                      <w:color w:val="auto"/>
                      <w:kern w:val="0"/>
                      <w:szCs w:val="20"/>
                      <w:highlight w:val="none"/>
                    </w:rPr>
                    <w:t>面积</w:t>
                  </w:r>
                  <w:r>
                    <w:rPr>
                      <w:rFonts w:cs="Times New Roman"/>
                      <w:color w:val="auto"/>
                      <w:kern w:val="0"/>
                      <w:szCs w:val="20"/>
                    </w:rPr>
                    <w:t>为</w:t>
                  </w:r>
                  <w:r>
                    <w:rPr>
                      <w:rFonts w:hint="eastAsia"/>
                      <w:color w:val="auto"/>
                      <w:lang w:val="en-US" w:eastAsia="zh-CN"/>
                    </w:rPr>
                    <w:t>156.89m</w:t>
                  </w:r>
                  <w:r>
                    <w:rPr>
                      <w:rFonts w:cs="Times New Roman"/>
                      <w:color w:val="auto"/>
                      <w:kern w:val="0"/>
                      <w:szCs w:val="20"/>
                      <w:highlight w:val="none"/>
                      <w:vertAlign w:val="superscript"/>
                    </w:rPr>
                    <w:t>2</w:t>
                  </w:r>
                  <w:r>
                    <w:rPr>
                      <w:rFonts w:hint="eastAsia" w:cs="Times New Roman"/>
                      <w:color w:val="auto"/>
                      <w:kern w:val="0"/>
                      <w:szCs w:val="20"/>
                      <w:lang w:eastAsia="zh-CN"/>
                    </w:rPr>
                    <w:t>。设置</w:t>
                  </w:r>
                  <w:r>
                    <w:rPr>
                      <w:rFonts w:hint="eastAsia" w:cs="Times New Roman"/>
                      <w:color w:val="auto"/>
                      <w:kern w:val="0"/>
                      <w:szCs w:val="20"/>
                      <w:lang w:val="en-US" w:eastAsia="zh-CN"/>
                    </w:rPr>
                    <w:t>1条</w:t>
                  </w:r>
                  <w:r>
                    <w:rPr>
                      <w:rFonts w:hint="eastAsia"/>
                      <w:color w:val="auto"/>
                      <w:lang w:val="en-US" w:eastAsia="zh-CN"/>
                    </w:rPr>
                    <w:t>鲜面条</w:t>
                  </w:r>
                  <w:r>
                    <w:rPr>
                      <w:rFonts w:hint="eastAsia" w:cs="Times New Roman"/>
                      <w:color w:val="auto"/>
                      <w:kern w:val="0"/>
                      <w:szCs w:val="20"/>
                      <w:lang w:eastAsia="zh-CN"/>
                    </w:rPr>
                    <w:t>设备生产线，用于产品生产。</w:t>
                  </w:r>
                </w:p>
              </w:tc>
              <w:tc>
                <w:tcPr>
                  <w:tcW w:w="575" w:type="pct"/>
                  <w:vMerge w:val="continue"/>
                  <w:vAlign w:val="center"/>
                </w:tcPr>
                <w:p w14:paraId="21D18523">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0000FF"/>
                      <w:kern w:val="2"/>
                      <w:sz w:val="18"/>
                      <w:szCs w:val="22"/>
                      <w:lang w:val="zh-CN" w:eastAsia="zh-CN" w:bidi="ar-SA"/>
                    </w:rPr>
                  </w:pPr>
                </w:p>
              </w:tc>
            </w:tr>
            <w:tr w14:paraId="1367F4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79573074">
                  <w:pPr>
                    <w:pStyle w:val="286"/>
                    <w:framePr w:hSpace="0" w:wrap="auto" w:vAnchor="margin" w:hAnchor="text" w:xAlign="left" w:yAlign="inline"/>
                    <w:rPr>
                      <w:color w:val="0000FF"/>
                    </w:rPr>
                  </w:pPr>
                </w:p>
              </w:tc>
              <w:tc>
                <w:tcPr>
                  <w:tcW w:w="657" w:type="pct"/>
                  <w:vAlign w:val="center"/>
                </w:tcPr>
                <w:p w14:paraId="53B86782">
                  <w:pPr>
                    <w:pStyle w:val="286"/>
                    <w:framePr w:hSpace="0" w:wrap="auto" w:vAnchor="margin" w:hAnchor="text" w:xAlign="left" w:yAlign="inline"/>
                    <w:rPr>
                      <w:rFonts w:hint="eastAsia"/>
                      <w:color w:val="auto"/>
                      <w:lang w:val="en-US" w:eastAsia="zh-CN"/>
                    </w:rPr>
                  </w:pPr>
                  <w:r>
                    <w:rPr>
                      <w:rFonts w:hint="eastAsia"/>
                      <w:color w:val="auto"/>
                      <w:lang w:val="en-US" w:eastAsia="zh-CN"/>
                    </w:rPr>
                    <w:t>生产车间5</w:t>
                  </w:r>
                </w:p>
              </w:tc>
              <w:tc>
                <w:tcPr>
                  <w:tcW w:w="3308" w:type="pct"/>
                  <w:vAlign w:val="center"/>
                </w:tcPr>
                <w:p w14:paraId="08C30916">
                  <w:pPr>
                    <w:pStyle w:val="286"/>
                    <w:framePr w:hSpace="0" w:wrap="auto" w:vAnchor="margin" w:hAnchor="text" w:xAlign="left" w:yAlign="inline"/>
                    <w:rPr>
                      <w:rFonts w:hint="default" w:eastAsia="宋体"/>
                      <w:color w:val="0000FF"/>
                      <w:lang w:val="en-US" w:eastAsia="zh-CN"/>
                    </w:rPr>
                  </w:pPr>
                  <w:r>
                    <w:rPr>
                      <w:rFonts w:hint="eastAsia"/>
                      <w:color w:val="auto"/>
                      <w:lang w:eastAsia="zh-CN"/>
                    </w:rPr>
                    <w:t>位于</w:t>
                  </w:r>
                  <w:r>
                    <w:rPr>
                      <w:color w:val="auto"/>
                    </w:rPr>
                    <w:t>生产</w:t>
                  </w:r>
                  <w:r>
                    <w:rPr>
                      <w:rFonts w:hint="eastAsia"/>
                      <w:color w:val="auto"/>
                      <w:lang w:eastAsia="zh-CN"/>
                    </w:rPr>
                    <w:t>车间</w:t>
                  </w:r>
                  <w:r>
                    <w:rPr>
                      <w:rFonts w:hint="eastAsia"/>
                      <w:color w:val="auto"/>
                      <w:lang w:val="en-US" w:eastAsia="zh-CN"/>
                    </w:rPr>
                    <w:t>4南侧</w:t>
                  </w:r>
                  <w:r>
                    <w:rPr>
                      <w:rFonts w:hint="eastAsia"/>
                      <w:color w:val="auto"/>
                      <w:lang w:eastAsia="zh-CN"/>
                    </w:rPr>
                    <w:t>，建设饼丝</w:t>
                  </w:r>
                  <w:r>
                    <w:rPr>
                      <w:rFonts w:hint="eastAsia"/>
                      <w:color w:val="auto"/>
                      <w:lang w:val="en-US" w:eastAsia="zh-CN"/>
                    </w:rPr>
                    <w:t>生产车间，</w:t>
                  </w:r>
                  <w:r>
                    <w:rPr>
                      <w:rFonts w:hint="eastAsia" w:cs="Times New Roman"/>
                      <w:color w:val="auto"/>
                      <w:kern w:val="0"/>
                      <w:szCs w:val="20"/>
                      <w:highlight w:val="none"/>
                      <w:lang w:eastAsia="zh-CN"/>
                    </w:rPr>
                    <w:t>建筑</w:t>
                  </w:r>
                  <w:r>
                    <w:rPr>
                      <w:rFonts w:cs="Times New Roman"/>
                      <w:color w:val="auto"/>
                      <w:kern w:val="0"/>
                      <w:szCs w:val="20"/>
                      <w:highlight w:val="none"/>
                    </w:rPr>
                    <w:t>面积</w:t>
                  </w:r>
                  <w:r>
                    <w:rPr>
                      <w:rFonts w:cs="Times New Roman"/>
                      <w:color w:val="auto"/>
                      <w:kern w:val="0"/>
                      <w:szCs w:val="20"/>
                    </w:rPr>
                    <w:t>为</w:t>
                  </w:r>
                  <w:r>
                    <w:rPr>
                      <w:rFonts w:hint="eastAsia"/>
                      <w:color w:val="auto"/>
                      <w:lang w:val="en-US" w:eastAsia="zh-CN"/>
                    </w:rPr>
                    <w:t>169.51m</w:t>
                  </w:r>
                  <w:r>
                    <w:rPr>
                      <w:rFonts w:cs="Times New Roman"/>
                      <w:color w:val="auto"/>
                      <w:kern w:val="0"/>
                      <w:szCs w:val="20"/>
                      <w:highlight w:val="none"/>
                      <w:vertAlign w:val="superscript"/>
                    </w:rPr>
                    <w:t>2</w:t>
                  </w:r>
                  <w:r>
                    <w:rPr>
                      <w:rFonts w:hint="eastAsia" w:cs="Times New Roman"/>
                      <w:color w:val="auto"/>
                      <w:kern w:val="0"/>
                      <w:szCs w:val="20"/>
                      <w:lang w:eastAsia="zh-CN"/>
                    </w:rPr>
                    <w:t>。设置</w:t>
                  </w:r>
                  <w:r>
                    <w:rPr>
                      <w:rFonts w:hint="eastAsia" w:cs="Times New Roman"/>
                      <w:color w:val="auto"/>
                      <w:kern w:val="0"/>
                      <w:szCs w:val="20"/>
                      <w:lang w:val="en-US" w:eastAsia="zh-CN"/>
                    </w:rPr>
                    <w:t>1条</w:t>
                  </w:r>
                  <w:r>
                    <w:rPr>
                      <w:rFonts w:hint="eastAsia"/>
                      <w:color w:val="auto"/>
                      <w:lang w:eastAsia="zh-CN"/>
                    </w:rPr>
                    <w:t>饼丝</w:t>
                  </w:r>
                  <w:r>
                    <w:rPr>
                      <w:rFonts w:hint="eastAsia" w:cs="Times New Roman"/>
                      <w:color w:val="auto"/>
                      <w:kern w:val="0"/>
                      <w:szCs w:val="20"/>
                      <w:lang w:eastAsia="zh-CN"/>
                    </w:rPr>
                    <w:t>设备生产线，用于产品生产。</w:t>
                  </w:r>
                </w:p>
              </w:tc>
              <w:tc>
                <w:tcPr>
                  <w:tcW w:w="575" w:type="pct"/>
                  <w:vMerge w:val="continue"/>
                  <w:vAlign w:val="center"/>
                </w:tcPr>
                <w:p w14:paraId="695D90F8">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0000FF"/>
                      <w:kern w:val="2"/>
                      <w:sz w:val="18"/>
                      <w:szCs w:val="22"/>
                      <w:lang w:val="zh-CN" w:eastAsia="zh-CN" w:bidi="ar-SA"/>
                    </w:rPr>
                  </w:pPr>
                </w:p>
              </w:tc>
            </w:tr>
            <w:tr w14:paraId="366B2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21EC6D5A">
                  <w:pPr>
                    <w:pStyle w:val="286"/>
                    <w:framePr w:hSpace="0" w:wrap="auto" w:vAnchor="margin" w:hAnchor="text" w:xAlign="left" w:yAlign="inline"/>
                    <w:rPr>
                      <w:color w:val="0000FF"/>
                    </w:rPr>
                  </w:pPr>
                </w:p>
              </w:tc>
              <w:tc>
                <w:tcPr>
                  <w:tcW w:w="657" w:type="pct"/>
                  <w:vAlign w:val="center"/>
                </w:tcPr>
                <w:p w14:paraId="6DF44CD3">
                  <w:pPr>
                    <w:pStyle w:val="286"/>
                    <w:framePr w:hSpace="0" w:wrap="auto" w:vAnchor="margin" w:hAnchor="text" w:xAlign="left" w:yAlign="inline"/>
                    <w:rPr>
                      <w:rFonts w:hint="eastAsia"/>
                      <w:color w:val="auto"/>
                      <w:lang w:val="en-US" w:eastAsia="zh-CN"/>
                    </w:rPr>
                  </w:pPr>
                  <w:r>
                    <w:rPr>
                      <w:rFonts w:hint="eastAsia"/>
                      <w:color w:val="auto"/>
                      <w:lang w:val="en-US" w:eastAsia="zh-CN"/>
                    </w:rPr>
                    <w:t>生产车间6</w:t>
                  </w:r>
                </w:p>
              </w:tc>
              <w:tc>
                <w:tcPr>
                  <w:tcW w:w="3308" w:type="pct"/>
                  <w:vAlign w:val="center"/>
                </w:tcPr>
                <w:p w14:paraId="6113884A">
                  <w:pPr>
                    <w:pStyle w:val="286"/>
                    <w:framePr w:hSpace="0" w:wrap="auto" w:vAnchor="margin" w:hAnchor="text" w:xAlign="left" w:yAlign="inline"/>
                    <w:rPr>
                      <w:rFonts w:hint="eastAsia" w:eastAsia="宋体"/>
                      <w:color w:val="0000FF"/>
                      <w:lang w:eastAsia="zh-CN"/>
                    </w:rPr>
                  </w:pPr>
                  <w:r>
                    <w:rPr>
                      <w:rFonts w:hint="eastAsia"/>
                      <w:color w:val="auto"/>
                      <w:lang w:eastAsia="zh-CN"/>
                    </w:rPr>
                    <w:t>位于</w:t>
                  </w:r>
                  <w:r>
                    <w:rPr>
                      <w:color w:val="auto"/>
                    </w:rPr>
                    <w:t>生产</w:t>
                  </w:r>
                  <w:r>
                    <w:rPr>
                      <w:rFonts w:hint="eastAsia"/>
                      <w:color w:val="auto"/>
                      <w:lang w:eastAsia="zh-CN"/>
                    </w:rPr>
                    <w:t>车间</w:t>
                  </w:r>
                  <w:r>
                    <w:rPr>
                      <w:rFonts w:hint="eastAsia"/>
                      <w:color w:val="auto"/>
                      <w:lang w:val="en-US" w:eastAsia="zh-CN"/>
                    </w:rPr>
                    <w:t>3东侧</w:t>
                  </w:r>
                  <w:r>
                    <w:rPr>
                      <w:rFonts w:hint="eastAsia"/>
                      <w:color w:val="auto"/>
                      <w:lang w:eastAsia="zh-CN"/>
                    </w:rPr>
                    <w:t>，建设扯面</w:t>
                  </w:r>
                  <w:r>
                    <w:rPr>
                      <w:rFonts w:hint="eastAsia"/>
                      <w:color w:val="auto"/>
                      <w:lang w:val="en-US" w:eastAsia="zh-CN"/>
                    </w:rPr>
                    <w:t>生产车间，</w:t>
                  </w:r>
                  <w:r>
                    <w:rPr>
                      <w:rFonts w:hint="eastAsia" w:cs="Times New Roman"/>
                      <w:color w:val="auto"/>
                      <w:kern w:val="0"/>
                      <w:szCs w:val="20"/>
                      <w:highlight w:val="none"/>
                      <w:lang w:eastAsia="zh-CN"/>
                    </w:rPr>
                    <w:t>建筑</w:t>
                  </w:r>
                  <w:r>
                    <w:rPr>
                      <w:rFonts w:cs="Times New Roman"/>
                      <w:color w:val="auto"/>
                      <w:kern w:val="0"/>
                      <w:szCs w:val="20"/>
                      <w:highlight w:val="none"/>
                    </w:rPr>
                    <w:t>面积</w:t>
                  </w:r>
                  <w:r>
                    <w:rPr>
                      <w:rFonts w:cs="Times New Roman"/>
                      <w:color w:val="auto"/>
                      <w:kern w:val="0"/>
                      <w:szCs w:val="20"/>
                    </w:rPr>
                    <w:t>为</w:t>
                  </w:r>
                  <w:r>
                    <w:rPr>
                      <w:rFonts w:hint="eastAsia"/>
                      <w:color w:val="auto"/>
                      <w:lang w:val="en-US" w:eastAsia="zh-CN"/>
                    </w:rPr>
                    <w:t>80m</w:t>
                  </w:r>
                  <w:r>
                    <w:rPr>
                      <w:rFonts w:cs="Times New Roman"/>
                      <w:color w:val="auto"/>
                      <w:kern w:val="0"/>
                      <w:szCs w:val="20"/>
                      <w:highlight w:val="none"/>
                      <w:vertAlign w:val="superscript"/>
                    </w:rPr>
                    <w:t>2</w:t>
                  </w:r>
                  <w:r>
                    <w:rPr>
                      <w:rFonts w:hint="eastAsia" w:cs="Times New Roman"/>
                      <w:color w:val="auto"/>
                      <w:kern w:val="0"/>
                      <w:szCs w:val="20"/>
                      <w:lang w:eastAsia="zh-CN"/>
                    </w:rPr>
                    <w:t>。设置</w:t>
                  </w:r>
                  <w:r>
                    <w:rPr>
                      <w:rFonts w:hint="eastAsia" w:cs="Times New Roman"/>
                      <w:color w:val="auto"/>
                      <w:kern w:val="0"/>
                      <w:szCs w:val="20"/>
                      <w:lang w:val="en-US" w:eastAsia="zh-CN"/>
                    </w:rPr>
                    <w:t>1套</w:t>
                  </w:r>
                  <w:r>
                    <w:rPr>
                      <w:rFonts w:hint="eastAsia"/>
                      <w:color w:val="auto"/>
                      <w:lang w:eastAsia="zh-CN"/>
                    </w:rPr>
                    <w:t>扯面</w:t>
                  </w:r>
                  <w:r>
                    <w:rPr>
                      <w:rFonts w:hint="eastAsia" w:cs="Times New Roman"/>
                      <w:color w:val="auto"/>
                      <w:kern w:val="0"/>
                      <w:szCs w:val="20"/>
                      <w:lang w:eastAsia="zh-CN"/>
                    </w:rPr>
                    <w:t>设备，用于产品生产。</w:t>
                  </w:r>
                </w:p>
              </w:tc>
              <w:tc>
                <w:tcPr>
                  <w:tcW w:w="575" w:type="pct"/>
                  <w:vMerge w:val="continue"/>
                  <w:vAlign w:val="center"/>
                </w:tcPr>
                <w:p w14:paraId="77BD13F5">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0000FF"/>
                      <w:kern w:val="2"/>
                      <w:sz w:val="18"/>
                      <w:szCs w:val="22"/>
                      <w:lang w:val="zh-CN" w:eastAsia="zh-CN" w:bidi="ar-SA"/>
                    </w:rPr>
                  </w:pPr>
                </w:p>
              </w:tc>
            </w:tr>
            <w:tr w14:paraId="4BE40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7CC62F1B">
                  <w:pPr>
                    <w:pStyle w:val="286"/>
                    <w:framePr w:hSpace="0" w:wrap="auto" w:vAnchor="margin" w:hAnchor="text" w:xAlign="left" w:yAlign="inline"/>
                    <w:rPr>
                      <w:color w:val="0000FF"/>
                    </w:rPr>
                  </w:pPr>
                </w:p>
              </w:tc>
              <w:tc>
                <w:tcPr>
                  <w:tcW w:w="657" w:type="pct"/>
                  <w:vAlign w:val="center"/>
                </w:tcPr>
                <w:p w14:paraId="17B41ABB">
                  <w:pPr>
                    <w:pStyle w:val="286"/>
                    <w:framePr w:hSpace="0" w:wrap="auto" w:vAnchor="margin" w:hAnchor="text" w:xAlign="left" w:yAlign="inline"/>
                    <w:rPr>
                      <w:rFonts w:hint="eastAsia"/>
                      <w:color w:val="auto"/>
                      <w:lang w:val="en-US" w:eastAsia="zh-CN"/>
                    </w:rPr>
                  </w:pPr>
                  <w:r>
                    <w:rPr>
                      <w:rFonts w:hint="eastAsia"/>
                      <w:color w:val="auto"/>
                      <w:lang w:val="en-US" w:eastAsia="zh-CN"/>
                    </w:rPr>
                    <w:t>生产车间7</w:t>
                  </w:r>
                </w:p>
              </w:tc>
              <w:tc>
                <w:tcPr>
                  <w:tcW w:w="3308" w:type="pct"/>
                  <w:vAlign w:val="center"/>
                </w:tcPr>
                <w:p w14:paraId="4B2F2273">
                  <w:pPr>
                    <w:pStyle w:val="286"/>
                    <w:framePr w:hSpace="0" w:wrap="auto" w:vAnchor="margin" w:hAnchor="text" w:xAlign="left" w:yAlign="inline"/>
                    <w:rPr>
                      <w:rFonts w:hint="eastAsia"/>
                      <w:color w:val="0000FF"/>
                      <w:lang w:eastAsia="zh-CN"/>
                    </w:rPr>
                  </w:pPr>
                  <w:r>
                    <w:rPr>
                      <w:rFonts w:hint="eastAsia"/>
                      <w:color w:val="auto"/>
                      <w:lang w:eastAsia="zh-CN"/>
                    </w:rPr>
                    <w:t>位于</w:t>
                  </w:r>
                  <w:r>
                    <w:rPr>
                      <w:color w:val="auto"/>
                    </w:rPr>
                    <w:t>生产</w:t>
                  </w:r>
                  <w:r>
                    <w:rPr>
                      <w:rFonts w:hint="eastAsia"/>
                      <w:color w:val="auto"/>
                      <w:lang w:eastAsia="zh-CN"/>
                    </w:rPr>
                    <w:t>车间</w:t>
                  </w:r>
                  <w:r>
                    <w:rPr>
                      <w:rFonts w:hint="eastAsia"/>
                      <w:color w:val="auto"/>
                      <w:lang w:val="en-US" w:eastAsia="zh-CN"/>
                    </w:rPr>
                    <w:t>6南侧</w:t>
                  </w:r>
                  <w:r>
                    <w:rPr>
                      <w:rFonts w:hint="eastAsia"/>
                      <w:color w:val="auto"/>
                      <w:lang w:eastAsia="zh-CN"/>
                    </w:rPr>
                    <w:t>，</w:t>
                  </w:r>
                  <w:r>
                    <w:rPr>
                      <w:rFonts w:hint="eastAsia"/>
                      <w:color w:val="auto"/>
                      <w:lang w:val="en-US" w:eastAsia="zh-CN"/>
                    </w:rPr>
                    <w:t>建设豆饼生产车间，</w:t>
                  </w:r>
                  <w:r>
                    <w:rPr>
                      <w:rFonts w:hint="eastAsia" w:cs="Times New Roman"/>
                      <w:color w:val="auto"/>
                      <w:kern w:val="0"/>
                      <w:szCs w:val="20"/>
                      <w:highlight w:val="none"/>
                      <w:lang w:eastAsia="zh-CN"/>
                    </w:rPr>
                    <w:t>建筑</w:t>
                  </w:r>
                  <w:r>
                    <w:rPr>
                      <w:rFonts w:cs="Times New Roman"/>
                      <w:color w:val="auto"/>
                      <w:kern w:val="0"/>
                      <w:szCs w:val="20"/>
                      <w:highlight w:val="none"/>
                    </w:rPr>
                    <w:t>面积</w:t>
                  </w:r>
                  <w:r>
                    <w:rPr>
                      <w:rFonts w:cs="Times New Roman"/>
                      <w:color w:val="auto"/>
                      <w:kern w:val="0"/>
                      <w:szCs w:val="20"/>
                    </w:rPr>
                    <w:t>为</w:t>
                  </w:r>
                  <w:r>
                    <w:rPr>
                      <w:rFonts w:hint="eastAsia"/>
                      <w:color w:val="auto"/>
                      <w:lang w:val="en-US" w:eastAsia="zh-CN"/>
                    </w:rPr>
                    <w:t>80m</w:t>
                  </w:r>
                  <w:r>
                    <w:rPr>
                      <w:rFonts w:cs="Times New Roman"/>
                      <w:color w:val="auto"/>
                      <w:kern w:val="0"/>
                      <w:szCs w:val="20"/>
                      <w:highlight w:val="none"/>
                      <w:vertAlign w:val="superscript"/>
                    </w:rPr>
                    <w:t>2</w:t>
                  </w:r>
                  <w:r>
                    <w:rPr>
                      <w:rFonts w:hint="eastAsia" w:cs="Times New Roman"/>
                      <w:color w:val="auto"/>
                      <w:kern w:val="0"/>
                      <w:szCs w:val="20"/>
                      <w:lang w:eastAsia="zh-CN"/>
                    </w:rPr>
                    <w:t>。设置</w:t>
                  </w:r>
                  <w:r>
                    <w:rPr>
                      <w:rFonts w:hint="eastAsia" w:cs="Times New Roman"/>
                      <w:color w:val="auto"/>
                      <w:kern w:val="0"/>
                      <w:szCs w:val="20"/>
                      <w:lang w:val="en-US" w:eastAsia="zh-CN"/>
                    </w:rPr>
                    <w:t>1台</w:t>
                  </w:r>
                  <w:r>
                    <w:rPr>
                      <w:rFonts w:hint="eastAsia"/>
                      <w:color w:val="auto"/>
                      <w:lang w:eastAsia="zh-CN"/>
                    </w:rPr>
                    <w:t>豆饼</w:t>
                  </w:r>
                  <w:r>
                    <w:rPr>
                      <w:rFonts w:hint="eastAsia" w:cs="Times New Roman"/>
                      <w:color w:val="auto"/>
                      <w:kern w:val="0"/>
                      <w:szCs w:val="20"/>
                      <w:lang w:eastAsia="zh-CN"/>
                    </w:rPr>
                    <w:t>设备，用于产品生产。</w:t>
                  </w:r>
                </w:p>
              </w:tc>
              <w:tc>
                <w:tcPr>
                  <w:tcW w:w="575" w:type="pct"/>
                  <w:vMerge w:val="continue"/>
                  <w:vAlign w:val="center"/>
                </w:tcPr>
                <w:p w14:paraId="7CE72C03">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0000FF"/>
                      <w:kern w:val="2"/>
                      <w:sz w:val="18"/>
                      <w:szCs w:val="22"/>
                      <w:lang w:val="zh-CN" w:eastAsia="zh-CN" w:bidi="ar-SA"/>
                    </w:rPr>
                  </w:pPr>
                </w:p>
              </w:tc>
            </w:tr>
            <w:tr w14:paraId="1F34C3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restart"/>
                  <w:vAlign w:val="center"/>
                </w:tcPr>
                <w:p w14:paraId="3361B3E3">
                  <w:pPr>
                    <w:pStyle w:val="286"/>
                    <w:framePr w:hSpace="0" w:wrap="auto" w:vAnchor="margin" w:hAnchor="text" w:xAlign="left" w:yAlign="inline"/>
                    <w:rPr>
                      <w:color w:val="auto"/>
                    </w:rPr>
                  </w:pPr>
                  <w:r>
                    <w:rPr>
                      <w:color w:val="auto"/>
                    </w:rPr>
                    <w:t>辅助</w:t>
                  </w:r>
                </w:p>
                <w:p w14:paraId="463EC8FB">
                  <w:pPr>
                    <w:pStyle w:val="286"/>
                    <w:framePr w:hSpace="0" w:wrap="auto" w:vAnchor="margin" w:hAnchor="text" w:xAlign="left" w:yAlign="inline"/>
                    <w:rPr>
                      <w:color w:val="auto"/>
                    </w:rPr>
                  </w:pPr>
                  <w:r>
                    <w:rPr>
                      <w:color w:val="auto"/>
                    </w:rPr>
                    <w:t>工程</w:t>
                  </w:r>
                </w:p>
              </w:tc>
              <w:tc>
                <w:tcPr>
                  <w:tcW w:w="657" w:type="pct"/>
                  <w:vAlign w:val="center"/>
                </w:tcPr>
                <w:p w14:paraId="71B123E4">
                  <w:pPr>
                    <w:pStyle w:val="286"/>
                    <w:framePr w:hSpace="0" w:wrap="auto" w:vAnchor="margin" w:hAnchor="text" w:xAlign="left" w:yAlign="inline"/>
                    <w:rPr>
                      <w:rFonts w:hint="eastAsia" w:eastAsia="宋体"/>
                      <w:color w:val="auto"/>
                      <w:lang w:eastAsia="zh-CN"/>
                    </w:rPr>
                  </w:pPr>
                  <w:r>
                    <w:rPr>
                      <w:rFonts w:hint="eastAsia"/>
                      <w:color w:val="auto"/>
                      <w:lang w:eastAsia="zh-CN"/>
                    </w:rPr>
                    <w:t>综合脱包间</w:t>
                  </w:r>
                </w:p>
              </w:tc>
              <w:tc>
                <w:tcPr>
                  <w:tcW w:w="3308" w:type="pct"/>
                  <w:vAlign w:val="center"/>
                </w:tcPr>
                <w:p w14:paraId="33BAD272">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位于项目自建2楼西侧，建筑面积约136m</w:t>
                  </w:r>
                  <w:r>
                    <w:rPr>
                      <w:rFonts w:hint="eastAsia"/>
                      <w:color w:val="auto"/>
                      <w:vertAlign w:val="superscript"/>
                      <w:lang w:val="en-US" w:eastAsia="zh-CN"/>
                    </w:rPr>
                    <w:t>2</w:t>
                  </w:r>
                  <w:r>
                    <w:rPr>
                      <w:rFonts w:hint="eastAsia"/>
                      <w:color w:val="auto"/>
                      <w:lang w:val="en-US" w:eastAsia="zh-CN"/>
                    </w:rPr>
                    <w:t>，西、南、北侧分别设置通道连接熟面打面间（78m</w:t>
                  </w:r>
                  <w:r>
                    <w:rPr>
                      <w:rFonts w:hint="eastAsia"/>
                      <w:color w:val="auto"/>
                      <w:vertAlign w:val="superscript"/>
                      <w:lang w:val="en-US" w:eastAsia="zh-CN"/>
                    </w:rPr>
                    <w:t>2</w:t>
                  </w:r>
                  <w:r>
                    <w:rPr>
                      <w:rFonts w:hint="eastAsia"/>
                      <w:color w:val="auto"/>
                      <w:lang w:val="en-US" w:eastAsia="zh-CN"/>
                    </w:rPr>
                    <w:t>）、饼丝下料间（40m</w:t>
                  </w:r>
                  <w:r>
                    <w:rPr>
                      <w:rFonts w:hint="eastAsia"/>
                      <w:color w:val="auto"/>
                      <w:vertAlign w:val="superscript"/>
                      <w:lang w:val="en-US" w:eastAsia="zh-CN"/>
                    </w:rPr>
                    <w:t>2</w:t>
                  </w:r>
                  <w:r>
                    <w:rPr>
                      <w:rFonts w:hint="eastAsia"/>
                      <w:color w:val="auto"/>
                      <w:lang w:val="en-US" w:eastAsia="zh-CN"/>
                    </w:rPr>
                    <w:t>）、河粉下料间（47m</w:t>
                  </w:r>
                  <w:r>
                    <w:rPr>
                      <w:rFonts w:hint="eastAsia"/>
                      <w:color w:val="auto"/>
                      <w:vertAlign w:val="superscript"/>
                      <w:lang w:val="en-US" w:eastAsia="zh-CN"/>
                    </w:rPr>
                    <w:t>2</w:t>
                  </w:r>
                  <w:r>
                    <w:rPr>
                      <w:rFonts w:hint="eastAsia"/>
                      <w:color w:val="auto"/>
                      <w:lang w:val="en-US" w:eastAsia="zh-CN"/>
                    </w:rPr>
                    <w:t>）、原料库（34m</w:t>
                  </w:r>
                  <w:r>
                    <w:rPr>
                      <w:rFonts w:hint="eastAsia"/>
                      <w:color w:val="auto"/>
                      <w:vertAlign w:val="superscript"/>
                      <w:lang w:val="en-US" w:eastAsia="zh-CN"/>
                    </w:rPr>
                    <w:t>2</w:t>
                  </w:r>
                  <w:r>
                    <w:rPr>
                      <w:rFonts w:hint="eastAsia"/>
                      <w:color w:val="auto"/>
                      <w:lang w:val="en-US" w:eastAsia="zh-CN"/>
                    </w:rPr>
                    <w:t>）。用于去除原料包装。</w:t>
                  </w:r>
                </w:p>
              </w:tc>
              <w:tc>
                <w:tcPr>
                  <w:tcW w:w="575" w:type="pct"/>
                  <w:vMerge w:val="continue"/>
                  <w:vAlign w:val="center"/>
                </w:tcPr>
                <w:p w14:paraId="2128398E">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0000FF"/>
                      <w:kern w:val="2"/>
                      <w:sz w:val="18"/>
                      <w:szCs w:val="22"/>
                      <w:lang w:val="zh-CN" w:eastAsia="zh-CN" w:bidi="ar-SA"/>
                    </w:rPr>
                  </w:pPr>
                </w:p>
              </w:tc>
            </w:tr>
            <w:tr w14:paraId="66458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0E138227">
                  <w:pPr>
                    <w:pStyle w:val="286"/>
                    <w:framePr w:hSpace="0" w:wrap="auto" w:vAnchor="margin" w:hAnchor="text" w:xAlign="left" w:yAlign="inline"/>
                    <w:rPr>
                      <w:color w:val="auto"/>
                    </w:rPr>
                  </w:pPr>
                </w:p>
              </w:tc>
              <w:tc>
                <w:tcPr>
                  <w:tcW w:w="657" w:type="pct"/>
                  <w:vAlign w:val="center"/>
                </w:tcPr>
                <w:p w14:paraId="74062A95">
                  <w:pPr>
                    <w:pStyle w:val="286"/>
                    <w:framePr w:hSpace="0" w:wrap="auto" w:vAnchor="margin" w:hAnchor="text" w:xAlign="left" w:yAlign="inline"/>
                    <w:rPr>
                      <w:rFonts w:hint="eastAsia"/>
                      <w:color w:val="auto"/>
                      <w:lang w:eastAsia="zh-CN"/>
                    </w:rPr>
                  </w:pPr>
                  <w:r>
                    <w:rPr>
                      <w:rFonts w:hint="eastAsia"/>
                      <w:color w:val="auto"/>
                      <w:lang w:eastAsia="zh-CN"/>
                    </w:rPr>
                    <w:t>脱包间</w:t>
                  </w:r>
                </w:p>
              </w:tc>
              <w:tc>
                <w:tcPr>
                  <w:tcW w:w="3308" w:type="pct"/>
                  <w:vAlign w:val="center"/>
                </w:tcPr>
                <w:p w14:paraId="14237947">
                  <w:pPr>
                    <w:pStyle w:val="286"/>
                    <w:framePr w:hSpace="0" w:wrap="auto" w:vAnchor="margin" w:hAnchor="text" w:xAlign="left" w:yAlign="inline"/>
                    <w:rPr>
                      <w:rFonts w:hint="eastAsia"/>
                      <w:color w:val="auto"/>
                      <w:lang w:val="en-US" w:eastAsia="zh-CN"/>
                    </w:rPr>
                  </w:pPr>
                  <w:r>
                    <w:rPr>
                      <w:rFonts w:hint="eastAsia"/>
                      <w:color w:val="auto"/>
                      <w:lang w:val="en-US" w:eastAsia="zh-CN"/>
                    </w:rPr>
                    <w:t>在生产车间4西侧设置小型脱包间留作备用，建筑面积9.92m</w:t>
                  </w:r>
                  <w:r>
                    <w:rPr>
                      <w:rFonts w:hint="eastAsia"/>
                      <w:color w:val="auto"/>
                      <w:vertAlign w:val="superscript"/>
                      <w:lang w:val="en-US" w:eastAsia="zh-CN"/>
                    </w:rPr>
                    <w:t>2</w:t>
                  </w:r>
                  <w:r>
                    <w:rPr>
                      <w:rFonts w:hint="eastAsia"/>
                      <w:color w:val="auto"/>
                      <w:lang w:val="en-US" w:eastAsia="zh-CN"/>
                    </w:rPr>
                    <w:t>。</w:t>
                  </w:r>
                </w:p>
              </w:tc>
              <w:tc>
                <w:tcPr>
                  <w:tcW w:w="575" w:type="pct"/>
                  <w:vMerge w:val="continue"/>
                  <w:vAlign w:val="center"/>
                </w:tcPr>
                <w:p w14:paraId="35834B5F">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0000FF"/>
                      <w:kern w:val="2"/>
                      <w:sz w:val="18"/>
                      <w:szCs w:val="22"/>
                      <w:lang w:val="zh-CN" w:eastAsia="zh-CN" w:bidi="ar-SA"/>
                    </w:rPr>
                  </w:pPr>
                </w:p>
              </w:tc>
            </w:tr>
            <w:tr w14:paraId="7ABEB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6B9C3837">
                  <w:pPr>
                    <w:pStyle w:val="286"/>
                    <w:framePr w:hSpace="0" w:wrap="auto" w:vAnchor="margin" w:hAnchor="text" w:xAlign="left" w:yAlign="inline"/>
                    <w:rPr>
                      <w:color w:val="auto"/>
                    </w:rPr>
                  </w:pPr>
                </w:p>
              </w:tc>
              <w:tc>
                <w:tcPr>
                  <w:tcW w:w="657" w:type="pct"/>
                  <w:vAlign w:val="center"/>
                </w:tcPr>
                <w:p w14:paraId="7E71B972">
                  <w:pPr>
                    <w:pStyle w:val="286"/>
                    <w:framePr w:hSpace="0" w:wrap="auto" w:vAnchor="margin" w:hAnchor="text" w:xAlign="left" w:yAlign="inline"/>
                    <w:rPr>
                      <w:rFonts w:hint="eastAsia"/>
                      <w:color w:val="auto"/>
                      <w:lang w:eastAsia="zh-CN"/>
                    </w:rPr>
                  </w:pPr>
                  <w:r>
                    <w:rPr>
                      <w:rFonts w:hint="eastAsia"/>
                      <w:color w:val="auto"/>
                      <w:lang w:eastAsia="zh-CN"/>
                    </w:rPr>
                    <w:t>内包间</w:t>
                  </w:r>
                </w:p>
              </w:tc>
              <w:tc>
                <w:tcPr>
                  <w:tcW w:w="3308" w:type="pct"/>
                  <w:vAlign w:val="center"/>
                </w:tcPr>
                <w:p w14:paraId="33C7C95A">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位于生产车间东侧，建筑面积601.63m</w:t>
                  </w:r>
                  <w:r>
                    <w:rPr>
                      <w:rFonts w:hint="eastAsia"/>
                      <w:color w:val="auto"/>
                      <w:vertAlign w:val="superscript"/>
                      <w:lang w:val="en-US" w:eastAsia="zh-CN"/>
                    </w:rPr>
                    <w:t>2</w:t>
                  </w:r>
                  <w:r>
                    <w:rPr>
                      <w:rFonts w:hint="eastAsia"/>
                      <w:color w:val="auto"/>
                      <w:lang w:val="en-US" w:eastAsia="zh-CN"/>
                    </w:rPr>
                    <w:t>，主要用于对产品进行内包装。</w:t>
                  </w:r>
                </w:p>
              </w:tc>
              <w:tc>
                <w:tcPr>
                  <w:tcW w:w="575" w:type="pct"/>
                  <w:vMerge w:val="continue"/>
                  <w:vAlign w:val="center"/>
                </w:tcPr>
                <w:p w14:paraId="77DBE80E">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0000FF"/>
                      <w:kern w:val="2"/>
                      <w:sz w:val="18"/>
                      <w:szCs w:val="22"/>
                      <w:lang w:val="zh-CN" w:eastAsia="zh-CN" w:bidi="ar-SA"/>
                    </w:rPr>
                  </w:pPr>
                </w:p>
              </w:tc>
            </w:tr>
            <w:tr w14:paraId="5A57B5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4E24775C">
                  <w:pPr>
                    <w:pStyle w:val="286"/>
                    <w:framePr w:hSpace="0" w:wrap="auto" w:vAnchor="margin" w:hAnchor="text" w:xAlign="left" w:yAlign="inline"/>
                    <w:rPr>
                      <w:color w:val="auto"/>
                    </w:rPr>
                  </w:pPr>
                </w:p>
              </w:tc>
              <w:tc>
                <w:tcPr>
                  <w:tcW w:w="657" w:type="pct"/>
                  <w:vAlign w:val="center"/>
                </w:tcPr>
                <w:p w14:paraId="2A2B7186">
                  <w:pPr>
                    <w:pStyle w:val="286"/>
                    <w:framePr w:hSpace="0" w:wrap="auto" w:vAnchor="margin" w:hAnchor="text" w:xAlign="left" w:yAlign="inline"/>
                    <w:rPr>
                      <w:rFonts w:hint="eastAsia"/>
                      <w:color w:val="auto"/>
                      <w:lang w:eastAsia="zh-CN"/>
                    </w:rPr>
                  </w:pPr>
                  <w:r>
                    <w:rPr>
                      <w:rFonts w:hint="eastAsia"/>
                      <w:color w:val="auto"/>
                      <w:lang w:eastAsia="zh-CN"/>
                    </w:rPr>
                    <w:t>外包发货间</w:t>
                  </w:r>
                </w:p>
              </w:tc>
              <w:tc>
                <w:tcPr>
                  <w:tcW w:w="3308" w:type="pct"/>
                  <w:vAlign w:val="center"/>
                </w:tcPr>
                <w:p w14:paraId="64794202">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位于厂区东北部，建筑面积73.25m</w:t>
                  </w:r>
                  <w:r>
                    <w:rPr>
                      <w:rFonts w:hint="eastAsia"/>
                      <w:color w:val="auto"/>
                      <w:vertAlign w:val="superscript"/>
                      <w:lang w:val="en-US" w:eastAsia="zh-CN"/>
                    </w:rPr>
                    <w:t>2</w:t>
                  </w:r>
                  <w:r>
                    <w:rPr>
                      <w:rFonts w:hint="eastAsia"/>
                      <w:color w:val="auto"/>
                      <w:lang w:val="en-US" w:eastAsia="zh-CN"/>
                    </w:rPr>
                    <w:t>，主要用于对产品进行二次打包，包装完成后进行统一发货。</w:t>
                  </w:r>
                </w:p>
              </w:tc>
              <w:tc>
                <w:tcPr>
                  <w:tcW w:w="575" w:type="pct"/>
                  <w:vMerge w:val="continue"/>
                  <w:vAlign w:val="center"/>
                </w:tcPr>
                <w:p w14:paraId="63EFD637">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0000FF"/>
                      <w:kern w:val="2"/>
                      <w:sz w:val="18"/>
                      <w:szCs w:val="22"/>
                      <w:lang w:val="zh-CN" w:eastAsia="zh-CN" w:bidi="ar-SA"/>
                    </w:rPr>
                  </w:pPr>
                </w:p>
              </w:tc>
            </w:tr>
            <w:tr w14:paraId="5DABD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1A06D2FD">
                  <w:pPr>
                    <w:pStyle w:val="286"/>
                    <w:framePr w:hSpace="0" w:wrap="auto" w:vAnchor="margin" w:hAnchor="text" w:xAlign="left" w:yAlign="inline"/>
                    <w:rPr>
                      <w:color w:val="auto"/>
                    </w:rPr>
                  </w:pPr>
                </w:p>
              </w:tc>
              <w:tc>
                <w:tcPr>
                  <w:tcW w:w="657" w:type="pct"/>
                  <w:vAlign w:val="center"/>
                </w:tcPr>
                <w:p w14:paraId="6398520E">
                  <w:pPr>
                    <w:pStyle w:val="286"/>
                    <w:framePr w:hSpace="0" w:wrap="auto" w:vAnchor="margin" w:hAnchor="text" w:xAlign="left" w:yAlign="inline"/>
                    <w:rPr>
                      <w:rFonts w:hint="eastAsia"/>
                      <w:color w:val="auto"/>
                      <w:lang w:eastAsia="zh-CN"/>
                    </w:rPr>
                  </w:pPr>
                  <w:r>
                    <w:rPr>
                      <w:rFonts w:hint="eastAsia"/>
                      <w:color w:val="auto"/>
                      <w:lang w:eastAsia="zh-CN"/>
                    </w:rPr>
                    <w:t>化验室</w:t>
                  </w:r>
                </w:p>
              </w:tc>
              <w:tc>
                <w:tcPr>
                  <w:tcW w:w="3308" w:type="pct"/>
                  <w:vAlign w:val="center"/>
                </w:tcPr>
                <w:p w14:paraId="740A885C">
                  <w:pPr>
                    <w:pStyle w:val="286"/>
                    <w:framePr w:hSpace="0" w:wrap="auto" w:vAnchor="margin" w:hAnchor="text" w:xAlign="left" w:yAlign="inline"/>
                    <w:rPr>
                      <w:rFonts w:hint="default"/>
                      <w:color w:val="auto"/>
                      <w:lang w:val="en-US" w:eastAsia="zh-CN"/>
                    </w:rPr>
                  </w:pPr>
                  <w:r>
                    <w:rPr>
                      <w:rFonts w:hint="eastAsia"/>
                      <w:color w:val="auto"/>
                      <w:lang w:val="en-US" w:eastAsia="zh-CN"/>
                    </w:rPr>
                    <w:t>位于项目自建2楼东北侧，建筑面积20m</w:t>
                  </w:r>
                  <w:r>
                    <w:rPr>
                      <w:rFonts w:hint="eastAsia"/>
                      <w:color w:val="auto"/>
                      <w:vertAlign w:val="superscript"/>
                      <w:lang w:val="en-US" w:eastAsia="zh-CN"/>
                    </w:rPr>
                    <w:t>2</w:t>
                  </w:r>
                  <w:r>
                    <w:rPr>
                      <w:rFonts w:hint="eastAsia"/>
                      <w:color w:val="auto"/>
                      <w:lang w:val="en-US" w:eastAsia="zh-CN"/>
                    </w:rPr>
                    <w:t>，建设留样室、化验室、无菌间、更衣室等，用于公司内部对样品进行质量检测。</w:t>
                  </w:r>
                </w:p>
              </w:tc>
              <w:tc>
                <w:tcPr>
                  <w:tcW w:w="575" w:type="pct"/>
                  <w:vMerge w:val="continue"/>
                  <w:vAlign w:val="center"/>
                </w:tcPr>
                <w:p w14:paraId="09A12684">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0000FF"/>
                      <w:kern w:val="2"/>
                      <w:sz w:val="18"/>
                      <w:szCs w:val="22"/>
                      <w:lang w:val="zh-CN" w:eastAsia="zh-CN" w:bidi="ar-SA"/>
                    </w:rPr>
                  </w:pPr>
                </w:p>
              </w:tc>
            </w:tr>
            <w:tr w14:paraId="28DA0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44EFD188">
                  <w:pPr>
                    <w:pStyle w:val="286"/>
                    <w:framePr w:hSpace="0" w:wrap="auto" w:vAnchor="margin" w:hAnchor="text" w:xAlign="left" w:yAlign="inline"/>
                    <w:rPr>
                      <w:color w:val="0000FF"/>
                    </w:rPr>
                  </w:pPr>
                </w:p>
              </w:tc>
              <w:tc>
                <w:tcPr>
                  <w:tcW w:w="657" w:type="pct"/>
                  <w:vAlign w:val="center"/>
                </w:tcPr>
                <w:p w14:paraId="44ED0A03">
                  <w:pPr>
                    <w:pStyle w:val="286"/>
                    <w:framePr w:hSpace="0" w:wrap="auto" w:vAnchor="margin" w:hAnchor="text" w:xAlign="left" w:yAlign="inline"/>
                    <w:rPr>
                      <w:rFonts w:hint="eastAsia" w:eastAsia="宋体"/>
                      <w:color w:val="0000FF"/>
                      <w:lang w:eastAsia="zh-CN"/>
                    </w:rPr>
                  </w:pPr>
                  <w:r>
                    <w:rPr>
                      <w:rFonts w:hint="eastAsia"/>
                      <w:color w:val="auto"/>
                      <w:lang w:eastAsia="zh-CN"/>
                    </w:rPr>
                    <w:t>办公室</w:t>
                  </w:r>
                </w:p>
              </w:tc>
              <w:tc>
                <w:tcPr>
                  <w:tcW w:w="3308" w:type="pct"/>
                  <w:vAlign w:val="center"/>
                </w:tcPr>
                <w:p w14:paraId="3366FD28">
                  <w:pPr>
                    <w:pStyle w:val="286"/>
                    <w:framePr w:hSpace="0" w:wrap="auto" w:vAnchor="margin" w:hAnchor="text" w:xAlign="left" w:yAlign="inline"/>
                    <w:rPr>
                      <w:rFonts w:hint="eastAsia" w:eastAsia="宋体"/>
                      <w:color w:val="0000FF"/>
                      <w:lang w:eastAsia="zh-CN"/>
                    </w:rPr>
                  </w:pPr>
                  <w:r>
                    <w:rPr>
                      <w:rFonts w:hint="eastAsia"/>
                      <w:color w:val="auto"/>
                      <w:lang w:eastAsia="zh-CN"/>
                    </w:rPr>
                    <w:t>位于</w:t>
                  </w:r>
                  <w:r>
                    <w:rPr>
                      <w:rFonts w:hint="eastAsia"/>
                      <w:color w:val="auto"/>
                      <w:lang w:val="en-US" w:eastAsia="zh-CN"/>
                    </w:rPr>
                    <w:t>项目自建2楼东侧，建设4间办公室，建筑面积共100m</w:t>
                  </w:r>
                  <w:r>
                    <w:rPr>
                      <w:rFonts w:hint="eastAsia"/>
                      <w:color w:val="auto"/>
                      <w:vertAlign w:val="superscript"/>
                      <w:lang w:val="en-US" w:eastAsia="zh-CN"/>
                    </w:rPr>
                    <w:t>2</w:t>
                  </w:r>
                  <w:r>
                    <w:rPr>
                      <w:rFonts w:hint="eastAsia"/>
                      <w:color w:val="auto"/>
                      <w:lang w:val="en-US" w:eastAsia="zh-CN"/>
                    </w:rPr>
                    <w:t>，</w:t>
                  </w:r>
                  <w:r>
                    <w:rPr>
                      <w:rFonts w:hint="eastAsia"/>
                      <w:color w:val="auto"/>
                      <w:lang w:eastAsia="zh-CN"/>
                    </w:rPr>
                    <w:t>用于职工日常办公使用。</w:t>
                  </w:r>
                </w:p>
              </w:tc>
              <w:tc>
                <w:tcPr>
                  <w:tcW w:w="575" w:type="pct"/>
                  <w:vMerge w:val="continue"/>
                  <w:vAlign w:val="center"/>
                </w:tcPr>
                <w:p w14:paraId="6BC7E49F">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0000FF"/>
                      <w:kern w:val="2"/>
                      <w:sz w:val="18"/>
                      <w:szCs w:val="22"/>
                      <w:lang w:val="zh-CN" w:eastAsia="zh-CN" w:bidi="ar-SA"/>
                    </w:rPr>
                  </w:pPr>
                </w:p>
              </w:tc>
            </w:tr>
            <w:tr w14:paraId="31A6A2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restart"/>
                  <w:vAlign w:val="center"/>
                </w:tcPr>
                <w:p w14:paraId="46472579">
                  <w:pPr>
                    <w:pStyle w:val="286"/>
                    <w:framePr w:hSpace="0" w:wrap="auto" w:vAnchor="margin" w:hAnchor="text" w:xAlign="left" w:yAlign="inline"/>
                    <w:rPr>
                      <w:color w:val="auto"/>
                    </w:rPr>
                  </w:pPr>
                  <w:r>
                    <w:rPr>
                      <w:color w:val="auto"/>
                    </w:rPr>
                    <w:t>公用</w:t>
                  </w:r>
                </w:p>
                <w:p w14:paraId="327562AF">
                  <w:pPr>
                    <w:pStyle w:val="286"/>
                    <w:framePr w:hSpace="0" w:wrap="auto" w:vAnchor="margin" w:hAnchor="text" w:xAlign="left" w:yAlign="inline"/>
                    <w:rPr>
                      <w:color w:val="auto"/>
                    </w:rPr>
                  </w:pPr>
                  <w:r>
                    <w:rPr>
                      <w:color w:val="auto"/>
                    </w:rPr>
                    <w:t>工程</w:t>
                  </w:r>
                </w:p>
              </w:tc>
              <w:tc>
                <w:tcPr>
                  <w:tcW w:w="657" w:type="pct"/>
                  <w:vAlign w:val="center"/>
                </w:tcPr>
                <w:p w14:paraId="5C57913D">
                  <w:pPr>
                    <w:pStyle w:val="286"/>
                    <w:framePr w:hSpace="0" w:wrap="auto" w:vAnchor="margin" w:hAnchor="text" w:xAlign="left" w:yAlign="inline"/>
                    <w:rPr>
                      <w:color w:val="auto"/>
                    </w:rPr>
                  </w:pPr>
                  <w:r>
                    <w:rPr>
                      <w:color w:val="auto"/>
                    </w:rPr>
                    <w:t>供电</w:t>
                  </w:r>
                </w:p>
              </w:tc>
              <w:tc>
                <w:tcPr>
                  <w:tcW w:w="3308" w:type="pct"/>
                  <w:vAlign w:val="center"/>
                </w:tcPr>
                <w:p w14:paraId="266BBDCF">
                  <w:pPr>
                    <w:pStyle w:val="286"/>
                    <w:framePr w:hSpace="0" w:wrap="auto" w:vAnchor="margin" w:hAnchor="text" w:xAlign="left" w:yAlign="inline"/>
                    <w:rPr>
                      <w:rFonts w:hint="eastAsia" w:eastAsia="宋体"/>
                      <w:color w:val="auto"/>
                      <w:lang w:eastAsia="zh-CN"/>
                    </w:rPr>
                  </w:pPr>
                  <w:r>
                    <w:rPr>
                      <w:rFonts w:hint="eastAsia"/>
                      <w:color w:val="auto"/>
                      <w:lang w:eastAsia="zh-CN"/>
                    </w:rPr>
                    <w:t>从高端装备产业园区现有供电设施接入，由市政供电系统供电</w:t>
                  </w:r>
                </w:p>
              </w:tc>
              <w:tc>
                <w:tcPr>
                  <w:tcW w:w="575" w:type="pct"/>
                  <w:vAlign w:val="center"/>
                </w:tcPr>
                <w:p w14:paraId="0E5D7037">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auto"/>
                      <w:kern w:val="2"/>
                      <w:sz w:val="18"/>
                      <w:szCs w:val="22"/>
                      <w:lang w:val="zh-CN" w:eastAsia="zh-CN" w:bidi="ar-SA"/>
                    </w:rPr>
                  </w:pPr>
                  <w:r>
                    <w:rPr>
                      <w:rFonts w:hint="eastAsia" w:cs="宋体"/>
                      <w:color w:val="auto"/>
                      <w:kern w:val="2"/>
                      <w:sz w:val="18"/>
                      <w:szCs w:val="22"/>
                      <w:lang w:val="zh-CN" w:eastAsia="zh-CN" w:bidi="ar-SA"/>
                    </w:rPr>
                    <w:t>依托园区供电管网</w:t>
                  </w:r>
                </w:p>
              </w:tc>
            </w:tr>
            <w:tr w14:paraId="52E8C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60B2357E">
                  <w:pPr>
                    <w:pStyle w:val="286"/>
                    <w:framePr w:hSpace="0" w:wrap="auto" w:vAnchor="margin" w:hAnchor="text" w:xAlign="left" w:yAlign="inline"/>
                    <w:rPr>
                      <w:color w:val="auto"/>
                    </w:rPr>
                  </w:pPr>
                </w:p>
              </w:tc>
              <w:tc>
                <w:tcPr>
                  <w:tcW w:w="657" w:type="pct"/>
                  <w:vAlign w:val="center"/>
                </w:tcPr>
                <w:p w14:paraId="2FBB1351">
                  <w:pPr>
                    <w:pStyle w:val="286"/>
                    <w:framePr w:hSpace="0" w:wrap="auto" w:vAnchor="margin" w:hAnchor="text" w:xAlign="left" w:yAlign="inline"/>
                    <w:rPr>
                      <w:color w:val="auto"/>
                    </w:rPr>
                  </w:pPr>
                  <w:r>
                    <w:rPr>
                      <w:color w:val="auto"/>
                    </w:rPr>
                    <w:t>供水</w:t>
                  </w:r>
                </w:p>
              </w:tc>
              <w:tc>
                <w:tcPr>
                  <w:tcW w:w="3308" w:type="pct"/>
                  <w:vAlign w:val="center"/>
                </w:tcPr>
                <w:p w14:paraId="36E0DD86">
                  <w:pPr>
                    <w:pStyle w:val="286"/>
                    <w:framePr w:hSpace="0" w:wrap="auto" w:vAnchor="margin" w:hAnchor="text" w:xAlign="left" w:yAlign="inline"/>
                    <w:rPr>
                      <w:color w:val="auto"/>
                    </w:rPr>
                  </w:pPr>
                  <w:r>
                    <w:rPr>
                      <w:rFonts w:hint="eastAsia"/>
                      <w:color w:val="auto"/>
                      <w:lang w:eastAsia="zh-CN"/>
                    </w:rPr>
                    <w:t>从高端装备产业园区现有供水管网接入，由市政供水系统供水</w:t>
                  </w:r>
                </w:p>
              </w:tc>
              <w:tc>
                <w:tcPr>
                  <w:tcW w:w="575" w:type="pct"/>
                  <w:vAlign w:val="center"/>
                </w:tcPr>
                <w:p w14:paraId="6B9F2203">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auto"/>
                      <w:kern w:val="2"/>
                      <w:sz w:val="18"/>
                      <w:szCs w:val="22"/>
                      <w:lang w:val="zh-CN" w:eastAsia="zh-CN" w:bidi="ar-SA"/>
                    </w:rPr>
                  </w:pPr>
                  <w:r>
                    <w:rPr>
                      <w:rFonts w:hint="eastAsia" w:cs="宋体"/>
                      <w:color w:val="auto"/>
                      <w:kern w:val="2"/>
                      <w:sz w:val="18"/>
                      <w:szCs w:val="22"/>
                      <w:lang w:val="zh-CN" w:eastAsia="zh-CN" w:bidi="ar-SA"/>
                    </w:rPr>
                    <w:t>依托园区供水管网</w:t>
                  </w:r>
                </w:p>
              </w:tc>
            </w:tr>
            <w:tr w14:paraId="69F1E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461E9EC1">
                  <w:pPr>
                    <w:pStyle w:val="286"/>
                    <w:framePr w:hSpace="0" w:wrap="auto" w:vAnchor="margin" w:hAnchor="text" w:xAlign="left" w:yAlign="inline"/>
                    <w:rPr>
                      <w:color w:val="auto"/>
                    </w:rPr>
                  </w:pPr>
                </w:p>
              </w:tc>
              <w:tc>
                <w:tcPr>
                  <w:tcW w:w="657" w:type="pct"/>
                  <w:vAlign w:val="center"/>
                </w:tcPr>
                <w:p w14:paraId="1FBD2EE0">
                  <w:pPr>
                    <w:pStyle w:val="286"/>
                    <w:framePr w:hSpace="0" w:wrap="auto" w:vAnchor="margin" w:hAnchor="text" w:xAlign="left" w:yAlign="inline"/>
                    <w:rPr>
                      <w:color w:val="auto"/>
                    </w:rPr>
                  </w:pPr>
                  <w:r>
                    <w:rPr>
                      <w:color w:val="auto"/>
                    </w:rPr>
                    <w:t>排水</w:t>
                  </w:r>
                </w:p>
              </w:tc>
              <w:tc>
                <w:tcPr>
                  <w:tcW w:w="3308" w:type="pct"/>
                  <w:vAlign w:val="center"/>
                </w:tcPr>
                <w:p w14:paraId="37BC1C45">
                  <w:pPr>
                    <w:pStyle w:val="286"/>
                    <w:framePr w:hSpace="0" w:wrap="auto" w:vAnchor="margin" w:hAnchor="text" w:xAlign="left" w:yAlign="inline"/>
                    <w:rPr>
                      <w:color w:val="auto"/>
                    </w:rPr>
                  </w:pPr>
                  <w:r>
                    <w:rPr>
                      <w:color w:val="auto"/>
                    </w:rPr>
                    <w:t>雨污分流，雨水接</w:t>
                  </w:r>
                  <w:r>
                    <w:rPr>
                      <w:rFonts w:hint="eastAsia"/>
                      <w:color w:val="auto"/>
                      <w:lang w:eastAsia="zh-CN"/>
                    </w:rPr>
                    <w:t>园区</w:t>
                  </w:r>
                  <w:r>
                    <w:rPr>
                      <w:color w:val="auto"/>
                    </w:rPr>
                    <w:t>雨水管网，生活污水经</w:t>
                  </w:r>
                  <w:r>
                    <w:rPr>
                      <w:rFonts w:hint="eastAsia"/>
                      <w:color w:val="auto"/>
                      <w:lang w:eastAsia="zh-CN"/>
                    </w:rPr>
                    <w:t>园区</w:t>
                  </w:r>
                  <w:r>
                    <w:rPr>
                      <w:color w:val="auto"/>
                    </w:rPr>
                    <w:t>化粪池</w:t>
                  </w:r>
                  <w:r>
                    <w:rPr>
                      <w:rFonts w:hint="eastAsia"/>
                      <w:color w:val="auto"/>
                    </w:rPr>
                    <w:t>预</w:t>
                  </w:r>
                  <w:r>
                    <w:rPr>
                      <w:color w:val="auto"/>
                    </w:rPr>
                    <w:t>处理</w:t>
                  </w:r>
                  <w:r>
                    <w:rPr>
                      <w:rFonts w:hint="eastAsia"/>
                      <w:color w:val="auto"/>
                    </w:rPr>
                    <w:t>、生产废水经</w:t>
                  </w:r>
                  <w:r>
                    <w:rPr>
                      <w:rFonts w:hint="eastAsia"/>
                      <w:color w:val="auto"/>
                      <w:lang w:eastAsia="zh-CN"/>
                    </w:rPr>
                    <w:t>沉淀池预处理</w:t>
                  </w:r>
                  <w:r>
                    <w:rPr>
                      <w:rFonts w:hint="eastAsia"/>
                      <w:color w:val="auto"/>
                    </w:rPr>
                    <w:t>达标后</w:t>
                  </w:r>
                  <w:r>
                    <w:rPr>
                      <w:rFonts w:hint="eastAsia"/>
                      <w:color w:val="auto"/>
                      <w:lang w:eastAsia="zh-CN"/>
                    </w:rPr>
                    <w:t>汇同生活污水</w:t>
                  </w:r>
                  <w:r>
                    <w:rPr>
                      <w:rFonts w:hint="eastAsia"/>
                      <w:color w:val="auto"/>
                    </w:rPr>
                    <w:t>经</w:t>
                  </w:r>
                  <w:r>
                    <w:rPr>
                      <w:rFonts w:hint="eastAsia"/>
                      <w:color w:val="auto"/>
                      <w:lang w:eastAsia="zh-CN"/>
                    </w:rPr>
                    <w:t>园区污水管网接管至市政污水管网，</w:t>
                  </w:r>
                  <w:r>
                    <w:rPr>
                      <w:rFonts w:hint="eastAsia"/>
                      <w:color w:val="auto"/>
                    </w:rPr>
                    <w:t>排至</w:t>
                  </w:r>
                  <w:r>
                    <w:rPr>
                      <w:color w:val="auto"/>
                    </w:rPr>
                    <w:t>淮南经济技术开发区工业污水处理厂处理。</w:t>
                  </w:r>
                </w:p>
              </w:tc>
              <w:tc>
                <w:tcPr>
                  <w:tcW w:w="575" w:type="pct"/>
                  <w:vAlign w:val="center"/>
                </w:tcPr>
                <w:p w14:paraId="46955530">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auto"/>
                      <w:kern w:val="2"/>
                      <w:sz w:val="18"/>
                      <w:szCs w:val="22"/>
                      <w:lang w:val="zh-CN" w:eastAsia="zh-CN" w:bidi="ar-SA"/>
                    </w:rPr>
                  </w:pPr>
                  <w:r>
                    <w:rPr>
                      <w:rFonts w:hint="eastAsia" w:ascii="Times New Roman" w:hAnsi="Times New Roman" w:eastAsia="宋体" w:cs="宋体"/>
                      <w:color w:val="auto"/>
                      <w:kern w:val="2"/>
                      <w:sz w:val="18"/>
                      <w:szCs w:val="22"/>
                      <w:lang w:val="zh-CN" w:eastAsia="zh-CN" w:bidi="ar-SA"/>
                    </w:rPr>
                    <w:t>新建</w:t>
                  </w:r>
                </w:p>
              </w:tc>
            </w:tr>
            <w:tr w14:paraId="0CCD8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01752C4C">
                  <w:pPr>
                    <w:pStyle w:val="286"/>
                    <w:framePr w:hSpace="0" w:wrap="auto" w:vAnchor="margin" w:hAnchor="text" w:xAlign="left" w:yAlign="inline"/>
                    <w:rPr>
                      <w:color w:val="auto"/>
                    </w:rPr>
                  </w:pPr>
                </w:p>
              </w:tc>
              <w:tc>
                <w:tcPr>
                  <w:tcW w:w="657" w:type="pct"/>
                  <w:vAlign w:val="center"/>
                </w:tcPr>
                <w:p w14:paraId="07310740">
                  <w:pPr>
                    <w:pStyle w:val="286"/>
                    <w:framePr w:hSpace="0" w:wrap="auto" w:vAnchor="margin" w:hAnchor="text" w:xAlign="left" w:yAlign="inline"/>
                    <w:rPr>
                      <w:rFonts w:hint="eastAsia" w:eastAsia="宋体"/>
                      <w:color w:val="auto"/>
                      <w:lang w:eastAsia="zh-CN"/>
                    </w:rPr>
                  </w:pPr>
                  <w:r>
                    <w:rPr>
                      <w:rFonts w:hint="eastAsia"/>
                      <w:color w:val="auto"/>
                      <w:lang w:eastAsia="zh-CN"/>
                    </w:rPr>
                    <w:t>供热</w:t>
                  </w:r>
                </w:p>
              </w:tc>
              <w:tc>
                <w:tcPr>
                  <w:tcW w:w="3308" w:type="pct"/>
                  <w:vAlign w:val="center"/>
                </w:tcPr>
                <w:p w14:paraId="7EEFD918">
                  <w:pPr>
                    <w:pStyle w:val="286"/>
                    <w:framePr w:hSpace="0" w:wrap="auto" w:vAnchor="margin" w:hAnchor="text" w:xAlign="left" w:yAlign="inline"/>
                    <w:rPr>
                      <w:rFonts w:hint="eastAsia" w:eastAsia="宋体"/>
                      <w:color w:val="auto"/>
                      <w:lang w:eastAsia="zh-CN"/>
                    </w:rPr>
                  </w:pPr>
                  <w:r>
                    <w:rPr>
                      <w:rFonts w:hint="eastAsia"/>
                      <w:color w:val="auto"/>
                      <w:lang w:eastAsia="zh-CN"/>
                    </w:rPr>
                    <w:t>由高端装备产业园区蒸汽管道统一供应</w:t>
                  </w:r>
                </w:p>
              </w:tc>
              <w:tc>
                <w:tcPr>
                  <w:tcW w:w="575" w:type="pct"/>
                  <w:vAlign w:val="center"/>
                </w:tcPr>
                <w:p w14:paraId="526877EC">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auto"/>
                      <w:kern w:val="2"/>
                      <w:sz w:val="18"/>
                      <w:szCs w:val="22"/>
                      <w:lang w:val="zh-CN" w:eastAsia="zh-CN" w:bidi="ar-SA"/>
                    </w:rPr>
                  </w:pPr>
                  <w:r>
                    <w:rPr>
                      <w:rFonts w:hint="eastAsia" w:cs="宋体"/>
                      <w:color w:val="auto"/>
                      <w:kern w:val="2"/>
                      <w:sz w:val="18"/>
                      <w:szCs w:val="22"/>
                      <w:lang w:val="zh-CN" w:eastAsia="zh-CN" w:bidi="ar-SA"/>
                    </w:rPr>
                    <w:t>依托园区供热管网</w:t>
                  </w:r>
                </w:p>
              </w:tc>
            </w:tr>
            <w:tr w14:paraId="35BBB3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restart"/>
                  <w:vAlign w:val="center"/>
                </w:tcPr>
                <w:p w14:paraId="43CA9F61">
                  <w:pPr>
                    <w:pStyle w:val="286"/>
                    <w:framePr w:hSpace="0" w:wrap="auto" w:vAnchor="margin" w:hAnchor="text" w:xAlign="left" w:yAlign="inline"/>
                    <w:rPr>
                      <w:color w:val="auto"/>
                    </w:rPr>
                  </w:pPr>
                  <w:r>
                    <w:rPr>
                      <w:color w:val="auto"/>
                    </w:rPr>
                    <w:t>储运</w:t>
                  </w:r>
                </w:p>
                <w:p w14:paraId="4F51331D">
                  <w:pPr>
                    <w:pStyle w:val="286"/>
                    <w:framePr w:hSpace="0" w:wrap="auto" w:vAnchor="margin" w:hAnchor="text" w:xAlign="left" w:yAlign="inline"/>
                    <w:rPr>
                      <w:color w:val="auto"/>
                    </w:rPr>
                  </w:pPr>
                  <w:r>
                    <w:rPr>
                      <w:color w:val="auto"/>
                    </w:rPr>
                    <w:t>工程</w:t>
                  </w:r>
                </w:p>
              </w:tc>
              <w:tc>
                <w:tcPr>
                  <w:tcW w:w="657" w:type="pct"/>
                  <w:vAlign w:val="center"/>
                </w:tcPr>
                <w:p w14:paraId="7922C86E">
                  <w:pPr>
                    <w:pStyle w:val="286"/>
                    <w:framePr w:hSpace="0" w:wrap="auto" w:vAnchor="margin" w:hAnchor="text" w:xAlign="left" w:yAlign="inline"/>
                    <w:rPr>
                      <w:rFonts w:hint="eastAsia" w:eastAsia="宋体"/>
                      <w:color w:val="auto"/>
                      <w:lang w:eastAsia="zh-CN"/>
                    </w:rPr>
                  </w:pPr>
                  <w:r>
                    <w:rPr>
                      <w:rFonts w:hint="eastAsia"/>
                      <w:color w:val="auto"/>
                      <w:lang w:eastAsia="zh-CN"/>
                    </w:rPr>
                    <w:t>原料库</w:t>
                  </w:r>
                </w:p>
              </w:tc>
              <w:tc>
                <w:tcPr>
                  <w:tcW w:w="3308" w:type="pct"/>
                  <w:vAlign w:val="center"/>
                </w:tcPr>
                <w:p w14:paraId="46702F8D">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在项目自建2楼东北侧和1楼西侧各设置一间原料库，建筑面积分别为34m</w:t>
                  </w:r>
                  <w:r>
                    <w:rPr>
                      <w:rFonts w:hint="eastAsia"/>
                      <w:color w:val="auto"/>
                      <w:vertAlign w:val="superscript"/>
                      <w:lang w:val="en-US" w:eastAsia="zh-CN"/>
                    </w:rPr>
                    <w:t>2</w:t>
                  </w:r>
                  <w:r>
                    <w:rPr>
                      <w:rFonts w:hint="eastAsia"/>
                      <w:color w:val="auto"/>
                      <w:vertAlign w:val="baseline"/>
                      <w:lang w:val="en-US" w:eastAsia="zh-CN"/>
                    </w:rPr>
                    <w:t>、</w:t>
                  </w:r>
                  <w:r>
                    <w:rPr>
                      <w:rFonts w:hint="eastAsia"/>
                      <w:color w:val="auto"/>
                      <w:lang w:val="en-US" w:eastAsia="zh-CN"/>
                    </w:rPr>
                    <w:t>23.37m</w:t>
                  </w:r>
                  <w:r>
                    <w:rPr>
                      <w:rFonts w:hint="eastAsia"/>
                      <w:color w:val="auto"/>
                      <w:vertAlign w:val="superscript"/>
                      <w:lang w:val="en-US" w:eastAsia="zh-CN"/>
                    </w:rPr>
                    <w:t>2</w:t>
                  </w:r>
                  <w:r>
                    <w:rPr>
                      <w:rFonts w:hint="eastAsia"/>
                      <w:color w:val="auto"/>
                      <w:vertAlign w:val="baseline"/>
                      <w:lang w:val="en-US" w:eastAsia="zh-CN"/>
                    </w:rPr>
                    <w:t>，</w:t>
                  </w:r>
                  <w:r>
                    <w:rPr>
                      <w:rFonts w:hint="eastAsia"/>
                      <w:color w:val="auto"/>
                      <w:lang w:eastAsia="zh-CN"/>
                    </w:rPr>
                    <w:t>用于存放原料。</w:t>
                  </w:r>
                </w:p>
              </w:tc>
              <w:tc>
                <w:tcPr>
                  <w:tcW w:w="575" w:type="pct"/>
                  <w:vAlign w:val="center"/>
                </w:tcPr>
                <w:p w14:paraId="58DD1D59">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auto"/>
                      <w:kern w:val="2"/>
                      <w:sz w:val="18"/>
                      <w:szCs w:val="22"/>
                      <w:lang w:val="zh-CN" w:eastAsia="zh-CN" w:bidi="ar-SA"/>
                    </w:rPr>
                  </w:pPr>
                  <w:r>
                    <w:rPr>
                      <w:rFonts w:hint="eastAsia" w:ascii="Times New Roman" w:hAnsi="Times New Roman" w:eastAsia="宋体" w:cs="宋体"/>
                      <w:color w:val="auto"/>
                      <w:kern w:val="2"/>
                      <w:sz w:val="18"/>
                      <w:szCs w:val="22"/>
                      <w:lang w:val="zh-CN" w:eastAsia="zh-CN" w:bidi="ar-SA"/>
                    </w:rPr>
                    <w:t>新建</w:t>
                  </w:r>
                </w:p>
              </w:tc>
            </w:tr>
            <w:tr w14:paraId="17AF8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308C9511">
                  <w:pPr>
                    <w:pStyle w:val="286"/>
                    <w:framePr w:hSpace="0" w:wrap="auto" w:vAnchor="margin" w:hAnchor="text" w:xAlign="left" w:yAlign="inline"/>
                    <w:rPr>
                      <w:color w:val="auto"/>
                    </w:rPr>
                  </w:pPr>
                </w:p>
              </w:tc>
              <w:tc>
                <w:tcPr>
                  <w:tcW w:w="657" w:type="pct"/>
                  <w:vAlign w:val="center"/>
                </w:tcPr>
                <w:p w14:paraId="3D7AEB47">
                  <w:pPr>
                    <w:pStyle w:val="286"/>
                    <w:framePr w:hSpace="0" w:wrap="auto" w:vAnchor="margin" w:hAnchor="text" w:xAlign="left" w:yAlign="inline"/>
                    <w:rPr>
                      <w:rFonts w:hint="eastAsia" w:eastAsia="宋体"/>
                      <w:color w:val="auto"/>
                      <w:lang w:eastAsia="zh-CN"/>
                    </w:rPr>
                  </w:pPr>
                  <w:r>
                    <w:rPr>
                      <w:rFonts w:hint="eastAsia"/>
                      <w:color w:val="auto"/>
                      <w:lang w:eastAsia="zh-CN"/>
                    </w:rPr>
                    <w:t>内包材库</w:t>
                  </w:r>
                </w:p>
              </w:tc>
              <w:tc>
                <w:tcPr>
                  <w:tcW w:w="3308" w:type="pct"/>
                  <w:vAlign w:val="center"/>
                </w:tcPr>
                <w:p w14:paraId="2FA0D909">
                  <w:pPr>
                    <w:pStyle w:val="286"/>
                    <w:framePr w:hSpace="0" w:wrap="auto" w:vAnchor="margin" w:hAnchor="text" w:xAlign="left" w:yAlign="inline"/>
                    <w:rPr>
                      <w:rFonts w:hint="eastAsia" w:eastAsia="宋体"/>
                      <w:color w:val="auto"/>
                      <w:lang w:eastAsia="zh-CN"/>
                    </w:rPr>
                  </w:pPr>
                  <w:r>
                    <w:rPr>
                      <w:color w:val="auto"/>
                    </w:rPr>
                    <w:t>位于</w:t>
                  </w:r>
                  <w:r>
                    <w:rPr>
                      <w:rFonts w:hint="eastAsia"/>
                      <w:color w:val="auto"/>
                      <w:lang w:eastAsia="zh-CN"/>
                    </w:rPr>
                    <w:t>厂区</w:t>
                  </w:r>
                  <w:r>
                    <w:rPr>
                      <w:rFonts w:hint="eastAsia"/>
                      <w:color w:val="auto"/>
                      <w:lang w:val="en-US" w:eastAsia="zh-CN"/>
                    </w:rPr>
                    <w:t>1楼</w:t>
                  </w:r>
                  <w:r>
                    <w:rPr>
                      <w:rFonts w:hint="eastAsia"/>
                      <w:color w:val="auto"/>
                      <w:lang w:eastAsia="zh-CN"/>
                    </w:rPr>
                    <w:t>东北侧</w:t>
                  </w:r>
                  <w:r>
                    <w:rPr>
                      <w:color w:val="auto"/>
                    </w:rPr>
                    <w:t>，</w:t>
                  </w:r>
                  <w:r>
                    <w:rPr>
                      <w:rFonts w:hint="eastAsia"/>
                      <w:color w:val="auto"/>
                      <w:lang w:eastAsia="zh-CN"/>
                    </w:rPr>
                    <w:t>建筑面积</w:t>
                  </w:r>
                  <w:r>
                    <w:rPr>
                      <w:rFonts w:hint="eastAsia"/>
                      <w:color w:val="auto"/>
                      <w:highlight w:val="none"/>
                      <w:lang w:val="en-US" w:eastAsia="zh-CN"/>
                    </w:rPr>
                    <w:t>26.44m</w:t>
                  </w:r>
                  <w:r>
                    <w:rPr>
                      <w:rFonts w:hint="eastAsia"/>
                      <w:color w:val="auto"/>
                      <w:highlight w:val="none"/>
                      <w:vertAlign w:val="superscript"/>
                      <w:lang w:val="en-US" w:eastAsia="zh-CN"/>
                    </w:rPr>
                    <w:t>2</w:t>
                  </w:r>
                  <w:r>
                    <w:rPr>
                      <w:rFonts w:hint="eastAsia"/>
                      <w:color w:val="auto"/>
                      <w:highlight w:val="none"/>
                      <w:lang w:val="en-US" w:eastAsia="zh-CN"/>
                    </w:rPr>
                    <w:t>，</w:t>
                  </w:r>
                  <w:r>
                    <w:rPr>
                      <w:color w:val="auto"/>
                    </w:rPr>
                    <w:t>主要用来</w:t>
                  </w:r>
                  <w:r>
                    <w:rPr>
                      <w:rFonts w:hint="eastAsia"/>
                      <w:color w:val="auto"/>
                      <w:lang w:eastAsia="zh-CN"/>
                    </w:rPr>
                    <w:t>存放包装袋，用于成品包装。西侧紧邻内包材库缓冲间，建筑面积</w:t>
                  </w:r>
                  <w:r>
                    <w:rPr>
                      <w:rFonts w:hint="eastAsia"/>
                      <w:color w:val="auto"/>
                      <w:lang w:val="en-US" w:eastAsia="zh-CN"/>
                    </w:rPr>
                    <w:t>10.9m</w:t>
                  </w:r>
                  <w:r>
                    <w:rPr>
                      <w:rFonts w:hint="eastAsia"/>
                      <w:color w:val="auto"/>
                      <w:vertAlign w:val="superscript"/>
                      <w:lang w:val="en-US" w:eastAsia="zh-CN"/>
                    </w:rPr>
                    <w:t>2</w:t>
                  </w:r>
                  <w:r>
                    <w:rPr>
                      <w:rFonts w:hint="eastAsia"/>
                      <w:color w:val="auto"/>
                      <w:lang w:val="en-US" w:eastAsia="zh-CN"/>
                    </w:rPr>
                    <w:t>，</w:t>
                  </w:r>
                  <w:r>
                    <w:rPr>
                      <w:rFonts w:hint="eastAsia"/>
                      <w:color w:val="auto"/>
                      <w:lang w:eastAsia="zh-CN"/>
                    </w:rPr>
                    <w:t>用于对包装袋进行紫外线杀菌。</w:t>
                  </w:r>
                </w:p>
              </w:tc>
              <w:tc>
                <w:tcPr>
                  <w:tcW w:w="575" w:type="pct"/>
                  <w:vAlign w:val="center"/>
                </w:tcPr>
                <w:p w14:paraId="48B30ABB">
                  <w:pPr>
                    <w:keepNext w:val="0"/>
                    <w:keepLines w:val="0"/>
                    <w:pageBreakBefore w:val="0"/>
                    <w:kinsoku/>
                    <w:wordWrap/>
                    <w:overflowPunct/>
                    <w:topLinePunct w:val="0"/>
                    <w:autoSpaceDE/>
                    <w:autoSpaceDN/>
                    <w:bidi w:val="0"/>
                    <w:spacing w:after="0" w:line="240" w:lineRule="auto"/>
                    <w:ind w:left="0" w:leftChars="0" w:right="0" w:rightChars="0" w:firstLine="0" w:firstLineChars="0"/>
                    <w:jc w:val="center"/>
                    <w:textAlignment w:val="auto"/>
                    <w:rPr>
                      <w:rFonts w:ascii="Times New Roman" w:hAnsi="Times New Roman" w:eastAsia="宋体" w:cs="宋体"/>
                      <w:color w:val="auto"/>
                      <w:kern w:val="2"/>
                      <w:sz w:val="18"/>
                      <w:szCs w:val="22"/>
                      <w:lang w:val="zh-CN" w:eastAsia="zh-CN" w:bidi="ar-SA"/>
                    </w:rPr>
                  </w:pPr>
                  <w:r>
                    <w:rPr>
                      <w:rFonts w:hint="eastAsia" w:cs="宋体"/>
                      <w:color w:val="auto"/>
                      <w:kern w:val="2"/>
                      <w:sz w:val="18"/>
                      <w:szCs w:val="22"/>
                      <w:lang w:val="zh-CN" w:eastAsia="zh-CN" w:bidi="ar-SA"/>
                    </w:rPr>
                    <w:t>现有厂房</w:t>
                  </w:r>
                </w:p>
              </w:tc>
            </w:tr>
            <w:tr w14:paraId="57CAC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restart"/>
                  <w:vAlign w:val="center"/>
                </w:tcPr>
                <w:p w14:paraId="7215E871">
                  <w:pPr>
                    <w:pStyle w:val="286"/>
                    <w:framePr w:hSpace="0" w:wrap="auto" w:vAnchor="margin" w:hAnchor="text" w:xAlign="left" w:yAlign="inline"/>
                    <w:rPr>
                      <w:color w:val="auto"/>
                    </w:rPr>
                  </w:pPr>
                  <w:r>
                    <w:rPr>
                      <w:color w:val="auto"/>
                    </w:rPr>
                    <w:t>环保</w:t>
                  </w:r>
                </w:p>
                <w:p w14:paraId="4D833B4C">
                  <w:pPr>
                    <w:pStyle w:val="286"/>
                    <w:framePr w:hSpace="0" w:wrap="auto" w:vAnchor="margin" w:hAnchor="text" w:xAlign="left" w:yAlign="inline"/>
                    <w:rPr>
                      <w:color w:val="auto"/>
                    </w:rPr>
                  </w:pPr>
                  <w:r>
                    <w:rPr>
                      <w:color w:val="auto"/>
                    </w:rPr>
                    <w:t>工程</w:t>
                  </w:r>
                </w:p>
              </w:tc>
              <w:tc>
                <w:tcPr>
                  <w:tcW w:w="657" w:type="pct"/>
                  <w:vAlign w:val="center"/>
                </w:tcPr>
                <w:p w14:paraId="3E86C360">
                  <w:pPr>
                    <w:pStyle w:val="286"/>
                    <w:framePr w:hSpace="0" w:wrap="auto" w:vAnchor="margin" w:hAnchor="text" w:xAlign="left" w:yAlign="inline"/>
                    <w:rPr>
                      <w:color w:val="auto"/>
                    </w:rPr>
                  </w:pPr>
                  <w:r>
                    <w:rPr>
                      <w:color w:val="auto"/>
                    </w:rPr>
                    <w:t>废水</w:t>
                  </w:r>
                </w:p>
                <w:p w14:paraId="530221E0">
                  <w:pPr>
                    <w:pStyle w:val="286"/>
                    <w:framePr w:hSpace="0" w:wrap="auto" w:vAnchor="margin" w:hAnchor="text" w:xAlign="left" w:yAlign="inline"/>
                    <w:rPr>
                      <w:color w:val="auto"/>
                    </w:rPr>
                  </w:pPr>
                  <w:r>
                    <w:rPr>
                      <w:color w:val="auto"/>
                    </w:rPr>
                    <w:t>治理</w:t>
                  </w:r>
                </w:p>
              </w:tc>
              <w:tc>
                <w:tcPr>
                  <w:tcW w:w="3308" w:type="pct"/>
                  <w:vAlign w:val="center"/>
                </w:tcPr>
                <w:p w14:paraId="13DA6CB6">
                  <w:pPr>
                    <w:pStyle w:val="286"/>
                    <w:framePr w:hSpace="0" w:wrap="auto" w:vAnchor="margin" w:hAnchor="text" w:xAlign="left" w:yAlign="inline"/>
                    <w:rPr>
                      <w:color w:val="auto"/>
                    </w:rPr>
                  </w:pPr>
                  <w:r>
                    <w:rPr>
                      <w:color w:val="auto"/>
                    </w:rPr>
                    <w:t>雨污分流，</w:t>
                  </w:r>
                  <w:r>
                    <w:rPr>
                      <w:rFonts w:hint="eastAsia"/>
                      <w:color w:val="auto"/>
                      <w:lang w:eastAsia="zh-CN"/>
                    </w:rPr>
                    <w:t>雨水进入园区雨水管网。项目在厂区东侧设置</w:t>
                  </w:r>
                  <w:r>
                    <w:rPr>
                      <w:rFonts w:hint="eastAsia"/>
                      <w:color w:val="auto"/>
                      <w:lang w:val="en-US" w:eastAsia="zh-CN"/>
                    </w:rPr>
                    <w:t>1座油水分离池（0.576m</w:t>
                  </w:r>
                  <w:r>
                    <w:rPr>
                      <w:rFonts w:hint="eastAsia"/>
                      <w:color w:val="auto"/>
                      <w:vertAlign w:val="superscript"/>
                      <w:lang w:val="en-US" w:eastAsia="zh-CN"/>
                    </w:rPr>
                    <w:t>3</w:t>
                  </w:r>
                  <w:r>
                    <w:rPr>
                      <w:rFonts w:hint="eastAsia"/>
                      <w:color w:val="auto"/>
                      <w:lang w:val="en-US" w:eastAsia="zh-CN"/>
                    </w:rPr>
                    <w:t>）和1座沉淀池（2.6m</w:t>
                  </w:r>
                  <w:r>
                    <w:rPr>
                      <w:rFonts w:hint="eastAsia"/>
                      <w:color w:val="auto"/>
                      <w:vertAlign w:val="superscript"/>
                      <w:lang w:val="en-US" w:eastAsia="zh-CN"/>
                    </w:rPr>
                    <w:t>3</w:t>
                  </w:r>
                  <w:r>
                    <w:rPr>
                      <w:rFonts w:hint="eastAsia"/>
                      <w:color w:val="auto"/>
                      <w:lang w:val="en-US" w:eastAsia="zh-CN"/>
                    </w:rPr>
                    <w:t>），</w:t>
                  </w:r>
                  <w:r>
                    <w:rPr>
                      <w:color w:val="auto"/>
                    </w:rPr>
                    <w:t>生活废水经依托</w:t>
                  </w:r>
                  <w:r>
                    <w:rPr>
                      <w:rFonts w:hint="eastAsia"/>
                      <w:color w:val="auto"/>
                      <w:lang w:eastAsia="zh-CN"/>
                    </w:rPr>
                    <w:t>园区</w:t>
                  </w:r>
                  <w:r>
                    <w:rPr>
                      <w:color w:val="auto"/>
                    </w:rPr>
                    <w:t>化粪池预处理后</w:t>
                  </w:r>
                  <w:r>
                    <w:rPr>
                      <w:rFonts w:hint="eastAsia"/>
                      <w:color w:val="auto"/>
                      <w:lang w:eastAsia="zh-CN"/>
                    </w:rPr>
                    <w:t>汇同经油水分离池和沉淀池处理达标后的生产废水排入园区污水管网，</w:t>
                  </w:r>
                  <w:r>
                    <w:rPr>
                      <w:color w:val="auto"/>
                    </w:rPr>
                    <w:t>接</w:t>
                  </w:r>
                  <w:r>
                    <w:rPr>
                      <w:rFonts w:hint="eastAsia"/>
                      <w:color w:val="auto"/>
                      <w:lang w:eastAsia="zh-CN"/>
                    </w:rPr>
                    <w:t>入市政污水管网</w:t>
                  </w:r>
                  <w:r>
                    <w:rPr>
                      <w:color w:val="auto"/>
                    </w:rPr>
                    <w:t>排放至</w:t>
                  </w:r>
                  <w:r>
                    <w:rPr>
                      <w:rFonts w:hint="eastAsia"/>
                      <w:color w:val="auto"/>
                      <w:lang w:eastAsia="zh-CN"/>
                    </w:rPr>
                    <w:t>淮南</w:t>
                  </w:r>
                  <w:r>
                    <w:rPr>
                      <w:color w:val="auto"/>
                    </w:rPr>
                    <w:t>经开区工业污水处理厂</w:t>
                  </w:r>
                  <w:r>
                    <w:rPr>
                      <w:rFonts w:hint="eastAsia"/>
                      <w:color w:val="auto"/>
                    </w:rPr>
                    <w:t>处理。</w:t>
                  </w:r>
                </w:p>
              </w:tc>
              <w:tc>
                <w:tcPr>
                  <w:tcW w:w="575" w:type="pct"/>
                  <w:vAlign w:val="center"/>
                </w:tcPr>
                <w:p w14:paraId="3D894FE5">
                  <w:pPr>
                    <w:pStyle w:val="286"/>
                    <w:keepNext w:val="0"/>
                    <w:keepLines w:val="0"/>
                    <w:pageBreakBefore w:val="0"/>
                    <w:framePr w:hSpace="0" w:wrap="auto" w:vAnchor="margin" w:hAnchor="text" w:xAlign="left" w:yAlign="inline"/>
                    <w:kinsoku/>
                    <w:wordWrap/>
                    <w:overflowPunct/>
                    <w:topLinePunct w:val="0"/>
                    <w:autoSpaceDE/>
                    <w:autoSpaceDN/>
                    <w:bidi w:val="0"/>
                    <w:spacing w:line="240" w:lineRule="auto"/>
                    <w:ind w:left="0" w:leftChars="0" w:right="0" w:rightChars="0" w:firstLine="0" w:firstLineChars="0"/>
                    <w:jc w:val="center"/>
                    <w:textAlignment w:val="auto"/>
                    <w:rPr>
                      <w:rFonts w:hint="eastAsia" w:eastAsia="宋体"/>
                      <w:color w:val="auto"/>
                      <w:lang w:eastAsia="zh-CN"/>
                    </w:rPr>
                  </w:pPr>
                  <w:r>
                    <w:rPr>
                      <w:rFonts w:hint="eastAsia"/>
                      <w:color w:val="auto"/>
                      <w:lang w:eastAsia="zh-CN"/>
                    </w:rPr>
                    <w:t>新建</w:t>
                  </w:r>
                </w:p>
              </w:tc>
            </w:tr>
            <w:tr w14:paraId="35EF9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691" w:hRule="atLeast"/>
              </w:trPr>
              <w:tc>
                <w:tcPr>
                  <w:tcW w:w="458" w:type="pct"/>
                  <w:vMerge w:val="continue"/>
                  <w:vAlign w:val="center"/>
                </w:tcPr>
                <w:p w14:paraId="1A1408D8">
                  <w:pPr>
                    <w:pStyle w:val="286"/>
                    <w:framePr w:hSpace="0" w:wrap="auto" w:vAnchor="margin" w:hAnchor="text" w:xAlign="left" w:yAlign="inline"/>
                    <w:rPr>
                      <w:color w:val="auto"/>
                    </w:rPr>
                  </w:pPr>
                </w:p>
              </w:tc>
              <w:tc>
                <w:tcPr>
                  <w:tcW w:w="657" w:type="pct"/>
                  <w:vAlign w:val="center"/>
                </w:tcPr>
                <w:p w14:paraId="0DA3FEBE">
                  <w:pPr>
                    <w:pStyle w:val="286"/>
                    <w:framePr w:hSpace="0" w:wrap="auto" w:vAnchor="margin" w:hAnchor="text" w:xAlign="left" w:yAlign="inline"/>
                    <w:rPr>
                      <w:color w:val="auto"/>
                    </w:rPr>
                  </w:pPr>
                  <w:r>
                    <w:rPr>
                      <w:color w:val="auto"/>
                    </w:rPr>
                    <w:t>噪声</w:t>
                  </w:r>
                </w:p>
                <w:p w14:paraId="6770824F">
                  <w:pPr>
                    <w:pStyle w:val="286"/>
                    <w:framePr w:hSpace="0" w:wrap="auto" w:vAnchor="margin" w:hAnchor="text" w:xAlign="left" w:yAlign="inline"/>
                    <w:rPr>
                      <w:color w:val="auto"/>
                    </w:rPr>
                  </w:pPr>
                  <w:r>
                    <w:rPr>
                      <w:color w:val="auto"/>
                    </w:rPr>
                    <w:t>治理</w:t>
                  </w:r>
                </w:p>
              </w:tc>
              <w:tc>
                <w:tcPr>
                  <w:tcW w:w="3308" w:type="pct"/>
                  <w:vAlign w:val="center"/>
                </w:tcPr>
                <w:p w14:paraId="6243EEE2">
                  <w:pPr>
                    <w:pStyle w:val="286"/>
                    <w:framePr w:hSpace="0" w:wrap="auto" w:vAnchor="margin" w:hAnchor="text" w:xAlign="left" w:yAlign="inline"/>
                    <w:rPr>
                      <w:rFonts w:hint="eastAsia" w:eastAsia="宋体"/>
                      <w:color w:val="auto"/>
                      <w:lang w:eastAsia="zh-CN"/>
                    </w:rPr>
                  </w:pPr>
                  <w:r>
                    <w:rPr>
                      <w:rFonts w:hint="eastAsia"/>
                      <w:color w:val="auto"/>
                      <w:lang w:eastAsia="zh-CN"/>
                    </w:rPr>
                    <w:t>选用高效低噪声设备、厂房隔声、设备基础减振降噪等</w:t>
                  </w:r>
                </w:p>
              </w:tc>
              <w:tc>
                <w:tcPr>
                  <w:tcW w:w="575" w:type="pct"/>
                  <w:vAlign w:val="center"/>
                </w:tcPr>
                <w:p w14:paraId="3E05DF19">
                  <w:pPr>
                    <w:pStyle w:val="286"/>
                    <w:framePr w:hSpace="0" w:wrap="auto" w:vAnchor="margin" w:hAnchor="text" w:xAlign="left" w:yAlign="inline"/>
                    <w:rPr>
                      <w:color w:val="auto"/>
                    </w:rPr>
                  </w:pPr>
                  <w:r>
                    <w:rPr>
                      <w:rFonts w:hint="eastAsia"/>
                      <w:color w:val="auto"/>
                      <w:lang w:eastAsia="zh-CN"/>
                    </w:rPr>
                    <w:t>新建</w:t>
                  </w:r>
                </w:p>
              </w:tc>
            </w:tr>
            <w:tr w14:paraId="3C3C3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54" w:hRule="atLeast"/>
              </w:trPr>
              <w:tc>
                <w:tcPr>
                  <w:tcW w:w="458" w:type="pct"/>
                  <w:vMerge w:val="continue"/>
                  <w:vAlign w:val="center"/>
                </w:tcPr>
                <w:p w14:paraId="4C3992E2">
                  <w:pPr>
                    <w:pStyle w:val="286"/>
                    <w:framePr w:hSpace="0" w:wrap="auto" w:vAnchor="margin" w:hAnchor="text" w:xAlign="left" w:yAlign="inline"/>
                    <w:rPr>
                      <w:color w:val="auto"/>
                    </w:rPr>
                  </w:pPr>
                </w:p>
              </w:tc>
              <w:tc>
                <w:tcPr>
                  <w:tcW w:w="657" w:type="pct"/>
                  <w:vAlign w:val="center"/>
                </w:tcPr>
                <w:p w14:paraId="57C4CC0E">
                  <w:pPr>
                    <w:pStyle w:val="286"/>
                    <w:framePr w:hSpace="0" w:wrap="auto" w:vAnchor="margin" w:hAnchor="text" w:xAlign="left" w:yAlign="inline"/>
                    <w:rPr>
                      <w:color w:val="auto"/>
                    </w:rPr>
                  </w:pPr>
                  <w:r>
                    <w:rPr>
                      <w:color w:val="auto"/>
                    </w:rPr>
                    <w:t>废气</w:t>
                  </w:r>
                </w:p>
                <w:p w14:paraId="33D51AC4">
                  <w:pPr>
                    <w:pStyle w:val="286"/>
                    <w:framePr w:hSpace="0" w:wrap="auto" w:vAnchor="margin" w:hAnchor="text" w:xAlign="left" w:yAlign="inline"/>
                    <w:rPr>
                      <w:color w:val="auto"/>
                    </w:rPr>
                  </w:pPr>
                  <w:r>
                    <w:rPr>
                      <w:color w:val="auto"/>
                    </w:rPr>
                    <w:t>治理</w:t>
                  </w:r>
                </w:p>
              </w:tc>
              <w:tc>
                <w:tcPr>
                  <w:tcW w:w="3308" w:type="pct"/>
                  <w:vAlign w:val="center"/>
                </w:tcPr>
                <w:p w14:paraId="11709757">
                  <w:pPr>
                    <w:pStyle w:val="286"/>
                    <w:framePr w:hSpace="0" w:wrap="auto" w:vAnchor="margin" w:hAnchor="text" w:xAlign="left" w:yAlign="inline"/>
                    <w:rPr>
                      <w:rFonts w:hint="eastAsia"/>
                      <w:color w:val="auto"/>
                      <w:lang w:eastAsia="zh-CN"/>
                    </w:rPr>
                  </w:pPr>
                  <w:r>
                    <w:rPr>
                      <w:rFonts w:hint="default" w:ascii="Times New Roman" w:hAnsi="Times New Roman" w:eastAsia="宋体" w:cs="Times New Roman"/>
                      <w:color w:val="auto"/>
                      <w:sz w:val="18"/>
                      <w:szCs w:val="18"/>
                      <w:highlight w:val="none"/>
                      <w:vertAlign w:val="baseline"/>
                      <w:lang w:val="en-US" w:eastAsia="zh-CN"/>
                    </w:rPr>
                    <w:t>本项目投料口上方布设集气罩并连通集气管道接入布袋除尘器+加强设备密闭</w:t>
                  </w:r>
                  <w:r>
                    <w:rPr>
                      <w:rFonts w:hint="eastAsia" w:cs="Times New Roman"/>
                      <w:color w:val="auto"/>
                      <w:sz w:val="18"/>
                      <w:szCs w:val="18"/>
                      <w:highlight w:val="none"/>
                      <w:vertAlign w:val="baseline"/>
                      <w:lang w:val="en-US" w:eastAsia="zh-CN"/>
                    </w:rPr>
                    <w:t>。</w:t>
                  </w:r>
                </w:p>
              </w:tc>
              <w:tc>
                <w:tcPr>
                  <w:tcW w:w="575" w:type="pct"/>
                  <w:vAlign w:val="center"/>
                </w:tcPr>
                <w:p w14:paraId="126A865C">
                  <w:pPr>
                    <w:pStyle w:val="286"/>
                    <w:framePr w:hSpace="0" w:wrap="auto" w:vAnchor="margin" w:hAnchor="text" w:xAlign="left" w:yAlign="inline"/>
                    <w:rPr>
                      <w:rFonts w:hint="eastAsia"/>
                      <w:color w:val="auto"/>
                    </w:rPr>
                  </w:pPr>
                  <w:r>
                    <w:rPr>
                      <w:rFonts w:hint="eastAsia"/>
                      <w:color w:val="auto"/>
                      <w:lang w:eastAsia="zh-CN"/>
                    </w:rPr>
                    <w:t>新建</w:t>
                  </w:r>
                </w:p>
              </w:tc>
            </w:tr>
            <w:tr w14:paraId="42901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150" w:hRule="atLeast"/>
              </w:trPr>
              <w:tc>
                <w:tcPr>
                  <w:tcW w:w="458" w:type="pct"/>
                  <w:vMerge w:val="continue"/>
                  <w:vAlign w:val="center"/>
                </w:tcPr>
                <w:p w14:paraId="22951324">
                  <w:pPr>
                    <w:pStyle w:val="286"/>
                    <w:framePr w:hSpace="0" w:wrap="auto" w:vAnchor="margin" w:hAnchor="text" w:xAlign="left" w:yAlign="inline"/>
                    <w:rPr>
                      <w:color w:val="auto"/>
                    </w:rPr>
                  </w:pPr>
                </w:p>
              </w:tc>
              <w:tc>
                <w:tcPr>
                  <w:tcW w:w="657" w:type="pct"/>
                  <w:vAlign w:val="center"/>
                </w:tcPr>
                <w:p w14:paraId="4C0C113D">
                  <w:pPr>
                    <w:pStyle w:val="286"/>
                    <w:framePr w:hSpace="0" w:wrap="auto" w:vAnchor="margin" w:hAnchor="text" w:xAlign="left" w:yAlign="inline"/>
                    <w:rPr>
                      <w:color w:val="auto"/>
                    </w:rPr>
                  </w:pPr>
                  <w:r>
                    <w:rPr>
                      <w:color w:val="auto"/>
                    </w:rPr>
                    <w:t>固废</w:t>
                  </w:r>
                </w:p>
                <w:p w14:paraId="05FE1DBE">
                  <w:pPr>
                    <w:pStyle w:val="286"/>
                    <w:framePr w:hSpace="0" w:wrap="auto" w:vAnchor="margin" w:hAnchor="text" w:xAlign="left" w:yAlign="inline"/>
                    <w:rPr>
                      <w:color w:val="auto"/>
                    </w:rPr>
                  </w:pPr>
                  <w:r>
                    <w:rPr>
                      <w:color w:val="auto"/>
                    </w:rPr>
                    <w:t>治理</w:t>
                  </w:r>
                </w:p>
              </w:tc>
              <w:tc>
                <w:tcPr>
                  <w:tcW w:w="3308" w:type="pct"/>
                  <w:vAlign w:val="center"/>
                </w:tcPr>
                <w:p w14:paraId="00C7A791">
                  <w:pPr>
                    <w:pStyle w:val="286"/>
                    <w:framePr w:hSpace="0" w:wrap="auto" w:vAnchor="margin" w:hAnchor="text" w:xAlign="left" w:yAlign="inline"/>
                    <w:rPr>
                      <w:rFonts w:hint="eastAsia"/>
                      <w:color w:val="auto"/>
                      <w:lang w:eastAsia="zh-CN"/>
                    </w:rPr>
                  </w:pPr>
                  <w:r>
                    <w:rPr>
                      <w:rFonts w:hint="eastAsia"/>
                      <w:color w:val="auto"/>
                      <w:lang w:val="en-US" w:eastAsia="zh-CN"/>
                    </w:rPr>
                    <w:t>废包装袋收集后外售物资回收单位；边角料、不合格产品、车间布袋收集粉尘收集后外售作为饲料生产；沉淀池沉渣由环卫部门定期清掏，废培养基收集后统一交由环卫部门清理；生活垃圾由环卫部门统一清运。</w:t>
                  </w:r>
                </w:p>
              </w:tc>
              <w:tc>
                <w:tcPr>
                  <w:tcW w:w="575" w:type="pct"/>
                  <w:vAlign w:val="center"/>
                </w:tcPr>
                <w:p w14:paraId="10787C1F">
                  <w:pPr>
                    <w:pStyle w:val="286"/>
                    <w:framePr w:hSpace="0" w:wrap="auto" w:vAnchor="margin" w:hAnchor="text" w:xAlign="left" w:yAlign="inline"/>
                    <w:rPr>
                      <w:color w:val="auto"/>
                    </w:rPr>
                  </w:pPr>
                  <w:r>
                    <w:rPr>
                      <w:rFonts w:hint="eastAsia"/>
                      <w:color w:val="auto"/>
                      <w:lang w:eastAsia="zh-CN"/>
                    </w:rPr>
                    <w:t>新建</w:t>
                  </w:r>
                </w:p>
              </w:tc>
            </w:tr>
          </w:tbl>
          <w:p w14:paraId="06083209">
            <w:pPr>
              <w:pStyle w:val="180"/>
              <w:wordWrap/>
              <w:ind w:firstLine="482"/>
              <w:rPr>
                <w:b/>
                <w:color w:val="auto"/>
              </w:rPr>
            </w:pPr>
            <w:r>
              <w:rPr>
                <w:b/>
                <w:color w:val="auto"/>
              </w:rPr>
              <w:t xml:space="preserve">2.2.4 </w:t>
            </w:r>
            <w:r>
              <w:rPr>
                <w:rFonts w:hint="eastAsia"/>
                <w:b/>
                <w:color w:val="auto"/>
              </w:rPr>
              <w:t>产品方案</w:t>
            </w:r>
          </w:p>
          <w:p w14:paraId="16698D49">
            <w:pPr>
              <w:pStyle w:val="180"/>
              <w:wordWrap/>
              <w:ind w:firstLine="480"/>
              <w:rPr>
                <w:rFonts w:hint="eastAsia" w:eastAsia="宋体"/>
                <w:color w:val="auto"/>
                <w:lang w:val="en-US" w:eastAsia="zh-CN"/>
              </w:rPr>
            </w:pPr>
            <w:r>
              <w:rPr>
                <w:rFonts w:hint="eastAsia"/>
                <w:color w:val="auto"/>
                <w:lang w:val="en-US" w:eastAsia="zh-CN"/>
              </w:rPr>
              <w:t>1、产品方案</w:t>
            </w:r>
          </w:p>
          <w:p w14:paraId="037423F1">
            <w:pPr>
              <w:pStyle w:val="180"/>
              <w:wordWrap/>
              <w:ind w:firstLine="480"/>
              <w:rPr>
                <w:color w:val="auto"/>
              </w:rPr>
            </w:pPr>
            <w:r>
              <w:rPr>
                <w:rFonts w:hint="eastAsia"/>
                <w:color w:val="auto"/>
              </w:rPr>
              <w:t>本项目</w:t>
            </w:r>
            <w:r>
              <w:rPr>
                <w:rFonts w:hint="eastAsia"/>
                <w:color w:val="auto"/>
                <w:lang w:eastAsia="zh-CN"/>
              </w:rPr>
              <w:t>根据市场需求加工生湿米面制品，</w:t>
            </w:r>
            <w:r>
              <w:rPr>
                <w:color w:val="auto"/>
              </w:rPr>
              <w:t>产品方案及生产规模见</w:t>
            </w:r>
            <w:r>
              <w:rPr>
                <w:rFonts w:hint="eastAsia"/>
                <w:color w:val="auto"/>
                <w:lang w:eastAsia="zh-CN"/>
              </w:rPr>
              <w:t>下表</w:t>
            </w:r>
            <w:r>
              <w:rPr>
                <w:color w:val="auto"/>
              </w:rPr>
              <w:t>。</w:t>
            </w:r>
          </w:p>
          <w:p w14:paraId="7D4595EF">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2</w:t>
            </w:r>
            <w:r>
              <w:rPr>
                <w:rFonts w:hint="eastAsia"/>
                <w:lang w:eastAsia="zh-CN"/>
              </w:rPr>
              <w:t>-</w:t>
            </w:r>
            <w:r>
              <w:fldChar w:fldCharType="begin"/>
            </w:r>
            <w:r>
              <w:instrText xml:space="preserve"> SEQ 表 \* ARABIC \s 1 </w:instrText>
            </w:r>
            <w:r>
              <w:fldChar w:fldCharType="separate"/>
            </w:r>
            <w:r>
              <w:t>3</w:t>
            </w:r>
            <w:r>
              <w:fldChar w:fldCharType="end"/>
            </w:r>
            <w:r>
              <w:rPr>
                <w:color w:val="auto"/>
              </w:rPr>
              <w:t xml:space="preserve"> 项目产品方案及生产规模</w:t>
            </w:r>
          </w:p>
          <w:tbl>
            <w:tblPr>
              <w:tblStyle w:val="58"/>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2933"/>
              <w:gridCol w:w="1342"/>
              <w:gridCol w:w="1307"/>
              <w:gridCol w:w="2414"/>
            </w:tblGrid>
            <w:tr w14:paraId="65B11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Align w:val="center"/>
                </w:tcPr>
                <w:p w14:paraId="26594BFC">
                  <w:pPr>
                    <w:pStyle w:val="286"/>
                    <w:framePr w:hSpace="0" w:wrap="auto" w:vAnchor="margin" w:hAnchor="text" w:xAlign="left" w:yAlign="inline"/>
                    <w:bidi w:val="0"/>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序号</w:t>
                  </w:r>
                </w:p>
              </w:tc>
              <w:tc>
                <w:tcPr>
                  <w:tcW w:w="1685" w:type="pct"/>
                  <w:vAlign w:val="center"/>
                </w:tcPr>
                <w:p w14:paraId="35FE3C37">
                  <w:pPr>
                    <w:pStyle w:val="286"/>
                    <w:framePr w:hSpace="0" w:wrap="auto" w:vAnchor="margin" w:hAnchor="text" w:xAlign="left" w:yAlign="inline"/>
                    <w:bidi w:val="0"/>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产品名称</w:t>
                  </w:r>
                </w:p>
              </w:tc>
              <w:tc>
                <w:tcPr>
                  <w:tcW w:w="771" w:type="pct"/>
                  <w:vAlign w:val="center"/>
                </w:tcPr>
                <w:p w14:paraId="611ADCB4">
                  <w:pPr>
                    <w:pStyle w:val="286"/>
                    <w:framePr w:hSpace="0" w:wrap="auto" w:vAnchor="margin" w:hAnchor="text" w:xAlign="left" w:yAlign="inline"/>
                    <w:bidi w:val="0"/>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产能</w:t>
                  </w:r>
                </w:p>
              </w:tc>
              <w:tc>
                <w:tcPr>
                  <w:tcW w:w="751" w:type="pct"/>
                  <w:vAlign w:val="center"/>
                </w:tcPr>
                <w:p w14:paraId="06A5004A">
                  <w:pPr>
                    <w:pStyle w:val="286"/>
                    <w:framePr w:hSpace="0" w:wrap="auto" w:vAnchor="margin" w:hAnchor="text" w:xAlign="left" w:yAlign="inline"/>
                    <w:bidi w:val="0"/>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单位</w:t>
                  </w:r>
                </w:p>
              </w:tc>
              <w:tc>
                <w:tcPr>
                  <w:tcW w:w="1387" w:type="pct"/>
                  <w:vAlign w:val="center"/>
                </w:tcPr>
                <w:p w14:paraId="07B236A7">
                  <w:pPr>
                    <w:pStyle w:val="286"/>
                    <w:framePr w:hSpace="0" w:wrap="auto" w:vAnchor="margin" w:hAnchor="text" w:xAlign="left" w:yAlign="inline"/>
                    <w:bidi w:val="0"/>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规格</w:t>
                  </w:r>
                </w:p>
              </w:tc>
            </w:tr>
            <w:tr w14:paraId="21FC88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Align w:val="center"/>
                </w:tcPr>
                <w:p w14:paraId="6EC8E841">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1</w:t>
                  </w:r>
                </w:p>
              </w:tc>
              <w:tc>
                <w:tcPr>
                  <w:tcW w:w="1685" w:type="pct"/>
                  <w:shd w:val="clear" w:color="auto" w:fill="auto"/>
                  <w:vAlign w:val="center"/>
                </w:tcPr>
                <w:p w14:paraId="6AD287E4">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eastAsia="zh-CN"/>
                    </w:rPr>
                    <w:t>炒面、热干面、拉条</w:t>
                  </w:r>
                </w:p>
              </w:tc>
              <w:tc>
                <w:tcPr>
                  <w:tcW w:w="771" w:type="pct"/>
                  <w:shd w:val="clear" w:color="auto" w:fill="auto"/>
                  <w:vAlign w:val="center"/>
                </w:tcPr>
                <w:p w14:paraId="7079CF40">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480</w:t>
                  </w:r>
                </w:p>
              </w:tc>
              <w:tc>
                <w:tcPr>
                  <w:tcW w:w="751" w:type="pct"/>
                  <w:vAlign w:val="center"/>
                </w:tcPr>
                <w:p w14:paraId="7BF17CFC">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t/a</w:t>
                  </w:r>
                </w:p>
              </w:tc>
              <w:tc>
                <w:tcPr>
                  <w:tcW w:w="1387" w:type="pct"/>
                  <w:vAlign w:val="center"/>
                </w:tcPr>
                <w:p w14:paraId="3A581A8B">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5斤/袋、10斤/袋</w:t>
                  </w:r>
                </w:p>
              </w:tc>
            </w:tr>
            <w:tr w14:paraId="25431F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Align w:val="center"/>
                </w:tcPr>
                <w:p w14:paraId="4FD4DB11">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w:t>
                  </w:r>
                </w:p>
              </w:tc>
              <w:tc>
                <w:tcPr>
                  <w:tcW w:w="1685" w:type="pct"/>
                  <w:shd w:val="clear" w:color="auto" w:fill="auto"/>
                  <w:vAlign w:val="center"/>
                </w:tcPr>
                <w:p w14:paraId="77D9CB43">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eastAsia="zh-CN"/>
                    </w:rPr>
                    <w:t>凉皮、面皮、河粉、米皮</w:t>
                  </w:r>
                </w:p>
              </w:tc>
              <w:tc>
                <w:tcPr>
                  <w:tcW w:w="771" w:type="pct"/>
                  <w:shd w:val="clear" w:color="auto" w:fill="auto"/>
                  <w:vAlign w:val="center"/>
                </w:tcPr>
                <w:p w14:paraId="5F941EA1">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530</w:t>
                  </w:r>
                </w:p>
              </w:tc>
              <w:tc>
                <w:tcPr>
                  <w:tcW w:w="751" w:type="pct"/>
                  <w:vAlign w:val="center"/>
                </w:tcPr>
                <w:p w14:paraId="0A477E47">
                  <w:pPr>
                    <w:pStyle w:val="286"/>
                    <w:framePr w:hSpace="0" w:wrap="auto" w:vAnchor="margin" w:hAnchor="text" w:xAlign="left" w:yAlign="inline"/>
                    <w:bidi w:val="0"/>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t/a</w:t>
                  </w:r>
                </w:p>
              </w:tc>
              <w:tc>
                <w:tcPr>
                  <w:tcW w:w="1387" w:type="pct"/>
                  <w:vAlign w:val="center"/>
                </w:tcPr>
                <w:p w14:paraId="226CE6CC">
                  <w:pPr>
                    <w:pStyle w:val="286"/>
                    <w:framePr w:hSpace="0" w:wrap="auto" w:vAnchor="margin" w:hAnchor="text" w:xAlign="left" w:yAlign="inline"/>
                    <w:bidi w:val="0"/>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5斤/袋、10斤/袋</w:t>
                  </w:r>
                </w:p>
              </w:tc>
            </w:tr>
            <w:tr w14:paraId="619876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Align w:val="center"/>
                </w:tcPr>
                <w:p w14:paraId="4A2C66BC">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w:t>
                  </w:r>
                </w:p>
              </w:tc>
              <w:tc>
                <w:tcPr>
                  <w:tcW w:w="1685" w:type="pct"/>
                  <w:shd w:val="clear" w:color="auto" w:fill="auto"/>
                  <w:vAlign w:val="center"/>
                </w:tcPr>
                <w:p w14:paraId="5CC88A31">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eastAsia="zh-CN"/>
                    </w:rPr>
                    <w:t>年糕</w:t>
                  </w:r>
                </w:p>
              </w:tc>
              <w:tc>
                <w:tcPr>
                  <w:tcW w:w="771" w:type="pct"/>
                  <w:shd w:val="clear" w:color="auto" w:fill="auto"/>
                  <w:vAlign w:val="center"/>
                </w:tcPr>
                <w:p w14:paraId="50A69247">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440</w:t>
                  </w:r>
                </w:p>
              </w:tc>
              <w:tc>
                <w:tcPr>
                  <w:tcW w:w="751" w:type="pct"/>
                  <w:vAlign w:val="center"/>
                </w:tcPr>
                <w:p w14:paraId="0C18D415">
                  <w:pPr>
                    <w:pStyle w:val="286"/>
                    <w:framePr w:hSpace="0" w:wrap="auto" w:vAnchor="margin" w:hAnchor="text" w:xAlign="left" w:yAlign="inline"/>
                    <w:bidi w:val="0"/>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t/a</w:t>
                  </w:r>
                </w:p>
              </w:tc>
              <w:tc>
                <w:tcPr>
                  <w:tcW w:w="1387" w:type="pct"/>
                  <w:vAlign w:val="center"/>
                </w:tcPr>
                <w:p w14:paraId="1464EC4F">
                  <w:pPr>
                    <w:pStyle w:val="286"/>
                    <w:framePr w:hSpace="0" w:wrap="auto" w:vAnchor="margin" w:hAnchor="text" w:xAlign="left" w:yAlign="inline"/>
                    <w:bidi w:val="0"/>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5斤/袋、10斤/袋</w:t>
                  </w:r>
                </w:p>
              </w:tc>
            </w:tr>
            <w:tr w14:paraId="3BFB18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Align w:val="center"/>
                </w:tcPr>
                <w:p w14:paraId="68DC6C18">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4</w:t>
                  </w:r>
                </w:p>
              </w:tc>
              <w:tc>
                <w:tcPr>
                  <w:tcW w:w="1685" w:type="pct"/>
                  <w:shd w:val="clear" w:color="auto" w:fill="auto"/>
                  <w:vAlign w:val="center"/>
                </w:tcPr>
                <w:p w14:paraId="46091B79">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eastAsia="zh-CN"/>
                    </w:rPr>
                    <w:t>鲜面条、饺子皮</w:t>
                  </w:r>
                </w:p>
              </w:tc>
              <w:tc>
                <w:tcPr>
                  <w:tcW w:w="771" w:type="pct"/>
                  <w:shd w:val="clear" w:color="auto" w:fill="auto"/>
                  <w:vAlign w:val="center"/>
                </w:tcPr>
                <w:p w14:paraId="106150B7">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200</w:t>
                  </w:r>
                </w:p>
              </w:tc>
              <w:tc>
                <w:tcPr>
                  <w:tcW w:w="751" w:type="pct"/>
                  <w:vAlign w:val="center"/>
                </w:tcPr>
                <w:p w14:paraId="145F2757">
                  <w:pPr>
                    <w:pStyle w:val="286"/>
                    <w:framePr w:hSpace="0" w:wrap="auto" w:vAnchor="margin" w:hAnchor="text" w:xAlign="left" w:yAlign="inline"/>
                    <w:bidi w:val="0"/>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t/a</w:t>
                  </w:r>
                </w:p>
              </w:tc>
              <w:tc>
                <w:tcPr>
                  <w:tcW w:w="1387" w:type="pct"/>
                  <w:vAlign w:val="center"/>
                </w:tcPr>
                <w:p w14:paraId="1F6C16DD">
                  <w:pPr>
                    <w:pStyle w:val="286"/>
                    <w:framePr w:hSpace="0" w:wrap="auto" w:vAnchor="margin" w:hAnchor="text" w:xAlign="left" w:yAlign="inline"/>
                    <w:bidi w:val="0"/>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5斤/袋、10斤/袋</w:t>
                  </w:r>
                </w:p>
              </w:tc>
            </w:tr>
            <w:tr w14:paraId="0C02F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Align w:val="center"/>
                </w:tcPr>
                <w:p w14:paraId="406AF4F2">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w:t>
                  </w:r>
                </w:p>
              </w:tc>
              <w:tc>
                <w:tcPr>
                  <w:tcW w:w="1685" w:type="pct"/>
                  <w:shd w:val="clear" w:color="auto" w:fill="auto"/>
                  <w:vAlign w:val="center"/>
                </w:tcPr>
                <w:p w14:paraId="2218F57D">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eastAsia="zh-CN"/>
                    </w:rPr>
                    <w:t>饼丝</w:t>
                  </w:r>
                </w:p>
              </w:tc>
              <w:tc>
                <w:tcPr>
                  <w:tcW w:w="771" w:type="pct"/>
                  <w:shd w:val="clear" w:color="auto" w:fill="auto"/>
                  <w:vAlign w:val="center"/>
                </w:tcPr>
                <w:p w14:paraId="1F13B27A">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50</w:t>
                  </w:r>
                </w:p>
              </w:tc>
              <w:tc>
                <w:tcPr>
                  <w:tcW w:w="751" w:type="pct"/>
                  <w:vAlign w:val="center"/>
                </w:tcPr>
                <w:p w14:paraId="760C72E1">
                  <w:pPr>
                    <w:pStyle w:val="286"/>
                    <w:framePr w:hSpace="0" w:wrap="auto" w:vAnchor="margin" w:hAnchor="text" w:xAlign="left" w:yAlign="inline"/>
                    <w:bidi w:val="0"/>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t/a</w:t>
                  </w:r>
                </w:p>
              </w:tc>
              <w:tc>
                <w:tcPr>
                  <w:tcW w:w="1387" w:type="pct"/>
                  <w:vAlign w:val="center"/>
                </w:tcPr>
                <w:p w14:paraId="7C9E898E">
                  <w:pPr>
                    <w:pStyle w:val="286"/>
                    <w:framePr w:hSpace="0" w:wrap="auto" w:vAnchor="margin" w:hAnchor="text" w:xAlign="left" w:yAlign="inline"/>
                    <w:bidi w:val="0"/>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5斤/袋、10斤/袋</w:t>
                  </w:r>
                </w:p>
              </w:tc>
            </w:tr>
            <w:tr w14:paraId="1853E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Align w:val="center"/>
                </w:tcPr>
                <w:p w14:paraId="0533A387">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6</w:t>
                  </w:r>
                </w:p>
              </w:tc>
              <w:tc>
                <w:tcPr>
                  <w:tcW w:w="1685" w:type="pct"/>
                  <w:shd w:val="clear" w:color="auto" w:fill="auto"/>
                  <w:vAlign w:val="center"/>
                </w:tcPr>
                <w:p w14:paraId="7470006B">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eastAsia="zh-CN"/>
                    </w:rPr>
                    <w:t>扯面</w:t>
                  </w:r>
                </w:p>
              </w:tc>
              <w:tc>
                <w:tcPr>
                  <w:tcW w:w="771" w:type="pct"/>
                  <w:shd w:val="clear" w:color="auto" w:fill="auto"/>
                  <w:vAlign w:val="center"/>
                </w:tcPr>
                <w:p w14:paraId="5AEE52B4">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30</w:t>
                  </w:r>
                </w:p>
              </w:tc>
              <w:tc>
                <w:tcPr>
                  <w:tcW w:w="751" w:type="pct"/>
                  <w:vAlign w:val="center"/>
                </w:tcPr>
                <w:p w14:paraId="6FF6CAF2">
                  <w:pPr>
                    <w:pStyle w:val="286"/>
                    <w:framePr w:hSpace="0" w:wrap="auto" w:vAnchor="margin" w:hAnchor="text" w:xAlign="left" w:yAlign="inline"/>
                    <w:bidi w:val="0"/>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t/a</w:t>
                  </w:r>
                </w:p>
              </w:tc>
              <w:tc>
                <w:tcPr>
                  <w:tcW w:w="1387" w:type="pct"/>
                  <w:vAlign w:val="center"/>
                </w:tcPr>
                <w:p w14:paraId="0871529E">
                  <w:pPr>
                    <w:pStyle w:val="286"/>
                    <w:framePr w:hSpace="0" w:wrap="auto" w:vAnchor="margin" w:hAnchor="text" w:xAlign="left" w:yAlign="inline"/>
                    <w:bidi w:val="0"/>
                    <w:rPr>
                      <w:rFonts w:hint="default" w:ascii="Times New Roman" w:hAnsi="Times New Roman" w:eastAsia="宋体" w:cs="Times New Roman"/>
                      <w:sz w:val="18"/>
                      <w:szCs w:val="18"/>
                      <w:lang w:val="en-US"/>
                    </w:rPr>
                  </w:pPr>
                  <w:r>
                    <w:rPr>
                      <w:rFonts w:hint="default" w:ascii="Times New Roman" w:hAnsi="Times New Roman" w:eastAsia="宋体" w:cs="Times New Roman"/>
                      <w:sz w:val="18"/>
                      <w:szCs w:val="18"/>
                      <w:lang w:val="en-US" w:eastAsia="zh-CN"/>
                    </w:rPr>
                    <w:t>300g/盒</w:t>
                  </w:r>
                </w:p>
              </w:tc>
            </w:tr>
            <w:tr w14:paraId="568F01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03" w:type="pct"/>
                  <w:vAlign w:val="center"/>
                </w:tcPr>
                <w:p w14:paraId="309C500C">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7</w:t>
                  </w:r>
                </w:p>
              </w:tc>
              <w:tc>
                <w:tcPr>
                  <w:tcW w:w="1685" w:type="pct"/>
                  <w:shd w:val="clear" w:color="auto" w:fill="auto"/>
                  <w:vAlign w:val="center"/>
                </w:tcPr>
                <w:p w14:paraId="0E84A021">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eastAsia="zh-CN"/>
                    </w:rPr>
                    <w:t>豆饼</w:t>
                  </w:r>
                </w:p>
              </w:tc>
              <w:tc>
                <w:tcPr>
                  <w:tcW w:w="771" w:type="pct"/>
                  <w:shd w:val="clear" w:color="auto" w:fill="auto"/>
                  <w:vAlign w:val="center"/>
                </w:tcPr>
                <w:p w14:paraId="3AF29D58">
                  <w:pPr>
                    <w:pStyle w:val="286"/>
                    <w:framePr w:hSpace="0" w:wrap="auto" w:vAnchor="margin" w:hAnchor="text" w:xAlign="left" w:yAlign="inline"/>
                    <w:bidi w:val="0"/>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50</w:t>
                  </w:r>
                </w:p>
              </w:tc>
              <w:tc>
                <w:tcPr>
                  <w:tcW w:w="751" w:type="pct"/>
                  <w:vAlign w:val="center"/>
                </w:tcPr>
                <w:p w14:paraId="73F5046F">
                  <w:pPr>
                    <w:pStyle w:val="286"/>
                    <w:framePr w:hSpace="0" w:wrap="auto" w:vAnchor="margin" w:hAnchor="text" w:xAlign="left" w:yAlign="inline"/>
                    <w:bidi w:val="0"/>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t/a</w:t>
                  </w:r>
                </w:p>
              </w:tc>
              <w:tc>
                <w:tcPr>
                  <w:tcW w:w="1387" w:type="pct"/>
                  <w:vAlign w:val="center"/>
                </w:tcPr>
                <w:p w14:paraId="0531CC93">
                  <w:pPr>
                    <w:pStyle w:val="286"/>
                    <w:framePr w:hSpace="0" w:wrap="auto" w:vAnchor="margin" w:hAnchor="text" w:xAlign="left" w:yAlign="inline"/>
                    <w:bidi w:val="0"/>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val="en-US" w:eastAsia="zh-CN"/>
                    </w:rPr>
                    <w:t>5斤/袋、10斤/袋</w:t>
                  </w:r>
                </w:p>
              </w:tc>
            </w:tr>
          </w:tbl>
          <w:p w14:paraId="70AD2E76">
            <w:pPr>
              <w:pStyle w:val="180"/>
              <w:wordWrap/>
              <w:ind w:firstLine="480"/>
              <w:rPr>
                <w:rFonts w:hint="eastAsia"/>
                <w:color w:val="auto"/>
                <w:lang w:val="en-US" w:eastAsia="zh-CN"/>
              </w:rPr>
            </w:pPr>
            <w:r>
              <w:rPr>
                <w:rFonts w:hint="eastAsia"/>
                <w:color w:val="auto"/>
                <w:lang w:val="en-US" w:eastAsia="zh-CN"/>
              </w:rPr>
              <w:t>2、产品质量标准</w:t>
            </w:r>
          </w:p>
          <w:p w14:paraId="5D22FD24">
            <w:pPr>
              <w:pStyle w:val="180"/>
              <w:wordWrap/>
              <w:ind w:firstLine="480"/>
              <w:rPr>
                <w:rFonts w:hint="default" w:ascii="Times New Roman" w:hAnsi="Times New Roman" w:eastAsia="宋体" w:cs="Times New Roman"/>
                <w:lang w:val="en-US"/>
              </w:rPr>
            </w:pPr>
            <w:r>
              <w:rPr>
                <w:rFonts w:hint="default" w:ascii="Times New Roman" w:hAnsi="Times New Roman" w:eastAsia="宋体" w:cs="Times New Roman"/>
                <w:color w:val="auto"/>
                <w:lang w:val="en-US" w:eastAsia="zh-CN"/>
              </w:rPr>
              <w:t>《生湿面制品》（QB/T 5472-2020）</w:t>
            </w:r>
            <w:r>
              <w:rPr>
                <w:rFonts w:hint="default" w:ascii="Times New Roman" w:hAnsi="Times New Roman" w:eastAsia="宋体" w:cs="Times New Roman"/>
                <w:color w:val="000000"/>
                <w:kern w:val="0"/>
                <w:sz w:val="24"/>
                <w:szCs w:val="24"/>
                <w:lang w:val="en-US" w:eastAsia="zh-CN" w:bidi="ar"/>
              </w:rPr>
              <w:t>。</w:t>
            </w:r>
          </w:p>
          <w:p w14:paraId="17596A6D">
            <w:pPr>
              <w:pStyle w:val="179"/>
              <w:framePr w:hSpace="0" w:wrap="auto" w:vAnchor="margin" w:hAnchor="text" w:xAlign="left" w:yAlign="inline"/>
              <w:ind w:firstLine="482"/>
              <w:rPr>
                <w:color w:val="auto"/>
              </w:rPr>
            </w:pPr>
            <w:r>
              <w:rPr>
                <w:rFonts w:hint="eastAsia"/>
                <w:color w:val="auto"/>
              </w:rPr>
              <w:t>2</w:t>
            </w:r>
            <w:r>
              <w:rPr>
                <w:color w:val="auto"/>
              </w:rPr>
              <w:t>.2.5</w:t>
            </w:r>
            <w:r>
              <w:rPr>
                <w:rFonts w:hint="eastAsia"/>
                <w:color w:val="auto"/>
              </w:rPr>
              <w:t>项目原辅材料</w:t>
            </w:r>
          </w:p>
          <w:p w14:paraId="5C549654">
            <w:pPr>
              <w:pStyle w:val="180"/>
              <w:wordWrap/>
              <w:ind w:firstLine="480"/>
              <w:rPr>
                <w:color w:val="auto"/>
              </w:rPr>
            </w:pPr>
            <w:r>
              <w:rPr>
                <w:color w:val="auto"/>
              </w:rPr>
              <w:t>项目主要原辅材料种类及消耗量详见</w:t>
            </w:r>
            <w:r>
              <w:rPr>
                <w:rFonts w:hint="eastAsia"/>
                <w:color w:val="auto"/>
                <w:lang w:eastAsia="zh-CN"/>
              </w:rPr>
              <w:t>下表</w:t>
            </w:r>
            <w:r>
              <w:rPr>
                <w:rFonts w:hint="eastAsia"/>
                <w:color w:val="auto"/>
              </w:rPr>
              <w:t>。</w:t>
            </w:r>
          </w:p>
          <w:p w14:paraId="3250BA9C">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2</w:t>
            </w:r>
            <w:r>
              <w:rPr>
                <w:rFonts w:hint="eastAsia"/>
                <w:lang w:eastAsia="zh-CN"/>
              </w:rPr>
              <w:t>-</w:t>
            </w:r>
            <w:r>
              <w:fldChar w:fldCharType="begin"/>
            </w:r>
            <w:r>
              <w:instrText xml:space="preserve"> SEQ 表 \* ARABIC \s 1 </w:instrText>
            </w:r>
            <w:r>
              <w:fldChar w:fldCharType="separate"/>
            </w:r>
            <w:r>
              <w:t>4</w:t>
            </w:r>
            <w:r>
              <w:fldChar w:fldCharType="end"/>
            </w:r>
            <w:r>
              <w:rPr>
                <w:color w:val="auto"/>
              </w:rPr>
              <w:t xml:space="preserve"> 主要原辅材料消耗情况一览表</w:t>
            </w:r>
          </w:p>
          <w:tbl>
            <w:tblPr>
              <w:tblStyle w:val="5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65"/>
              <w:gridCol w:w="1585"/>
              <w:gridCol w:w="1586"/>
              <w:gridCol w:w="1586"/>
              <w:gridCol w:w="1586"/>
              <w:gridCol w:w="1589"/>
            </w:tblGrid>
            <w:tr w14:paraId="0F7F8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Align w:val="center"/>
                </w:tcPr>
                <w:p w14:paraId="199C4430">
                  <w:pPr>
                    <w:pStyle w:val="286"/>
                    <w:framePr w:hSpace="0" w:wrap="auto" w:vAnchor="margin" w:hAnchor="text" w:xAlign="left" w:yAlign="inline"/>
                    <w:bidi w:val="0"/>
                    <w:ind w:left="0" w:leftChars="0" w:right="0" w:rightChars="0" w:firstLine="0" w:firstLineChars="0"/>
                    <w:jc w:val="center"/>
                    <w:rPr>
                      <w:rFonts w:hint="eastAsia"/>
                      <w:b/>
                      <w:bCs/>
                      <w:lang w:eastAsia="zh-CN"/>
                    </w:rPr>
                  </w:pPr>
                  <w:r>
                    <w:rPr>
                      <w:rFonts w:hint="eastAsia"/>
                      <w:b/>
                      <w:bCs/>
                      <w:lang w:eastAsia="zh-CN"/>
                    </w:rPr>
                    <w:t>序号</w:t>
                  </w:r>
                </w:p>
              </w:tc>
              <w:tc>
                <w:tcPr>
                  <w:tcW w:w="911" w:type="pct"/>
                  <w:vAlign w:val="center"/>
                </w:tcPr>
                <w:p w14:paraId="62962D0A">
                  <w:pPr>
                    <w:pStyle w:val="286"/>
                    <w:framePr w:hSpace="0" w:wrap="auto" w:vAnchor="margin" w:hAnchor="text" w:xAlign="left" w:yAlign="inline"/>
                    <w:bidi w:val="0"/>
                    <w:ind w:left="0" w:leftChars="0" w:right="0" w:rightChars="0" w:firstLine="0" w:firstLineChars="0"/>
                    <w:jc w:val="center"/>
                    <w:rPr>
                      <w:rFonts w:hint="eastAsia"/>
                      <w:b/>
                      <w:bCs/>
                      <w:lang w:eastAsia="zh-CN"/>
                    </w:rPr>
                  </w:pPr>
                  <w:r>
                    <w:rPr>
                      <w:rFonts w:hint="eastAsia"/>
                      <w:b/>
                      <w:bCs/>
                      <w:lang w:eastAsia="zh-CN"/>
                    </w:rPr>
                    <w:t>名称</w:t>
                  </w:r>
                </w:p>
              </w:tc>
              <w:tc>
                <w:tcPr>
                  <w:tcW w:w="911" w:type="pct"/>
                  <w:vAlign w:val="center"/>
                </w:tcPr>
                <w:p w14:paraId="1BAAA38F">
                  <w:pPr>
                    <w:pStyle w:val="286"/>
                    <w:framePr w:hSpace="0" w:wrap="auto" w:vAnchor="margin" w:hAnchor="text" w:xAlign="left" w:yAlign="inline"/>
                    <w:bidi w:val="0"/>
                    <w:ind w:left="0" w:leftChars="0" w:right="0" w:rightChars="0" w:firstLine="0" w:firstLineChars="0"/>
                    <w:jc w:val="center"/>
                    <w:rPr>
                      <w:rFonts w:hint="eastAsia"/>
                      <w:b/>
                      <w:bCs/>
                      <w:lang w:eastAsia="zh-CN"/>
                    </w:rPr>
                  </w:pPr>
                  <w:r>
                    <w:rPr>
                      <w:rFonts w:hint="eastAsia"/>
                      <w:b/>
                      <w:bCs/>
                      <w:lang w:eastAsia="zh-CN"/>
                    </w:rPr>
                    <w:t>年用量</w:t>
                  </w:r>
                </w:p>
              </w:tc>
              <w:tc>
                <w:tcPr>
                  <w:tcW w:w="911" w:type="pct"/>
                  <w:vAlign w:val="center"/>
                </w:tcPr>
                <w:p w14:paraId="4A4ADFD6">
                  <w:pPr>
                    <w:pStyle w:val="286"/>
                    <w:framePr w:hSpace="0" w:wrap="auto" w:vAnchor="margin" w:hAnchor="text" w:xAlign="left" w:yAlign="inline"/>
                    <w:bidi w:val="0"/>
                    <w:ind w:left="0" w:leftChars="0" w:right="0" w:rightChars="0" w:firstLine="0" w:firstLineChars="0"/>
                    <w:jc w:val="center"/>
                    <w:rPr>
                      <w:rFonts w:hint="eastAsia"/>
                      <w:b/>
                      <w:bCs/>
                      <w:lang w:eastAsia="zh-CN"/>
                    </w:rPr>
                  </w:pPr>
                  <w:r>
                    <w:rPr>
                      <w:rFonts w:hint="eastAsia"/>
                      <w:b/>
                      <w:bCs/>
                      <w:lang w:eastAsia="zh-CN"/>
                    </w:rPr>
                    <w:t>单位</w:t>
                  </w:r>
                </w:p>
              </w:tc>
              <w:tc>
                <w:tcPr>
                  <w:tcW w:w="911" w:type="pct"/>
                  <w:vAlign w:val="center"/>
                </w:tcPr>
                <w:p w14:paraId="077E7E4C">
                  <w:pPr>
                    <w:pStyle w:val="286"/>
                    <w:framePr w:hSpace="0" w:wrap="auto" w:vAnchor="margin" w:hAnchor="text" w:xAlign="left" w:yAlign="inline"/>
                    <w:bidi w:val="0"/>
                    <w:ind w:left="0" w:leftChars="0" w:right="0" w:rightChars="0" w:firstLine="0" w:firstLineChars="0"/>
                    <w:jc w:val="center"/>
                    <w:rPr>
                      <w:rFonts w:hint="eastAsia"/>
                      <w:b/>
                      <w:bCs/>
                      <w:lang w:eastAsia="zh-CN"/>
                    </w:rPr>
                  </w:pPr>
                  <w:r>
                    <w:rPr>
                      <w:rFonts w:hint="eastAsia"/>
                      <w:b/>
                      <w:bCs/>
                      <w:lang w:eastAsia="zh-CN"/>
                    </w:rPr>
                    <w:t>规格</w:t>
                  </w:r>
                </w:p>
              </w:tc>
              <w:tc>
                <w:tcPr>
                  <w:tcW w:w="913" w:type="pct"/>
                  <w:vAlign w:val="center"/>
                </w:tcPr>
                <w:p w14:paraId="414ABF4A">
                  <w:pPr>
                    <w:pStyle w:val="286"/>
                    <w:framePr w:hSpace="0" w:wrap="auto" w:vAnchor="margin" w:hAnchor="text" w:xAlign="left" w:yAlign="inline"/>
                    <w:bidi w:val="0"/>
                    <w:ind w:left="0" w:leftChars="0" w:right="0" w:rightChars="0" w:firstLine="0" w:firstLineChars="0"/>
                    <w:jc w:val="center"/>
                    <w:rPr>
                      <w:rFonts w:hint="eastAsia"/>
                      <w:b/>
                      <w:bCs/>
                      <w:lang w:eastAsia="zh-CN"/>
                    </w:rPr>
                  </w:pPr>
                  <w:r>
                    <w:rPr>
                      <w:rFonts w:hint="eastAsia"/>
                      <w:b/>
                      <w:bCs/>
                      <w:lang w:eastAsia="zh-CN"/>
                    </w:rPr>
                    <w:t>来源</w:t>
                  </w:r>
                </w:p>
              </w:tc>
            </w:tr>
            <w:tr w14:paraId="2C790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Align w:val="center"/>
                </w:tcPr>
                <w:p w14:paraId="6B9D564F">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1</w:t>
                  </w:r>
                </w:p>
              </w:tc>
              <w:tc>
                <w:tcPr>
                  <w:tcW w:w="911" w:type="pct"/>
                  <w:vAlign w:val="center"/>
                </w:tcPr>
                <w:p w14:paraId="397D1864">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高筋面粉</w:t>
                  </w:r>
                </w:p>
              </w:tc>
              <w:tc>
                <w:tcPr>
                  <w:tcW w:w="911" w:type="pct"/>
                  <w:vAlign w:val="center"/>
                </w:tcPr>
                <w:p w14:paraId="45FA6F3A">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617</w:t>
                  </w:r>
                </w:p>
              </w:tc>
              <w:tc>
                <w:tcPr>
                  <w:tcW w:w="911" w:type="pct"/>
                  <w:vAlign w:val="center"/>
                </w:tcPr>
                <w:p w14:paraId="434FACEE">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t/a</w:t>
                  </w:r>
                </w:p>
              </w:tc>
              <w:tc>
                <w:tcPr>
                  <w:tcW w:w="911" w:type="pct"/>
                  <w:vAlign w:val="center"/>
                </w:tcPr>
                <w:p w14:paraId="52527572">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val="en-US" w:eastAsia="zh-CN"/>
                    </w:rPr>
                    <w:t>25kg/</w:t>
                  </w:r>
                  <w:r>
                    <w:rPr>
                      <w:rFonts w:hint="eastAsia"/>
                      <w:lang w:eastAsia="zh-CN"/>
                    </w:rPr>
                    <w:t>袋</w:t>
                  </w:r>
                </w:p>
              </w:tc>
              <w:tc>
                <w:tcPr>
                  <w:tcW w:w="913" w:type="pct"/>
                  <w:vAlign w:val="center"/>
                </w:tcPr>
                <w:p w14:paraId="7274718B">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外购</w:t>
                  </w:r>
                </w:p>
              </w:tc>
            </w:tr>
            <w:tr w14:paraId="21C40D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Align w:val="center"/>
                </w:tcPr>
                <w:p w14:paraId="4365E706">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2</w:t>
                  </w:r>
                </w:p>
              </w:tc>
              <w:tc>
                <w:tcPr>
                  <w:tcW w:w="911" w:type="pct"/>
                  <w:vAlign w:val="center"/>
                </w:tcPr>
                <w:p w14:paraId="6E113B39">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米粉</w:t>
                  </w:r>
                </w:p>
              </w:tc>
              <w:tc>
                <w:tcPr>
                  <w:tcW w:w="911" w:type="pct"/>
                  <w:vAlign w:val="center"/>
                </w:tcPr>
                <w:p w14:paraId="2081D4E6">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48</w:t>
                  </w:r>
                </w:p>
              </w:tc>
              <w:tc>
                <w:tcPr>
                  <w:tcW w:w="911" w:type="pct"/>
                  <w:vAlign w:val="center"/>
                </w:tcPr>
                <w:p w14:paraId="275D3F95">
                  <w:pPr>
                    <w:pStyle w:val="286"/>
                    <w:framePr w:hSpace="0" w:wrap="auto" w:vAnchor="margin" w:hAnchor="text" w:xAlign="left" w:yAlign="inline"/>
                    <w:bidi w:val="0"/>
                    <w:ind w:left="0" w:leftChars="0" w:right="0" w:rightChars="0" w:firstLine="0" w:firstLineChars="0"/>
                    <w:jc w:val="center"/>
                  </w:pPr>
                  <w:r>
                    <w:rPr>
                      <w:rFonts w:hint="eastAsia"/>
                      <w:lang w:val="en-US" w:eastAsia="zh-CN"/>
                    </w:rPr>
                    <w:t>t/a</w:t>
                  </w:r>
                </w:p>
              </w:tc>
              <w:tc>
                <w:tcPr>
                  <w:tcW w:w="911" w:type="pct"/>
                  <w:vAlign w:val="center"/>
                </w:tcPr>
                <w:p w14:paraId="2676DDE4">
                  <w:pPr>
                    <w:pStyle w:val="286"/>
                    <w:framePr w:hSpace="0" w:wrap="auto" w:vAnchor="margin" w:hAnchor="text" w:xAlign="left" w:yAlign="inline"/>
                    <w:bidi w:val="0"/>
                  </w:pPr>
                  <w:r>
                    <w:rPr>
                      <w:rFonts w:hint="eastAsia"/>
                      <w:lang w:val="en-US" w:eastAsia="zh-CN"/>
                    </w:rPr>
                    <w:t>25kg/</w:t>
                  </w:r>
                  <w:r>
                    <w:rPr>
                      <w:rFonts w:hint="eastAsia"/>
                      <w:lang w:eastAsia="zh-CN"/>
                    </w:rPr>
                    <w:t>袋</w:t>
                  </w:r>
                </w:p>
              </w:tc>
              <w:tc>
                <w:tcPr>
                  <w:tcW w:w="913" w:type="pct"/>
                  <w:vAlign w:val="center"/>
                </w:tcPr>
                <w:p w14:paraId="4C027B8B">
                  <w:pPr>
                    <w:pStyle w:val="286"/>
                    <w:framePr w:hSpace="0" w:wrap="auto" w:vAnchor="margin" w:hAnchor="text" w:xAlign="left" w:yAlign="inline"/>
                    <w:bidi w:val="0"/>
                  </w:pPr>
                  <w:r>
                    <w:rPr>
                      <w:rFonts w:hint="eastAsia"/>
                      <w:lang w:eastAsia="zh-CN"/>
                    </w:rPr>
                    <w:t>外购</w:t>
                  </w:r>
                </w:p>
              </w:tc>
            </w:tr>
            <w:tr w14:paraId="45E7B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Align w:val="center"/>
                </w:tcPr>
                <w:p w14:paraId="612077BC">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3</w:t>
                  </w:r>
                </w:p>
              </w:tc>
              <w:tc>
                <w:tcPr>
                  <w:tcW w:w="911" w:type="pct"/>
                  <w:vAlign w:val="center"/>
                </w:tcPr>
                <w:p w14:paraId="72CB8F8F">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大米</w:t>
                  </w:r>
                </w:p>
              </w:tc>
              <w:tc>
                <w:tcPr>
                  <w:tcW w:w="911" w:type="pct"/>
                  <w:vAlign w:val="center"/>
                </w:tcPr>
                <w:p w14:paraId="131352E4">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220</w:t>
                  </w:r>
                </w:p>
              </w:tc>
              <w:tc>
                <w:tcPr>
                  <w:tcW w:w="911" w:type="pct"/>
                  <w:vAlign w:val="center"/>
                </w:tcPr>
                <w:p w14:paraId="03A6F302">
                  <w:pPr>
                    <w:pStyle w:val="286"/>
                    <w:framePr w:hSpace="0" w:wrap="auto" w:vAnchor="margin" w:hAnchor="text" w:xAlign="left" w:yAlign="inline"/>
                    <w:bidi w:val="0"/>
                    <w:ind w:left="0" w:leftChars="0" w:right="0" w:rightChars="0" w:firstLine="0" w:firstLineChars="0"/>
                    <w:jc w:val="center"/>
                  </w:pPr>
                  <w:r>
                    <w:rPr>
                      <w:rFonts w:hint="eastAsia"/>
                      <w:lang w:val="en-US" w:eastAsia="zh-CN"/>
                    </w:rPr>
                    <w:t>t/a</w:t>
                  </w:r>
                </w:p>
              </w:tc>
              <w:tc>
                <w:tcPr>
                  <w:tcW w:w="911" w:type="pct"/>
                  <w:vAlign w:val="center"/>
                </w:tcPr>
                <w:p w14:paraId="4344B8B9">
                  <w:pPr>
                    <w:pStyle w:val="286"/>
                    <w:framePr w:hSpace="0" w:wrap="auto" w:vAnchor="margin" w:hAnchor="text" w:xAlign="left" w:yAlign="inline"/>
                    <w:bidi w:val="0"/>
                  </w:pPr>
                  <w:r>
                    <w:rPr>
                      <w:rFonts w:hint="eastAsia"/>
                      <w:lang w:val="en-US" w:eastAsia="zh-CN"/>
                    </w:rPr>
                    <w:t>25kg/</w:t>
                  </w:r>
                  <w:r>
                    <w:rPr>
                      <w:rFonts w:hint="eastAsia"/>
                      <w:lang w:eastAsia="zh-CN"/>
                    </w:rPr>
                    <w:t>袋</w:t>
                  </w:r>
                </w:p>
              </w:tc>
              <w:tc>
                <w:tcPr>
                  <w:tcW w:w="913" w:type="pct"/>
                  <w:vAlign w:val="center"/>
                </w:tcPr>
                <w:p w14:paraId="4B0F7620">
                  <w:pPr>
                    <w:pStyle w:val="286"/>
                    <w:framePr w:hSpace="0" w:wrap="auto" w:vAnchor="margin" w:hAnchor="text" w:xAlign="left" w:yAlign="inline"/>
                    <w:bidi w:val="0"/>
                  </w:pPr>
                  <w:r>
                    <w:rPr>
                      <w:rFonts w:hint="eastAsia"/>
                      <w:lang w:eastAsia="zh-CN"/>
                    </w:rPr>
                    <w:t>外购</w:t>
                  </w:r>
                </w:p>
              </w:tc>
            </w:tr>
            <w:tr w14:paraId="5CFFB7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Align w:val="center"/>
                </w:tcPr>
                <w:p w14:paraId="53FF8885">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4</w:t>
                  </w:r>
                </w:p>
              </w:tc>
              <w:tc>
                <w:tcPr>
                  <w:tcW w:w="911" w:type="pct"/>
                  <w:vAlign w:val="center"/>
                </w:tcPr>
                <w:p w14:paraId="55E943AA">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eastAsia="zh-CN"/>
                    </w:rPr>
                    <w:t>绿豆面</w:t>
                  </w:r>
                  <w:r>
                    <w:rPr>
                      <w:rFonts w:hint="eastAsia"/>
                      <w:lang w:val="en-US" w:eastAsia="zh-CN"/>
                    </w:rPr>
                    <w:t>/黄豆面</w:t>
                  </w:r>
                </w:p>
              </w:tc>
              <w:tc>
                <w:tcPr>
                  <w:tcW w:w="911" w:type="pct"/>
                  <w:vAlign w:val="center"/>
                </w:tcPr>
                <w:p w14:paraId="13356F61">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10</w:t>
                  </w:r>
                </w:p>
              </w:tc>
              <w:tc>
                <w:tcPr>
                  <w:tcW w:w="911" w:type="pct"/>
                  <w:vAlign w:val="center"/>
                </w:tcPr>
                <w:p w14:paraId="763CBFAC">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t/a</w:t>
                  </w:r>
                </w:p>
              </w:tc>
              <w:tc>
                <w:tcPr>
                  <w:tcW w:w="911" w:type="pct"/>
                  <w:vAlign w:val="center"/>
                </w:tcPr>
                <w:p w14:paraId="0DFBEC60">
                  <w:pPr>
                    <w:pStyle w:val="286"/>
                    <w:framePr w:hSpace="0" w:wrap="auto" w:vAnchor="margin" w:hAnchor="text" w:xAlign="left" w:yAlign="inline"/>
                    <w:bidi w:val="0"/>
                    <w:rPr>
                      <w:rFonts w:hint="eastAsia"/>
                      <w:lang w:eastAsia="zh-CN"/>
                    </w:rPr>
                  </w:pPr>
                  <w:r>
                    <w:rPr>
                      <w:rFonts w:hint="eastAsia"/>
                      <w:lang w:val="en-US" w:eastAsia="zh-CN"/>
                    </w:rPr>
                    <w:t>25kg/</w:t>
                  </w:r>
                  <w:r>
                    <w:rPr>
                      <w:rFonts w:hint="eastAsia"/>
                      <w:lang w:eastAsia="zh-CN"/>
                    </w:rPr>
                    <w:t>袋</w:t>
                  </w:r>
                </w:p>
              </w:tc>
              <w:tc>
                <w:tcPr>
                  <w:tcW w:w="913" w:type="pct"/>
                  <w:vAlign w:val="center"/>
                </w:tcPr>
                <w:p w14:paraId="45B73272">
                  <w:pPr>
                    <w:pStyle w:val="286"/>
                    <w:framePr w:hSpace="0" w:wrap="auto" w:vAnchor="margin" w:hAnchor="text" w:xAlign="left" w:yAlign="inline"/>
                    <w:bidi w:val="0"/>
                    <w:rPr>
                      <w:rFonts w:hint="eastAsia"/>
                      <w:lang w:eastAsia="zh-CN"/>
                    </w:rPr>
                  </w:pPr>
                  <w:r>
                    <w:rPr>
                      <w:rFonts w:hint="eastAsia"/>
                      <w:lang w:eastAsia="zh-CN"/>
                    </w:rPr>
                    <w:t>外购</w:t>
                  </w:r>
                </w:p>
              </w:tc>
            </w:tr>
            <w:tr w14:paraId="41EAF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Align w:val="center"/>
                </w:tcPr>
                <w:p w14:paraId="11EFAE42">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5</w:t>
                  </w:r>
                </w:p>
              </w:tc>
              <w:tc>
                <w:tcPr>
                  <w:tcW w:w="911" w:type="pct"/>
                  <w:vAlign w:val="center"/>
                </w:tcPr>
                <w:p w14:paraId="7BD98745">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淀粉</w:t>
                  </w:r>
                </w:p>
              </w:tc>
              <w:tc>
                <w:tcPr>
                  <w:tcW w:w="911" w:type="pct"/>
                  <w:vAlign w:val="center"/>
                </w:tcPr>
                <w:p w14:paraId="56B5B5A6">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5</w:t>
                  </w:r>
                </w:p>
              </w:tc>
              <w:tc>
                <w:tcPr>
                  <w:tcW w:w="911" w:type="pct"/>
                  <w:vAlign w:val="center"/>
                </w:tcPr>
                <w:p w14:paraId="7E823B15">
                  <w:pPr>
                    <w:pStyle w:val="286"/>
                    <w:framePr w:hSpace="0" w:wrap="auto" w:vAnchor="margin" w:hAnchor="text" w:xAlign="left" w:yAlign="inline"/>
                    <w:bidi w:val="0"/>
                    <w:ind w:left="0" w:leftChars="0" w:right="0" w:rightChars="0" w:firstLine="0" w:firstLineChars="0"/>
                    <w:jc w:val="center"/>
                  </w:pPr>
                  <w:r>
                    <w:rPr>
                      <w:rFonts w:hint="eastAsia"/>
                      <w:lang w:val="en-US" w:eastAsia="zh-CN"/>
                    </w:rPr>
                    <w:t>t/a</w:t>
                  </w:r>
                </w:p>
              </w:tc>
              <w:tc>
                <w:tcPr>
                  <w:tcW w:w="911" w:type="pct"/>
                  <w:vAlign w:val="center"/>
                </w:tcPr>
                <w:p w14:paraId="3C113F24">
                  <w:pPr>
                    <w:pStyle w:val="286"/>
                    <w:framePr w:hSpace="0" w:wrap="auto" w:vAnchor="margin" w:hAnchor="text" w:xAlign="left" w:yAlign="inline"/>
                    <w:bidi w:val="0"/>
                  </w:pPr>
                  <w:r>
                    <w:rPr>
                      <w:rFonts w:hint="eastAsia"/>
                      <w:lang w:val="en-US" w:eastAsia="zh-CN"/>
                    </w:rPr>
                    <w:t>25kg/</w:t>
                  </w:r>
                  <w:r>
                    <w:rPr>
                      <w:rFonts w:hint="eastAsia"/>
                      <w:lang w:eastAsia="zh-CN"/>
                    </w:rPr>
                    <w:t>袋</w:t>
                  </w:r>
                </w:p>
              </w:tc>
              <w:tc>
                <w:tcPr>
                  <w:tcW w:w="913" w:type="pct"/>
                  <w:vAlign w:val="center"/>
                </w:tcPr>
                <w:p w14:paraId="632E13F1">
                  <w:pPr>
                    <w:pStyle w:val="286"/>
                    <w:framePr w:hSpace="0" w:wrap="auto" w:vAnchor="margin" w:hAnchor="text" w:xAlign="left" w:yAlign="inline"/>
                    <w:bidi w:val="0"/>
                  </w:pPr>
                  <w:r>
                    <w:rPr>
                      <w:rFonts w:hint="eastAsia"/>
                      <w:lang w:eastAsia="zh-CN"/>
                    </w:rPr>
                    <w:t>外购</w:t>
                  </w:r>
                </w:p>
              </w:tc>
            </w:tr>
            <w:tr w14:paraId="38C4BE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Align w:val="center"/>
                </w:tcPr>
                <w:p w14:paraId="5729F3B4">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6</w:t>
                  </w:r>
                </w:p>
              </w:tc>
              <w:tc>
                <w:tcPr>
                  <w:tcW w:w="911" w:type="pct"/>
                  <w:vAlign w:val="center"/>
                </w:tcPr>
                <w:p w14:paraId="6E801E64">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盐</w:t>
                  </w:r>
                </w:p>
              </w:tc>
              <w:tc>
                <w:tcPr>
                  <w:tcW w:w="911" w:type="pct"/>
                  <w:vAlign w:val="center"/>
                </w:tcPr>
                <w:p w14:paraId="1857ED65">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7</w:t>
                  </w:r>
                </w:p>
              </w:tc>
              <w:tc>
                <w:tcPr>
                  <w:tcW w:w="911" w:type="pct"/>
                  <w:vAlign w:val="center"/>
                </w:tcPr>
                <w:p w14:paraId="24E5941C">
                  <w:pPr>
                    <w:pStyle w:val="286"/>
                    <w:framePr w:hSpace="0" w:wrap="auto" w:vAnchor="margin" w:hAnchor="text" w:xAlign="left" w:yAlign="inline"/>
                    <w:bidi w:val="0"/>
                    <w:ind w:left="0" w:leftChars="0" w:right="0" w:rightChars="0" w:firstLine="0" w:firstLineChars="0"/>
                    <w:jc w:val="center"/>
                  </w:pPr>
                  <w:r>
                    <w:rPr>
                      <w:rFonts w:hint="eastAsia"/>
                      <w:lang w:val="en-US" w:eastAsia="zh-CN"/>
                    </w:rPr>
                    <w:t>t/a</w:t>
                  </w:r>
                </w:p>
              </w:tc>
              <w:tc>
                <w:tcPr>
                  <w:tcW w:w="911" w:type="pct"/>
                  <w:vAlign w:val="center"/>
                </w:tcPr>
                <w:p w14:paraId="4E928A69">
                  <w:pPr>
                    <w:pStyle w:val="286"/>
                    <w:framePr w:hSpace="0" w:wrap="auto" w:vAnchor="margin" w:hAnchor="text" w:xAlign="left" w:yAlign="inline"/>
                    <w:bidi w:val="0"/>
                  </w:pPr>
                  <w:r>
                    <w:rPr>
                      <w:rFonts w:hint="eastAsia"/>
                      <w:lang w:val="en-US" w:eastAsia="zh-CN"/>
                    </w:rPr>
                    <w:t>25kg/</w:t>
                  </w:r>
                  <w:r>
                    <w:rPr>
                      <w:rFonts w:hint="eastAsia"/>
                      <w:lang w:eastAsia="zh-CN"/>
                    </w:rPr>
                    <w:t>袋</w:t>
                  </w:r>
                </w:p>
              </w:tc>
              <w:tc>
                <w:tcPr>
                  <w:tcW w:w="913" w:type="pct"/>
                  <w:vAlign w:val="center"/>
                </w:tcPr>
                <w:p w14:paraId="399476F9">
                  <w:pPr>
                    <w:pStyle w:val="286"/>
                    <w:framePr w:hSpace="0" w:wrap="auto" w:vAnchor="margin" w:hAnchor="text" w:xAlign="left" w:yAlign="inline"/>
                    <w:bidi w:val="0"/>
                  </w:pPr>
                  <w:r>
                    <w:rPr>
                      <w:rFonts w:hint="eastAsia"/>
                      <w:lang w:eastAsia="zh-CN"/>
                    </w:rPr>
                    <w:t>外购</w:t>
                  </w:r>
                </w:p>
              </w:tc>
            </w:tr>
            <w:tr w14:paraId="0B705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Align w:val="center"/>
                </w:tcPr>
                <w:p w14:paraId="11BE60FE">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7</w:t>
                  </w:r>
                </w:p>
              </w:tc>
              <w:tc>
                <w:tcPr>
                  <w:tcW w:w="911" w:type="pct"/>
                  <w:vAlign w:val="center"/>
                </w:tcPr>
                <w:p w14:paraId="51A160E2">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食用碱</w:t>
                  </w:r>
                </w:p>
              </w:tc>
              <w:tc>
                <w:tcPr>
                  <w:tcW w:w="911" w:type="pct"/>
                  <w:vAlign w:val="center"/>
                </w:tcPr>
                <w:p w14:paraId="0BCC89A3">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0.1</w:t>
                  </w:r>
                </w:p>
              </w:tc>
              <w:tc>
                <w:tcPr>
                  <w:tcW w:w="911" w:type="pct"/>
                  <w:vAlign w:val="center"/>
                </w:tcPr>
                <w:p w14:paraId="6F9C948C">
                  <w:pPr>
                    <w:pStyle w:val="286"/>
                    <w:framePr w:hSpace="0" w:wrap="auto" w:vAnchor="margin" w:hAnchor="text" w:xAlign="left" w:yAlign="inline"/>
                    <w:bidi w:val="0"/>
                    <w:ind w:left="0" w:leftChars="0" w:right="0" w:rightChars="0" w:firstLine="0" w:firstLineChars="0"/>
                    <w:jc w:val="center"/>
                  </w:pPr>
                  <w:r>
                    <w:rPr>
                      <w:rFonts w:hint="eastAsia"/>
                      <w:lang w:val="en-US" w:eastAsia="zh-CN"/>
                    </w:rPr>
                    <w:t>t/a</w:t>
                  </w:r>
                </w:p>
              </w:tc>
              <w:tc>
                <w:tcPr>
                  <w:tcW w:w="911" w:type="pct"/>
                  <w:vAlign w:val="center"/>
                </w:tcPr>
                <w:p w14:paraId="432C0B6B">
                  <w:pPr>
                    <w:pStyle w:val="286"/>
                    <w:framePr w:hSpace="0" w:wrap="auto" w:vAnchor="margin" w:hAnchor="text" w:xAlign="left" w:yAlign="inline"/>
                    <w:bidi w:val="0"/>
                  </w:pPr>
                  <w:r>
                    <w:rPr>
                      <w:rFonts w:hint="eastAsia"/>
                      <w:lang w:val="en-US" w:eastAsia="zh-CN"/>
                    </w:rPr>
                    <w:t>25kg/</w:t>
                  </w:r>
                  <w:r>
                    <w:rPr>
                      <w:rFonts w:hint="eastAsia"/>
                      <w:lang w:eastAsia="zh-CN"/>
                    </w:rPr>
                    <w:t>袋</w:t>
                  </w:r>
                </w:p>
              </w:tc>
              <w:tc>
                <w:tcPr>
                  <w:tcW w:w="913" w:type="pct"/>
                  <w:vAlign w:val="center"/>
                </w:tcPr>
                <w:p w14:paraId="4554B9E6">
                  <w:pPr>
                    <w:pStyle w:val="286"/>
                    <w:framePr w:hSpace="0" w:wrap="auto" w:vAnchor="margin" w:hAnchor="text" w:xAlign="left" w:yAlign="inline"/>
                    <w:bidi w:val="0"/>
                  </w:pPr>
                  <w:r>
                    <w:rPr>
                      <w:rFonts w:hint="eastAsia"/>
                      <w:lang w:eastAsia="zh-CN"/>
                    </w:rPr>
                    <w:t>外购</w:t>
                  </w:r>
                </w:p>
              </w:tc>
            </w:tr>
            <w:tr w14:paraId="76F99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40" w:type="pct"/>
                  <w:vAlign w:val="center"/>
                </w:tcPr>
                <w:p w14:paraId="1AB6E054">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8</w:t>
                  </w:r>
                </w:p>
              </w:tc>
              <w:tc>
                <w:tcPr>
                  <w:tcW w:w="911" w:type="pct"/>
                  <w:vAlign w:val="center"/>
                </w:tcPr>
                <w:p w14:paraId="0539C509">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食用油</w:t>
                  </w:r>
                </w:p>
              </w:tc>
              <w:tc>
                <w:tcPr>
                  <w:tcW w:w="911" w:type="pct"/>
                  <w:vAlign w:val="center"/>
                </w:tcPr>
                <w:p w14:paraId="0A358229">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5</w:t>
                  </w:r>
                </w:p>
              </w:tc>
              <w:tc>
                <w:tcPr>
                  <w:tcW w:w="911" w:type="pct"/>
                  <w:vAlign w:val="center"/>
                </w:tcPr>
                <w:p w14:paraId="08697155">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t/a</w:t>
                  </w:r>
                </w:p>
              </w:tc>
              <w:tc>
                <w:tcPr>
                  <w:tcW w:w="911" w:type="pct"/>
                  <w:vAlign w:val="center"/>
                </w:tcPr>
                <w:p w14:paraId="5778B4F6">
                  <w:pPr>
                    <w:pStyle w:val="286"/>
                    <w:framePr w:hSpace="0" w:wrap="auto" w:vAnchor="margin" w:hAnchor="text" w:xAlign="left" w:yAlign="inline"/>
                    <w:bidi w:val="0"/>
                    <w:rPr>
                      <w:rFonts w:hint="default"/>
                      <w:lang w:val="en-US" w:eastAsia="zh-CN"/>
                    </w:rPr>
                  </w:pPr>
                  <w:r>
                    <w:rPr>
                      <w:rFonts w:hint="eastAsia"/>
                      <w:lang w:val="en-US" w:eastAsia="zh-CN"/>
                    </w:rPr>
                    <w:t>200L/桶</w:t>
                  </w:r>
                </w:p>
              </w:tc>
              <w:tc>
                <w:tcPr>
                  <w:tcW w:w="913" w:type="pct"/>
                  <w:vAlign w:val="center"/>
                </w:tcPr>
                <w:p w14:paraId="74D0DC22">
                  <w:pPr>
                    <w:pStyle w:val="286"/>
                    <w:framePr w:hSpace="0" w:wrap="auto" w:vAnchor="margin" w:hAnchor="text" w:xAlign="left" w:yAlign="inline"/>
                    <w:bidi w:val="0"/>
                    <w:rPr>
                      <w:rFonts w:hint="eastAsia"/>
                      <w:lang w:eastAsia="zh-CN"/>
                    </w:rPr>
                  </w:pPr>
                  <w:r>
                    <w:rPr>
                      <w:rFonts w:hint="eastAsia"/>
                      <w:lang w:eastAsia="zh-CN"/>
                    </w:rPr>
                    <w:t>外购</w:t>
                  </w:r>
                </w:p>
              </w:tc>
            </w:tr>
          </w:tbl>
          <w:p w14:paraId="12A721E3">
            <w:pPr>
              <w:pStyle w:val="179"/>
              <w:framePr w:hSpace="0" w:wrap="auto" w:vAnchor="margin" w:hAnchor="text" w:xAlign="left" w:yAlign="inline"/>
              <w:ind w:firstLine="482"/>
              <w:rPr>
                <w:color w:val="auto"/>
              </w:rPr>
            </w:pPr>
            <w:r>
              <w:rPr>
                <w:color w:val="auto"/>
              </w:rPr>
              <w:t>2.2.7</w:t>
            </w:r>
            <w:r>
              <w:rPr>
                <w:rFonts w:hint="eastAsia"/>
                <w:color w:val="auto"/>
              </w:rPr>
              <w:t>主要生产设备</w:t>
            </w:r>
          </w:p>
          <w:p w14:paraId="30CBC37A">
            <w:pPr>
              <w:pStyle w:val="180"/>
              <w:wordWrap/>
              <w:ind w:firstLine="480"/>
              <w:rPr>
                <w:color w:val="auto"/>
              </w:rPr>
            </w:pPr>
            <w:r>
              <w:rPr>
                <w:color w:val="auto"/>
              </w:rPr>
              <w:t>主要生产设备详见下表。</w:t>
            </w:r>
          </w:p>
          <w:p w14:paraId="6920CD86">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表 </w:t>
            </w:r>
            <w:r>
              <w:rPr>
                <w:rFonts w:hint="eastAsia"/>
                <w:lang w:val="en-US" w:eastAsia="zh-CN"/>
              </w:rPr>
              <w:t>2</w:t>
            </w:r>
            <w:r>
              <w:rPr>
                <w:rFonts w:hint="eastAsia"/>
                <w:lang w:eastAsia="zh-CN"/>
              </w:rPr>
              <w:t>-</w:t>
            </w:r>
            <w:r>
              <w:fldChar w:fldCharType="begin"/>
            </w:r>
            <w:r>
              <w:instrText xml:space="preserve"> SEQ 表 \* ARABIC \s 1 </w:instrText>
            </w:r>
            <w:r>
              <w:fldChar w:fldCharType="separate"/>
            </w:r>
            <w:r>
              <w:t>5</w:t>
            </w:r>
            <w:r>
              <w:fldChar w:fldCharType="end"/>
            </w:r>
            <w:r>
              <w:rPr>
                <w:rFonts w:hint="eastAsia"/>
                <w:lang w:val="en-US" w:eastAsia="zh-CN"/>
              </w:rPr>
              <w:t xml:space="preserve"> </w:t>
            </w:r>
            <w:r>
              <w:rPr>
                <w:color w:val="auto"/>
              </w:rPr>
              <w:t>项目主要生产设备一览表</w:t>
            </w:r>
          </w:p>
          <w:tbl>
            <w:tblPr>
              <w:tblStyle w:val="5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5"/>
              <w:gridCol w:w="2472"/>
              <w:gridCol w:w="1741"/>
              <w:gridCol w:w="1741"/>
              <w:gridCol w:w="1741"/>
            </w:tblGrid>
            <w:tr w14:paraId="15F4CC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dxa"/>
                  <w:vAlign w:val="center"/>
                </w:tcPr>
                <w:p w14:paraId="4FF4E91A">
                  <w:pPr>
                    <w:pStyle w:val="286"/>
                    <w:framePr w:hSpace="0" w:wrap="auto" w:vAnchor="margin" w:hAnchor="text" w:xAlign="left" w:yAlign="inline"/>
                    <w:bidi w:val="0"/>
                    <w:ind w:left="0" w:leftChars="0" w:right="0" w:rightChars="0" w:firstLine="0" w:firstLineChars="0"/>
                    <w:jc w:val="center"/>
                    <w:rPr>
                      <w:rFonts w:hint="eastAsia"/>
                      <w:b/>
                      <w:bCs/>
                      <w:lang w:eastAsia="zh-CN"/>
                    </w:rPr>
                  </w:pPr>
                  <w:r>
                    <w:rPr>
                      <w:rFonts w:hint="eastAsia"/>
                      <w:b/>
                      <w:bCs/>
                      <w:lang w:eastAsia="zh-CN"/>
                    </w:rPr>
                    <w:t>序号</w:t>
                  </w:r>
                </w:p>
              </w:tc>
              <w:tc>
                <w:tcPr>
                  <w:tcW w:w="2398" w:type="dxa"/>
                  <w:vAlign w:val="center"/>
                </w:tcPr>
                <w:p w14:paraId="20A52E7E">
                  <w:pPr>
                    <w:pStyle w:val="286"/>
                    <w:framePr w:hSpace="0" w:wrap="auto" w:vAnchor="margin" w:hAnchor="text" w:xAlign="left" w:yAlign="inline"/>
                    <w:bidi w:val="0"/>
                    <w:ind w:left="0" w:leftChars="0" w:right="0" w:rightChars="0" w:firstLine="0" w:firstLineChars="0"/>
                    <w:jc w:val="center"/>
                    <w:rPr>
                      <w:rFonts w:hint="eastAsia"/>
                      <w:b/>
                      <w:bCs/>
                      <w:lang w:eastAsia="zh-CN"/>
                    </w:rPr>
                  </w:pPr>
                  <w:r>
                    <w:rPr>
                      <w:rFonts w:hint="eastAsia"/>
                      <w:b/>
                      <w:bCs/>
                      <w:lang w:eastAsia="zh-CN"/>
                    </w:rPr>
                    <w:t>设备名称</w:t>
                  </w:r>
                </w:p>
              </w:tc>
              <w:tc>
                <w:tcPr>
                  <w:tcW w:w="1689" w:type="dxa"/>
                  <w:vAlign w:val="center"/>
                </w:tcPr>
                <w:p w14:paraId="641C46A7">
                  <w:pPr>
                    <w:pStyle w:val="286"/>
                    <w:framePr w:hSpace="0" w:wrap="auto" w:vAnchor="margin" w:hAnchor="text" w:xAlign="left" w:yAlign="inline"/>
                    <w:bidi w:val="0"/>
                    <w:ind w:left="0" w:leftChars="0" w:right="0" w:rightChars="0" w:firstLine="0" w:firstLineChars="0"/>
                    <w:jc w:val="center"/>
                    <w:rPr>
                      <w:rFonts w:hint="eastAsia"/>
                      <w:b/>
                      <w:bCs/>
                      <w:lang w:eastAsia="zh-CN"/>
                    </w:rPr>
                  </w:pPr>
                  <w:r>
                    <w:rPr>
                      <w:rFonts w:hint="eastAsia"/>
                      <w:b/>
                      <w:bCs/>
                      <w:lang w:eastAsia="zh-CN"/>
                    </w:rPr>
                    <w:t>规格型号</w:t>
                  </w:r>
                </w:p>
              </w:tc>
              <w:tc>
                <w:tcPr>
                  <w:tcW w:w="1689" w:type="dxa"/>
                  <w:vAlign w:val="center"/>
                </w:tcPr>
                <w:p w14:paraId="7975856F">
                  <w:pPr>
                    <w:pStyle w:val="286"/>
                    <w:framePr w:hSpace="0" w:wrap="auto" w:vAnchor="margin" w:hAnchor="text" w:xAlign="left" w:yAlign="inline"/>
                    <w:bidi w:val="0"/>
                    <w:ind w:left="0" w:leftChars="0" w:right="0" w:rightChars="0" w:firstLine="0" w:firstLineChars="0"/>
                    <w:jc w:val="center"/>
                    <w:rPr>
                      <w:rFonts w:hint="eastAsia"/>
                      <w:b/>
                      <w:bCs/>
                      <w:lang w:eastAsia="zh-CN"/>
                    </w:rPr>
                  </w:pPr>
                  <w:r>
                    <w:rPr>
                      <w:rFonts w:hint="eastAsia"/>
                      <w:b/>
                      <w:bCs/>
                      <w:lang w:eastAsia="zh-CN"/>
                    </w:rPr>
                    <w:t>数量</w:t>
                  </w:r>
                </w:p>
              </w:tc>
              <w:tc>
                <w:tcPr>
                  <w:tcW w:w="1689" w:type="dxa"/>
                  <w:vAlign w:val="center"/>
                </w:tcPr>
                <w:p w14:paraId="3BA12A58">
                  <w:pPr>
                    <w:pStyle w:val="286"/>
                    <w:framePr w:hSpace="0" w:wrap="auto" w:vAnchor="margin" w:hAnchor="text" w:xAlign="left" w:yAlign="inline"/>
                    <w:bidi w:val="0"/>
                    <w:ind w:left="0" w:leftChars="0" w:right="0" w:rightChars="0" w:firstLine="0" w:firstLineChars="0"/>
                    <w:jc w:val="center"/>
                    <w:rPr>
                      <w:rFonts w:hint="eastAsia"/>
                      <w:b/>
                      <w:bCs/>
                      <w:lang w:eastAsia="zh-CN"/>
                    </w:rPr>
                  </w:pPr>
                  <w:r>
                    <w:rPr>
                      <w:rFonts w:hint="eastAsia"/>
                      <w:b/>
                      <w:bCs/>
                      <w:lang w:eastAsia="zh-CN"/>
                    </w:rPr>
                    <w:t>备注</w:t>
                  </w:r>
                </w:p>
              </w:tc>
            </w:tr>
            <w:tr w14:paraId="758AFA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dxa"/>
                  <w:vAlign w:val="center"/>
                </w:tcPr>
                <w:p w14:paraId="0FAD443C">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1</w:t>
                  </w:r>
                </w:p>
              </w:tc>
              <w:tc>
                <w:tcPr>
                  <w:tcW w:w="2398" w:type="dxa"/>
                  <w:vAlign w:val="center"/>
                </w:tcPr>
                <w:p w14:paraId="3A6630E4">
                  <w:pPr>
                    <w:pStyle w:val="286"/>
                    <w:framePr w:hSpace="0" w:wrap="auto" w:vAnchor="margin" w:hAnchor="text" w:xAlign="left" w:yAlign="inline"/>
                    <w:bidi w:val="0"/>
                    <w:ind w:left="0" w:leftChars="0" w:right="0" w:rightChars="0" w:firstLine="0" w:firstLineChars="0"/>
                    <w:jc w:val="center"/>
                  </w:pPr>
                  <w:r>
                    <w:rPr>
                      <w:rFonts w:hint="eastAsia"/>
                      <w:lang w:eastAsia="zh-CN"/>
                    </w:rPr>
                    <w:t>生湿面制品设备生产线</w:t>
                  </w:r>
                </w:p>
              </w:tc>
              <w:tc>
                <w:tcPr>
                  <w:tcW w:w="1689" w:type="dxa"/>
                  <w:vAlign w:val="center"/>
                </w:tcPr>
                <w:p w14:paraId="0E4D1C14">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650型</w:t>
                  </w:r>
                </w:p>
              </w:tc>
              <w:tc>
                <w:tcPr>
                  <w:tcW w:w="1689" w:type="dxa"/>
                  <w:vAlign w:val="center"/>
                </w:tcPr>
                <w:p w14:paraId="12E90A7B">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1</w:t>
                  </w:r>
                </w:p>
              </w:tc>
              <w:tc>
                <w:tcPr>
                  <w:tcW w:w="1689" w:type="dxa"/>
                  <w:vAlign w:val="center"/>
                </w:tcPr>
                <w:p w14:paraId="19650634">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新建</w:t>
                  </w:r>
                </w:p>
              </w:tc>
            </w:tr>
            <w:tr w14:paraId="3FBA3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dxa"/>
                  <w:vAlign w:val="center"/>
                </w:tcPr>
                <w:p w14:paraId="11026732">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2</w:t>
                  </w:r>
                </w:p>
              </w:tc>
              <w:tc>
                <w:tcPr>
                  <w:tcW w:w="2398" w:type="dxa"/>
                  <w:vAlign w:val="center"/>
                </w:tcPr>
                <w:p w14:paraId="5B6BD729">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凉皮设备生产线</w:t>
                  </w:r>
                </w:p>
              </w:tc>
              <w:tc>
                <w:tcPr>
                  <w:tcW w:w="1689" w:type="dxa"/>
                  <w:vAlign w:val="center"/>
                </w:tcPr>
                <w:p w14:paraId="565A0EE7">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1.0米</w:t>
                  </w:r>
                </w:p>
              </w:tc>
              <w:tc>
                <w:tcPr>
                  <w:tcW w:w="1689" w:type="dxa"/>
                  <w:vAlign w:val="center"/>
                </w:tcPr>
                <w:p w14:paraId="11108B84">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4</w:t>
                  </w:r>
                </w:p>
              </w:tc>
              <w:tc>
                <w:tcPr>
                  <w:tcW w:w="1689" w:type="dxa"/>
                  <w:vAlign w:val="center"/>
                </w:tcPr>
                <w:p w14:paraId="25F80267">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新建</w:t>
                  </w:r>
                </w:p>
              </w:tc>
            </w:tr>
            <w:tr w14:paraId="61EB2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1" w:hRule="atLeast"/>
                <w:jc w:val="center"/>
              </w:trPr>
              <w:tc>
                <w:tcPr>
                  <w:tcW w:w="976" w:type="dxa"/>
                  <w:vAlign w:val="center"/>
                </w:tcPr>
                <w:p w14:paraId="3CE719FB">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3</w:t>
                  </w:r>
                </w:p>
              </w:tc>
              <w:tc>
                <w:tcPr>
                  <w:tcW w:w="2398" w:type="dxa"/>
                  <w:vAlign w:val="center"/>
                </w:tcPr>
                <w:p w14:paraId="3E118022">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年糕设备生产线</w:t>
                  </w:r>
                </w:p>
              </w:tc>
              <w:tc>
                <w:tcPr>
                  <w:tcW w:w="1689" w:type="dxa"/>
                  <w:vAlign w:val="center"/>
                </w:tcPr>
                <w:p w14:paraId="5318E52A">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val="en-US" w:eastAsia="zh-CN"/>
                    </w:rPr>
                    <w:t>非标</w:t>
                  </w:r>
                </w:p>
              </w:tc>
              <w:tc>
                <w:tcPr>
                  <w:tcW w:w="1689" w:type="dxa"/>
                  <w:vAlign w:val="center"/>
                </w:tcPr>
                <w:p w14:paraId="3FB0ED81">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1</w:t>
                  </w:r>
                </w:p>
              </w:tc>
              <w:tc>
                <w:tcPr>
                  <w:tcW w:w="1689" w:type="dxa"/>
                  <w:vAlign w:val="center"/>
                </w:tcPr>
                <w:p w14:paraId="0DDC9FC3">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新建</w:t>
                  </w:r>
                </w:p>
              </w:tc>
            </w:tr>
            <w:tr w14:paraId="3B0A3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dxa"/>
                  <w:vAlign w:val="center"/>
                </w:tcPr>
                <w:p w14:paraId="6F6C382A">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4</w:t>
                  </w:r>
                </w:p>
              </w:tc>
              <w:tc>
                <w:tcPr>
                  <w:tcW w:w="2398" w:type="dxa"/>
                  <w:vAlign w:val="center"/>
                </w:tcPr>
                <w:p w14:paraId="17B0CF58">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鲜面条设备生产线</w:t>
                  </w:r>
                </w:p>
              </w:tc>
              <w:tc>
                <w:tcPr>
                  <w:tcW w:w="1689" w:type="dxa"/>
                  <w:vAlign w:val="center"/>
                </w:tcPr>
                <w:p w14:paraId="18E029DF">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350型</w:t>
                  </w:r>
                </w:p>
              </w:tc>
              <w:tc>
                <w:tcPr>
                  <w:tcW w:w="1689" w:type="dxa"/>
                  <w:vAlign w:val="center"/>
                </w:tcPr>
                <w:p w14:paraId="25538035">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1</w:t>
                  </w:r>
                </w:p>
              </w:tc>
              <w:tc>
                <w:tcPr>
                  <w:tcW w:w="1689" w:type="dxa"/>
                  <w:vAlign w:val="center"/>
                </w:tcPr>
                <w:p w14:paraId="587E0776">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新建</w:t>
                  </w:r>
                </w:p>
              </w:tc>
            </w:tr>
            <w:tr w14:paraId="680CD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dxa"/>
                  <w:vAlign w:val="center"/>
                </w:tcPr>
                <w:p w14:paraId="725AA276">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5</w:t>
                  </w:r>
                </w:p>
              </w:tc>
              <w:tc>
                <w:tcPr>
                  <w:tcW w:w="2398" w:type="dxa"/>
                  <w:vAlign w:val="center"/>
                </w:tcPr>
                <w:p w14:paraId="12B1BADB">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饼丝设备生产线</w:t>
                  </w:r>
                </w:p>
              </w:tc>
              <w:tc>
                <w:tcPr>
                  <w:tcW w:w="1689" w:type="dxa"/>
                  <w:vAlign w:val="center"/>
                </w:tcPr>
                <w:p w14:paraId="4F1EF81C">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val="en-US" w:eastAsia="zh-CN"/>
                    </w:rPr>
                    <w:t>非标</w:t>
                  </w:r>
                </w:p>
              </w:tc>
              <w:tc>
                <w:tcPr>
                  <w:tcW w:w="1689" w:type="dxa"/>
                  <w:vAlign w:val="center"/>
                </w:tcPr>
                <w:p w14:paraId="379B6803">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1</w:t>
                  </w:r>
                </w:p>
              </w:tc>
              <w:tc>
                <w:tcPr>
                  <w:tcW w:w="1689" w:type="dxa"/>
                  <w:vAlign w:val="center"/>
                </w:tcPr>
                <w:p w14:paraId="033A5765">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新建</w:t>
                  </w:r>
                </w:p>
              </w:tc>
            </w:tr>
            <w:tr w14:paraId="627CD7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dxa"/>
                  <w:vAlign w:val="center"/>
                </w:tcPr>
                <w:p w14:paraId="62FDD84F">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6</w:t>
                  </w:r>
                </w:p>
              </w:tc>
              <w:tc>
                <w:tcPr>
                  <w:tcW w:w="2398" w:type="dxa"/>
                  <w:vAlign w:val="center"/>
                </w:tcPr>
                <w:p w14:paraId="555457F6">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扯面设备生产线</w:t>
                  </w:r>
                </w:p>
              </w:tc>
              <w:tc>
                <w:tcPr>
                  <w:tcW w:w="1689" w:type="dxa"/>
                  <w:vAlign w:val="center"/>
                </w:tcPr>
                <w:p w14:paraId="21715467">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val="en-US" w:eastAsia="zh-CN"/>
                    </w:rPr>
                    <w:t>非标</w:t>
                  </w:r>
                </w:p>
              </w:tc>
              <w:tc>
                <w:tcPr>
                  <w:tcW w:w="1689" w:type="dxa"/>
                  <w:vAlign w:val="center"/>
                </w:tcPr>
                <w:p w14:paraId="5A09303B">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1</w:t>
                  </w:r>
                </w:p>
              </w:tc>
              <w:tc>
                <w:tcPr>
                  <w:tcW w:w="1689" w:type="dxa"/>
                  <w:vAlign w:val="center"/>
                </w:tcPr>
                <w:p w14:paraId="1D1B530D">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新建</w:t>
                  </w:r>
                </w:p>
              </w:tc>
            </w:tr>
            <w:tr w14:paraId="2F1208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76" w:type="dxa"/>
                  <w:vAlign w:val="center"/>
                </w:tcPr>
                <w:p w14:paraId="1CB37D53">
                  <w:pPr>
                    <w:pStyle w:val="286"/>
                    <w:framePr w:hSpace="0" w:wrap="auto" w:vAnchor="margin" w:hAnchor="text" w:xAlign="left" w:yAlign="inline"/>
                    <w:bidi w:val="0"/>
                    <w:ind w:left="0" w:leftChars="0" w:right="0" w:rightChars="0" w:firstLine="0" w:firstLineChars="0"/>
                    <w:jc w:val="center"/>
                    <w:rPr>
                      <w:rFonts w:hint="default"/>
                      <w:lang w:val="en-US" w:eastAsia="zh-CN"/>
                    </w:rPr>
                  </w:pPr>
                  <w:r>
                    <w:rPr>
                      <w:rFonts w:hint="eastAsia"/>
                      <w:lang w:val="en-US" w:eastAsia="zh-CN"/>
                    </w:rPr>
                    <w:t>7</w:t>
                  </w:r>
                </w:p>
              </w:tc>
              <w:tc>
                <w:tcPr>
                  <w:tcW w:w="2398" w:type="dxa"/>
                  <w:vAlign w:val="center"/>
                </w:tcPr>
                <w:p w14:paraId="3534B294">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eastAsia="zh-CN"/>
                    </w:rPr>
                    <w:t>豆饼设备</w:t>
                  </w:r>
                </w:p>
              </w:tc>
              <w:tc>
                <w:tcPr>
                  <w:tcW w:w="1689" w:type="dxa"/>
                  <w:vAlign w:val="center"/>
                </w:tcPr>
                <w:p w14:paraId="0B2CC607">
                  <w:pPr>
                    <w:pStyle w:val="286"/>
                    <w:framePr w:hSpace="0" w:wrap="auto" w:vAnchor="margin" w:hAnchor="text" w:xAlign="left" w:yAlign="inline"/>
                    <w:bidi w:val="0"/>
                    <w:ind w:left="0" w:leftChars="0" w:right="0" w:rightChars="0" w:firstLine="0" w:firstLineChars="0"/>
                    <w:jc w:val="center"/>
                    <w:rPr>
                      <w:rFonts w:hint="eastAsia"/>
                      <w:lang w:eastAsia="zh-CN"/>
                    </w:rPr>
                  </w:pPr>
                  <w:r>
                    <w:rPr>
                      <w:rFonts w:hint="eastAsia"/>
                      <w:lang w:val="en-US" w:eastAsia="zh-CN"/>
                    </w:rPr>
                    <w:t>非标</w:t>
                  </w:r>
                </w:p>
              </w:tc>
              <w:tc>
                <w:tcPr>
                  <w:tcW w:w="1689" w:type="dxa"/>
                  <w:vAlign w:val="center"/>
                </w:tcPr>
                <w:p w14:paraId="5E483E93">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1</w:t>
                  </w:r>
                </w:p>
              </w:tc>
              <w:tc>
                <w:tcPr>
                  <w:tcW w:w="1689" w:type="dxa"/>
                  <w:vAlign w:val="center"/>
                </w:tcPr>
                <w:p w14:paraId="53F13F4B">
                  <w:pPr>
                    <w:pStyle w:val="286"/>
                    <w:framePr w:hSpace="0" w:wrap="auto" w:vAnchor="margin" w:hAnchor="text" w:xAlign="left" w:yAlign="inline"/>
                    <w:bidi w:val="0"/>
                    <w:ind w:left="0" w:leftChars="0" w:right="0" w:rightChars="0" w:firstLine="0" w:firstLineChars="0"/>
                    <w:jc w:val="center"/>
                    <w:rPr>
                      <w:rFonts w:hint="eastAsia"/>
                      <w:lang w:val="en-US" w:eastAsia="zh-CN"/>
                    </w:rPr>
                  </w:pPr>
                  <w:r>
                    <w:rPr>
                      <w:rFonts w:hint="eastAsia"/>
                      <w:lang w:val="en-US" w:eastAsia="zh-CN"/>
                    </w:rPr>
                    <w:t>新建</w:t>
                  </w:r>
                </w:p>
              </w:tc>
            </w:tr>
          </w:tbl>
          <w:p w14:paraId="01CB06C8">
            <w:pPr>
              <w:pStyle w:val="771"/>
              <w:bidi w:val="0"/>
              <w:rPr>
                <w:b/>
                <w:bCs/>
              </w:rPr>
            </w:pPr>
            <w:r>
              <w:rPr>
                <w:b/>
                <w:bCs/>
              </w:rPr>
              <w:t>2.2.8</w:t>
            </w:r>
            <w:r>
              <w:rPr>
                <w:rFonts w:hint="eastAsia"/>
                <w:b/>
                <w:bCs/>
              </w:rPr>
              <w:t>劳动定员及工作制度</w:t>
            </w:r>
          </w:p>
          <w:p w14:paraId="64CFDD5A">
            <w:pPr>
              <w:pStyle w:val="771"/>
              <w:bidi w:val="0"/>
            </w:pPr>
            <w:r>
              <w:t>本项目劳动定员为</w:t>
            </w:r>
            <w:r>
              <w:rPr>
                <w:rFonts w:hint="eastAsia"/>
                <w:lang w:val="en-US" w:eastAsia="zh-CN"/>
              </w:rPr>
              <w:t>20</w:t>
            </w:r>
            <w:r>
              <w:rPr>
                <w:rFonts w:hint="eastAsia"/>
              </w:rPr>
              <w:t>名，公司生产实行单班制生产，每班工作时间8h</w:t>
            </w:r>
            <w:r>
              <w:rPr>
                <w:rFonts w:hint="eastAsia"/>
                <w:lang w:eastAsia="zh-CN"/>
              </w:rPr>
              <w:t>（夜间不生产）</w:t>
            </w:r>
            <w:r>
              <w:rPr>
                <w:rFonts w:hint="eastAsia"/>
              </w:rPr>
              <w:t>，年均生产时间为300d</w:t>
            </w:r>
            <w:r>
              <w:rPr>
                <w:rFonts w:hint="eastAsia"/>
                <w:lang w:eastAsia="zh-CN"/>
              </w:rPr>
              <w:t>，</w:t>
            </w:r>
            <w:r>
              <w:rPr>
                <w:rFonts w:hint="eastAsia"/>
                <w:lang w:val="en-US" w:eastAsia="zh-CN"/>
              </w:rPr>
              <w:t>项目内部不设置员工食堂及宿舍。</w:t>
            </w:r>
          </w:p>
          <w:p w14:paraId="156BB678">
            <w:pPr>
              <w:pStyle w:val="771"/>
              <w:bidi w:val="0"/>
              <w:rPr>
                <w:b/>
                <w:bCs/>
              </w:rPr>
            </w:pPr>
            <w:r>
              <w:rPr>
                <w:b/>
                <w:bCs/>
              </w:rPr>
              <w:t>2.2.9总平面布置合理性分析总体布局</w:t>
            </w:r>
          </w:p>
          <w:p w14:paraId="57A4DAE7">
            <w:pPr>
              <w:pStyle w:val="771"/>
              <w:bidi w:val="0"/>
            </w:pPr>
            <w:r>
              <w:rPr>
                <w:rFonts w:hint="eastAsia"/>
                <w:lang w:val="en-US" w:eastAsia="zh-CN"/>
              </w:rPr>
              <w:t>本项目位于淮南经济技术开发区高端装备产业园X4号楼一层，建设单位进行内部</w:t>
            </w:r>
            <w:r>
              <w:rPr>
                <w:rFonts w:hint="eastAsia"/>
                <w:highlight w:val="none"/>
                <w:lang w:val="en-US" w:eastAsia="zh-CN"/>
              </w:rPr>
              <w:t>改造设置二楼隔层</w:t>
            </w:r>
            <w:r>
              <w:rPr>
                <w:rFonts w:hint="eastAsia"/>
                <w:lang w:val="en-US" w:eastAsia="zh-CN"/>
              </w:rPr>
              <w:t>，厂房占地面积2901</w:t>
            </w:r>
            <w:r>
              <w:rPr>
                <w:rFonts w:hint="default"/>
                <w:lang w:val="en-US" w:eastAsia="zh-CN"/>
              </w:rPr>
              <w:t>m</w:t>
            </w:r>
            <w:r>
              <w:rPr>
                <w:rFonts w:hint="eastAsia"/>
                <w:vertAlign w:val="superscript"/>
                <w:lang w:val="en-US" w:eastAsia="zh-CN"/>
              </w:rPr>
              <w:t>2</w:t>
            </w:r>
            <w:r>
              <w:rPr>
                <w:rFonts w:hint="eastAsia"/>
                <w:lang w:val="en-US" w:eastAsia="zh-CN"/>
              </w:rPr>
              <w:t>。厂房内布置有生产车间、办公区等，其中生产车间内东南侧设置有男女更衣室、洗消间，主要设置有各类产品生产线、脱包间、原料库、内包材库、内包间、外包发货间等，其布局是按照工艺流程布设，在生产车间人员入口处设置了更衣室及洗消间，在包材入口处设置了内包材库和内包材缓冲间；在厂房西南侧设有一般固废间、工具间等。厂房二楼的东侧设置办公区和化验室，西侧设置原料库、综合脱包间以及产品下料区。项目总体生产区域和办公生活区相互隔开，相互之间不影响，降低生产区噪声、废气等对员工的不良影响，在满足生产工艺、安全防火、卫生采光等要求前提下，适当划分厂区，各区既有明确分区，又保持一定联系，将废气、噪音等污染源影响限制在局部，并在局部合理解决。该项目平面布置充分利用厂房条件布置各功能区，总体布局较为紧凑，且本项目的平面布局与卫生设施均满足《食品企业通用卫生规范》（</w:t>
            </w:r>
            <w:r>
              <w:rPr>
                <w:rFonts w:hint="default"/>
                <w:lang w:val="en-US" w:eastAsia="zh-CN"/>
              </w:rPr>
              <w:t>GB14881-2013</w:t>
            </w:r>
            <w:r>
              <w:rPr>
                <w:rFonts w:hint="eastAsia"/>
                <w:lang w:val="en-US" w:eastAsia="zh-CN"/>
              </w:rPr>
              <w:t>）的相关要求，从环境保护角度分析，本项目平面布置合理。</w:t>
            </w:r>
            <w:r>
              <w:rPr>
                <w:rFonts w:hint="eastAsia"/>
                <w:highlight w:val="none"/>
                <w:lang w:val="en-US" w:eastAsia="zh-CN"/>
              </w:rPr>
              <w:t>具体平面布置详见附图</w:t>
            </w:r>
            <w:r>
              <w:rPr>
                <w:rFonts w:hint="default"/>
                <w:highlight w:val="none"/>
                <w:lang w:val="en-US" w:eastAsia="zh-CN"/>
              </w:rPr>
              <w:t>3</w:t>
            </w:r>
            <w:r>
              <w:rPr>
                <w:rFonts w:hint="eastAsia"/>
                <w:highlight w:val="none"/>
                <w:lang w:val="en-US" w:eastAsia="zh-CN"/>
              </w:rPr>
              <w:t>。</w:t>
            </w:r>
          </w:p>
          <w:p w14:paraId="6F7E3BC1">
            <w:pPr>
              <w:pStyle w:val="180"/>
              <w:wordWrap/>
              <w:ind w:firstLine="482"/>
              <w:rPr>
                <w:b/>
                <w:bCs/>
                <w:color w:val="auto"/>
              </w:rPr>
            </w:pPr>
            <w:r>
              <w:rPr>
                <w:b/>
                <w:bCs/>
                <w:color w:val="auto"/>
              </w:rPr>
              <w:t>2.2.10水平衡分析</w:t>
            </w:r>
          </w:p>
          <w:p w14:paraId="58C749B5">
            <w:pPr>
              <w:pStyle w:val="180"/>
              <w:wordWrap/>
              <w:ind w:firstLine="480"/>
              <w:rPr>
                <w:color w:val="auto"/>
              </w:rPr>
            </w:pPr>
            <w:r>
              <w:rPr>
                <w:rFonts w:hint="eastAsia"/>
                <w:color w:val="auto"/>
              </w:rPr>
              <w:t>本项目营运期用水主要为生活用水与生产用水。</w:t>
            </w:r>
          </w:p>
          <w:p w14:paraId="7063827D">
            <w:pPr>
              <w:pStyle w:val="180"/>
              <w:wordWrap/>
              <w:ind w:firstLine="482"/>
              <w:rPr>
                <w:b/>
                <w:bCs/>
                <w:color w:val="auto"/>
              </w:rPr>
            </w:pPr>
            <w:r>
              <w:rPr>
                <w:rFonts w:hint="eastAsia"/>
                <w:b/>
                <w:bCs/>
                <w:color w:val="auto"/>
              </w:rPr>
              <w:t>1、本项目用排水情况</w:t>
            </w:r>
          </w:p>
          <w:p w14:paraId="3491D82B">
            <w:pPr>
              <w:pStyle w:val="180"/>
              <w:wordWrap/>
              <w:ind w:firstLine="480"/>
              <w:rPr>
                <w:rFonts w:hint="eastAsia"/>
                <w:color w:val="auto"/>
              </w:rPr>
            </w:pPr>
            <w:r>
              <w:rPr>
                <w:rFonts w:hint="eastAsia"/>
                <w:color w:val="auto"/>
              </w:rPr>
              <w:t>（1）生活用水：</w:t>
            </w:r>
            <w:r>
              <w:rPr>
                <w:color w:val="auto"/>
              </w:rPr>
              <w:t>本项目劳动定员为</w:t>
            </w:r>
            <w:r>
              <w:rPr>
                <w:rFonts w:hint="eastAsia"/>
                <w:color w:val="auto"/>
                <w:lang w:val="en-US" w:eastAsia="zh-CN"/>
              </w:rPr>
              <w:t>20</w:t>
            </w:r>
            <w:r>
              <w:rPr>
                <w:rFonts w:hint="eastAsia"/>
                <w:color w:val="auto"/>
              </w:rPr>
              <w:t>名，根据《安徽省行业用水定额》（DB34/T679-2019）中的相关内容，办公用水定额取60L/人·d。则生活用水量约为</w:t>
            </w:r>
            <w:r>
              <w:rPr>
                <w:rFonts w:hint="eastAsia"/>
                <w:color w:val="auto"/>
                <w:lang w:val="en-US" w:eastAsia="zh-CN"/>
              </w:rPr>
              <w:t>1.2t</w:t>
            </w:r>
            <w:r>
              <w:rPr>
                <w:rFonts w:hint="eastAsia"/>
                <w:color w:val="auto"/>
              </w:rPr>
              <w:t>/d，</w:t>
            </w:r>
            <w:r>
              <w:rPr>
                <w:rFonts w:hint="eastAsia"/>
                <w:color w:val="auto"/>
                <w:lang w:val="en-US" w:eastAsia="zh-CN"/>
              </w:rPr>
              <w:t>360</w:t>
            </w:r>
            <w:r>
              <w:rPr>
                <w:rFonts w:hint="eastAsia"/>
                <w:color w:val="auto"/>
              </w:rPr>
              <w:t>t/a；污水产生系数按照80%计，则生活污水产生量为</w:t>
            </w:r>
            <w:r>
              <w:rPr>
                <w:rFonts w:hint="eastAsia"/>
                <w:color w:val="auto"/>
                <w:lang w:val="en-US" w:eastAsia="zh-CN"/>
              </w:rPr>
              <w:t>0.96</w:t>
            </w:r>
            <w:r>
              <w:rPr>
                <w:rFonts w:hint="eastAsia"/>
                <w:color w:val="auto"/>
              </w:rPr>
              <w:t>t/d，</w:t>
            </w:r>
            <w:r>
              <w:rPr>
                <w:rFonts w:hint="eastAsia"/>
                <w:color w:val="auto"/>
                <w:lang w:val="en-US" w:eastAsia="zh-CN"/>
              </w:rPr>
              <w:t>288</w:t>
            </w:r>
            <w:r>
              <w:rPr>
                <w:rFonts w:hint="eastAsia"/>
                <w:color w:val="auto"/>
              </w:rPr>
              <w:t>t/a。</w:t>
            </w:r>
          </w:p>
          <w:p w14:paraId="661C7053">
            <w:pPr>
              <w:pStyle w:val="180"/>
              <w:wordWrap/>
              <w:ind w:firstLine="480"/>
              <w:rPr>
                <w:rFonts w:hint="eastAsia"/>
                <w:color w:val="auto"/>
                <w:lang w:eastAsia="zh-CN"/>
              </w:rPr>
            </w:pPr>
            <w:r>
              <w:rPr>
                <w:rFonts w:hint="eastAsia"/>
                <w:color w:val="auto"/>
              </w:rPr>
              <w:t>（2）</w:t>
            </w:r>
            <w:r>
              <w:rPr>
                <w:rFonts w:hint="eastAsia"/>
                <w:color w:val="auto"/>
                <w:lang w:eastAsia="zh-CN"/>
              </w:rPr>
              <w:t>生产用水</w:t>
            </w:r>
          </w:p>
          <w:p w14:paraId="3EA4E59A">
            <w:pPr>
              <w:pStyle w:val="771"/>
              <w:bidi w:val="0"/>
              <w:rPr>
                <w:rFonts w:hint="eastAsia"/>
                <w:lang w:eastAsia="zh-CN"/>
              </w:rPr>
            </w:pPr>
            <w:r>
              <w:rPr>
                <w:rFonts w:hint="eastAsia"/>
                <w:lang w:eastAsia="zh-CN"/>
              </w:rPr>
              <w:t>①和面用水</w:t>
            </w:r>
          </w:p>
          <w:p w14:paraId="6EE8A38B">
            <w:pPr>
              <w:pStyle w:val="771"/>
              <w:bidi w:val="0"/>
              <w:rPr>
                <w:rFonts w:hint="eastAsia"/>
                <w:lang w:eastAsia="zh-CN"/>
              </w:rPr>
            </w:pPr>
            <w:r>
              <w:rPr>
                <w:rFonts w:hint="eastAsia"/>
              </w:rPr>
              <w:t>项目生产过程需要根据生产产品将面粉和</w:t>
            </w:r>
            <w:r>
              <w:rPr>
                <w:rFonts w:hint="eastAsia"/>
                <w:lang w:val="en-US" w:eastAsia="zh-CN"/>
              </w:rPr>
              <w:t>新鲜</w:t>
            </w:r>
            <w:r>
              <w:rPr>
                <w:rFonts w:hint="eastAsia"/>
              </w:rPr>
              <w:t>水按照不同的比例进行和面，面粉</w:t>
            </w:r>
            <w:r>
              <w:rPr>
                <w:rFonts w:hint="eastAsia"/>
                <w:lang w:eastAsia="zh-CN"/>
              </w:rPr>
              <w:t>总</w:t>
            </w:r>
            <w:r>
              <w:rPr>
                <w:rFonts w:hint="eastAsia"/>
              </w:rPr>
              <w:t>用量</w:t>
            </w:r>
            <w:r>
              <w:rPr>
                <w:rFonts w:hint="eastAsia"/>
                <w:lang w:eastAsia="zh-CN"/>
              </w:rPr>
              <w:t>（含绿豆面</w:t>
            </w:r>
            <w:r>
              <w:rPr>
                <w:rFonts w:hint="eastAsia"/>
                <w:lang w:val="en-US" w:eastAsia="zh-CN"/>
              </w:rPr>
              <w:t>/黄豆面</w:t>
            </w:r>
            <w:r>
              <w:rPr>
                <w:rFonts w:hint="eastAsia"/>
                <w:lang w:eastAsia="zh-CN"/>
              </w:rPr>
              <w:t>）</w:t>
            </w:r>
            <w:r>
              <w:rPr>
                <w:rFonts w:hint="eastAsia"/>
              </w:rPr>
              <w:t>为</w:t>
            </w:r>
            <w:r>
              <w:rPr>
                <w:rFonts w:hint="eastAsia"/>
                <w:lang w:val="en-US" w:eastAsia="zh-CN"/>
              </w:rPr>
              <w:t>627</w:t>
            </w:r>
            <w:r>
              <w:rPr>
                <w:rFonts w:hint="eastAsia"/>
              </w:rPr>
              <w:t>t/a，根据不同配比计算出和面用水量约为</w:t>
            </w:r>
            <w:r>
              <w:rPr>
                <w:rFonts w:hint="eastAsia"/>
                <w:lang w:val="en-US" w:eastAsia="zh-CN"/>
              </w:rPr>
              <w:t>871</w:t>
            </w:r>
            <w:r>
              <w:rPr>
                <w:rFonts w:hint="eastAsia"/>
              </w:rPr>
              <w:t>t/a，此过程</w:t>
            </w:r>
            <w:r>
              <w:rPr>
                <w:rFonts w:hint="eastAsia"/>
                <w:lang w:val="en-US" w:eastAsia="zh-CN"/>
              </w:rPr>
              <w:t>新鲜</w:t>
            </w:r>
            <w:r>
              <w:rPr>
                <w:rFonts w:hint="eastAsia"/>
              </w:rPr>
              <w:t>水全部进入产品。</w:t>
            </w:r>
          </w:p>
          <w:p w14:paraId="5A1EACAE">
            <w:pPr>
              <w:pStyle w:val="771"/>
              <w:bidi w:val="0"/>
              <w:rPr>
                <w:rFonts w:hint="eastAsia"/>
                <w:lang w:eastAsia="zh-CN"/>
              </w:rPr>
            </w:pPr>
            <w:r>
              <w:rPr>
                <w:rFonts w:hint="eastAsia"/>
                <w:lang w:eastAsia="zh-CN"/>
              </w:rPr>
              <w:t>②洗米用水</w:t>
            </w:r>
          </w:p>
          <w:p w14:paraId="17BA3A7B">
            <w:pPr>
              <w:pStyle w:val="771"/>
              <w:bidi w:val="0"/>
              <w:rPr>
                <w:rFonts w:hint="eastAsia"/>
                <w:lang w:val="en-US" w:eastAsia="zh-CN"/>
              </w:rPr>
            </w:pPr>
            <w:r>
              <w:rPr>
                <w:rFonts w:hint="eastAsia"/>
              </w:rPr>
              <w:t>本项目原材料大米使用量为</w:t>
            </w:r>
            <w:r>
              <w:rPr>
                <w:rFonts w:hint="eastAsia"/>
                <w:lang w:val="en-US" w:eastAsia="zh-CN"/>
              </w:rPr>
              <w:t>220</w:t>
            </w:r>
            <w:r>
              <w:rPr>
                <w:rFonts w:hint="eastAsia"/>
              </w:rPr>
              <w:t>t/a，根据企业提供的资料，</w:t>
            </w:r>
            <w:r>
              <w:rPr>
                <w:rFonts w:hint="eastAsia"/>
                <w:lang w:eastAsia="zh-CN"/>
              </w:rPr>
              <w:t>大米每次清洗</w:t>
            </w:r>
            <w:r>
              <w:rPr>
                <w:rFonts w:hint="eastAsia"/>
                <w:lang w:val="en-US" w:eastAsia="zh-CN"/>
              </w:rPr>
              <w:t>2</w:t>
            </w:r>
            <w:r>
              <w:rPr>
                <w:rFonts w:hint="eastAsia"/>
                <w:lang w:eastAsia="zh-CN"/>
              </w:rPr>
              <w:t>次，</w:t>
            </w:r>
            <w:r>
              <w:rPr>
                <w:rFonts w:hint="eastAsia"/>
              </w:rPr>
              <w:t>1吨米约需要</w:t>
            </w:r>
            <w:r>
              <w:rPr>
                <w:rFonts w:hint="eastAsia"/>
                <w:lang w:val="en-US" w:eastAsia="zh-CN"/>
              </w:rPr>
              <w:t>0.75</w:t>
            </w:r>
            <w:r>
              <w:rPr>
                <w:rFonts w:hint="eastAsia"/>
              </w:rPr>
              <w:t>吨水清洗，则洗米用水量为</w:t>
            </w:r>
            <w:r>
              <w:rPr>
                <w:rFonts w:hint="eastAsia"/>
                <w:lang w:val="en-US" w:eastAsia="zh-CN"/>
              </w:rPr>
              <w:t>330</w:t>
            </w:r>
            <w:r>
              <w:rPr>
                <w:rFonts w:hint="eastAsia"/>
              </w:rPr>
              <w:t>t/a。其中约</w:t>
            </w:r>
            <w:r>
              <w:rPr>
                <w:rFonts w:hint="eastAsia"/>
                <w:lang w:val="en-US" w:eastAsia="zh-CN"/>
              </w:rPr>
              <w:t>5</w:t>
            </w:r>
            <w:r>
              <w:rPr>
                <w:rFonts w:hint="eastAsia"/>
              </w:rPr>
              <w:t>%进入</w:t>
            </w:r>
            <w:r>
              <w:rPr>
                <w:rFonts w:hint="eastAsia"/>
                <w:lang w:eastAsia="zh-CN"/>
              </w:rPr>
              <w:t>泡米</w:t>
            </w:r>
            <w:r>
              <w:rPr>
                <w:rFonts w:hint="eastAsia"/>
              </w:rPr>
              <w:t>工序，则洗米废水排放</w:t>
            </w:r>
            <w:r>
              <w:rPr>
                <w:rFonts w:hint="eastAsia"/>
                <w:lang w:eastAsia="zh-CN"/>
              </w:rPr>
              <w:t>量为</w:t>
            </w:r>
            <w:r>
              <w:rPr>
                <w:rFonts w:hint="eastAsia"/>
                <w:lang w:val="en-US" w:eastAsia="zh-CN"/>
              </w:rPr>
              <w:t>313.5t/a。</w:t>
            </w:r>
          </w:p>
          <w:p w14:paraId="61FF975F">
            <w:pPr>
              <w:pStyle w:val="180"/>
              <w:wordWrap/>
              <w:spacing w:line="360" w:lineRule="auto"/>
              <w:ind w:firstLine="480"/>
              <w:rPr>
                <w:rFonts w:hint="default"/>
                <w:color w:val="auto"/>
                <w:lang w:val="en-US" w:eastAsia="zh-CN"/>
              </w:rPr>
            </w:pPr>
            <w:r>
              <w:rPr>
                <w:rFonts w:hint="eastAsia"/>
                <w:color w:val="auto"/>
                <w:lang w:val="en-US" w:eastAsia="zh-CN"/>
              </w:rPr>
              <w:t>③泡米用水</w:t>
            </w:r>
          </w:p>
          <w:p w14:paraId="65D37EDA">
            <w:pPr>
              <w:pStyle w:val="180"/>
              <w:wordWrap/>
              <w:spacing w:line="360" w:lineRule="auto"/>
              <w:ind w:firstLine="480"/>
              <w:rPr>
                <w:color w:val="auto"/>
              </w:rPr>
            </w:pPr>
            <w:r>
              <w:rPr>
                <w:rFonts w:hint="eastAsia"/>
                <w:color w:val="auto"/>
              </w:rPr>
              <w:t>根据企业提供的资料，浸泡1吨米需要</w:t>
            </w:r>
            <w:r>
              <w:rPr>
                <w:rFonts w:hint="eastAsia"/>
                <w:color w:val="auto"/>
                <w:lang w:val="en-US" w:eastAsia="zh-CN"/>
              </w:rPr>
              <w:t>1</w:t>
            </w:r>
            <w:r>
              <w:rPr>
                <w:rFonts w:hint="eastAsia"/>
                <w:color w:val="auto"/>
              </w:rPr>
              <w:t>吨水，项目年使用大米</w:t>
            </w:r>
            <w:r>
              <w:rPr>
                <w:rFonts w:hint="eastAsia"/>
                <w:color w:val="auto"/>
                <w:lang w:val="en-US" w:eastAsia="zh-CN"/>
              </w:rPr>
              <w:t>220</w:t>
            </w:r>
            <w:r>
              <w:rPr>
                <w:rFonts w:hint="eastAsia"/>
                <w:color w:val="auto"/>
              </w:rPr>
              <w:t>吨，则泡米用水量</w:t>
            </w:r>
            <w:r>
              <w:rPr>
                <w:rFonts w:hint="eastAsia"/>
                <w:color w:val="auto"/>
                <w:lang w:eastAsia="zh-CN"/>
              </w:rPr>
              <w:t>约</w:t>
            </w:r>
            <w:r>
              <w:rPr>
                <w:rFonts w:hint="eastAsia"/>
                <w:color w:val="auto"/>
              </w:rPr>
              <w:t>为</w:t>
            </w:r>
            <w:r>
              <w:rPr>
                <w:rFonts w:hint="eastAsia"/>
                <w:color w:val="auto"/>
                <w:lang w:val="en-US" w:eastAsia="zh-CN"/>
              </w:rPr>
              <w:t>220</w:t>
            </w:r>
            <w:r>
              <w:rPr>
                <w:rFonts w:hint="eastAsia"/>
                <w:color w:val="auto"/>
              </w:rPr>
              <w:t>t/a，</w:t>
            </w:r>
            <w:r>
              <w:rPr>
                <w:rFonts w:hint="eastAsia"/>
                <w:color w:val="auto"/>
                <w:lang w:eastAsia="zh-CN"/>
              </w:rPr>
              <w:t>泡米水全部进入磨浆工序</w:t>
            </w:r>
            <w:r>
              <w:rPr>
                <w:rFonts w:hint="eastAsia"/>
                <w:color w:val="auto"/>
              </w:rPr>
              <w:t>。</w:t>
            </w:r>
          </w:p>
          <w:p w14:paraId="7DB663C2">
            <w:pPr>
              <w:pStyle w:val="771"/>
              <w:bidi w:val="0"/>
              <w:rPr>
                <w:rFonts w:hint="eastAsia"/>
                <w:lang w:eastAsia="zh-CN"/>
              </w:rPr>
            </w:pPr>
            <w:r>
              <w:rPr>
                <w:rFonts w:hint="eastAsia"/>
                <w:lang w:eastAsia="zh-CN"/>
              </w:rPr>
              <w:t>③设备清洗用水</w:t>
            </w:r>
          </w:p>
          <w:p w14:paraId="56E730EB">
            <w:pPr>
              <w:pStyle w:val="771"/>
              <w:bidi w:val="0"/>
              <w:rPr>
                <w:rFonts w:hint="default"/>
                <w:lang w:val="en-US" w:eastAsia="zh-CN"/>
              </w:rPr>
            </w:pPr>
            <w:r>
              <w:rPr>
                <w:rFonts w:hint="eastAsia"/>
                <w:lang w:val="en-US" w:eastAsia="zh-CN"/>
              </w:rPr>
              <w:t>根据建设单位提供资料，项目仅凉皮生产设备（4台）在每日生产结束后用清水冲洗设备，每次清洗用水量约为5L/台，其余6台设备平均3天采用抹布擦拭清理一次，每次擦拭用水量约为2L</w:t>
            </w:r>
            <w:r>
              <w:rPr>
                <w:rFonts w:hint="default"/>
                <w:lang w:val="en-US" w:eastAsia="zh-CN"/>
              </w:rPr>
              <w:t>/</w:t>
            </w:r>
            <w:r>
              <w:rPr>
                <w:rFonts w:hint="eastAsia"/>
                <w:lang w:val="en-US" w:eastAsia="zh-CN"/>
              </w:rPr>
              <w:t>台。则设备清洗用水量为7.2t/a，废水产生量按照用水量的80%计，则设备清洗废水产生量为5.76t/a。</w:t>
            </w:r>
          </w:p>
          <w:p w14:paraId="7A0526F6">
            <w:pPr>
              <w:pStyle w:val="771"/>
              <w:bidi w:val="0"/>
              <w:rPr>
                <w:rFonts w:hint="eastAsia"/>
                <w:lang w:eastAsia="zh-CN"/>
              </w:rPr>
            </w:pPr>
            <w:r>
              <w:rPr>
                <w:rFonts w:hint="eastAsia"/>
                <w:lang w:eastAsia="zh-CN"/>
              </w:rPr>
              <w:t>④地面保洁用水</w:t>
            </w:r>
          </w:p>
          <w:p w14:paraId="2232C78E">
            <w:pPr>
              <w:pStyle w:val="771"/>
              <w:bidi w:val="0"/>
              <w:rPr>
                <w:rFonts w:hint="eastAsia"/>
                <w:lang w:eastAsia="zh-CN"/>
              </w:rPr>
            </w:pPr>
            <w:r>
              <w:rPr>
                <w:rFonts w:hint="eastAsia"/>
                <w:lang w:eastAsia="zh-CN"/>
              </w:rPr>
              <w:t>本项目生产车间内地面每日进行保洁，采用</w:t>
            </w:r>
            <w:r>
              <w:rPr>
                <w:rFonts w:hint="eastAsia"/>
                <w:lang w:val="en-US" w:eastAsia="zh-CN"/>
              </w:rPr>
              <w:t>拖洗</w:t>
            </w:r>
            <w:r>
              <w:rPr>
                <w:rFonts w:hint="eastAsia"/>
                <w:lang w:eastAsia="zh-CN"/>
              </w:rPr>
              <w:t>的方式进行，根据《建筑给水排水设计规范》（GB50015-2019）中的规定，“地面冲洗水用水量为2~3L/m</w:t>
            </w:r>
            <w:r>
              <w:rPr>
                <w:rFonts w:hint="eastAsia"/>
                <w:vertAlign w:val="superscript"/>
                <w:lang w:eastAsia="zh-CN"/>
              </w:rPr>
              <w:t>2</w:t>
            </w:r>
            <w:r>
              <w:rPr>
                <w:rFonts w:hint="eastAsia"/>
                <w:lang w:eastAsia="zh-CN"/>
              </w:rPr>
              <w:t>次”。考虑本项目采用拖洗的方式，故取值按0.5L/m</w:t>
            </w:r>
            <w:r>
              <w:rPr>
                <w:rFonts w:hint="eastAsia"/>
                <w:vertAlign w:val="superscript"/>
                <w:lang w:val="en-US" w:eastAsia="zh-CN"/>
              </w:rPr>
              <w:t>2</w:t>
            </w:r>
            <w:r>
              <w:rPr>
                <w:rFonts w:hint="eastAsia"/>
                <w:lang w:eastAsia="zh-CN"/>
              </w:rPr>
              <w:t>次计，保洁面积</w:t>
            </w:r>
            <w:r>
              <w:rPr>
                <w:rFonts w:hint="default" w:ascii="Times New Roman" w:hAnsi="Times New Roman" w:cs="Times New Roman"/>
                <w:lang w:eastAsia="zh-CN"/>
              </w:rPr>
              <w:t>为</w:t>
            </w:r>
            <w:r>
              <w:rPr>
                <w:rFonts w:hint="default" w:ascii="Times New Roman" w:hAnsi="Times New Roman" w:cs="Times New Roman"/>
                <w:lang w:val="en-US" w:eastAsia="zh-CN"/>
              </w:rPr>
              <w:t>2901</w:t>
            </w:r>
            <w:r>
              <w:rPr>
                <w:rFonts w:hint="default" w:ascii="Times New Roman" w:hAnsi="Times New Roman" w:cs="Times New Roman"/>
                <w:lang w:eastAsia="zh-CN"/>
              </w:rPr>
              <w:t>m</w:t>
            </w:r>
            <w:r>
              <w:rPr>
                <w:rFonts w:hint="eastAsia" w:ascii="Times New Roman" w:hAnsi="Times New Roman" w:cs="Times New Roman"/>
                <w:vertAlign w:val="superscript"/>
                <w:lang w:val="en-US" w:eastAsia="zh-CN"/>
              </w:rPr>
              <w:t>2</w:t>
            </w:r>
            <w:r>
              <w:rPr>
                <w:rFonts w:hint="default" w:ascii="Times New Roman" w:hAnsi="Times New Roman" w:cs="Times New Roman"/>
                <w:lang w:eastAsia="zh-CN"/>
              </w:rPr>
              <w:t>，</w:t>
            </w:r>
            <w:r>
              <w:rPr>
                <w:rFonts w:hint="eastAsia"/>
                <w:lang w:eastAsia="zh-CN"/>
              </w:rPr>
              <w:t>则每日保洁用水量约为</w:t>
            </w:r>
            <w:r>
              <w:rPr>
                <w:rFonts w:hint="eastAsia"/>
                <w:lang w:val="en-US" w:eastAsia="zh-CN"/>
              </w:rPr>
              <w:t>1.45</w:t>
            </w:r>
            <w:r>
              <w:rPr>
                <w:rFonts w:hint="eastAsia"/>
                <w:lang w:eastAsia="zh-CN"/>
              </w:rPr>
              <w:t>t，年用水量</w:t>
            </w:r>
            <w:r>
              <w:rPr>
                <w:rFonts w:hint="eastAsia"/>
                <w:lang w:val="en-US" w:eastAsia="zh-CN"/>
              </w:rPr>
              <w:t>435</w:t>
            </w:r>
            <w:r>
              <w:rPr>
                <w:rFonts w:hint="eastAsia"/>
                <w:lang w:eastAsia="zh-CN"/>
              </w:rPr>
              <w:t>t（一年按300天计算）；保洁废水排放系数按0.8算，则保洁废水排放量为</w:t>
            </w:r>
            <w:r>
              <w:rPr>
                <w:rFonts w:hint="eastAsia"/>
                <w:lang w:val="en-US" w:eastAsia="zh-CN"/>
              </w:rPr>
              <w:t>1.16</w:t>
            </w:r>
            <w:r>
              <w:rPr>
                <w:rFonts w:hint="eastAsia"/>
                <w:lang w:eastAsia="zh-CN"/>
              </w:rPr>
              <w:t>t/d，年排放量为</w:t>
            </w:r>
            <w:r>
              <w:rPr>
                <w:rFonts w:hint="eastAsia"/>
                <w:lang w:val="en-US" w:eastAsia="zh-CN"/>
              </w:rPr>
              <w:t>348</w:t>
            </w:r>
            <w:r>
              <w:rPr>
                <w:rFonts w:hint="eastAsia"/>
                <w:lang w:eastAsia="zh-CN"/>
              </w:rPr>
              <w:t>t。</w:t>
            </w:r>
          </w:p>
          <w:p w14:paraId="609BD407">
            <w:pPr>
              <w:pStyle w:val="771"/>
              <w:bidi w:val="0"/>
              <w:rPr>
                <w:rFonts w:hint="eastAsia"/>
                <w:lang w:eastAsia="zh-CN"/>
              </w:rPr>
            </w:pPr>
            <w:r>
              <w:rPr>
                <w:rFonts w:hint="eastAsia"/>
                <w:lang w:eastAsia="zh-CN"/>
              </w:rPr>
              <w:t>⑤检验用水</w:t>
            </w:r>
          </w:p>
          <w:p w14:paraId="60FC6286">
            <w:pPr>
              <w:pStyle w:val="771"/>
              <w:bidi w:val="0"/>
              <w:rPr>
                <w:rFonts w:hint="eastAsia"/>
                <w:lang w:val="en-US" w:eastAsia="zh-CN"/>
              </w:rPr>
            </w:pPr>
            <w:r>
              <w:rPr>
                <w:rFonts w:hint="eastAsia"/>
                <w:lang w:val="en-US" w:eastAsia="zh-CN"/>
              </w:rPr>
              <w:t>检验用水：项目检验室用水主要为检验用水和试剂瓶清洗用水。根据建设单位提供资料及类比同类型项目可知，本项目检验用水量约为</w:t>
            </w:r>
            <w:r>
              <w:rPr>
                <w:rFonts w:hint="default"/>
                <w:lang w:val="en-US" w:eastAsia="zh-CN"/>
              </w:rPr>
              <w:t>0.</w:t>
            </w:r>
            <w:r>
              <w:rPr>
                <w:rFonts w:hint="eastAsia"/>
                <w:lang w:val="en-US" w:eastAsia="zh-CN"/>
              </w:rPr>
              <w:t>0</w:t>
            </w:r>
            <w:r>
              <w:rPr>
                <w:rFonts w:hint="default"/>
                <w:lang w:val="en-US" w:eastAsia="zh-CN"/>
              </w:rPr>
              <w:t>1m</w:t>
            </w:r>
            <w:r>
              <w:rPr>
                <w:rFonts w:hint="default"/>
                <w:vertAlign w:val="superscript"/>
                <w:lang w:val="en-US" w:eastAsia="zh-CN"/>
              </w:rPr>
              <w:t>3</w:t>
            </w:r>
            <w:r>
              <w:rPr>
                <w:rFonts w:hint="default"/>
                <w:lang w:val="en-US" w:eastAsia="zh-CN"/>
              </w:rPr>
              <w:t>/d</w:t>
            </w:r>
            <w:r>
              <w:rPr>
                <w:rFonts w:hint="eastAsia"/>
                <w:lang w:val="en-US" w:eastAsia="zh-CN"/>
              </w:rPr>
              <w:t>（</w:t>
            </w:r>
            <w:r>
              <w:rPr>
                <w:rFonts w:hint="default"/>
                <w:lang w:val="en-US" w:eastAsia="zh-CN"/>
              </w:rPr>
              <w:t>3m</w:t>
            </w:r>
            <w:r>
              <w:rPr>
                <w:rFonts w:hint="default"/>
                <w:vertAlign w:val="superscript"/>
                <w:lang w:val="en-US" w:eastAsia="zh-CN"/>
              </w:rPr>
              <w:t>3</w:t>
            </w:r>
            <w:r>
              <w:rPr>
                <w:rFonts w:hint="default"/>
                <w:lang w:val="en-US" w:eastAsia="zh-CN"/>
              </w:rPr>
              <w:t>/a</w:t>
            </w:r>
            <w:r>
              <w:rPr>
                <w:rFonts w:hint="eastAsia"/>
                <w:lang w:val="en-US" w:eastAsia="zh-CN"/>
              </w:rPr>
              <w:t>），其污水排放系数按</w:t>
            </w:r>
            <w:r>
              <w:rPr>
                <w:rFonts w:hint="default"/>
                <w:lang w:val="en-US" w:eastAsia="zh-CN"/>
              </w:rPr>
              <w:t>0.8</w:t>
            </w:r>
            <w:r>
              <w:rPr>
                <w:rFonts w:hint="eastAsia"/>
                <w:lang w:val="en-US" w:eastAsia="zh-CN"/>
              </w:rPr>
              <w:t>计，则检验废水产生量为</w:t>
            </w:r>
            <w:r>
              <w:rPr>
                <w:rFonts w:hint="default"/>
                <w:lang w:val="en-US" w:eastAsia="zh-CN"/>
              </w:rPr>
              <w:t>0.0</w:t>
            </w:r>
            <w:r>
              <w:rPr>
                <w:rFonts w:hint="eastAsia"/>
                <w:lang w:val="en-US" w:eastAsia="zh-CN"/>
              </w:rPr>
              <w:t>0</w:t>
            </w:r>
            <w:r>
              <w:rPr>
                <w:rFonts w:hint="default"/>
                <w:lang w:val="en-US" w:eastAsia="zh-CN"/>
              </w:rPr>
              <w:t>8m</w:t>
            </w:r>
            <w:r>
              <w:rPr>
                <w:rFonts w:hint="default"/>
                <w:vertAlign w:val="superscript"/>
                <w:lang w:val="en-US" w:eastAsia="zh-CN"/>
              </w:rPr>
              <w:t>3</w:t>
            </w:r>
            <w:r>
              <w:rPr>
                <w:rFonts w:hint="default"/>
                <w:lang w:val="en-US" w:eastAsia="zh-CN"/>
              </w:rPr>
              <w:t>/d</w:t>
            </w:r>
            <w:r>
              <w:rPr>
                <w:rFonts w:hint="eastAsia"/>
                <w:lang w:val="en-US" w:eastAsia="zh-CN"/>
              </w:rPr>
              <w:t>（</w:t>
            </w:r>
            <w:r>
              <w:rPr>
                <w:rFonts w:hint="default"/>
                <w:lang w:val="en-US" w:eastAsia="zh-CN"/>
              </w:rPr>
              <w:t>2</w:t>
            </w:r>
            <w:r>
              <w:rPr>
                <w:rFonts w:hint="eastAsia"/>
                <w:lang w:val="en-US" w:eastAsia="zh-CN"/>
              </w:rPr>
              <w:t>.</w:t>
            </w:r>
            <w:r>
              <w:rPr>
                <w:rFonts w:hint="default"/>
                <w:lang w:val="en-US" w:eastAsia="zh-CN"/>
              </w:rPr>
              <w:t>4m</w:t>
            </w:r>
            <w:r>
              <w:rPr>
                <w:rFonts w:hint="default"/>
                <w:vertAlign w:val="superscript"/>
                <w:lang w:val="en-US" w:eastAsia="zh-CN"/>
              </w:rPr>
              <w:t>3</w:t>
            </w:r>
            <w:r>
              <w:rPr>
                <w:rFonts w:hint="default"/>
                <w:lang w:val="en-US" w:eastAsia="zh-CN"/>
              </w:rPr>
              <w:t>/a</w:t>
            </w:r>
            <w:r>
              <w:rPr>
                <w:rFonts w:hint="eastAsia"/>
                <w:lang w:val="en-US" w:eastAsia="zh-CN"/>
              </w:rPr>
              <w:t>）。本项目仅对原料及产品含水率、盐分进行抽样检验，检验过程不涉及化学试剂以及化学反应，因此，检验废水可与其余生产废水一起进入沉淀池进行处理。</w:t>
            </w:r>
          </w:p>
          <w:p w14:paraId="1BA6C70F">
            <w:pPr>
              <w:pStyle w:val="771"/>
              <w:bidi w:val="0"/>
              <w:rPr>
                <w:rFonts w:hint="eastAsia"/>
                <w:lang w:eastAsia="zh-CN"/>
              </w:rPr>
            </w:pPr>
            <w:r>
              <w:rPr>
                <w:rFonts w:hint="eastAsia"/>
                <w:szCs w:val="20"/>
                <w:lang w:val="en-US" w:eastAsia="zh-CN"/>
              </w:rPr>
              <w:t>综上，本项目建成后水平衡如下所示。</w:t>
            </w:r>
          </w:p>
          <w:p w14:paraId="0CCD9E1F">
            <w:pPr>
              <w:pStyle w:val="285"/>
              <w:framePr w:hSpace="0" w:wrap="auto" w:vAnchor="margin" w:hAnchor="text" w:xAlign="left" w:yAlign="inline"/>
              <w:spacing w:line="360" w:lineRule="auto"/>
              <w:rPr>
                <w:rStyle w:val="729"/>
                <w:b/>
                <w:color w:val="0000FF"/>
                <w:lang w:val="zh-CN"/>
              </w:rPr>
            </w:pPr>
            <w:r>
              <w:rPr>
                <w:rStyle w:val="729"/>
                <w:b/>
                <w:color w:val="0000FF"/>
                <w:lang w:val="zh-CN"/>
              </w:rPr>
              <w:drawing>
                <wp:inline distT="0" distB="0" distL="114300" distR="114300">
                  <wp:extent cx="5526405" cy="3974465"/>
                  <wp:effectExtent l="0" t="0" r="0" b="0"/>
                  <wp:docPr id="5" name="ECB019B1-382A-4266-B25C-5B523AA43C14-1" descr="C:/Users/Administrator/AppData/Local/Temp/wps.eLZyaF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CB019B1-382A-4266-B25C-5B523AA43C14-1" descr="C:/Users/Administrator/AppData/Local/Temp/wps.eLZyaFwps"/>
                          <pic:cNvPicPr>
                            <a:picLocks noChangeAspect="1"/>
                          </pic:cNvPicPr>
                        </pic:nvPicPr>
                        <pic:blipFill>
                          <a:blip r:embed="rId27"/>
                          <a:stretch>
                            <a:fillRect/>
                          </a:stretch>
                        </pic:blipFill>
                        <pic:spPr>
                          <a:xfrm>
                            <a:off x="0" y="0"/>
                            <a:ext cx="5526405" cy="3974465"/>
                          </a:xfrm>
                          <a:prstGeom prst="rect">
                            <a:avLst/>
                          </a:prstGeom>
                        </pic:spPr>
                      </pic:pic>
                    </a:graphicData>
                  </a:graphic>
                </wp:inline>
              </w:drawing>
            </w:r>
          </w:p>
          <w:p w14:paraId="19B6ECA0">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lang w:val="en-US" w:eastAsia="zh-CN"/>
              </w:rPr>
            </w:pPr>
            <w:r>
              <w:t xml:space="preserve">图 </w:t>
            </w:r>
            <w:r>
              <w:rPr>
                <w:rFonts w:hint="eastAsia"/>
                <w:lang w:val="en-US" w:eastAsia="zh-CN"/>
              </w:rPr>
              <w:t>2</w:t>
            </w:r>
            <w:r>
              <w:rPr>
                <w:rFonts w:hint="eastAsia"/>
                <w:lang w:eastAsia="zh-CN"/>
              </w:rPr>
              <w:t>-</w:t>
            </w:r>
            <w:r>
              <w:fldChar w:fldCharType="begin"/>
            </w:r>
            <w:r>
              <w:instrText xml:space="preserve"> SEQ 图 \* ARABIC \s 1 </w:instrText>
            </w:r>
            <w:r>
              <w:fldChar w:fldCharType="separate"/>
            </w:r>
            <w:r>
              <w:t>2</w:t>
            </w:r>
            <w:r>
              <w:fldChar w:fldCharType="end"/>
            </w:r>
            <w:r>
              <w:rPr>
                <w:rFonts w:hint="eastAsia"/>
                <w:lang w:val="en-US" w:eastAsia="zh-CN"/>
              </w:rPr>
              <w:t xml:space="preserve"> </w:t>
            </w:r>
            <w:r>
              <w:rPr>
                <w:lang w:val="zh-CN"/>
              </w:rPr>
              <w:t>本项目建成后水平衡图（单位：t/</w:t>
            </w:r>
            <w:r>
              <w:rPr>
                <w:rFonts w:hint="eastAsia"/>
                <w:lang w:val="en-US" w:eastAsia="zh-CN"/>
              </w:rPr>
              <w:t>a</w:t>
            </w:r>
            <w:r>
              <w:rPr>
                <w:lang w:val="zh-CN"/>
              </w:rPr>
              <w:t>）</w:t>
            </w:r>
          </w:p>
          <w:p w14:paraId="6ED69BDB">
            <w:pPr>
              <w:pStyle w:val="179"/>
              <w:framePr w:hSpace="0" w:wrap="auto" w:vAnchor="margin" w:hAnchor="text" w:xAlign="left" w:yAlign="inline"/>
              <w:ind w:firstLine="482"/>
              <w:rPr>
                <w:rFonts w:ascii="宋体" w:hAnsi="宋体" w:cs="宋体"/>
                <w:color w:val="auto"/>
              </w:rPr>
            </w:pPr>
            <w:r>
              <w:rPr>
                <w:color w:val="auto"/>
              </w:rPr>
              <w:t>2.2.</w:t>
            </w:r>
            <w:r>
              <w:rPr>
                <w:rFonts w:eastAsiaTheme="minorEastAsia"/>
                <w:color w:val="auto"/>
              </w:rPr>
              <w:t>11</w:t>
            </w:r>
            <w:r>
              <w:rPr>
                <w:rFonts w:hint="eastAsia" w:ascii="宋体" w:hAnsi="宋体" w:cs="宋体"/>
                <w:color w:val="auto"/>
              </w:rPr>
              <w:t>公用工程</w:t>
            </w:r>
          </w:p>
          <w:p w14:paraId="3A261DB1">
            <w:pPr>
              <w:pStyle w:val="180"/>
              <w:wordWrap/>
              <w:ind w:firstLine="480"/>
              <w:rPr>
                <w:color w:val="auto"/>
              </w:rPr>
            </w:pPr>
            <w:r>
              <w:rPr>
                <w:color w:val="auto"/>
              </w:rPr>
              <w:t>1、给水</w:t>
            </w:r>
          </w:p>
          <w:p w14:paraId="634DCFF6">
            <w:pPr>
              <w:pStyle w:val="180"/>
              <w:wordWrap/>
              <w:ind w:firstLine="480"/>
              <w:rPr>
                <w:color w:val="auto"/>
                <w:lang w:eastAsia="zh-TW"/>
              </w:rPr>
            </w:pPr>
            <w:r>
              <w:rPr>
                <w:color w:val="auto"/>
              </w:rPr>
              <w:t>本项目</w:t>
            </w:r>
            <w:r>
              <w:rPr>
                <w:color w:val="auto"/>
                <w:lang w:eastAsia="zh-Hans"/>
              </w:rPr>
              <w:t>用水</w:t>
            </w:r>
            <w:r>
              <w:rPr>
                <w:color w:val="auto"/>
              </w:rPr>
              <w:t>量</w:t>
            </w:r>
            <w:r>
              <w:rPr>
                <w:rFonts w:hint="eastAsia"/>
                <w:color w:val="auto"/>
              </w:rPr>
              <w:t>为</w:t>
            </w:r>
            <w:r>
              <w:rPr>
                <w:rFonts w:hint="eastAsia"/>
                <w:color w:val="auto"/>
                <w:lang w:val="en-US" w:eastAsia="zh-CN"/>
              </w:rPr>
              <w:t>2226</w:t>
            </w:r>
            <w:r>
              <w:rPr>
                <w:color w:val="auto"/>
                <w:sz w:val="21"/>
              </w:rPr>
              <w:t>m</w:t>
            </w:r>
            <w:r>
              <w:rPr>
                <w:color w:val="auto"/>
                <w:sz w:val="21"/>
                <w:vertAlign w:val="superscript"/>
              </w:rPr>
              <w:t>3</w:t>
            </w:r>
            <w:r>
              <w:rPr>
                <w:color w:val="auto"/>
                <w:sz w:val="21"/>
              </w:rPr>
              <w:t>/a</w:t>
            </w:r>
            <w:r>
              <w:rPr>
                <w:color w:val="auto"/>
                <w:lang w:eastAsia="zh-Hans"/>
              </w:rPr>
              <w:t>，</w:t>
            </w:r>
            <w:r>
              <w:rPr>
                <w:color w:val="auto"/>
              </w:rPr>
              <w:t>由</w:t>
            </w:r>
            <w:r>
              <w:rPr>
                <w:color w:val="auto"/>
                <w:lang w:eastAsia="zh-TW"/>
              </w:rPr>
              <w:t>市政给水系统提供。</w:t>
            </w:r>
          </w:p>
          <w:p w14:paraId="3B300734">
            <w:pPr>
              <w:pStyle w:val="180"/>
              <w:wordWrap/>
              <w:ind w:firstLine="480"/>
              <w:rPr>
                <w:color w:val="auto"/>
              </w:rPr>
            </w:pPr>
            <w:r>
              <w:rPr>
                <w:color w:val="auto"/>
              </w:rPr>
              <w:t>2、排水</w:t>
            </w:r>
          </w:p>
          <w:p w14:paraId="3C9132E1">
            <w:pPr>
              <w:pStyle w:val="180"/>
              <w:wordWrap/>
              <w:ind w:firstLine="480"/>
              <w:rPr>
                <w:rFonts w:hint="eastAsia" w:eastAsia="宋体"/>
                <w:color w:val="0000FF"/>
                <w:lang w:eastAsia="zh-CN"/>
              </w:rPr>
            </w:pPr>
            <w:r>
              <w:rPr>
                <w:color w:val="auto"/>
              </w:rPr>
              <w:t>本项目</w:t>
            </w:r>
            <w:r>
              <w:rPr>
                <w:color w:val="auto"/>
                <w:lang w:eastAsia="zh-TW"/>
              </w:rPr>
              <w:t>采用雨污分流</w:t>
            </w:r>
            <w:r>
              <w:rPr>
                <w:color w:val="auto"/>
              </w:rPr>
              <w:t>。</w:t>
            </w:r>
            <w:r>
              <w:rPr>
                <w:color w:val="auto"/>
                <w:lang w:eastAsia="zh-TW"/>
              </w:rPr>
              <w:t>雨水</w:t>
            </w:r>
            <w:r>
              <w:rPr>
                <w:color w:val="auto"/>
              </w:rPr>
              <w:t>依托</w:t>
            </w:r>
            <w:r>
              <w:rPr>
                <w:rFonts w:hint="eastAsia"/>
                <w:color w:val="auto"/>
                <w:lang w:eastAsia="zh-CN"/>
              </w:rPr>
              <w:t>高端装备产业园</w:t>
            </w:r>
            <w:r>
              <w:rPr>
                <w:color w:val="auto"/>
              </w:rPr>
              <w:t>内雨水</w:t>
            </w:r>
            <w:r>
              <w:rPr>
                <w:color w:val="auto"/>
                <w:lang w:eastAsia="zh-TW"/>
              </w:rPr>
              <w:t>管网收集后排入市政雨水管网</w:t>
            </w:r>
            <w:r>
              <w:rPr>
                <w:color w:val="auto"/>
              </w:rPr>
              <w:t>。项目所在区域已纳管，</w:t>
            </w:r>
            <w:r>
              <w:rPr>
                <w:rFonts w:hint="eastAsia"/>
                <w:color w:val="auto"/>
                <w:lang w:eastAsia="zh-CN"/>
              </w:rPr>
              <w:t>外排废水</w:t>
            </w:r>
            <w:r>
              <w:rPr>
                <w:rFonts w:cs="Times New Roman"/>
                <w:color w:val="auto"/>
              </w:rPr>
              <w:t>经</w:t>
            </w:r>
            <w:r>
              <w:rPr>
                <w:rFonts w:hint="eastAsia" w:ascii="Times New Roman" w:hAnsi="Times New Roman" w:eastAsia="宋体" w:cs="Times New Roman"/>
                <w:color w:val="auto"/>
                <w:lang w:eastAsia="zh-CN"/>
              </w:rPr>
              <w:t>淮南经济技术开发区高端装备产业园污水处理站</w:t>
            </w:r>
            <w:r>
              <w:rPr>
                <w:rFonts w:ascii="Times New Roman" w:hAnsi="Times New Roman" w:eastAsia="宋体" w:cs="Times New Roman"/>
                <w:color w:val="auto"/>
              </w:rPr>
              <w:t>处理</w:t>
            </w:r>
            <w:r>
              <w:rPr>
                <w:rFonts w:cs="Times New Roman"/>
                <w:color w:val="auto"/>
              </w:rPr>
              <w:t>达标</w:t>
            </w:r>
            <w:r>
              <w:rPr>
                <w:rFonts w:hint="eastAsia" w:cs="Times New Roman"/>
                <w:color w:val="auto"/>
                <w:lang w:eastAsia="zh-CN"/>
              </w:rPr>
              <w:t>后</w:t>
            </w:r>
            <w:r>
              <w:rPr>
                <w:rFonts w:cs="Times New Roman"/>
                <w:color w:val="auto"/>
              </w:rPr>
              <w:t>，由区域污水管网接入</w:t>
            </w:r>
            <w:r>
              <w:rPr>
                <w:rFonts w:hint="eastAsia" w:cs="Times New Roman"/>
                <w:color w:val="auto"/>
                <w:lang w:eastAsia="zh-CN"/>
              </w:rPr>
              <w:t>淮南经济技术开发区工业</w:t>
            </w:r>
            <w:r>
              <w:rPr>
                <w:rFonts w:cs="Times New Roman"/>
                <w:color w:val="auto"/>
              </w:rPr>
              <w:t>污水处理厂集中处理，尾水处理达标后由大涧沟排入淮河（淮南段</w:t>
            </w:r>
            <w:r>
              <w:rPr>
                <w:rFonts w:hint="eastAsia" w:cs="Times New Roman"/>
                <w:color w:val="auto"/>
                <w:lang w:eastAsia="zh-CN"/>
              </w:rPr>
              <w:t>）。</w:t>
            </w:r>
          </w:p>
          <w:p w14:paraId="2959A52D">
            <w:pPr>
              <w:pStyle w:val="180"/>
              <w:wordWrap/>
              <w:ind w:firstLine="480"/>
              <w:rPr>
                <w:color w:val="auto"/>
              </w:rPr>
            </w:pPr>
            <w:r>
              <w:rPr>
                <w:color w:val="auto"/>
              </w:rPr>
              <w:t>3、供电</w:t>
            </w:r>
          </w:p>
          <w:p w14:paraId="6F22751A">
            <w:pPr>
              <w:pStyle w:val="180"/>
              <w:wordWrap/>
              <w:ind w:firstLine="480"/>
              <w:rPr>
                <w:color w:val="auto"/>
              </w:rPr>
            </w:pPr>
            <w:r>
              <w:rPr>
                <w:color w:val="auto"/>
              </w:rPr>
              <w:t>本项目年用电约为</w:t>
            </w:r>
            <w:r>
              <w:rPr>
                <w:rFonts w:hint="eastAsia"/>
                <w:color w:val="auto"/>
                <w:lang w:val="en-US" w:eastAsia="zh-CN"/>
              </w:rPr>
              <w:t>8</w:t>
            </w:r>
            <w:r>
              <w:rPr>
                <w:color w:val="auto"/>
              </w:rPr>
              <w:t>万kW·h，由市政电网供电，电力供应充足，可以满足项目所需。</w:t>
            </w:r>
          </w:p>
          <w:p w14:paraId="17F36AC5">
            <w:pPr>
              <w:pStyle w:val="180"/>
              <w:wordWrap/>
              <w:ind w:firstLine="480"/>
              <w:rPr>
                <w:color w:val="auto"/>
              </w:rPr>
            </w:pPr>
            <w:r>
              <w:rPr>
                <w:color w:val="auto"/>
              </w:rPr>
              <w:t>4、供</w:t>
            </w:r>
            <w:r>
              <w:rPr>
                <w:rFonts w:hint="eastAsia"/>
                <w:color w:val="auto"/>
                <w:lang w:eastAsia="zh-CN"/>
              </w:rPr>
              <w:t>汽</w:t>
            </w:r>
          </w:p>
          <w:p w14:paraId="031CAE6F">
            <w:pPr>
              <w:pStyle w:val="23"/>
              <w:keepNext w:val="0"/>
              <w:keepLines w:val="0"/>
              <w:pageBreakBefore w:val="0"/>
              <w:widowControl/>
              <w:kinsoku/>
              <w:wordWrap/>
              <w:overflowPunct/>
              <w:topLinePunct w:val="0"/>
              <w:autoSpaceDE/>
              <w:autoSpaceDN/>
              <w:bidi w:val="0"/>
              <w:adjustRightInd w:val="0"/>
              <w:snapToGrid w:val="0"/>
              <w:spacing w:line="360" w:lineRule="auto"/>
              <w:ind w:right="0" w:firstLine="480" w:firstLineChars="200"/>
              <w:textAlignment w:val="auto"/>
              <w:rPr>
                <w:rFonts w:ascii="Times New Roman" w:hAnsi="Times New Roman" w:eastAsia="宋体" w:cs="Times New Roman"/>
                <w:color w:val="auto"/>
                <w:sz w:val="24"/>
                <w:lang w:val="en-US" w:eastAsia="zh-CN" w:bidi="en-US"/>
              </w:rPr>
            </w:pPr>
            <w:r>
              <w:rPr>
                <w:rFonts w:ascii="Times New Roman" w:hAnsi="Times New Roman" w:eastAsia="宋体" w:cs="Times New Roman"/>
                <w:color w:val="auto"/>
                <w:sz w:val="24"/>
                <w:lang w:val="en-US" w:eastAsia="zh-CN" w:bidi="en-US"/>
              </w:rPr>
              <w:t>本项目</w:t>
            </w:r>
            <w:r>
              <w:rPr>
                <w:rFonts w:hint="eastAsia" w:ascii="Times New Roman" w:hAnsi="Times New Roman" w:eastAsia="宋体" w:cs="Times New Roman"/>
                <w:color w:val="auto"/>
                <w:sz w:val="24"/>
                <w:lang w:val="en-US" w:eastAsia="zh-CN" w:bidi="en-US"/>
              </w:rPr>
              <w:t>熟化工序</w:t>
            </w:r>
            <w:r>
              <w:rPr>
                <w:rFonts w:hint="eastAsia" w:ascii="Times New Roman" w:hAnsi="Times New Roman" w:cs="Times New Roman"/>
                <w:color w:val="auto"/>
                <w:sz w:val="24"/>
                <w:lang w:val="en-US" w:eastAsia="zh-CN" w:bidi="en-US"/>
              </w:rPr>
              <w:t>所需</w:t>
            </w:r>
            <w:r>
              <w:rPr>
                <w:rFonts w:hint="eastAsia" w:ascii="Times New Roman" w:hAnsi="Times New Roman" w:eastAsia="宋体" w:cs="Times New Roman"/>
                <w:color w:val="auto"/>
                <w:sz w:val="24"/>
                <w:lang w:val="en-US" w:eastAsia="zh-CN" w:bidi="en-US"/>
              </w:rPr>
              <w:t>蒸汽年用量约600吨，</w:t>
            </w:r>
            <w:r>
              <w:rPr>
                <w:rFonts w:ascii="Times New Roman" w:hAnsi="Times New Roman" w:eastAsia="宋体" w:cs="Times New Roman"/>
                <w:color w:val="auto"/>
                <w:sz w:val="24"/>
                <w:lang w:val="en-US" w:eastAsia="zh-CN" w:bidi="en-US"/>
              </w:rPr>
              <w:t>蒸汽由园区蒸汽管网供给，管径为DN250，压力为0.6</w:t>
            </w:r>
            <w:r>
              <w:rPr>
                <w:rFonts w:hint="eastAsia" w:ascii="Times New Roman" w:hAnsi="Times New Roman" w:eastAsia="宋体" w:cs="Times New Roman"/>
                <w:color w:val="auto"/>
                <w:sz w:val="24"/>
                <w:lang w:val="en-US" w:eastAsia="zh-CN" w:bidi="en-US"/>
              </w:rPr>
              <w:t>~</w:t>
            </w:r>
            <w:r>
              <w:rPr>
                <w:rFonts w:ascii="Times New Roman" w:hAnsi="Times New Roman" w:eastAsia="宋体" w:cs="Times New Roman"/>
                <w:color w:val="auto"/>
                <w:sz w:val="24"/>
                <w:lang w:val="en-US" w:eastAsia="zh-CN" w:bidi="en-US"/>
              </w:rPr>
              <w:t>0.8Mpa。</w:t>
            </w:r>
          </w:p>
          <w:p w14:paraId="421FDDEE">
            <w:pPr>
              <w:pStyle w:val="180"/>
              <w:keepNext w:val="0"/>
              <w:keepLines w:val="0"/>
              <w:pageBreakBefore w:val="0"/>
              <w:widowControl/>
              <w:kinsoku/>
              <w:wordWrap/>
              <w:overflowPunct/>
              <w:topLinePunct w:val="0"/>
              <w:autoSpaceDE/>
              <w:autoSpaceDN/>
              <w:bidi w:val="0"/>
              <w:adjustRightInd w:val="0"/>
              <w:snapToGrid w:val="0"/>
              <w:spacing w:line="360" w:lineRule="auto"/>
              <w:ind w:right="0" w:firstLine="480" w:firstLineChars="200"/>
              <w:textAlignment w:val="auto"/>
              <w:rPr>
                <w:rFonts w:hint="eastAsia"/>
                <w:color w:val="0000FF"/>
              </w:rPr>
            </w:pPr>
            <w:r>
              <w:rPr>
                <w:rFonts w:hint="eastAsia" w:ascii="Times New Roman" w:hAnsi="Times New Roman" w:eastAsia="宋体" w:cs="Times New Roman"/>
                <w:color w:val="auto"/>
                <w:sz w:val="24"/>
                <w:lang w:val="en-US" w:eastAsia="zh-CN" w:bidi="en-US"/>
              </w:rPr>
              <w:t>淮南经济技术开发区</w:t>
            </w:r>
            <w:r>
              <w:rPr>
                <w:rFonts w:ascii="Times New Roman" w:hAnsi="Times New Roman" w:eastAsia="宋体" w:cs="Times New Roman"/>
                <w:color w:val="auto"/>
                <w:sz w:val="24"/>
                <w:lang w:val="en-US" w:eastAsia="zh-CN" w:bidi="en-US"/>
              </w:rPr>
              <w:t>采用集中供热，蒸汽管道来自田</w:t>
            </w:r>
            <w:r>
              <w:rPr>
                <w:rFonts w:ascii="Times New Roman" w:hAnsi="Times New Roman"/>
                <w:color w:val="auto"/>
              </w:rPr>
              <w:t>家庵电厂热力厂，供热能力3000吨/天</w:t>
            </w:r>
            <w:r>
              <w:rPr>
                <w:rFonts w:hint="eastAsia" w:ascii="Times New Roman" w:hAnsi="Times New Roman"/>
                <w:color w:val="auto"/>
              </w:rPr>
              <w:t>，</w:t>
            </w:r>
            <w:r>
              <w:rPr>
                <w:rFonts w:hint="eastAsia" w:ascii="Times New Roman" w:hAnsi="Times New Roman"/>
                <w:color w:val="auto"/>
                <w:lang w:val="en-US" w:eastAsia="zh-CN"/>
              </w:rPr>
              <w:t>区域</w:t>
            </w:r>
            <w:r>
              <w:rPr>
                <w:rFonts w:hint="eastAsia" w:ascii="Times New Roman" w:hAnsi="Times New Roman"/>
                <w:color w:val="auto"/>
              </w:rPr>
              <w:t>供热管网已建成</w:t>
            </w:r>
            <w:r>
              <w:rPr>
                <w:rFonts w:ascii="Times New Roman" w:hAnsi="Times New Roman"/>
                <w:color w:val="auto"/>
              </w:rPr>
              <w:t>，可满足</w:t>
            </w:r>
            <w:r>
              <w:rPr>
                <w:rFonts w:hint="eastAsia" w:ascii="Times New Roman" w:hAnsi="Times New Roman"/>
                <w:color w:val="auto"/>
                <w:lang w:eastAsia="zh-CN"/>
              </w:rPr>
              <w:t>项目</w:t>
            </w:r>
            <w:r>
              <w:rPr>
                <w:rFonts w:ascii="Times New Roman" w:hAnsi="Times New Roman"/>
                <w:color w:val="auto"/>
              </w:rPr>
              <w:t>供热需求。</w:t>
            </w:r>
          </w:p>
        </w:tc>
      </w:tr>
      <w:tr w14:paraId="74821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68" w:hRule="atLeast"/>
          <w:jc w:val="center"/>
        </w:trPr>
        <w:tc>
          <w:tcPr>
            <w:tcW w:w="704" w:type="dxa"/>
            <w:vAlign w:val="center"/>
          </w:tcPr>
          <w:p w14:paraId="75402713">
            <w:pPr>
              <w:adjustRightInd w:val="0"/>
              <w:snapToGrid w:val="0"/>
              <w:spacing w:after="0"/>
              <w:jc w:val="center"/>
              <w:rPr>
                <w:color w:val="0000FF"/>
              </w:rPr>
            </w:pPr>
            <w:r>
              <w:rPr>
                <w:rFonts w:ascii="Times New Roman" w:hAnsi="Times New Roman" w:eastAsia="宋体" w:cs="Times New Roman"/>
                <w:color w:val="auto"/>
              </w:rPr>
              <w:t>工艺流程和产排污环节</w:t>
            </w:r>
          </w:p>
        </w:tc>
        <w:tc>
          <w:tcPr>
            <w:tcW w:w="8394" w:type="dxa"/>
          </w:tcPr>
          <w:p w14:paraId="392804DB">
            <w:pPr>
              <w:pStyle w:val="179"/>
              <w:framePr w:hSpace="0" w:wrap="auto" w:vAnchor="margin" w:hAnchor="text" w:xAlign="left" w:yAlign="inline"/>
              <w:spacing w:line="360" w:lineRule="auto"/>
              <w:ind w:left="0" w:leftChars="0" w:firstLine="0" w:firstLineChars="0"/>
              <w:rPr>
                <w:color w:val="auto"/>
              </w:rPr>
            </w:pPr>
            <w:r>
              <w:rPr>
                <w:rFonts w:hint="eastAsia" w:ascii="Times New Roman" w:hAnsi="Times New Roman" w:eastAsia="宋体" w:cs="Times New Roman"/>
                <w:color w:val="auto"/>
              </w:rPr>
              <w:t>2.3工艺</w:t>
            </w:r>
            <w:r>
              <w:rPr>
                <w:rFonts w:hint="eastAsia"/>
                <w:color w:val="auto"/>
              </w:rPr>
              <w:t>流程和产排污环节</w:t>
            </w:r>
          </w:p>
          <w:p w14:paraId="4F4F1043">
            <w:pPr>
              <w:pStyle w:val="179"/>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after="0" w:line="360" w:lineRule="auto"/>
              <w:ind w:firstLine="482"/>
              <w:textAlignment w:val="auto"/>
              <w:rPr>
                <w:color w:val="auto"/>
              </w:rPr>
            </w:pPr>
            <w:r>
              <w:rPr>
                <w:rFonts w:hint="eastAsia"/>
                <w:color w:val="auto"/>
              </w:rPr>
              <w:t>2</w:t>
            </w:r>
            <w:r>
              <w:rPr>
                <w:color w:val="auto"/>
              </w:rPr>
              <w:t>.3.1</w:t>
            </w:r>
            <w:r>
              <w:rPr>
                <w:rFonts w:hint="eastAsia"/>
                <w:color w:val="auto"/>
              </w:rPr>
              <w:t>施工期</w:t>
            </w:r>
          </w:p>
          <w:p w14:paraId="334A0B50">
            <w:pPr>
              <w:keepNext w:val="0"/>
              <w:keepLines w:val="0"/>
              <w:pageBreakBefore w:val="0"/>
              <w:kinsoku/>
              <w:wordWrap/>
              <w:overflowPunct/>
              <w:topLinePunct w:val="0"/>
              <w:autoSpaceDE/>
              <w:autoSpaceDN/>
              <w:bidi w:val="0"/>
              <w:adjustRightInd w:val="0"/>
              <w:snapToGrid w:val="0"/>
              <w:spacing w:after="0" w:line="360" w:lineRule="auto"/>
              <w:ind w:firstLine="600" w:firstLineChars="250"/>
              <w:textAlignment w:val="auto"/>
              <w:rPr>
                <w:color w:val="auto"/>
                <w:sz w:val="24"/>
              </w:rPr>
            </w:pPr>
            <w:r>
              <w:rPr>
                <w:rFonts w:hint="eastAsia"/>
                <w:color w:val="auto"/>
                <w:sz w:val="24"/>
                <w:lang w:val="en-US" w:eastAsia="zh-CN"/>
              </w:rPr>
              <w:t>项目利用已建成工业厂房，施工期主要为内部装修及设备安装，基本不涉及土建</w:t>
            </w:r>
            <w:r>
              <w:rPr>
                <w:color w:val="auto"/>
                <w:sz w:val="24"/>
              </w:rPr>
              <w:t>。</w:t>
            </w:r>
          </w:p>
          <w:p w14:paraId="6CACF40B">
            <w:pPr>
              <w:pStyle w:val="179"/>
              <w:keepNext w:val="0"/>
              <w:keepLines w:val="0"/>
              <w:pageBreakBefore w:val="0"/>
              <w:framePr w:hSpace="0" w:wrap="auto" w:vAnchor="margin" w:hAnchor="text" w:xAlign="left" w:yAlign="inline"/>
              <w:kinsoku/>
              <w:wordWrap/>
              <w:overflowPunct/>
              <w:topLinePunct w:val="0"/>
              <w:autoSpaceDE/>
              <w:autoSpaceDN/>
              <w:bidi w:val="0"/>
              <w:adjustRightInd w:val="0"/>
              <w:snapToGrid w:val="0"/>
              <w:spacing w:after="0" w:line="360" w:lineRule="auto"/>
              <w:ind w:firstLine="482"/>
              <w:textAlignment w:val="auto"/>
              <w:rPr>
                <w:color w:val="auto"/>
              </w:rPr>
            </w:pPr>
            <w:r>
              <w:rPr>
                <w:rFonts w:hint="eastAsia"/>
                <w:color w:val="auto"/>
              </w:rPr>
              <w:t>2</w:t>
            </w:r>
            <w:r>
              <w:rPr>
                <w:color w:val="auto"/>
              </w:rPr>
              <w:t>.3.2</w:t>
            </w:r>
            <w:r>
              <w:rPr>
                <w:rFonts w:hint="eastAsia"/>
                <w:color w:val="auto"/>
              </w:rPr>
              <w:t>营运期</w:t>
            </w:r>
          </w:p>
          <w:p w14:paraId="421B3FA2">
            <w:pPr>
              <w:pStyle w:val="180"/>
              <w:keepNext w:val="0"/>
              <w:keepLines w:val="0"/>
              <w:pageBreakBefore w:val="0"/>
              <w:widowControl/>
              <w:kinsoku/>
              <w:wordWrap/>
              <w:overflowPunct/>
              <w:topLinePunct w:val="0"/>
              <w:autoSpaceDE/>
              <w:autoSpaceDN/>
              <w:bidi w:val="0"/>
              <w:adjustRightInd w:val="0"/>
              <w:snapToGrid w:val="0"/>
              <w:spacing w:after="0" w:line="360" w:lineRule="auto"/>
              <w:ind w:firstLine="480"/>
              <w:textAlignment w:val="auto"/>
              <w:rPr>
                <w:rFonts w:hint="eastAsia"/>
                <w:color w:val="auto"/>
              </w:rPr>
            </w:pPr>
            <w:r>
              <w:rPr>
                <w:rFonts w:hint="eastAsia"/>
                <w:color w:val="auto"/>
              </w:rPr>
              <w:t>本项目主要</w:t>
            </w:r>
            <w:r>
              <w:rPr>
                <w:rFonts w:hint="eastAsia"/>
                <w:color w:val="auto"/>
                <w:lang w:eastAsia="zh-CN"/>
              </w:rPr>
              <w:t>为生湿米面制品制造</w:t>
            </w:r>
            <w:r>
              <w:rPr>
                <w:rFonts w:hint="eastAsia"/>
                <w:color w:val="auto"/>
              </w:rPr>
              <w:t>，以</w:t>
            </w:r>
            <w:r>
              <w:rPr>
                <w:rFonts w:hint="eastAsia"/>
                <w:color w:val="auto"/>
                <w:lang w:eastAsia="zh-CN"/>
              </w:rPr>
              <w:t>高筋面粉、米粉</w:t>
            </w:r>
            <w:r>
              <w:rPr>
                <w:rFonts w:hint="eastAsia"/>
                <w:color w:val="auto"/>
              </w:rPr>
              <w:t>为主要加工原料，生产工艺流程图如下</w:t>
            </w:r>
            <w:r>
              <w:rPr>
                <w:color w:val="auto"/>
              </w:rPr>
              <w:t>图所示</w:t>
            </w:r>
            <w:r>
              <w:rPr>
                <w:rFonts w:hint="eastAsia"/>
                <w:color w:val="auto"/>
              </w:rPr>
              <w:t>。</w:t>
            </w:r>
          </w:p>
          <w:p w14:paraId="6EE7A7C3">
            <w:pPr>
              <w:pStyle w:val="180"/>
              <w:keepNext w:val="0"/>
              <w:keepLines w:val="0"/>
              <w:pageBreakBefore w:val="0"/>
              <w:widowControl/>
              <w:kinsoku/>
              <w:wordWrap/>
              <w:overflowPunct/>
              <w:topLinePunct w:val="0"/>
              <w:autoSpaceDE/>
              <w:autoSpaceDN/>
              <w:bidi w:val="0"/>
              <w:adjustRightInd w:val="0"/>
              <w:snapToGrid w:val="0"/>
              <w:spacing w:line="360" w:lineRule="auto"/>
              <w:ind w:firstLine="480"/>
              <w:textAlignment w:val="auto"/>
              <w:rPr>
                <w:rFonts w:hint="eastAsia"/>
                <w:color w:val="auto"/>
                <w:lang w:val="en-US" w:eastAsia="zh-CN"/>
              </w:rPr>
            </w:pPr>
            <w:r>
              <w:rPr>
                <w:rFonts w:hint="eastAsia"/>
                <w:color w:val="auto"/>
                <w:lang w:val="en-US" w:eastAsia="zh-CN"/>
              </w:rPr>
              <w:t>1、炒面、热干面、拉条生产工艺流程</w:t>
            </w:r>
          </w:p>
          <w:p w14:paraId="41DB612A">
            <w:pPr>
              <w:pStyle w:val="180"/>
              <w:wordWrap/>
              <w:ind w:left="0" w:leftChars="0" w:firstLine="0" w:firstLineChars="0"/>
              <w:rPr>
                <w:rFonts w:hint="eastAsia"/>
                <w:color w:val="auto"/>
                <w:lang w:val="en-US" w:eastAsia="zh-CN"/>
              </w:rPr>
            </w:pPr>
            <w:r>
              <w:rPr>
                <w:rFonts w:hint="eastAsia" w:eastAsia="宋体"/>
                <w:sz w:val="18"/>
                <w:szCs w:val="18"/>
                <w:lang w:eastAsia="zh-CN"/>
              </w:rPr>
              <w:drawing>
                <wp:anchor distT="0" distB="0" distL="114300" distR="114300" simplePos="0" relativeHeight="251681792" behindDoc="0" locked="0" layoutInCell="1" allowOverlap="1">
                  <wp:simplePos x="0" y="0"/>
                  <wp:positionH relativeFrom="column">
                    <wp:posOffset>8890</wp:posOffset>
                  </wp:positionH>
                  <wp:positionV relativeFrom="paragraph">
                    <wp:posOffset>85090</wp:posOffset>
                  </wp:positionV>
                  <wp:extent cx="5452745" cy="3527425"/>
                  <wp:effectExtent l="9525" t="9525" r="24130" b="25400"/>
                  <wp:wrapTopAndBottom/>
                  <wp:docPr id="2" name="ECB019B1-382A-4266-B25C-5B523AA43C14-2" descr="C:/Users/Administrator/AppData/Local/Temp/wps.eqiupf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CB019B1-382A-4266-B25C-5B523AA43C14-2" descr="C:/Users/Administrator/AppData/Local/Temp/wps.eqiupfwps"/>
                          <pic:cNvPicPr>
                            <a:picLocks noChangeAspect="1"/>
                          </pic:cNvPicPr>
                        </pic:nvPicPr>
                        <pic:blipFill>
                          <a:blip r:embed="rId28"/>
                          <a:srcRect t="17483"/>
                          <a:stretch>
                            <a:fillRect/>
                          </a:stretch>
                        </pic:blipFill>
                        <pic:spPr>
                          <a:xfrm>
                            <a:off x="0" y="0"/>
                            <a:ext cx="5452745" cy="3527425"/>
                          </a:xfrm>
                          <a:prstGeom prst="rect">
                            <a:avLst/>
                          </a:prstGeom>
                          <a:ln>
                            <a:solidFill>
                              <a:schemeClr val="tx1"/>
                            </a:solidFill>
                          </a:ln>
                        </pic:spPr>
                      </pic:pic>
                    </a:graphicData>
                  </a:graphic>
                </wp:anchor>
              </w:drawing>
            </w:r>
            <w:r>
              <w:rPr>
                <w:b w:val="0"/>
                <w:color w:val="auto"/>
                <w:sz w:val="18"/>
                <w:szCs w:val="18"/>
              </w:rPr>
              <w:t>注：</w:t>
            </w:r>
            <w:r>
              <w:rPr>
                <w:rFonts w:hint="eastAsia"/>
                <w:b w:val="0"/>
                <w:color w:val="auto"/>
                <w:sz w:val="18"/>
                <w:szCs w:val="18"/>
                <w:lang w:val="en-US" w:eastAsia="zh-CN"/>
              </w:rPr>
              <w:t>S1废包装袋，S2边角料、不合格产品，S3车间布袋收集粉尘；G1投料粉尘；</w:t>
            </w:r>
            <w:r>
              <w:rPr>
                <w:b w:val="0"/>
                <w:color w:val="auto"/>
                <w:sz w:val="18"/>
                <w:szCs w:val="18"/>
              </w:rPr>
              <w:t>噪声伴随生产全过程</w:t>
            </w:r>
          </w:p>
          <w:p w14:paraId="4384F839">
            <w:pPr>
              <w:pStyle w:val="180"/>
              <w:wordWrap/>
              <w:ind w:left="0" w:leftChars="0" w:right="0" w:rightChars="0" w:firstLine="0" w:firstLineChars="0"/>
              <w:jc w:val="center"/>
              <w:rPr>
                <w:rFonts w:hint="default" w:ascii="Times New Roman" w:hAnsi="Times New Roman" w:eastAsia="宋体" w:cs="Times New Roman"/>
                <w:sz w:val="18"/>
                <w:szCs w:val="18"/>
                <w:lang w:eastAsia="zh-CN"/>
              </w:rPr>
            </w:pPr>
            <w:r>
              <w:rPr>
                <w:rFonts w:hint="default" w:ascii="Times New Roman" w:hAnsi="Times New Roman" w:cs="Times New Roman"/>
              </w:rPr>
              <w:t xml:space="preserve">图 </w:t>
            </w:r>
            <w:r>
              <w:rPr>
                <w:rFonts w:hint="default" w:ascii="Times New Roman" w:hAnsi="Times New Roman" w:cs="Times New Roman"/>
                <w:lang w:val="en-US" w:eastAsia="zh-CN"/>
              </w:rPr>
              <w:t>2</w:t>
            </w:r>
            <w:r>
              <w:rPr>
                <w:rFonts w:hint="default" w:ascii="Times New Roman" w:hAnsi="Times New Roman" w:cs="Times New Roman"/>
                <w:lang w:eastAsia="zh-CN"/>
              </w:rPr>
              <w:t>-</w:t>
            </w:r>
            <w:r>
              <w:rPr>
                <w:rFonts w:hint="default" w:ascii="Times New Roman" w:hAnsi="Times New Roman" w:cs="Times New Roman"/>
              </w:rPr>
              <w:fldChar w:fldCharType="begin"/>
            </w:r>
            <w:r>
              <w:rPr>
                <w:rFonts w:hint="default" w:ascii="Times New Roman" w:hAnsi="Times New Roman" w:cs="Times New Roman"/>
              </w:rPr>
              <w:instrText xml:space="preserve"> SEQ 图 \* ARABIC \s 1 </w:instrText>
            </w:r>
            <w:r>
              <w:rPr>
                <w:rFonts w:hint="default" w:ascii="Times New Roman" w:hAnsi="Times New Roman" w:cs="Times New Roman"/>
              </w:rPr>
              <w:fldChar w:fldCharType="separate"/>
            </w:r>
            <w:r>
              <w:rPr>
                <w:rFonts w:hint="default" w:ascii="Times New Roman" w:hAnsi="Times New Roman" w:cs="Times New Roman"/>
              </w:rPr>
              <w:t>3</w:t>
            </w:r>
            <w:r>
              <w:rPr>
                <w:rFonts w:hint="default" w:ascii="Times New Roman" w:hAnsi="Times New Roman" w:cs="Times New Roman"/>
              </w:rPr>
              <w:fldChar w:fldCharType="end"/>
            </w:r>
            <w:r>
              <w:rPr>
                <w:rFonts w:hint="default" w:ascii="Times New Roman" w:hAnsi="Times New Roman" w:cs="Times New Roman"/>
                <w:lang w:val="en-US" w:eastAsia="zh-CN"/>
              </w:rPr>
              <w:t xml:space="preserve"> </w:t>
            </w:r>
            <w:r>
              <w:rPr>
                <w:rFonts w:hint="default" w:ascii="Times New Roman" w:hAnsi="Times New Roman" w:cs="Times New Roman"/>
                <w:color w:val="auto"/>
                <w:lang w:val="en-US" w:eastAsia="zh-CN"/>
              </w:rPr>
              <w:t>炒面、热干面、拉条</w:t>
            </w:r>
            <w:r>
              <w:rPr>
                <w:rFonts w:hint="default" w:ascii="Times New Roman" w:hAnsi="Times New Roman" w:cs="Times New Roman"/>
                <w:color w:val="auto"/>
              </w:rPr>
              <w:t>生产工艺流程图及产污节点图</w:t>
            </w:r>
          </w:p>
          <w:p w14:paraId="1B5868B7">
            <w:pPr>
              <w:pStyle w:val="180"/>
              <w:wordWrap/>
              <w:ind w:firstLine="482"/>
              <w:rPr>
                <w:b/>
                <w:color w:val="auto"/>
              </w:rPr>
            </w:pPr>
            <w:r>
              <w:rPr>
                <w:b/>
                <w:color w:val="auto"/>
              </w:rPr>
              <w:t>工艺流程说明：</w:t>
            </w:r>
          </w:p>
          <w:p w14:paraId="562405FB">
            <w:pPr>
              <w:pStyle w:val="180"/>
              <w:wordWrap/>
              <w:ind w:firstLine="480"/>
              <w:rPr>
                <w:rFonts w:hint="eastAsia"/>
                <w:color w:val="auto"/>
                <w:lang w:eastAsia="zh-CN"/>
              </w:rPr>
            </w:pPr>
            <w:r>
              <w:rPr>
                <w:color w:val="auto"/>
              </w:rPr>
              <w:t>（</w:t>
            </w:r>
            <w:r>
              <w:rPr>
                <w:rFonts w:hint="eastAsia"/>
                <w:color w:val="auto"/>
              </w:rPr>
              <w:t>1</w:t>
            </w:r>
            <w:r>
              <w:rPr>
                <w:color w:val="auto"/>
              </w:rPr>
              <w:t>）</w:t>
            </w:r>
            <w:r>
              <w:rPr>
                <w:rFonts w:hint="eastAsia"/>
                <w:color w:val="auto"/>
                <w:lang w:eastAsia="zh-CN"/>
              </w:rPr>
              <w:t>原辅料：倒入高筋面粉作为主要原料，此工序产生投料粉尘</w:t>
            </w:r>
            <w:r>
              <w:rPr>
                <w:rFonts w:hint="eastAsia"/>
                <w:color w:val="auto"/>
                <w:lang w:val="en-US" w:eastAsia="zh-CN"/>
              </w:rPr>
              <w:t>G1</w:t>
            </w:r>
            <w:r>
              <w:rPr>
                <w:rFonts w:hint="eastAsia"/>
                <w:color w:val="auto"/>
                <w:lang w:eastAsia="zh-CN"/>
              </w:rPr>
              <w:t>和废包装袋</w:t>
            </w:r>
            <w:r>
              <w:rPr>
                <w:rFonts w:hint="eastAsia"/>
                <w:color w:val="auto"/>
                <w:lang w:val="en-US" w:eastAsia="zh-CN"/>
              </w:rPr>
              <w:t>S1，投料完成后待逸散粉尘自然沉降后及时清扫，产生车间布袋收集粉尘S3</w:t>
            </w:r>
            <w:r>
              <w:rPr>
                <w:rFonts w:hint="eastAsia"/>
                <w:color w:val="auto"/>
                <w:lang w:eastAsia="zh-CN"/>
              </w:rPr>
              <w:t>。</w:t>
            </w:r>
          </w:p>
          <w:p w14:paraId="29A86D38">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2</w:t>
            </w:r>
            <w:r>
              <w:rPr>
                <w:rFonts w:hint="eastAsia"/>
                <w:color w:val="auto"/>
                <w:lang w:eastAsia="zh-CN"/>
              </w:rPr>
              <w:t>）配料：将高筋面粉与盐、淀粉等配料进行混合，准备和面所需物料。</w:t>
            </w:r>
          </w:p>
          <w:p w14:paraId="3DCCB9FC">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3</w:t>
            </w:r>
            <w:r>
              <w:rPr>
                <w:rFonts w:hint="eastAsia"/>
                <w:color w:val="auto"/>
                <w:lang w:eastAsia="zh-CN"/>
              </w:rPr>
              <w:t>）和面：按照面与水1：0.8的比例进行和面操作，使面粉形成面团。</w:t>
            </w:r>
          </w:p>
          <w:p w14:paraId="103F7654">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4</w:t>
            </w:r>
            <w:r>
              <w:rPr>
                <w:rFonts w:hint="eastAsia"/>
                <w:color w:val="auto"/>
                <w:lang w:eastAsia="zh-CN"/>
              </w:rPr>
              <w:t>）熟化：对面团进行熟化处理，让面团内部结构更稳定，利于后续加工。</w:t>
            </w:r>
          </w:p>
          <w:p w14:paraId="343F0078">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5</w:t>
            </w:r>
            <w:r>
              <w:rPr>
                <w:rFonts w:hint="eastAsia"/>
                <w:color w:val="auto"/>
                <w:lang w:eastAsia="zh-CN"/>
              </w:rPr>
              <w:t>）压延成型：通过压延设备将熟化后的面团加工成特定厚度、形状的面片。</w:t>
            </w:r>
          </w:p>
          <w:p w14:paraId="28C6B29C">
            <w:pPr>
              <w:pStyle w:val="180"/>
              <w:wordWrap/>
              <w:ind w:firstLine="480"/>
              <w:rPr>
                <w:rFonts w:hint="default"/>
                <w:color w:val="auto"/>
                <w:lang w:val="en-US" w:eastAsia="zh-CN"/>
              </w:rPr>
            </w:pPr>
            <w:r>
              <w:rPr>
                <w:rFonts w:hint="eastAsia"/>
                <w:color w:val="auto"/>
                <w:lang w:eastAsia="zh-CN"/>
              </w:rPr>
              <w:t>（</w:t>
            </w:r>
            <w:r>
              <w:rPr>
                <w:rFonts w:hint="eastAsia"/>
                <w:color w:val="auto"/>
                <w:lang w:val="en-US" w:eastAsia="zh-CN"/>
              </w:rPr>
              <w:t>6</w:t>
            </w:r>
            <w:r>
              <w:rPr>
                <w:rFonts w:hint="eastAsia"/>
                <w:color w:val="auto"/>
                <w:lang w:eastAsia="zh-CN"/>
              </w:rPr>
              <w:t>）分切：把压延好的面片，依据订单需求将产品分切成相应规格。此过程产生边角料和不合格产品</w:t>
            </w:r>
            <w:r>
              <w:rPr>
                <w:rFonts w:hint="eastAsia"/>
                <w:color w:val="auto"/>
                <w:lang w:val="en-US" w:eastAsia="zh-CN"/>
              </w:rPr>
              <w:t>S2。</w:t>
            </w:r>
          </w:p>
          <w:p w14:paraId="4F28A246">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7</w:t>
            </w:r>
            <w:r>
              <w:rPr>
                <w:rFonts w:hint="eastAsia"/>
                <w:color w:val="auto"/>
                <w:lang w:eastAsia="zh-CN"/>
              </w:rPr>
              <w:t>）蒸制：对分切后的面坯进行蒸制，初步熟化面坯，赋予一定熟度。</w:t>
            </w:r>
          </w:p>
          <w:p w14:paraId="77F67A3E">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8</w:t>
            </w:r>
            <w:r>
              <w:rPr>
                <w:rFonts w:hint="eastAsia"/>
                <w:color w:val="auto"/>
                <w:lang w:eastAsia="zh-CN"/>
              </w:rPr>
              <w:t>）冷却：蒸制后在生产线上进行自然冷却。</w:t>
            </w:r>
          </w:p>
          <w:p w14:paraId="1F60C96E">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9</w:t>
            </w:r>
            <w:r>
              <w:rPr>
                <w:rFonts w:hint="eastAsia"/>
                <w:color w:val="auto"/>
                <w:lang w:eastAsia="zh-CN"/>
              </w:rPr>
              <w:t>）拌油：</w:t>
            </w:r>
            <w:r>
              <w:rPr>
                <w:rFonts w:hint="eastAsia"/>
                <w:color w:val="auto"/>
                <w:lang w:val="en-US" w:eastAsia="zh-CN"/>
              </w:rPr>
              <w:t>生产线上末端装有油斗和油刷，在传送过程中可在表面刷上一层色拉油防止黏连。</w:t>
            </w:r>
          </w:p>
          <w:p w14:paraId="6ECAE966">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10</w:t>
            </w:r>
            <w:r>
              <w:rPr>
                <w:rFonts w:hint="eastAsia"/>
                <w:color w:val="auto"/>
                <w:lang w:eastAsia="zh-CN"/>
              </w:rPr>
              <w:t>）复蒸：对拌油后的面坯再次蒸制，进一步熟透并优化品质。</w:t>
            </w:r>
          </w:p>
          <w:p w14:paraId="1AC39E63">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11</w:t>
            </w:r>
            <w:r>
              <w:rPr>
                <w:rFonts w:hint="eastAsia"/>
                <w:color w:val="auto"/>
                <w:lang w:eastAsia="zh-CN"/>
              </w:rPr>
              <w:t>）冷却：复蒸后的面制品在生产线上再次进行冷却，为包装做准备。</w:t>
            </w:r>
          </w:p>
          <w:p w14:paraId="1D7AC606">
            <w:pPr>
              <w:pStyle w:val="180"/>
              <w:wordWrap/>
              <w:ind w:firstLine="480"/>
              <w:rPr>
                <w:rFonts w:hint="default"/>
                <w:color w:val="0000FF"/>
                <w:lang w:val="en-US" w:eastAsia="zh-CN"/>
              </w:rPr>
            </w:pPr>
            <w:r>
              <w:rPr>
                <w:rFonts w:hint="eastAsia"/>
                <w:color w:val="auto"/>
                <w:lang w:eastAsia="zh-CN"/>
              </w:rPr>
              <w:t>（</w:t>
            </w:r>
            <w:r>
              <w:rPr>
                <w:rFonts w:hint="eastAsia"/>
                <w:color w:val="auto"/>
                <w:lang w:val="en-US" w:eastAsia="zh-CN"/>
              </w:rPr>
              <w:t>12</w:t>
            </w:r>
            <w:r>
              <w:rPr>
                <w:rFonts w:hint="eastAsia"/>
                <w:color w:val="auto"/>
                <w:lang w:eastAsia="zh-CN"/>
              </w:rPr>
              <w:t>）包装入库：包装材料在包材消毒间进行紫外线和臭氧消毒机消毒灭菌后，对产品进行人工简易包装，放入成品库待售。此过程可能产生破损的废包装袋</w:t>
            </w:r>
            <w:r>
              <w:rPr>
                <w:rFonts w:hint="eastAsia"/>
                <w:color w:val="auto"/>
                <w:lang w:val="en-US" w:eastAsia="zh-CN"/>
              </w:rPr>
              <w:t>S1。</w:t>
            </w:r>
          </w:p>
          <w:p w14:paraId="4B3DF1EC">
            <w:pPr>
              <w:pStyle w:val="180"/>
              <w:wordWrap/>
              <w:ind w:firstLine="480"/>
              <w:rPr>
                <w:rFonts w:hint="eastAsia"/>
                <w:color w:val="auto"/>
                <w:lang w:val="en-US" w:eastAsia="zh-CN"/>
              </w:rPr>
            </w:pPr>
            <w:r>
              <w:rPr>
                <w:rFonts w:hint="eastAsia"/>
                <w:color w:val="auto"/>
                <w:lang w:val="en-US" w:eastAsia="zh-CN"/>
              </w:rPr>
              <w:t>2、凉皮、河粉、米皮、面皮生产工艺流程</w:t>
            </w:r>
          </w:p>
          <w:p w14:paraId="735C767C">
            <w:pPr>
              <w:pStyle w:val="771"/>
              <w:bidi w:val="0"/>
              <w:ind w:left="0" w:leftChars="0" w:firstLine="0" w:firstLineChars="0"/>
              <w:rPr>
                <w:b w:val="0"/>
                <w:color w:val="auto"/>
              </w:rPr>
            </w:pPr>
            <w:r>
              <w:rPr>
                <w:rFonts w:hint="eastAsia" w:eastAsia="宋体"/>
                <w:lang w:eastAsia="zh-CN"/>
              </w:rPr>
              <w:drawing>
                <wp:anchor distT="0" distB="0" distL="0" distR="0" simplePos="0" relativeHeight="251680768" behindDoc="0" locked="0" layoutInCell="1" allowOverlap="0">
                  <wp:simplePos x="0" y="0"/>
                  <wp:positionH relativeFrom="column">
                    <wp:posOffset>11430</wp:posOffset>
                  </wp:positionH>
                  <wp:positionV relativeFrom="line">
                    <wp:posOffset>31750</wp:posOffset>
                  </wp:positionV>
                  <wp:extent cx="5526405" cy="2556510"/>
                  <wp:effectExtent l="9525" t="9525" r="26670" b="24765"/>
                  <wp:wrapTopAndBottom/>
                  <wp:docPr id="3" name="ECB019B1-382A-4266-B25C-5B523AA43C14-3" descr="C:/Users/Administrator/AppData/Local/Temp/wps.aRKjwT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CB019B1-382A-4266-B25C-5B523AA43C14-3" descr="C:/Users/Administrator/AppData/Local/Temp/wps.aRKjwTwps"/>
                          <pic:cNvPicPr>
                            <a:picLocks noChangeAspect="1"/>
                          </pic:cNvPicPr>
                        </pic:nvPicPr>
                        <pic:blipFill>
                          <a:blip r:embed="rId29"/>
                          <a:srcRect t="20727"/>
                          <a:stretch>
                            <a:fillRect/>
                          </a:stretch>
                        </pic:blipFill>
                        <pic:spPr>
                          <a:xfrm>
                            <a:off x="0" y="0"/>
                            <a:ext cx="5526405" cy="2556510"/>
                          </a:xfrm>
                          <a:prstGeom prst="rect">
                            <a:avLst/>
                          </a:prstGeom>
                          <a:ln>
                            <a:solidFill>
                              <a:schemeClr val="tx1"/>
                            </a:solidFill>
                          </a:ln>
                        </pic:spPr>
                      </pic:pic>
                    </a:graphicData>
                  </a:graphic>
                </wp:anchor>
              </w:drawing>
            </w:r>
            <w:r>
              <w:rPr>
                <w:b w:val="0"/>
                <w:color w:val="auto"/>
                <w:sz w:val="18"/>
                <w:szCs w:val="18"/>
              </w:rPr>
              <w:t>注：</w:t>
            </w:r>
            <w:r>
              <w:rPr>
                <w:rFonts w:hint="eastAsia"/>
                <w:b w:val="0"/>
                <w:color w:val="auto"/>
                <w:sz w:val="18"/>
                <w:szCs w:val="18"/>
                <w:lang w:val="en-US" w:eastAsia="zh-CN"/>
              </w:rPr>
              <w:t>S1废包装袋，S2边角料、不合格产品，S3车间布袋收集粉尘；G1投料粉尘；</w:t>
            </w:r>
            <w:r>
              <w:rPr>
                <w:b w:val="0"/>
                <w:color w:val="auto"/>
                <w:sz w:val="18"/>
                <w:szCs w:val="18"/>
              </w:rPr>
              <w:t>噪声伴随生产全过程</w:t>
            </w:r>
          </w:p>
          <w:p w14:paraId="71B81FD8">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eastAsia="zh-CN"/>
              </w:rPr>
            </w:pPr>
            <w:r>
              <w:t xml:space="preserve">图 </w:t>
            </w:r>
            <w:r>
              <w:rPr>
                <w:rFonts w:hint="eastAsia"/>
                <w:lang w:val="en-US" w:eastAsia="zh-CN"/>
              </w:rPr>
              <w:t>2</w:t>
            </w:r>
            <w:r>
              <w:rPr>
                <w:rFonts w:hint="eastAsia"/>
                <w:lang w:eastAsia="zh-CN"/>
              </w:rPr>
              <w:t>-</w:t>
            </w:r>
            <w:r>
              <w:fldChar w:fldCharType="begin"/>
            </w:r>
            <w:r>
              <w:instrText xml:space="preserve"> SEQ 图 \* ARABIC \s 1 </w:instrText>
            </w:r>
            <w:r>
              <w:fldChar w:fldCharType="separate"/>
            </w:r>
            <w:r>
              <w:t>4</w:t>
            </w:r>
            <w:r>
              <w:fldChar w:fldCharType="end"/>
            </w:r>
            <w:r>
              <w:rPr>
                <w:rFonts w:hint="eastAsia"/>
                <w:lang w:val="en-US" w:eastAsia="zh-CN"/>
              </w:rPr>
              <w:t>凉皮、河粉、米皮、面皮</w:t>
            </w:r>
            <w:r>
              <w:rPr>
                <w:rFonts w:hint="default"/>
              </w:rPr>
              <w:t>生产工艺流程图及产污节</w:t>
            </w:r>
            <w:r>
              <w:t>点图</w:t>
            </w:r>
          </w:p>
          <w:p w14:paraId="5DD8985E">
            <w:pPr>
              <w:pStyle w:val="180"/>
              <w:wordWrap/>
              <w:ind w:firstLine="482"/>
              <w:rPr>
                <w:b/>
                <w:color w:val="auto"/>
              </w:rPr>
            </w:pPr>
            <w:r>
              <w:rPr>
                <w:b/>
                <w:color w:val="auto"/>
              </w:rPr>
              <w:t>工艺流程说明：</w:t>
            </w:r>
          </w:p>
          <w:p w14:paraId="1D5494C1">
            <w:pPr>
              <w:pStyle w:val="180"/>
              <w:wordWrap/>
              <w:ind w:firstLine="480"/>
              <w:rPr>
                <w:rFonts w:hint="eastAsia"/>
                <w:color w:val="auto"/>
                <w:lang w:eastAsia="zh-CN"/>
              </w:rPr>
            </w:pPr>
            <w:r>
              <w:rPr>
                <w:color w:val="auto"/>
              </w:rPr>
              <w:t>（</w:t>
            </w:r>
            <w:r>
              <w:rPr>
                <w:rFonts w:hint="eastAsia"/>
                <w:color w:val="auto"/>
              </w:rPr>
              <w:t>1</w:t>
            </w:r>
            <w:r>
              <w:rPr>
                <w:color w:val="auto"/>
              </w:rPr>
              <w:t>）</w:t>
            </w:r>
            <w:r>
              <w:rPr>
                <w:rFonts w:hint="eastAsia"/>
                <w:color w:val="auto"/>
                <w:lang w:eastAsia="zh-CN"/>
              </w:rPr>
              <w:t>原辅料：根据订单需求倒入高筋面粉或米粉作为主要原料，此工序产生投料粉尘和废包装袋。</w:t>
            </w:r>
          </w:p>
          <w:p w14:paraId="1248312F">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2</w:t>
            </w:r>
            <w:r>
              <w:rPr>
                <w:rFonts w:hint="eastAsia"/>
                <w:color w:val="auto"/>
                <w:lang w:eastAsia="zh-CN"/>
              </w:rPr>
              <w:t>）配料：加入盐作为配料进行混合，准备调浆所需物料。</w:t>
            </w:r>
          </w:p>
          <w:p w14:paraId="4F4F2645">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3</w:t>
            </w:r>
            <w:r>
              <w:rPr>
                <w:rFonts w:hint="eastAsia"/>
                <w:color w:val="auto"/>
                <w:lang w:eastAsia="zh-CN"/>
              </w:rPr>
              <w:t>）调浆：按照面</w:t>
            </w:r>
            <w:r>
              <w:rPr>
                <w:rFonts w:hint="eastAsia"/>
                <w:color w:val="auto"/>
                <w:lang w:val="en-US" w:eastAsia="zh-CN"/>
              </w:rPr>
              <w:t>/米粉</w:t>
            </w:r>
            <w:r>
              <w:rPr>
                <w:rFonts w:hint="eastAsia"/>
                <w:color w:val="auto"/>
                <w:lang w:eastAsia="zh-CN"/>
              </w:rPr>
              <w:t>与水1：</w:t>
            </w:r>
            <w:r>
              <w:rPr>
                <w:rFonts w:hint="eastAsia"/>
                <w:color w:val="auto"/>
                <w:lang w:val="en-US" w:eastAsia="zh-CN"/>
              </w:rPr>
              <w:t>2.1</w:t>
            </w:r>
            <w:r>
              <w:rPr>
                <w:rFonts w:hint="eastAsia"/>
                <w:color w:val="auto"/>
                <w:lang w:eastAsia="zh-CN"/>
              </w:rPr>
              <w:t>的比例进行调浆操作，形成面浆或米浆。</w:t>
            </w:r>
          </w:p>
          <w:p w14:paraId="0C3A762A">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4</w:t>
            </w:r>
            <w:r>
              <w:rPr>
                <w:rFonts w:hint="eastAsia"/>
                <w:color w:val="auto"/>
                <w:lang w:eastAsia="zh-CN"/>
              </w:rPr>
              <w:t>）熟化：进行熟化处理，使产品成型。</w:t>
            </w:r>
          </w:p>
          <w:p w14:paraId="458267CC">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5</w:t>
            </w:r>
            <w:r>
              <w:rPr>
                <w:rFonts w:hint="eastAsia"/>
                <w:color w:val="auto"/>
                <w:lang w:eastAsia="zh-CN"/>
              </w:rPr>
              <w:t>）刷油：</w:t>
            </w:r>
            <w:r>
              <w:rPr>
                <w:rFonts w:hint="eastAsia" w:cs="Times New Roman"/>
                <w:bCs/>
                <w:color w:val="auto"/>
                <w:w w:val="100"/>
                <w:kern w:val="2"/>
                <w:sz w:val="21"/>
                <w:szCs w:val="21"/>
                <w:highlight w:val="none"/>
                <w:lang w:val="en-US" w:eastAsia="zh-CN" w:bidi="ar-SA"/>
              </w:rPr>
              <w:t>生产线上装有油斗和油刷，产品成型后在传送过程中可在表面刷上一层色拉油防止黏连。</w:t>
            </w:r>
          </w:p>
          <w:p w14:paraId="009DC5C6">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6</w:t>
            </w:r>
            <w:r>
              <w:rPr>
                <w:rFonts w:hint="eastAsia"/>
                <w:color w:val="auto"/>
                <w:lang w:eastAsia="zh-CN"/>
              </w:rPr>
              <w:t>）冷却：在生产线上进行自然冷却。</w:t>
            </w:r>
          </w:p>
          <w:p w14:paraId="46C3B442">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7</w:t>
            </w:r>
            <w:r>
              <w:rPr>
                <w:rFonts w:hint="eastAsia"/>
                <w:color w:val="auto"/>
                <w:lang w:eastAsia="zh-CN"/>
              </w:rPr>
              <w:t>）分切：</w:t>
            </w:r>
            <w:r>
              <w:rPr>
                <w:rFonts w:hint="eastAsia"/>
                <w:color w:val="auto"/>
                <w:lang w:val="en-US" w:eastAsia="zh-CN"/>
              </w:rPr>
              <w:t>成型后的产品通过分切机按照规定尺寸进行切断。</w:t>
            </w:r>
          </w:p>
          <w:p w14:paraId="4EF62272">
            <w:pPr>
              <w:pStyle w:val="180"/>
              <w:wordWrap/>
              <w:ind w:firstLine="480"/>
              <w:rPr>
                <w:rFonts w:hint="eastAsia"/>
                <w:color w:val="auto"/>
                <w:lang w:eastAsia="zh-CN"/>
              </w:rPr>
            </w:pPr>
            <w:r>
              <w:rPr>
                <w:rFonts w:hint="eastAsia"/>
                <w:color w:val="auto"/>
                <w:lang w:eastAsia="zh-CN"/>
              </w:rPr>
              <w:t>（</w:t>
            </w:r>
            <w:r>
              <w:rPr>
                <w:rFonts w:hint="eastAsia"/>
                <w:color w:val="auto"/>
                <w:lang w:val="en-US" w:eastAsia="zh-CN"/>
              </w:rPr>
              <w:t>8</w:t>
            </w:r>
            <w:r>
              <w:rPr>
                <w:rFonts w:hint="eastAsia"/>
                <w:color w:val="auto"/>
                <w:lang w:eastAsia="zh-CN"/>
              </w:rPr>
              <w:t>）包装入库：包装材料在包材消毒间进行紫外线和臭氧消毒机消毒灭菌后，对产品进行人工简易包装，放入成品库待售。</w:t>
            </w:r>
          </w:p>
          <w:p w14:paraId="6ED8715C">
            <w:pPr>
              <w:pStyle w:val="180"/>
              <w:wordWrap/>
              <w:ind w:firstLine="480"/>
              <w:rPr>
                <w:rFonts w:hint="eastAsia"/>
                <w:color w:val="auto"/>
                <w:lang w:val="en-US" w:eastAsia="zh-CN"/>
              </w:rPr>
            </w:pPr>
            <w:r>
              <w:rPr>
                <w:rFonts w:hint="eastAsia" w:eastAsia="宋体"/>
                <w:lang w:eastAsia="zh-CN"/>
              </w:rPr>
              <w:drawing>
                <wp:anchor distT="0" distB="0" distL="114300" distR="114300" simplePos="0" relativeHeight="251682816" behindDoc="0" locked="0" layoutInCell="1" allowOverlap="0">
                  <wp:simplePos x="0" y="0"/>
                  <wp:positionH relativeFrom="column">
                    <wp:posOffset>-17780</wp:posOffset>
                  </wp:positionH>
                  <wp:positionV relativeFrom="line">
                    <wp:posOffset>327025</wp:posOffset>
                  </wp:positionV>
                  <wp:extent cx="5576570" cy="3240405"/>
                  <wp:effectExtent l="9525" t="9525" r="14605" b="13970"/>
                  <wp:wrapSquare wrapText="bothSides"/>
                  <wp:docPr id="10" name="ECB019B1-382A-4266-B25C-5B523AA43C14-4" descr="C:/Users/Administrator/AppData/Local/Temp/wps.FueNwD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CB019B1-382A-4266-B25C-5B523AA43C14-4" descr="C:/Users/Administrator/AppData/Local/Temp/wps.FueNwDwps"/>
                          <pic:cNvPicPr>
                            <a:picLocks noChangeAspect="1"/>
                          </pic:cNvPicPr>
                        </pic:nvPicPr>
                        <pic:blipFill>
                          <a:blip r:embed="rId30"/>
                          <a:srcRect t="17664"/>
                          <a:stretch>
                            <a:fillRect/>
                          </a:stretch>
                        </pic:blipFill>
                        <pic:spPr>
                          <a:xfrm>
                            <a:off x="0" y="0"/>
                            <a:ext cx="5576570" cy="3240405"/>
                          </a:xfrm>
                          <a:prstGeom prst="rect">
                            <a:avLst/>
                          </a:prstGeom>
                          <a:ln>
                            <a:solidFill>
                              <a:schemeClr val="tx1"/>
                            </a:solidFill>
                          </a:ln>
                        </pic:spPr>
                      </pic:pic>
                    </a:graphicData>
                  </a:graphic>
                </wp:anchor>
              </w:drawing>
            </w:r>
            <w:r>
              <w:rPr>
                <w:rFonts w:hint="eastAsia"/>
                <w:color w:val="auto"/>
                <w:lang w:val="en-US" w:eastAsia="zh-CN"/>
              </w:rPr>
              <w:t>3、年糕生产工艺流程</w:t>
            </w:r>
          </w:p>
          <w:p w14:paraId="7560B8E2">
            <w:pPr>
              <w:pStyle w:val="180"/>
              <w:wordWrap/>
              <w:ind w:firstLine="480"/>
              <w:rPr>
                <w:rFonts w:hint="eastAsia" w:eastAsia="宋体"/>
                <w:lang w:eastAsia="zh-CN"/>
              </w:rPr>
            </w:pPr>
            <w:r>
              <w:rPr>
                <w:b w:val="0"/>
                <w:color w:val="auto"/>
                <w:sz w:val="18"/>
                <w:szCs w:val="18"/>
              </w:rPr>
              <w:t>注：</w:t>
            </w:r>
            <w:r>
              <w:rPr>
                <w:rFonts w:hint="eastAsia"/>
                <w:b w:val="0"/>
                <w:color w:val="auto"/>
                <w:sz w:val="18"/>
                <w:szCs w:val="18"/>
                <w:lang w:val="en-US" w:eastAsia="zh-CN"/>
              </w:rPr>
              <w:t>S1废包装袋，S2边角料、不合格产品，W2洗米废水；</w:t>
            </w:r>
            <w:r>
              <w:rPr>
                <w:b w:val="0"/>
                <w:color w:val="auto"/>
                <w:sz w:val="18"/>
                <w:szCs w:val="18"/>
              </w:rPr>
              <w:t>噪声伴随生产全过程</w:t>
            </w:r>
          </w:p>
          <w:p w14:paraId="0ABFE733">
            <w:pPr>
              <w:pStyle w:val="17"/>
              <w:keepNext w:val="0"/>
              <w:keepLines w:val="0"/>
              <w:pageBreakBefore w:val="0"/>
              <w:kinsoku/>
              <w:wordWrap/>
              <w:overflowPunct/>
              <w:topLinePunct w:val="0"/>
              <w:autoSpaceDE/>
              <w:autoSpaceDN/>
              <w:bidi w:val="0"/>
              <w:adjustRightInd w:val="0"/>
              <w:snapToGrid w:val="0"/>
              <w:spacing w:after="0" w:line="240" w:lineRule="auto"/>
              <w:ind w:firstLine="480"/>
              <w:textAlignment w:val="auto"/>
              <w:rPr>
                <w:rFonts w:hint="eastAsia" w:eastAsia="宋体"/>
                <w:lang w:val="en-US" w:eastAsia="zh-CN"/>
              </w:rPr>
            </w:pPr>
            <w:r>
              <w:t xml:space="preserve">图 </w:t>
            </w:r>
            <w:r>
              <w:rPr>
                <w:rFonts w:hint="eastAsia"/>
                <w:lang w:val="en-US" w:eastAsia="zh-CN"/>
              </w:rPr>
              <w:t>2</w:t>
            </w:r>
            <w:r>
              <w:rPr>
                <w:rFonts w:hint="eastAsia"/>
                <w:lang w:eastAsia="zh-CN"/>
              </w:rPr>
              <w:t>-</w:t>
            </w:r>
            <w:r>
              <w:fldChar w:fldCharType="begin"/>
            </w:r>
            <w:r>
              <w:instrText xml:space="preserve"> SEQ 图 \* ARABIC \s 1 </w:instrText>
            </w:r>
            <w:r>
              <w:fldChar w:fldCharType="separate"/>
            </w:r>
            <w:r>
              <w:t>5</w:t>
            </w:r>
            <w:r>
              <w:fldChar w:fldCharType="end"/>
            </w:r>
            <w:r>
              <w:rPr>
                <w:rFonts w:hint="eastAsia"/>
                <w:lang w:val="en-US" w:eastAsia="zh-CN"/>
              </w:rPr>
              <w:t xml:space="preserve"> </w:t>
            </w:r>
            <w:r>
              <w:rPr>
                <w:rFonts w:hint="eastAsia"/>
                <w:color w:val="auto"/>
                <w:lang w:val="en-US" w:eastAsia="zh-CN"/>
              </w:rPr>
              <w:t>年糕</w:t>
            </w:r>
            <w:r>
              <w:rPr>
                <w:rFonts w:hint="default" w:ascii="Times New Roman" w:hAnsi="Times New Roman"/>
                <w:color w:val="auto"/>
              </w:rPr>
              <w:t>生产工艺流程图及产污节</w:t>
            </w:r>
            <w:r>
              <w:rPr>
                <w:color w:val="auto"/>
              </w:rPr>
              <w:t>点图</w:t>
            </w:r>
          </w:p>
          <w:p w14:paraId="361FE189">
            <w:pPr>
              <w:pStyle w:val="180"/>
              <w:wordWrap/>
              <w:ind w:firstLine="482"/>
              <w:rPr>
                <w:b/>
                <w:color w:val="auto"/>
              </w:rPr>
            </w:pPr>
            <w:r>
              <w:rPr>
                <w:b/>
                <w:color w:val="auto"/>
              </w:rPr>
              <w:t>工艺流程说明：</w:t>
            </w:r>
          </w:p>
          <w:p w14:paraId="01F4D321">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val="en-US" w:eastAsia="zh-CN"/>
              </w:rPr>
            </w:pPr>
            <w:r>
              <w:rPr>
                <w:rFonts w:hint="eastAsia"/>
                <w:color w:val="auto"/>
                <w:lang w:val="en-US" w:eastAsia="zh-CN"/>
              </w:rPr>
              <w:t>（1）洗米：洗米是对原料大米倒入洗米池后进行人工清洗，此工序产生洗米废水、废包装袋；</w:t>
            </w:r>
          </w:p>
          <w:p w14:paraId="45BC65A2">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val="en-US" w:eastAsia="zh-CN"/>
              </w:rPr>
            </w:pPr>
            <w:r>
              <w:rPr>
                <w:rFonts w:hint="eastAsia"/>
                <w:color w:val="auto"/>
                <w:lang w:val="en-US" w:eastAsia="zh-CN"/>
              </w:rPr>
              <w:t>（2）泡米：将清洗干净的大米加水浸泡；</w:t>
            </w:r>
          </w:p>
          <w:p w14:paraId="3265915C">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val="en-US" w:eastAsia="zh-CN"/>
              </w:rPr>
            </w:pPr>
            <w:r>
              <w:rPr>
                <w:rFonts w:hint="eastAsia"/>
                <w:color w:val="auto"/>
                <w:lang w:val="en-US" w:eastAsia="zh-CN"/>
              </w:rPr>
              <w:t>（3）磨米：将浸泡好的大米连同泡米水以及部分洗米水一起投入磨米机进行研磨成米浆，此工序主要产生设备运行噪声；</w:t>
            </w:r>
          </w:p>
          <w:p w14:paraId="6140B7A1">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val="en-US" w:eastAsia="zh-CN"/>
              </w:rPr>
            </w:pPr>
            <w:r>
              <w:rPr>
                <w:rFonts w:hint="eastAsia"/>
                <w:color w:val="auto"/>
                <w:lang w:val="en-US" w:eastAsia="zh-CN"/>
              </w:rPr>
              <w:t>（4）加料搅拌：对磨好的米浆加入食用油、食用盐等辅料，加入后进行搅拌混匀，此工序产生食用油、食用盐等辅料的包装物等固废；</w:t>
            </w:r>
          </w:p>
          <w:p w14:paraId="5544D37E">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val="en-US" w:eastAsia="zh-CN"/>
              </w:rPr>
            </w:pPr>
            <w:r>
              <w:rPr>
                <w:rFonts w:hint="eastAsia"/>
                <w:color w:val="auto"/>
                <w:lang w:val="en-US" w:eastAsia="zh-CN"/>
              </w:rPr>
              <w:t>（5）蒸制熟化：将混合均匀的米浆通入蒸汽进行熟化，无废气产生；</w:t>
            </w:r>
          </w:p>
          <w:p w14:paraId="040162AB">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val="en-US" w:eastAsia="zh-CN"/>
              </w:rPr>
            </w:pPr>
            <w:r>
              <w:rPr>
                <w:rFonts w:hint="eastAsia"/>
                <w:color w:val="auto"/>
                <w:lang w:val="en-US" w:eastAsia="zh-CN"/>
              </w:rPr>
              <w:t>（6）挤压成型：将蒸熟后的米浆经过注挤式年糕机挤压成型，此工序主要产生设备运行噪声；</w:t>
            </w:r>
          </w:p>
          <w:p w14:paraId="4CBB1211">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val="en-US" w:eastAsia="zh-CN"/>
              </w:rPr>
            </w:pPr>
            <w:r>
              <w:rPr>
                <w:rFonts w:hint="eastAsia"/>
                <w:color w:val="auto"/>
                <w:lang w:val="en-US" w:eastAsia="zh-CN"/>
              </w:rPr>
              <w:t>（7）切断摆盘：将挤压成型后的年糕进行切断、摆盘；</w:t>
            </w:r>
          </w:p>
          <w:p w14:paraId="5DE9E3A8">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val="en-US" w:eastAsia="zh-CN"/>
              </w:rPr>
            </w:pPr>
            <w:r>
              <w:rPr>
                <w:rFonts w:hint="eastAsia"/>
                <w:color w:val="auto"/>
                <w:lang w:val="en-US" w:eastAsia="zh-CN"/>
              </w:rPr>
              <w:t>（8）包装入库：将年糕进行真空包装，入库待售。</w:t>
            </w:r>
          </w:p>
          <w:p w14:paraId="5756DD04">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val="en-US" w:eastAsia="zh-CN"/>
              </w:rPr>
            </w:pPr>
            <w:r>
              <w:rPr>
                <w:rFonts w:hint="eastAsia"/>
                <w:color w:val="auto"/>
                <w:lang w:val="en-US" w:eastAsia="zh-CN"/>
              </w:rPr>
              <w:t>4、鲜面条、饺子皮生产工艺流程</w:t>
            </w:r>
          </w:p>
          <w:p w14:paraId="54BDBF46">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right="0" w:rightChars="0" w:firstLine="0" w:firstLineChars="0"/>
              <w:jc w:val="center"/>
              <w:textAlignment w:val="auto"/>
              <w:rPr>
                <w:rFonts w:hint="eastAsia" w:eastAsia="宋体"/>
                <w:lang w:eastAsia="zh-CN"/>
              </w:rPr>
            </w:pPr>
            <w:r>
              <w:rPr>
                <w:rFonts w:hint="eastAsia" w:eastAsia="宋体"/>
                <w:lang w:eastAsia="zh-CN"/>
              </w:rPr>
              <w:drawing>
                <wp:inline distT="0" distB="0" distL="114300" distR="114300">
                  <wp:extent cx="5457190" cy="2802890"/>
                  <wp:effectExtent l="9525" t="9525" r="19685" b="26035"/>
                  <wp:docPr id="15" name="ECB019B1-382A-4266-B25C-5B523AA43C14-5" descr="C:/Users/Administrator/AppData/Local/Temp/wps.wuiZPG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CB019B1-382A-4266-B25C-5B523AA43C14-5" descr="C:/Users/Administrator/AppData/Local/Temp/wps.wuiZPGwps"/>
                          <pic:cNvPicPr>
                            <a:picLocks noChangeAspect="1"/>
                          </pic:cNvPicPr>
                        </pic:nvPicPr>
                        <pic:blipFill>
                          <a:blip r:embed="rId31"/>
                          <a:srcRect t="18117"/>
                          <a:stretch>
                            <a:fillRect/>
                          </a:stretch>
                        </pic:blipFill>
                        <pic:spPr>
                          <a:xfrm>
                            <a:off x="0" y="0"/>
                            <a:ext cx="5457190" cy="2802890"/>
                          </a:xfrm>
                          <a:prstGeom prst="rect">
                            <a:avLst/>
                          </a:prstGeom>
                          <a:ln>
                            <a:solidFill>
                              <a:schemeClr val="tx1"/>
                            </a:solidFill>
                          </a:ln>
                        </pic:spPr>
                      </pic:pic>
                    </a:graphicData>
                  </a:graphic>
                </wp:inline>
              </w:drawing>
            </w:r>
          </w:p>
          <w:p w14:paraId="21DA5F03">
            <w:pPr>
              <w:pStyle w:val="17"/>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pPr>
            <w:r>
              <w:rPr>
                <w:b w:val="0"/>
                <w:color w:val="auto"/>
                <w:sz w:val="18"/>
                <w:szCs w:val="18"/>
              </w:rPr>
              <w:t>注：</w:t>
            </w:r>
            <w:r>
              <w:rPr>
                <w:rFonts w:hint="eastAsia"/>
                <w:b w:val="0"/>
                <w:color w:val="auto"/>
                <w:sz w:val="18"/>
                <w:szCs w:val="18"/>
                <w:lang w:val="en-US" w:eastAsia="zh-CN"/>
              </w:rPr>
              <w:t>S1废包装袋，S2边角料、不合格产品，S3车间布袋收集粉尘；G1投料粉尘；</w:t>
            </w:r>
            <w:r>
              <w:rPr>
                <w:b w:val="0"/>
                <w:color w:val="auto"/>
                <w:sz w:val="18"/>
                <w:szCs w:val="18"/>
              </w:rPr>
              <w:t>噪声伴随生产全过程</w:t>
            </w:r>
          </w:p>
          <w:p w14:paraId="496F4C3D">
            <w:pPr>
              <w:pStyle w:val="17"/>
              <w:keepNext w:val="0"/>
              <w:keepLines w:val="0"/>
              <w:pageBreakBefore w:val="0"/>
              <w:kinsoku/>
              <w:wordWrap/>
              <w:overflowPunct/>
              <w:topLinePunct w:val="0"/>
              <w:autoSpaceDE/>
              <w:autoSpaceDN/>
              <w:bidi w:val="0"/>
              <w:adjustRightInd w:val="0"/>
              <w:snapToGrid w:val="0"/>
              <w:spacing w:after="0" w:line="240" w:lineRule="auto"/>
              <w:textAlignment w:val="auto"/>
              <w:rPr>
                <w:b/>
                <w:color w:val="auto"/>
              </w:rPr>
            </w:pPr>
            <w:r>
              <w:t xml:space="preserve">图 </w:t>
            </w:r>
            <w:r>
              <w:rPr>
                <w:rFonts w:hint="eastAsia"/>
                <w:lang w:val="en-US" w:eastAsia="zh-CN"/>
              </w:rPr>
              <w:t>2</w:t>
            </w:r>
            <w:r>
              <w:rPr>
                <w:rFonts w:hint="eastAsia"/>
                <w:lang w:eastAsia="zh-CN"/>
              </w:rPr>
              <w:t>-</w:t>
            </w:r>
            <w:r>
              <w:fldChar w:fldCharType="begin"/>
            </w:r>
            <w:r>
              <w:instrText xml:space="preserve"> SEQ 图 \* ARABIC \s 1 </w:instrText>
            </w:r>
            <w:r>
              <w:fldChar w:fldCharType="separate"/>
            </w:r>
            <w:r>
              <w:t>6</w:t>
            </w:r>
            <w:r>
              <w:fldChar w:fldCharType="end"/>
            </w:r>
            <w:r>
              <w:rPr>
                <w:rFonts w:hint="eastAsia"/>
                <w:lang w:val="en-US" w:eastAsia="zh-CN"/>
              </w:rPr>
              <w:t xml:space="preserve"> 鲜面条、饺子皮</w:t>
            </w:r>
            <w:r>
              <w:rPr>
                <w:rFonts w:hint="default"/>
              </w:rPr>
              <w:t>生产工艺流程图及产污节</w:t>
            </w:r>
            <w:r>
              <w:t>点图</w:t>
            </w:r>
          </w:p>
          <w:p w14:paraId="7472C128">
            <w:pPr>
              <w:pStyle w:val="180"/>
              <w:wordWrap/>
              <w:ind w:firstLine="482"/>
              <w:rPr>
                <w:b/>
                <w:color w:val="auto"/>
              </w:rPr>
            </w:pPr>
            <w:r>
              <w:rPr>
                <w:b/>
                <w:color w:val="auto"/>
              </w:rPr>
              <w:t>工艺流程说明：</w:t>
            </w:r>
          </w:p>
          <w:p w14:paraId="5A73EDE4">
            <w:pPr>
              <w:pStyle w:val="180"/>
              <w:wordWrap/>
              <w:spacing w:line="360" w:lineRule="auto"/>
              <w:ind w:firstLine="480"/>
              <w:rPr>
                <w:rFonts w:hint="eastAsia"/>
                <w:color w:val="auto"/>
                <w:lang w:eastAsia="zh-CN"/>
              </w:rPr>
            </w:pPr>
            <w:r>
              <w:rPr>
                <w:color w:val="auto"/>
              </w:rPr>
              <w:t>（</w:t>
            </w:r>
            <w:r>
              <w:rPr>
                <w:rFonts w:hint="eastAsia"/>
                <w:color w:val="auto"/>
              </w:rPr>
              <w:t>1</w:t>
            </w:r>
            <w:r>
              <w:rPr>
                <w:color w:val="auto"/>
              </w:rPr>
              <w:t>）</w:t>
            </w:r>
            <w:r>
              <w:rPr>
                <w:rFonts w:hint="eastAsia"/>
                <w:color w:val="auto"/>
                <w:lang w:eastAsia="zh-CN"/>
              </w:rPr>
              <w:t>原辅料：根据订单需求倒入高筋面粉作为主要原料，此工序产生投料粉尘和废包装袋。</w:t>
            </w:r>
          </w:p>
          <w:p w14:paraId="4CE4B226">
            <w:pPr>
              <w:pStyle w:val="180"/>
              <w:wordWrap/>
              <w:spacing w:line="360" w:lineRule="auto"/>
              <w:ind w:firstLine="480"/>
              <w:rPr>
                <w:rFonts w:hint="eastAsia"/>
                <w:color w:val="auto"/>
                <w:lang w:eastAsia="zh-CN"/>
              </w:rPr>
            </w:pPr>
            <w:r>
              <w:rPr>
                <w:rFonts w:hint="eastAsia"/>
                <w:color w:val="auto"/>
                <w:lang w:eastAsia="zh-CN"/>
              </w:rPr>
              <w:t>（</w:t>
            </w:r>
            <w:r>
              <w:rPr>
                <w:rFonts w:hint="eastAsia"/>
                <w:color w:val="auto"/>
                <w:lang w:val="en-US" w:eastAsia="zh-CN"/>
              </w:rPr>
              <w:t>2</w:t>
            </w:r>
            <w:r>
              <w:rPr>
                <w:rFonts w:hint="eastAsia"/>
                <w:color w:val="auto"/>
                <w:lang w:eastAsia="zh-CN"/>
              </w:rPr>
              <w:t>）配料：加入碱作为配料进行混合，准备和面所需物料。</w:t>
            </w:r>
          </w:p>
          <w:p w14:paraId="3097945B">
            <w:pPr>
              <w:pStyle w:val="180"/>
              <w:wordWrap/>
              <w:spacing w:line="360" w:lineRule="auto"/>
              <w:ind w:firstLine="480"/>
              <w:rPr>
                <w:rFonts w:hint="eastAsia"/>
                <w:color w:val="auto"/>
                <w:lang w:eastAsia="zh-CN"/>
              </w:rPr>
            </w:pPr>
            <w:r>
              <w:rPr>
                <w:rFonts w:hint="eastAsia"/>
                <w:color w:val="auto"/>
                <w:lang w:eastAsia="zh-CN"/>
              </w:rPr>
              <w:t>（</w:t>
            </w:r>
            <w:r>
              <w:rPr>
                <w:rFonts w:hint="eastAsia"/>
                <w:color w:val="auto"/>
                <w:lang w:val="en-US" w:eastAsia="zh-CN"/>
              </w:rPr>
              <w:t>3</w:t>
            </w:r>
            <w:r>
              <w:rPr>
                <w:rFonts w:hint="eastAsia"/>
                <w:color w:val="auto"/>
                <w:lang w:eastAsia="zh-CN"/>
              </w:rPr>
              <w:t>）和面：按照面与水1：</w:t>
            </w:r>
            <w:r>
              <w:rPr>
                <w:rFonts w:hint="eastAsia"/>
                <w:color w:val="auto"/>
                <w:lang w:val="en-US" w:eastAsia="zh-CN"/>
              </w:rPr>
              <w:t>0.3</w:t>
            </w:r>
            <w:r>
              <w:rPr>
                <w:rFonts w:hint="eastAsia"/>
                <w:color w:val="auto"/>
                <w:lang w:eastAsia="zh-CN"/>
              </w:rPr>
              <w:t>的比例进行和面操作，形成面团。</w:t>
            </w:r>
          </w:p>
          <w:p w14:paraId="6A36E6D2">
            <w:pPr>
              <w:pStyle w:val="180"/>
              <w:wordWrap/>
              <w:spacing w:line="360" w:lineRule="auto"/>
              <w:ind w:firstLine="480"/>
              <w:rPr>
                <w:rFonts w:hint="eastAsia"/>
                <w:color w:val="auto"/>
                <w:lang w:eastAsia="zh-CN"/>
              </w:rPr>
            </w:pPr>
            <w:r>
              <w:rPr>
                <w:rFonts w:hint="eastAsia"/>
                <w:color w:val="auto"/>
                <w:lang w:eastAsia="zh-CN"/>
              </w:rPr>
              <w:t>（</w:t>
            </w:r>
            <w:r>
              <w:rPr>
                <w:rFonts w:hint="eastAsia"/>
                <w:color w:val="auto"/>
                <w:lang w:val="en-US" w:eastAsia="zh-CN"/>
              </w:rPr>
              <w:t>4</w:t>
            </w:r>
            <w:r>
              <w:rPr>
                <w:rFonts w:hint="eastAsia"/>
                <w:color w:val="auto"/>
                <w:lang w:eastAsia="zh-CN"/>
              </w:rPr>
              <w:t>）熟化：对面团进行熟化处理，让面团内部结构更稳定，利于后续加工。</w:t>
            </w:r>
          </w:p>
          <w:p w14:paraId="32455570">
            <w:pPr>
              <w:pStyle w:val="180"/>
              <w:wordWrap/>
              <w:spacing w:line="360" w:lineRule="auto"/>
              <w:ind w:firstLine="480"/>
              <w:rPr>
                <w:rFonts w:hint="eastAsia"/>
                <w:color w:val="auto"/>
                <w:lang w:eastAsia="zh-CN"/>
              </w:rPr>
            </w:pPr>
            <w:r>
              <w:rPr>
                <w:rFonts w:hint="eastAsia"/>
                <w:color w:val="auto"/>
                <w:lang w:eastAsia="zh-CN"/>
              </w:rPr>
              <w:t>（</w:t>
            </w:r>
            <w:r>
              <w:rPr>
                <w:rFonts w:hint="eastAsia"/>
                <w:color w:val="auto"/>
                <w:lang w:val="en-US" w:eastAsia="zh-CN"/>
              </w:rPr>
              <w:t>5</w:t>
            </w:r>
            <w:r>
              <w:rPr>
                <w:rFonts w:hint="eastAsia"/>
                <w:color w:val="auto"/>
                <w:lang w:eastAsia="zh-CN"/>
              </w:rPr>
              <w:t>）压延成型：通过压延设备将熟化后的面团加工成特定厚度、形状的面片。</w:t>
            </w:r>
          </w:p>
          <w:p w14:paraId="53F7D873">
            <w:pPr>
              <w:pStyle w:val="180"/>
              <w:wordWrap/>
              <w:spacing w:line="360" w:lineRule="auto"/>
              <w:ind w:firstLine="480"/>
              <w:rPr>
                <w:rFonts w:hint="eastAsia"/>
                <w:color w:val="auto"/>
                <w:lang w:eastAsia="zh-CN"/>
              </w:rPr>
            </w:pPr>
            <w:r>
              <w:rPr>
                <w:rFonts w:hint="eastAsia"/>
                <w:color w:val="auto"/>
                <w:lang w:eastAsia="zh-CN"/>
              </w:rPr>
              <w:t>（</w:t>
            </w:r>
            <w:r>
              <w:rPr>
                <w:rFonts w:hint="eastAsia"/>
                <w:color w:val="auto"/>
                <w:lang w:val="en-US" w:eastAsia="zh-CN"/>
              </w:rPr>
              <w:t>6</w:t>
            </w:r>
            <w:r>
              <w:rPr>
                <w:rFonts w:hint="eastAsia"/>
                <w:color w:val="auto"/>
                <w:lang w:eastAsia="zh-CN"/>
              </w:rPr>
              <w:t>）分切：把压延好的面片，依据订单需求将产品分切成相应规格。</w:t>
            </w:r>
          </w:p>
          <w:p w14:paraId="04B5AB29">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eastAsia="zh-CN"/>
              </w:rPr>
            </w:pPr>
            <w:r>
              <w:rPr>
                <w:rFonts w:hint="eastAsia"/>
                <w:color w:val="auto"/>
                <w:lang w:eastAsia="zh-CN"/>
              </w:rPr>
              <w:t>（</w:t>
            </w:r>
            <w:r>
              <w:rPr>
                <w:rFonts w:hint="eastAsia"/>
                <w:color w:val="auto"/>
                <w:lang w:val="en-US" w:eastAsia="zh-CN"/>
              </w:rPr>
              <w:t>7</w:t>
            </w:r>
            <w:r>
              <w:rPr>
                <w:rFonts w:hint="eastAsia"/>
                <w:color w:val="auto"/>
                <w:lang w:eastAsia="zh-CN"/>
              </w:rPr>
              <w:t>）包装入库：包装材料在包材消毒间进行紫外线和臭氧消毒机消毒灭菌后，对产品进行人工简易包装，放入成品库待售。</w:t>
            </w:r>
          </w:p>
          <w:p w14:paraId="30D821FB">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val="en-US" w:eastAsia="zh-CN"/>
              </w:rPr>
            </w:pPr>
            <w:r>
              <w:rPr>
                <w:rFonts w:hint="eastAsia"/>
                <w:color w:val="auto"/>
                <w:lang w:val="en-US" w:eastAsia="zh-CN"/>
              </w:rPr>
              <w:t>5、饼丝生产工艺流程</w:t>
            </w:r>
          </w:p>
          <w:p w14:paraId="1EBDB793">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0" w:firstLineChars="0"/>
              <w:textAlignment w:val="auto"/>
              <w:rPr>
                <w:rFonts w:hint="eastAsia" w:eastAsia="宋体"/>
                <w:lang w:eastAsia="zh-CN"/>
              </w:rPr>
            </w:pPr>
            <w:r>
              <w:rPr>
                <w:rFonts w:hint="eastAsia" w:eastAsia="宋体"/>
                <w:lang w:eastAsia="zh-CN"/>
              </w:rPr>
              <w:drawing>
                <wp:inline distT="0" distB="0" distL="114300" distR="114300">
                  <wp:extent cx="5471795" cy="1334135"/>
                  <wp:effectExtent l="9525" t="9525" r="24130" b="27940"/>
                  <wp:docPr id="16" name="ECB019B1-382A-4266-B25C-5B523AA43C14-6" descr="C:/Users/Administrator/AppData/Local/Temp/wps.wZFBjQ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ECB019B1-382A-4266-B25C-5B523AA43C14-6" descr="C:/Users/Administrator/AppData/Local/Temp/wps.wZFBjQwps"/>
                          <pic:cNvPicPr>
                            <a:picLocks noChangeAspect="1"/>
                          </pic:cNvPicPr>
                        </pic:nvPicPr>
                        <pic:blipFill>
                          <a:blip r:embed="rId32"/>
                          <a:srcRect t="30372"/>
                          <a:stretch>
                            <a:fillRect/>
                          </a:stretch>
                        </pic:blipFill>
                        <pic:spPr>
                          <a:xfrm>
                            <a:off x="0" y="0"/>
                            <a:ext cx="5471795" cy="1334135"/>
                          </a:xfrm>
                          <a:prstGeom prst="rect">
                            <a:avLst/>
                          </a:prstGeom>
                          <a:ln>
                            <a:solidFill>
                              <a:schemeClr val="tx1"/>
                            </a:solidFill>
                          </a:ln>
                        </pic:spPr>
                      </pic:pic>
                    </a:graphicData>
                  </a:graphic>
                </wp:inline>
              </w:drawing>
            </w:r>
          </w:p>
          <w:p w14:paraId="134A21E1">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rPr>
                <w:b w:val="0"/>
                <w:color w:val="auto"/>
                <w:sz w:val="18"/>
                <w:szCs w:val="18"/>
              </w:rPr>
              <w:t>注：</w:t>
            </w:r>
            <w:r>
              <w:rPr>
                <w:rFonts w:hint="eastAsia"/>
                <w:b w:val="0"/>
                <w:color w:val="auto"/>
                <w:sz w:val="18"/>
                <w:szCs w:val="18"/>
                <w:lang w:val="en-US" w:eastAsia="zh-CN"/>
              </w:rPr>
              <w:t>S1废包装袋，S2边角料、不合格产品，S3车间布袋收集粉尘；G1投料粉尘；</w:t>
            </w:r>
            <w:r>
              <w:rPr>
                <w:b w:val="0"/>
                <w:color w:val="auto"/>
                <w:sz w:val="18"/>
                <w:szCs w:val="18"/>
              </w:rPr>
              <w:t>噪声伴随生产全过程</w:t>
            </w:r>
          </w:p>
          <w:p w14:paraId="4AB28E7C">
            <w:pPr>
              <w:pStyle w:val="17"/>
              <w:keepNext w:val="0"/>
              <w:keepLines w:val="0"/>
              <w:pageBreakBefore w:val="0"/>
              <w:kinsoku/>
              <w:wordWrap/>
              <w:overflowPunct/>
              <w:topLinePunct w:val="0"/>
              <w:autoSpaceDE/>
              <w:autoSpaceDN/>
              <w:bidi w:val="0"/>
              <w:adjustRightInd w:val="0"/>
              <w:snapToGrid w:val="0"/>
              <w:spacing w:after="0" w:line="240" w:lineRule="auto"/>
              <w:textAlignment w:val="auto"/>
              <w:rPr>
                <w:b/>
                <w:color w:val="auto"/>
              </w:rPr>
            </w:pPr>
            <w:r>
              <w:t xml:space="preserve">图 </w:t>
            </w:r>
            <w:r>
              <w:rPr>
                <w:rFonts w:hint="eastAsia"/>
                <w:lang w:val="en-US" w:eastAsia="zh-CN"/>
              </w:rPr>
              <w:t>2</w:t>
            </w:r>
            <w:r>
              <w:rPr>
                <w:rFonts w:hint="eastAsia"/>
                <w:lang w:eastAsia="zh-CN"/>
              </w:rPr>
              <w:t>-</w:t>
            </w:r>
            <w:r>
              <w:fldChar w:fldCharType="begin"/>
            </w:r>
            <w:r>
              <w:instrText xml:space="preserve"> SEQ 图 \* ARABIC \s 1 </w:instrText>
            </w:r>
            <w:r>
              <w:fldChar w:fldCharType="separate"/>
            </w:r>
            <w:r>
              <w:t>7</w:t>
            </w:r>
            <w:r>
              <w:fldChar w:fldCharType="end"/>
            </w:r>
            <w:r>
              <w:rPr>
                <w:rFonts w:hint="eastAsia"/>
                <w:lang w:val="en-US" w:eastAsia="zh-CN"/>
              </w:rPr>
              <w:t xml:space="preserve"> </w:t>
            </w:r>
            <w:r>
              <w:rPr>
                <w:rFonts w:hint="eastAsia"/>
                <w:color w:val="auto"/>
                <w:lang w:val="en-US" w:eastAsia="zh-CN"/>
              </w:rPr>
              <w:t>饼丝</w:t>
            </w:r>
            <w:r>
              <w:rPr>
                <w:rFonts w:hint="default" w:ascii="Times New Roman" w:hAnsi="Times New Roman"/>
                <w:color w:val="auto"/>
              </w:rPr>
              <w:t>生产工艺流程图及产污节</w:t>
            </w:r>
            <w:r>
              <w:rPr>
                <w:color w:val="auto"/>
              </w:rPr>
              <w:t>点图</w:t>
            </w:r>
          </w:p>
          <w:p w14:paraId="6A33BA28">
            <w:pPr>
              <w:pStyle w:val="180"/>
              <w:wordWrap/>
              <w:ind w:firstLine="482"/>
              <w:rPr>
                <w:b/>
                <w:color w:val="auto"/>
              </w:rPr>
            </w:pPr>
            <w:r>
              <w:rPr>
                <w:b/>
                <w:color w:val="auto"/>
              </w:rPr>
              <w:t>工艺流程说明：</w:t>
            </w:r>
          </w:p>
          <w:p w14:paraId="2D83F6BE">
            <w:pPr>
              <w:pStyle w:val="180"/>
              <w:wordWrap/>
              <w:spacing w:line="360" w:lineRule="auto"/>
              <w:ind w:firstLine="480"/>
              <w:rPr>
                <w:rFonts w:hint="eastAsia"/>
                <w:color w:val="auto"/>
                <w:lang w:eastAsia="zh-CN"/>
              </w:rPr>
            </w:pPr>
            <w:r>
              <w:rPr>
                <w:color w:val="auto"/>
              </w:rPr>
              <w:t>（</w:t>
            </w:r>
            <w:r>
              <w:rPr>
                <w:rFonts w:hint="eastAsia"/>
                <w:color w:val="auto"/>
              </w:rPr>
              <w:t>1</w:t>
            </w:r>
            <w:r>
              <w:rPr>
                <w:color w:val="auto"/>
              </w:rPr>
              <w:t>）</w:t>
            </w:r>
            <w:r>
              <w:rPr>
                <w:rFonts w:hint="eastAsia"/>
                <w:color w:val="auto"/>
                <w:lang w:eastAsia="zh-CN"/>
              </w:rPr>
              <w:t>原辅料：根据订单需求倒入高筋面粉作为主要原料，此工序产生投料粉尘和废包装袋。</w:t>
            </w:r>
          </w:p>
          <w:p w14:paraId="71DA2B09">
            <w:pPr>
              <w:pStyle w:val="180"/>
              <w:wordWrap/>
              <w:spacing w:line="360" w:lineRule="auto"/>
              <w:ind w:firstLine="480"/>
              <w:rPr>
                <w:rFonts w:hint="eastAsia"/>
                <w:color w:val="auto"/>
                <w:lang w:eastAsia="zh-CN"/>
              </w:rPr>
            </w:pPr>
            <w:r>
              <w:rPr>
                <w:rFonts w:hint="eastAsia"/>
                <w:color w:val="auto"/>
                <w:lang w:eastAsia="zh-CN"/>
              </w:rPr>
              <w:t>（</w:t>
            </w:r>
            <w:r>
              <w:rPr>
                <w:rFonts w:hint="eastAsia"/>
                <w:color w:val="auto"/>
                <w:lang w:val="en-US" w:eastAsia="zh-CN"/>
              </w:rPr>
              <w:t>2</w:t>
            </w:r>
            <w:r>
              <w:rPr>
                <w:rFonts w:hint="eastAsia"/>
                <w:color w:val="auto"/>
                <w:lang w:eastAsia="zh-CN"/>
              </w:rPr>
              <w:t>）配料：加入盐作为配料进行混合，准备调浆所需物料。</w:t>
            </w:r>
          </w:p>
          <w:p w14:paraId="1C398589">
            <w:pPr>
              <w:pStyle w:val="180"/>
              <w:wordWrap/>
              <w:spacing w:line="360" w:lineRule="auto"/>
              <w:ind w:firstLine="480"/>
              <w:rPr>
                <w:rFonts w:hint="eastAsia"/>
                <w:color w:val="auto"/>
                <w:lang w:eastAsia="zh-CN"/>
              </w:rPr>
            </w:pPr>
            <w:r>
              <w:rPr>
                <w:rFonts w:hint="eastAsia"/>
                <w:color w:val="auto"/>
                <w:lang w:eastAsia="zh-CN"/>
              </w:rPr>
              <w:t>（</w:t>
            </w:r>
            <w:r>
              <w:rPr>
                <w:rFonts w:hint="eastAsia"/>
                <w:color w:val="auto"/>
                <w:lang w:val="en-US" w:eastAsia="zh-CN"/>
              </w:rPr>
              <w:t>3</w:t>
            </w:r>
            <w:r>
              <w:rPr>
                <w:rFonts w:hint="eastAsia"/>
                <w:color w:val="auto"/>
                <w:lang w:eastAsia="zh-CN"/>
              </w:rPr>
              <w:t>）调浆：按照面与水1：</w:t>
            </w:r>
            <w:r>
              <w:rPr>
                <w:rFonts w:hint="eastAsia"/>
                <w:color w:val="auto"/>
                <w:lang w:val="en-US" w:eastAsia="zh-CN"/>
              </w:rPr>
              <w:t>0.5</w:t>
            </w:r>
            <w:r>
              <w:rPr>
                <w:rFonts w:hint="eastAsia"/>
                <w:color w:val="auto"/>
                <w:lang w:eastAsia="zh-CN"/>
              </w:rPr>
              <w:t>的比例进行调浆操作，形成面浆。</w:t>
            </w:r>
          </w:p>
          <w:p w14:paraId="5FE32644">
            <w:pPr>
              <w:pStyle w:val="180"/>
              <w:wordWrap/>
              <w:spacing w:line="360" w:lineRule="auto"/>
              <w:ind w:firstLine="480"/>
              <w:rPr>
                <w:rFonts w:hint="eastAsia"/>
                <w:color w:val="auto"/>
                <w:lang w:eastAsia="zh-CN"/>
              </w:rPr>
            </w:pPr>
            <w:r>
              <w:rPr>
                <w:rFonts w:hint="eastAsia"/>
                <w:color w:val="auto"/>
                <w:lang w:eastAsia="zh-CN"/>
              </w:rPr>
              <w:t>（</w:t>
            </w:r>
            <w:r>
              <w:rPr>
                <w:rFonts w:hint="eastAsia"/>
                <w:color w:val="auto"/>
                <w:lang w:val="en-US" w:eastAsia="zh-CN"/>
              </w:rPr>
              <w:t>4</w:t>
            </w:r>
            <w:r>
              <w:rPr>
                <w:rFonts w:hint="eastAsia"/>
                <w:color w:val="auto"/>
                <w:lang w:eastAsia="zh-CN"/>
              </w:rPr>
              <w:t>）烤制成型：通过烘烤设备将面浆烤制成型。</w:t>
            </w:r>
          </w:p>
          <w:p w14:paraId="46883572">
            <w:pPr>
              <w:pStyle w:val="180"/>
              <w:wordWrap/>
              <w:spacing w:line="360" w:lineRule="auto"/>
              <w:ind w:firstLine="480"/>
              <w:rPr>
                <w:rFonts w:hint="eastAsia"/>
                <w:color w:val="auto"/>
                <w:lang w:eastAsia="zh-CN"/>
              </w:rPr>
            </w:pPr>
            <w:r>
              <w:rPr>
                <w:rFonts w:hint="eastAsia"/>
                <w:color w:val="auto"/>
                <w:lang w:eastAsia="zh-CN"/>
              </w:rPr>
              <w:t>（</w:t>
            </w:r>
            <w:r>
              <w:rPr>
                <w:rFonts w:hint="eastAsia"/>
                <w:color w:val="auto"/>
                <w:lang w:val="en-US" w:eastAsia="zh-CN"/>
              </w:rPr>
              <w:t>5</w:t>
            </w:r>
            <w:r>
              <w:rPr>
                <w:rFonts w:hint="eastAsia"/>
                <w:color w:val="auto"/>
                <w:lang w:eastAsia="zh-CN"/>
              </w:rPr>
              <w:t>）切丝：通过切丝设备对成型面饼进行处理，形成饼丝。</w:t>
            </w:r>
          </w:p>
          <w:p w14:paraId="319B1DCB">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eastAsia="zh-CN"/>
              </w:rPr>
            </w:pPr>
            <w:r>
              <w:rPr>
                <w:rFonts w:hint="eastAsia"/>
                <w:color w:val="auto"/>
                <w:lang w:eastAsia="zh-CN"/>
              </w:rPr>
              <w:t>（</w:t>
            </w:r>
            <w:r>
              <w:rPr>
                <w:rFonts w:hint="eastAsia"/>
                <w:color w:val="auto"/>
                <w:lang w:val="en-US" w:eastAsia="zh-CN"/>
              </w:rPr>
              <w:t>6</w:t>
            </w:r>
            <w:r>
              <w:rPr>
                <w:rFonts w:hint="eastAsia"/>
                <w:color w:val="auto"/>
                <w:lang w:eastAsia="zh-CN"/>
              </w:rPr>
              <w:t>）包装入库：包装材料在包材消毒间进行紫外线和臭氧消毒机消毒灭菌后，对产品进行人工简易包装，放入成品库待售。</w:t>
            </w:r>
          </w:p>
          <w:p w14:paraId="4E61023C">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val="en-US" w:eastAsia="zh-CN"/>
              </w:rPr>
            </w:pPr>
            <w:r>
              <w:rPr>
                <w:rFonts w:hint="eastAsia"/>
                <w:color w:val="auto"/>
                <w:lang w:val="en-US" w:eastAsia="zh-CN"/>
              </w:rPr>
              <w:t>6、扯面生产工艺流程</w:t>
            </w:r>
          </w:p>
          <w:p w14:paraId="766AAD5A">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0" w:firstLineChars="0"/>
              <w:textAlignment w:val="auto"/>
              <w:rPr>
                <w:rFonts w:hint="eastAsia" w:eastAsia="宋体"/>
                <w:lang w:eastAsia="zh-CN"/>
              </w:rPr>
            </w:pPr>
            <w:r>
              <w:rPr>
                <w:rFonts w:hint="eastAsia" w:eastAsia="宋体"/>
                <w:lang w:eastAsia="zh-CN"/>
              </w:rPr>
              <w:drawing>
                <wp:inline distT="0" distB="0" distL="114300" distR="114300">
                  <wp:extent cx="5495290" cy="2404745"/>
                  <wp:effectExtent l="0" t="0" r="0" b="0"/>
                  <wp:docPr id="18" name="ECB019B1-382A-4266-B25C-5B523AA43C14-7" descr="C:/Users/Administrator/AppData/Local/Temp/wps.iwVFSk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CB019B1-382A-4266-B25C-5B523AA43C14-7" descr="C:/Users/Administrator/AppData/Local/Temp/wps.iwVFSkwps"/>
                          <pic:cNvPicPr>
                            <a:picLocks noChangeAspect="1"/>
                          </pic:cNvPicPr>
                        </pic:nvPicPr>
                        <pic:blipFill>
                          <a:blip r:embed="rId33">
                            <a:lum contrast="-6000"/>
                          </a:blip>
                          <a:srcRect t="18995"/>
                          <a:stretch>
                            <a:fillRect/>
                          </a:stretch>
                        </pic:blipFill>
                        <pic:spPr>
                          <a:xfrm>
                            <a:off x="0" y="0"/>
                            <a:ext cx="5495290" cy="2404745"/>
                          </a:xfrm>
                          <a:prstGeom prst="rect">
                            <a:avLst/>
                          </a:prstGeom>
                          <a:ln>
                            <a:solidFill>
                              <a:schemeClr val="tx1"/>
                            </a:solidFill>
                          </a:ln>
                        </pic:spPr>
                      </pic:pic>
                    </a:graphicData>
                  </a:graphic>
                </wp:inline>
              </w:drawing>
            </w:r>
          </w:p>
          <w:p w14:paraId="22C51E39">
            <w:pPr>
              <w:pStyle w:val="17"/>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textAlignment w:val="auto"/>
            </w:pPr>
            <w:r>
              <w:rPr>
                <w:b w:val="0"/>
                <w:color w:val="auto"/>
                <w:sz w:val="18"/>
                <w:szCs w:val="18"/>
              </w:rPr>
              <w:t>注：</w:t>
            </w:r>
            <w:r>
              <w:rPr>
                <w:rFonts w:hint="eastAsia"/>
                <w:b w:val="0"/>
                <w:color w:val="auto"/>
                <w:sz w:val="18"/>
                <w:szCs w:val="18"/>
                <w:lang w:val="en-US" w:eastAsia="zh-CN"/>
              </w:rPr>
              <w:t>S1废包装袋，S2边角料、不合格产品，S3车间布袋收集粉尘；G1投料粉尘；</w:t>
            </w:r>
            <w:r>
              <w:rPr>
                <w:b w:val="0"/>
                <w:color w:val="auto"/>
                <w:sz w:val="18"/>
                <w:szCs w:val="18"/>
              </w:rPr>
              <w:t>噪声伴随生产全过程</w:t>
            </w:r>
          </w:p>
          <w:p w14:paraId="5F670FE8">
            <w:pPr>
              <w:pStyle w:val="17"/>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textAlignment w:val="auto"/>
              <w:rPr>
                <w:b/>
                <w:color w:val="auto"/>
              </w:rPr>
            </w:pPr>
            <w:r>
              <w:t xml:space="preserve">图 </w:t>
            </w:r>
            <w:r>
              <w:rPr>
                <w:rFonts w:hint="eastAsia"/>
                <w:lang w:val="en-US" w:eastAsia="zh-CN"/>
              </w:rPr>
              <w:t>2</w:t>
            </w:r>
            <w:r>
              <w:rPr>
                <w:rFonts w:hint="eastAsia"/>
                <w:lang w:eastAsia="zh-CN"/>
              </w:rPr>
              <w:t>-</w:t>
            </w:r>
            <w:r>
              <w:fldChar w:fldCharType="begin"/>
            </w:r>
            <w:r>
              <w:instrText xml:space="preserve"> SEQ 图 \* ARABIC \s 1 </w:instrText>
            </w:r>
            <w:r>
              <w:fldChar w:fldCharType="separate"/>
            </w:r>
            <w:r>
              <w:t>8</w:t>
            </w:r>
            <w:r>
              <w:fldChar w:fldCharType="end"/>
            </w:r>
            <w:r>
              <w:rPr>
                <w:rFonts w:hint="eastAsia"/>
                <w:lang w:val="en-US" w:eastAsia="zh-CN"/>
              </w:rPr>
              <w:t xml:space="preserve"> </w:t>
            </w:r>
            <w:r>
              <w:rPr>
                <w:rFonts w:hint="eastAsia"/>
                <w:color w:val="auto"/>
                <w:lang w:val="en-US" w:eastAsia="zh-CN"/>
              </w:rPr>
              <w:t>扯面</w:t>
            </w:r>
            <w:r>
              <w:rPr>
                <w:rFonts w:hint="default" w:ascii="Times New Roman" w:hAnsi="Times New Roman"/>
                <w:color w:val="auto"/>
              </w:rPr>
              <w:t>生产工艺流程图及产污节</w:t>
            </w:r>
            <w:r>
              <w:rPr>
                <w:color w:val="auto"/>
              </w:rPr>
              <w:t>点图</w:t>
            </w:r>
          </w:p>
          <w:p w14:paraId="7106118D">
            <w:pPr>
              <w:pStyle w:val="180"/>
              <w:wordWrap/>
              <w:spacing w:line="360" w:lineRule="auto"/>
              <w:ind w:firstLine="482"/>
              <w:rPr>
                <w:b/>
                <w:color w:val="auto"/>
              </w:rPr>
            </w:pPr>
            <w:r>
              <w:rPr>
                <w:b/>
                <w:color w:val="auto"/>
              </w:rPr>
              <w:t>工艺流程说明：</w:t>
            </w:r>
          </w:p>
          <w:p w14:paraId="168AA8FF">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val="en-US" w:eastAsia="zh-CN"/>
              </w:rPr>
            </w:pPr>
            <w:r>
              <w:rPr>
                <w:rFonts w:hint="eastAsia"/>
                <w:color w:val="auto"/>
                <w:lang w:val="en-US" w:eastAsia="zh-CN"/>
              </w:rPr>
              <w:t>扯面生产工艺与鲜面条、饺子皮生产工艺大致相同，仅在分切后增加刷油工序，达到防止粘连以及提升口感的效果。</w:t>
            </w:r>
          </w:p>
          <w:p w14:paraId="2D660DDD">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rFonts w:hint="eastAsia"/>
                <w:color w:val="auto"/>
                <w:lang w:val="en-US" w:eastAsia="zh-CN"/>
              </w:rPr>
            </w:pPr>
            <w:r>
              <w:rPr>
                <w:rFonts w:hint="eastAsia"/>
                <w:color w:val="auto"/>
                <w:lang w:val="en-US" w:eastAsia="zh-CN"/>
              </w:rPr>
              <w:t>7、豆饼生产工艺流程</w:t>
            </w:r>
          </w:p>
          <w:p w14:paraId="2BDE6201">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0" w:firstLineChars="0"/>
              <w:textAlignment w:val="auto"/>
              <w:rPr>
                <w:rFonts w:hint="eastAsia" w:eastAsia="宋体"/>
                <w:lang w:eastAsia="zh-CN"/>
              </w:rPr>
            </w:pPr>
            <w:r>
              <w:rPr>
                <w:rFonts w:hint="eastAsia" w:eastAsia="宋体"/>
                <w:lang w:eastAsia="zh-CN"/>
              </w:rPr>
              <w:drawing>
                <wp:inline distT="0" distB="0" distL="114300" distR="114300">
                  <wp:extent cx="5476240" cy="1767840"/>
                  <wp:effectExtent l="9525" t="9525" r="19685" b="13335"/>
                  <wp:docPr id="19" name="ECB019B1-382A-4266-B25C-5B523AA43C14-8" descr="C:/Users/Administrator/AppData/Local/Temp/wps.ghLrKK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ECB019B1-382A-4266-B25C-5B523AA43C14-8" descr="C:/Users/Administrator/AppData/Local/Temp/wps.ghLrKKwps"/>
                          <pic:cNvPicPr>
                            <a:picLocks noChangeAspect="1"/>
                          </pic:cNvPicPr>
                        </pic:nvPicPr>
                        <pic:blipFill>
                          <a:blip r:embed="rId34"/>
                          <a:srcRect t="22144"/>
                          <a:stretch>
                            <a:fillRect/>
                          </a:stretch>
                        </pic:blipFill>
                        <pic:spPr>
                          <a:xfrm>
                            <a:off x="0" y="0"/>
                            <a:ext cx="5476240" cy="1767840"/>
                          </a:xfrm>
                          <a:prstGeom prst="rect">
                            <a:avLst/>
                          </a:prstGeom>
                          <a:ln>
                            <a:solidFill>
                              <a:schemeClr val="tx1"/>
                            </a:solidFill>
                          </a:ln>
                        </pic:spPr>
                      </pic:pic>
                    </a:graphicData>
                  </a:graphic>
                </wp:inline>
              </w:drawing>
            </w:r>
          </w:p>
          <w:p w14:paraId="44DBCD21">
            <w:pPr>
              <w:pStyle w:val="17"/>
              <w:keepNext w:val="0"/>
              <w:keepLines w:val="0"/>
              <w:pageBreakBefore w:val="0"/>
              <w:widowControl/>
              <w:kinsoku/>
              <w:wordWrap/>
              <w:overflowPunct/>
              <w:topLinePunct w:val="0"/>
              <w:autoSpaceDE/>
              <w:autoSpaceDN/>
              <w:bidi w:val="0"/>
              <w:adjustRightInd w:val="0"/>
              <w:snapToGrid w:val="0"/>
              <w:spacing w:after="0" w:line="240" w:lineRule="auto"/>
              <w:ind w:left="0" w:leftChars="0" w:firstLine="0" w:firstLineChars="0"/>
              <w:textAlignment w:val="auto"/>
            </w:pPr>
            <w:r>
              <w:rPr>
                <w:b w:val="0"/>
                <w:color w:val="auto"/>
                <w:sz w:val="18"/>
                <w:szCs w:val="18"/>
              </w:rPr>
              <w:t>注：</w:t>
            </w:r>
            <w:r>
              <w:rPr>
                <w:rFonts w:hint="eastAsia"/>
                <w:b w:val="0"/>
                <w:color w:val="auto"/>
                <w:sz w:val="18"/>
                <w:szCs w:val="18"/>
                <w:lang w:val="en-US" w:eastAsia="zh-CN"/>
              </w:rPr>
              <w:t>S1废包装袋，S3车间布袋收集粉尘；G1投料粉尘；</w:t>
            </w:r>
            <w:r>
              <w:rPr>
                <w:b w:val="0"/>
                <w:color w:val="auto"/>
                <w:sz w:val="18"/>
                <w:szCs w:val="18"/>
              </w:rPr>
              <w:t>噪声伴随生产全过程</w:t>
            </w:r>
          </w:p>
          <w:p w14:paraId="4FAE97B6">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lang w:val="en-US" w:eastAsia="zh-CN"/>
              </w:rPr>
            </w:pPr>
            <w:r>
              <w:t xml:space="preserve">图 </w:t>
            </w:r>
            <w:r>
              <w:rPr>
                <w:rFonts w:hint="eastAsia"/>
                <w:lang w:val="en-US" w:eastAsia="zh-CN"/>
              </w:rPr>
              <w:t>2</w:t>
            </w:r>
            <w:r>
              <w:rPr>
                <w:rFonts w:hint="eastAsia"/>
                <w:lang w:eastAsia="zh-CN"/>
              </w:rPr>
              <w:t>-</w:t>
            </w:r>
            <w:r>
              <w:fldChar w:fldCharType="begin"/>
            </w:r>
            <w:r>
              <w:instrText xml:space="preserve"> SEQ 图 \* ARABIC \s 1 </w:instrText>
            </w:r>
            <w:r>
              <w:fldChar w:fldCharType="separate"/>
            </w:r>
            <w:r>
              <w:t>9</w:t>
            </w:r>
            <w:r>
              <w:fldChar w:fldCharType="end"/>
            </w:r>
            <w:r>
              <w:rPr>
                <w:rFonts w:hint="eastAsia"/>
                <w:lang w:val="en-US" w:eastAsia="zh-CN"/>
              </w:rPr>
              <w:t xml:space="preserve"> 豆饼</w:t>
            </w:r>
            <w:r>
              <w:rPr>
                <w:rFonts w:hint="default"/>
              </w:rPr>
              <w:t>生产工艺流程图及产污节</w:t>
            </w:r>
            <w:r>
              <w:t>点图</w:t>
            </w:r>
          </w:p>
          <w:p w14:paraId="54E89438">
            <w:pPr>
              <w:pStyle w:val="180"/>
              <w:wordWrap/>
              <w:ind w:firstLine="482"/>
              <w:rPr>
                <w:b/>
                <w:color w:val="auto"/>
              </w:rPr>
            </w:pPr>
            <w:r>
              <w:rPr>
                <w:b/>
                <w:color w:val="auto"/>
              </w:rPr>
              <w:t>工艺流程说明：</w:t>
            </w:r>
          </w:p>
          <w:p w14:paraId="1DE8762E">
            <w:pPr>
              <w:pStyle w:val="180"/>
              <w:wordWrap/>
              <w:spacing w:line="360" w:lineRule="auto"/>
              <w:ind w:firstLine="480"/>
              <w:rPr>
                <w:rFonts w:hint="eastAsia"/>
                <w:color w:val="auto"/>
                <w:lang w:eastAsia="zh-CN"/>
              </w:rPr>
            </w:pPr>
            <w:r>
              <w:rPr>
                <w:color w:val="auto"/>
              </w:rPr>
              <w:t>（</w:t>
            </w:r>
            <w:r>
              <w:rPr>
                <w:rFonts w:hint="eastAsia"/>
                <w:color w:val="auto"/>
              </w:rPr>
              <w:t>1</w:t>
            </w:r>
            <w:r>
              <w:rPr>
                <w:color w:val="auto"/>
              </w:rPr>
              <w:t>）</w:t>
            </w:r>
            <w:r>
              <w:rPr>
                <w:rFonts w:hint="eastAsia"/>
                <w:color w:val="auto"/>
                <w:lang w:eastAsia="zh-CN"/>
              </w:rPr>
              <w:t>原辅料：倒入高筋面粉混合</w:t>
            </w:r>
            <w:r>
              <w:rPr>
                <w:rFonts w:hint="eastAsia"/>
                <w:color w:val="auto"/>
                <w:lang w:val="en-US" w:eastAsia="zh-CN"/>
              </w:rPr>
              <w:t>30%绿豆粉或黄豆粉</w:t>
            </w:r>
            <w:r>
              <w:rPr>
                <w:rFonts w:hint="eastAsia"/>
                <w:color w:val="auto"/>
                <w:lang w:eastAsia="zh-CN"/>
              </w:rPr>
              <w:t>作为主要原料，此工序产生投料粉尘和废包装袋。</w:t>
            </w:r>
          </w:p>
          <w:p w14:paraId="1FDDB513">
            <w:pPr>
              <w:pStyle w:val="180"/>
              <w:wordWrap/>
              <w:spacing w:line="360" w:lineRule="auto"/>
              <w:ind w:firstLine="480"/>
              <w:rPr>
                <w:rFonts w:hint="eastAsia"/>
                <w:color w:val="auto"/>
                <w:lang w:eastAsia="zh-CN"/>
              </w:rPr>
            </w:pPr>
            <w:r>
              <w:rPr>
                <w:rFonts w:hint="eastAsia"/>
                <w:color w:val="auto"/>
                <w:lang w:eastAsia="zh-CN"/>
              </w:rPr>
              <w:t>（</w:t>
            </w:r>
            <w:r>
              <w:rPr>
                <w:rFonts w:hint="eastAsia"/>
                <w:color w:val="auto"/>
                <w:lang w:val="en-US" w:eastAsia="zh-CN"/>
              </w:rPr>
              <w:t>2</w:t>
            </w:r>
            <w:r>
              <w:rPr>
                <w:rFonts w:hint="eastAsia"/>
                <w:color w:val="auto"/>
                <w:lang w:eastAsia="zh-CN"/>
              </w:rPr>
              <w:t>）调浆：按照面与水1：</w:t>
            </w:r>
            <w:r>
              <w:rPr>
                <w:rFonts w:hint="eastAsia"/>
                <w:color w:val="auto"/>
                <w:lang w:val="en-US" w:eastAsia="zh-CN"/>
              </w:rPr>
              <w:t>0.5</w:t>
            </w:r>
            <w:r>
              <w:rPr>
                <w:rFonts w:hint="eastAsia"/>
                <w:color w:val="auto"/>
                <w:lang w:eastAsia="zh-CN"/>
              </w:rPr>
              <w:t>的比例进行调浆操作，形成面浆。</w:t>
            </w:r>
          </w:p>
          <w:p w14:paraId="719A9BD6">
            <w:pPr>
              <w:pStyle w:val="180"/>
              <w:wordWrap/>
              <w:spacing w:line="360" w:lineRule="auto"/>
              <w:ind w:firstLine="480"/>
              <w:rPr>
                <w:rFonts w:hint="eastAsia"/>
                <w:color w:val="auto"/>
                <w:lang w:eastAsia="zh-CN"/>
              </w:rPr>
            </w:pPr>
            <w:r>
              <w:rPr>
                <w:rFonts w:hint="eastAsia"/>
                <w:color w:val="auto"/>
                <w:lang w:eastAsia="zh-CN"/>
              </w:rPr>
              <w:t>（</w:t>
            </w:r>
            <w:r>
              <w:rPr>
                <w:rFonts w:hint="eastAsia"/>
                <w:color w:val="auto"/>
                <w:lang w:val="en-US" w:eastAsia="zh-CN"/>
              </w:rPr>
              <w:t>3</w:t>
            </w:r>
            <w:r>
              <w:rPr>
                <w:rFonts w:hint="eastAsia"/>
                <w:color w:val="auto"/>
                <w:lang w:eastAsia="zh-CN"/>
              </w:rPr>
              <w:t>）滴定成型：将面浆经设备自动滴定工件按量滴定至烘炕铁片上。</w:t>
            </w:r>
          </w:p>
          <w:p w14:paraId="45133291">
            <w:pPr>
              <w:pStyle w:val="180"/>
              <w:wordWrap/>
              <w:spacing w:line="360" w:lineRule="auto"/>
              <w:ind w:firstLine="480"/>
              <w:rPr>
                <w:rFonts w:hint="default"/>
                <w:color w:val="auto"/>
                <w:lang w:val="en-US" w:eastAsia="zh-CN"/>
              </w:rPr>
            </w:pPr>
            <w:r>
              <w:rPr>
                <w:rFonts w:hint="eastAsia"/>
                <w:color w:val="auto"/>
                <w:lang w:eastAsia="zh-CN"/>
              </w:rPr>
              <w:t>（</w:t>
            </w:r>
            <w:r>
              <w:rPr>
                <w:rFonts w:hint="eastAsia"/>
                <w:color w:val="auto"/>
                <w:lang w:val="en-US" w:eastAsia="zh-CN"/>
              </w:rPr>
              <w:t>4</w:t>
            </w:r>
            <w:r>
              <w:rPr>
                <w:rFonts w:hint="eastAsia"/>
                <w:color w:val="auto"/>
                <w:lang w:eastAsia="zh-CN"/>
              </w:rPr>
              <w:t>）烘烤成熟：经烘烤设备</w:t>
            </w:r>
            <w:r>
              <w:rPr>
                <w:rFonts w:hint="eastAsia"/>
                <w:color w:val="auto"/>
                <w:lang w:val="en-US" w:eastAsia="zh-CN"/>
              </w:rPr>
              <w:t>加热2~5秒后成熟，形成成品。</w:t>
            </w:r>
          </w:p>
          <w:p w14:paraId="2A2E9C47">
            <w:pPr>
              <w:pStyle w:val="180"/>
              <w:keepNext w:val="0"/>
              <w:keepLines w:val="0"/>
              <w:pageBreakBefore w:val="0"/>
              <w:widowControl/>
              <w:kinsoku/>
              <w:wordWrap/>
              <w:overflowPunct/>
              <w:topLinePunct w:val="0"/>
              <w:autoSpaceDE/>
              <w:autoSpaceDN/>
              <w:bidi w:val="0"/>
              <w:adjustRightInd w:val="0"/>
              <w:snapToGrid w:val="0"/>
              <w:spacing w:line="360" w:lineRule="auto"/>
              <w:ind w:left="0" w:leftChars="0" w:firstLine="480" w:firstLineChars="200"/>
              <w:textAlignment w:val="auto"/>
              <w:rPr>
                <w:color w:val="0000FF"/>
              </w:rPr>
            </w:pPr>
            <w:r>
              <w:rPr>
                <w:rFonts w:hint="eastAsia"/>
                <w:color w:val="auto"/>
                <w:lang w:val="en-US" w:eastAsia="zh-CN"/>
              </w:rPr>
              <w:t>（5）包装入库：成品经设备清扫至包装袋内，</w:t>
            </w:r>
            <w:r>
              <w:rPr>
                <w:rFonts w:hint="eastAsia"/>
                <w:color w:val="auto"/>
                <w:lang w:eastAsia="zh-CN"/>
              </w:rPr>
              <w:t>通过人工简易包装，放入成品库待售。</w:t>
            </w:r>
          </w:p>
          <w:p w14:paraId="592E0B0F">
            <w:pPr>
              <w:pStyle w:val="179"/>
              <w:framePr w:hSpace="0" w:wrap="auto" w:vAnchor="margin" w:hAnchor="text" w:xAlign="left" w:yAlign="inline"/>
              <w:ind w:firstLine="482"/>
              <w:rPr>
                <w:color w:val="auto"/>
              </w:rPr>
            </w:pPr>
            <w:r>
              <w:rPr>
                <w:color w:val="auto"/>
              </w:rPr>
              <w:t xml:space="preserve">2.3.3 </w:t>
            </w:r>
            <w:r>
              <w:rPr>
                <w:rFonts w:hint="eastAsia"/>
                <w:color w:val="auto"/>
              </w:rPr>
              <w:t>本项目污染工序及污染因子</w:t>
            </w:r>
          </w:p>
          <w:p w14:paraId="566B324A">
            <w:pPr>
              <w:pStyle w:val="180"/>
              <w:wordWrap/>
              <w:ind w:firstLine="480"/>
              <w:rPr>
                <w:color w:val="auto"/>
              </w:rPr>
            </w:pPr>
            <w:r>
              <w:rPr>
                <w:rFonts w:hint="eastAsia"/>
                <w:color w:val="auto"/>
              </w:rPr>
              <w:t>根据建设项目工艺流程，本项目建设完成后主要污染源及产生的污染物如下：</w:t>
            </w:r>
          </w:p>
          <w:p w14:paraId="697513AD">
            <w:pPr>
              <w:pStyle w:val="285"/>
              <w:framePr w:hSpace="0" w:wrap="auto" w:vAnchor="margin" w:hAnchor="text" w:xAlign="left" w:yAlign="inline"/>
              <w:rPr>
                <w:color w:val="auto"/>
              </w:rPr>
            </w:pPr>
            <w:r>
              <w:rPr>
                <w:color w:val="auto"/>
              </w:rPr>
              <w:t>表2.3-1 主要产物环节和排污特征</w:t>
            </w:r>
          </w:p>
          <w:tbl>
            <w:tblPr>
              <w:tblStyle w:val="57"/>
              <w:tblpPr w:leftFromText="180" w:rightFromText="180" w:vertAnchor="text" w:tblpXSpec="center"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1" w:type="dxa"/>
                <w:bottom w:w="0" w:type="dxa"/>
                <w:right w:w="51" w:type="dxa"/>
              </w:tblCellMar>
            </w:tblPr>
            <w:tblGrid>
              <w:gridCol w:w="611"/>
              <w:gridCol w:w="1194"/>
              <w:gridCol w:w="1247"/>
              <w:gridCol w:w="2004"/>
              <w:gridCol w:w="3641"/>
            </w:tblGrid>
            <w:tr w14:paraId="3A7765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2" w:hRule="atLeast"/>
              </w:trPr>
              <w:tc>
                <w:tcPr>
                  <w:tcW w:w="351" w:type="pct"/>
                  <w:vAlign w:val="center"/>
                </w:tcPr>
                <w:p w14:paraId="4B80C909">
                  <w:pPr>
                    <w:pStyle w:val="286"/>
                    <w:framePr w:hSpace="0" w:wrap="auto" w:vAnchor="margin" w:hAnchor="text" w:xAlign="left" w:yAlign="inline"/>
                    <w:rPr>
                      <w:color w:val="auto"/>
                    </w:rPr>
                  </w:pPr>
                  <w:r>
                    <w:rPr>
                      <w:color w:val="auto"/>
                    </w:rPr>
                    <w:t>类别</w:t>
                  </w:r>
                </w:p>
              </w:tc>
              <w:tc>
                <w:tcPr>
                  <w:tcW w:w="1403" w:type="pct"/>
                  <w:gridSpan w:val="2"/>
                  <w:vAlign w:val="center"/>
                </w:tcPr>
                <w:p w14:paraId="26AD3B68">
                  <w:pPr>
                    <w:pStyle w:val="286"/>
                    <w:framePr w:hSpace="0" w:wrap="auto" w:vAnchor="margin" w:hAnchor="text" w:xAlign="left" w:yAlign="inline"/>
                    <w:rPr>
                      <w:color w:val="auto"/>
                    </w:rPr>
                  </w:pPr>
                  <w:r>
                    <w:rPr>
                      <w:rFonts w:hint="eastAsia"/>
                      <w:color w:val="auto"/>
                    </w:rPr>
                    <w:t>产污环节</w:t>
                  </w:r>
                </w:p>
              </w:tc>
              <w:tc>
                <w:tcPr>
                  <w:tcW w:w="1152" w:type="pct"/>
                  <w:vAlign w:val="center"/>
                </w:tcPr>
                <w:p w14:paraId="5ECCD627">
                  <w:pPr>
                    <w:pStyle w:val="286"/>
                    <w:framePr w:hSpace="0" w:wrap="auto" w:vAnchor="margin" w:hAnchor="text" w:xAlign="left" w:yAlign="inline"/>
                    <w:rPr>
                      <w:color w:val="auto"/>
                    </w:rPr>
                  </w:pPr>
                  <w:r>
                    <w:rPr>
                      <w:color w:val="auto"/>
                    </w:rPr>
                    <w:t>污染物</w:t>
                  </w:r>
                </w:p>
              </w:tc>
              <w:tc>
                <w:tcPr>
                  <w:tcW w:w="2093" w:type="pct"/>
                  <w:vAlign w:val="center"/>
                </w:tcPr>
                <w:p w14:paraId="73407A0B">
                  <w:pPr>
                    <w:pStyle w:val="286"/>
                    <w:framePr w:hSpace="0" w:wrap="auto" w:vAnchor="margin" w:hAnchor="text" w:xAlign="left" w:yAlign="inline"/>
                    <w:rPr>
                      <w:color w:val="auto"/>
                    </w:rPr>
                  </w:pPr>
                  <w:r>
                    <w:rPr>
                      <w:color w:val="auto"/>
                    </w:rPr>
                    <w:t>处理措施</w:t>
                  </w:r>
                </w:p>
              </w:tc>
            </w:tr>
            <w:tr w14:paraId="37680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2" w:hRule="atLeast"/>
              </w:trPr>
              <w:tc>
                <w:tcPr>
                  <w:tcW w:w="351" w:type="pct"/>
                  <w:vAlign w:val="center"/>
                </w:tcPr>
                <w:p w14:paraId="1188F6D0">
                  <w:pPr>
                    <w:pStyle w:val="286"/>
                    <w:framePr w:hSpace="0" w:wrap="auto" w:vAnchor="margin" w:hAnchor="text" w:xAlign="left" w:yAlign="inline"/>
                    <w:rPr>
                      <w:color w:val="auto"/>
                    </w:rPr>
                  </w:pPr>
                  <w:r>
                    <w:rPr>
                      <w:color w:val="auto"/>
                    </w:rPr>
                    <w:t>废气</w:t>
                  </w:r>
                </w:p>
              </w:tc>
              <w:tc>
                <w:tcPr>
                  <w:tcW w:w="1403" w:type="pct"/>
                  <w:gridSpan w:val="2"/>
                  <w:vAlign w:val="center"/>
                </w:tcPr>
                <w:p w14:paraId="4E7149C7">
                  <w:pPr>
                    <w:pStyle w:val="286"/>
                    <w:framePr w:hSpace="0" w:wrap="auto" w:vAnchor="margin" w:hAnchor="text" w:xAlign="left" w:yAlign="inline"/>
                    <w:rPr>
                      <w:color w:val="auto"/>
                    </w:rPr>
                  </w:pPr>
                  <w:r>
                    <w:rPr>
                      <w:rFonts w:hint="eastAsia"/>
                      <w:color w:val="auto"/>
                      <w:lang w:eastAsia="zh-CN"/>
                    </w:rPr>
                    <w:t>投料工序</w:t>
                  </w:r>
                </w:p>
              </w:tc>
              <w:tc>
                <w:tcPr>
                  <w:tcW w:w="1152" w:type="pct"/>
                  <w:vAlign w:val="center"/>
                </w:tcPr>
                <w:p w14:paraId="6B282451">
                  <w:pPr>
                    <w:pStyle w:val="286"/>
                    <w:framePr w:hSpace="0" w:wrap="auto" w:vAnchor="margin" w:hAnchor="text" w:xAlign="left" w:yAlign="inline"/>
                    <w:rPr>
                      <w:color w:val="auto"/>
                    </w:rPr>
                  </w:pPr>
                  <w:r>
                    <w:rPr>
                      <w:rFonts w:hint="eastAsia"/>
                      <w:color w:val="auto"/>
                      <w:lang w:eastAsia="zh-CN"/>
                    </w:rPr>
                    <w:t>投料粉尘</w:t>
                  </w:r>
                  <w:r>
                    <w:rPr>
                      <w:color w:val="auto"/>
                    </w:rPr>
                    <w:t>G1</w:t>
                  </w:r>
                </w:p>
              </w:tc>
              <w:tc>
                <w:tcPr>
                  <w:tcW w:w="2093" w:type="pct"/>
                  <w:vAlign w:val="center"/>
                </w:tcPr>
                <w:p w14:paraId="7E062D22">
                  <w:pPr>
                    <w:pStyle w:val="286"/>
                    <w:framePr w:hSpace="0" w:wrap="auto" w:vAnchor="margin" w:hAnchor="text" w:xAlign="left" w:yAlign="inline"/>
                    <w:rPr>
                      <w:rFonts w:hint="default" w:eastAsia="宋体"/>
                      <w:color w:val="auto"/>
                      <w:lang w:val="en-US" w:eastAsia="zh-CN"/>
                    </w:rPr>
                  </w:pPr>
                  <w:r>
                    <w:rPr>
                      <w:rFonts w:hint="default" w:ascii="Times New Roman" w:hAnsi="Times New Roman" w:eastAsia="宋体" w:cs="Times New Roman"/>
                      <w:color w:val="auto"/>
                      <w:sz w:val="18"/>
                      <w:szCs w:val="18"/>
                      <w:highlight w:val="none"/>
                      <w:vertAlign w:val="baseline"/>
                      <w:lang w:val="en-US" w:eastAsia="zh-CN"/>
                    </w:rPr>
                    <w:t>本项目投料口上方布设集气罩并连通集气管道接入布袋除尘器+加强设备密闭</w:t>
                  </w:r>
                  <w:r>
                    <w:rPr>
                      <w:rFonts w:hint="eastAsia" w:cs="Times New Roman"/>
                      <w:color w:val="auto"/>
                      <w:sz w:val="18"/>
                      <w:szCs w:val="18"/>
                      <w:highlight w:val="none"/>
                      <w:vertAlign w:val="baseline"/>
                      <w:lang w:val="en-US" w:eastAsia="zh-CN"/>
                    </w:rPr>
                    <w:t>。</w:t>
                  </w:r>
                </w:p>
              </w:tc>
            </w:tr>
            <w:tr w14:paraId="7AA837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2" w:hRule="atLeast"/>
              </w:trPr>
              <w:tc>
                <w:tcPr>
                  <w:tcW w:w="351" w:type="pct"/>
                  <w:vMerge w:val="restart"/>
                  <w:vAlign w:val="center"/>
                </w:tcPr>
                <w:p w14:paraId="6AB81055">
                  <w:pPr>
                    <w:pStyle w:val="286"/>
                    <w:framePr w:hSpace="0" w:wrap="auto" w:vAnchor="margin" w:hAnchor="text" w:xAlign="left" w:yAlign="inline"/>
                    <w:rPr>
                      <w:color w:val="auto"/>
                    </w:rPr>
                  </w:pPr>
                  <w:r>
                    <w:rPr>
                      <w:color w:val="auto"/>
                    </w:rPr>
                    <w:t>废水</w:t>
                  </w:r>
                </w:p>
              </w:tc>
              <w:tc>
                <w:tcPr>
                  <w:tcW w:w="1403" w:type="pct"/>
                  <w:gridSpan w:val="2"/>
                  <w:vAlign w:val="center"/>
                </w:tcPr>
                <w:p w14:paraId="32576A04">
                  <w:pPr>
                    <w:pStyle w:val="286"/>
                    <w:framePr w:hSpace="0" w:wrap="auto" w:vAnchor="margin" w:hAnchor="text" w:xAlign="left" w:yAlign="inline"/>
                    <w:rPr>
                      <w:color w:val="auto"/>
                    </w:rPr>
                  </w:pPr>
                  <w:r>
                    <w:rPr>
                      <w:color w:val="auto"/>
                    </w:rPr>
                    <w:t>职工生活</w:t>
                  </w:r>
                </w:p>
              </w:tc>
              <w:tc>
                <w:tcPr>
                  <w:tcW w:w="1152" w:type="pct"/>
                  <w:vAlign w:val="center"/>
                </w:tcPr>
                <w:p w14:paraId="5E8AECD3">
                  <w:pPr>
                    <w:pStyle w:val="286"/>
                    <w:framePr w:hSpace="0" w:wrap="auto" w:vAnchor="margin" w:hAnchor="text" w:xAlign="left" w:yAlign="inline"/>
                    <w:rPr>
                      <w:color w:val="auto"/>
                      <w:lang w:val="en-US"/>
                    </w:rPr>
                  </w:pPr>
                  <w:r>
                    <w:rPr>
                      <w:color w:val="auto"/>
                    </w:rPr>
                    <w:t>生活污水</w:t>
                  </w:r>
                  <w:r>
                    <w:rPr>
                      <w:rFonts w:hint="eastAsia"/>
                      <w:color w:val="auto"/>
                      <w:lang w:val="en-US"/>
                    </w:rPr>
                    <w:t>W1</w:t>
                  </w:r>
                </w:p>
              </w:tc>
              <w:tc>
                <w:tcPr>
                  <w:tcW w:w="2093" w:type="pct"/>
                  <w:vMerge w:val="restart"/>
                  <w:vAlign w:val="center"/>
                </w:tcPr>
                <w:p w14:paraId="2CF1B351">
                  <w:pPr>
                    <w:pStyle w:val="286"/>
                    <w:framePr w:hSpace="0" w:wrap="auto" w:vAnchor="margin" w:hAnchor="text" w:xAlign="left" w:yAlign="inline"/>
                    <w:rPr>
                      <w:color w:val="auto"/>
                    </w:rPr>
                  </w:pPr>
                  <w:r>
                    <w:rPr>
                      <w:rFonts w:hint="eastAsia"/>
                      <w:color w:val="auto"/>
                      <w:lang w:val="en-US" w:eastAsia="zh-CN"/>
                    </w:rPr>
                    <w:t>生活污水依托化粪池处理，生产废水经油水分离池和沉淀池处理后汇同生活污水一同进入园区污水管网，接入市政污水管网纳管至淮南经开区工业污水处理厂深度处理</w:t>
                  </w:r>
                </w:p>
              </w:tc>
            </w:tr>
            <w:tr w14:paraId="0A177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2" w:hRule="atLeast"/>
              </w:trPr>
              <w:tc>
                <w:tcPr>
                  <w:tcW w:w="351" w:type="pct"/>
                  <w:vMerge w:val="continue"/>
                  <w:vAlign w:val="center"/>
                </w:tcPr>
                <w:p w14:paraId="2258AD4F">
                  <w:pPr>
                    <w:pStyle w:val="286"/>
                    <w:framePr w:hSpace="0" w:wrap="auto" w:vAnchor="margin" w:hAnchor="text" w:xAlign="left" w:yAlign="inline"/>
                    <w:rPr>
                      <w:color w:val="auto"/>
                    </w:rPr>
                  </w:pPr>
                </w:p>
              </w:tc>
              <w:tc>
                <w:tcPr>
                  <w:tcW w:w="1403" w:type="pct"/>
                  <w:gridSpan w:val="2"/>
                  <w:vMerge w:val="restart"/>
                  <w:vAlign w:val="center"/>
                </w:tcPr>
                <w:p w14:paraId="3EFD76F5">
                  <w:pPr>
                    <w:pStyle w:val="286"/>
                    <w:framePr w:hSpace="0" w:wrap="auto" w:vAnchor="margin" w:hAnchor="text" w:xAlign="left" w:yAlign="inline"/>
                    <w:rPr>
                      <w:color w:val="auto"/>
                    </w:rPr>
                  </w:pPr>
                  <w:r>
                    <w:rPr>
                      <w:rFonts w:hint="eastAsia"/>
                      <w:color w:val="auto"/>
                    </w:rPr>
                    <w:t>生产废水</w:t>
                  </w:r>
                </w:p>
              </w:tc>
              <w:tc>
                <w:tcPr>
                  <w:tcW w:w="1152" w:type="pct"/>
                  <w:vAlign w:val="center"/>
                </w:tcPr>
                <w:p w14:paraId="1CC964E1">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洗米废水W2</w:t>
                  </w:r>
                </w:p>
              </w:tc>
              <w:tc>
                <w:tcPr>
                  <w:tcW w:w="2093" w:type="pct"/>
                  <w:vMerge w:val="continue"/>
                  <w:vAlign w:val="center"/>
                </w:tcPr>
                <w:p w14:paraId="752FD757">
                  <w:pPr>
                    <w:pStyle w:val="286"/>
                    <w:framePr w:hSpace="0" w:wrap="auto" w:vAnchor="margin" w:hAnchor="text" w:xAlign="left" w:yAlign="inline"/>
                    <w:rPr>
                      <w:color w:val="0000FF"/>
                    </w:rPr>
                  </w:pPr>
                </w:p>
              </w:tc>
            </w:tr>
            <w:tr w14:paraId="204298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2" w:hRule="atLeast"/>
              </w:trPr>
              <w:tc>
                <w:tcPr>
                  <w:tcW w:w="351" w:type="pct"/>
                  <w:vMerge w:val="continue"/>
                  <w:vAlign w:val="center"/>
                </w:tcPr>
                <w:p w14:paraId="79CFB6DD">
                  <w:pPr>
                    <w:pStyle w:val="286"/>
                    <w:framePr w:hSpace="0" w:wrap="auto" w:vAnchor="margin" w:hAnchor="text" w:xAlign="left" w:yAlign="inline"/>
                    <w:rPr>
                      <w:color w:val="auto"/>
                    </w:rPr>
                  </w:pPr>
                </w:p>
              </w:tc>
              <w:tc>
                <w:tcPr>
                  <w:tcW w:w="1403" w:type="pct"/>
                  <w:gridSpan w:val="2"/>
                  <w:vMerge w:val="continue"/>
                  <w:vAlign w:val="center"/>
                </w:tcPr>
                <w:p w14:paraId="11A99C34">
                  <w:pPr>
                    <w:pStyle w:val="286"/>
                    <w:framePr w:hSpace="0" w:wrap="auto" w:vAnchor="margin" w:hAnchor="text" w:xAlign="left" w:yAlign="inline"/>
                    <w:rPr>
                      <w:rFonts w:hint="eastAsia"/>
                      <w:color w:val="auto"/>
                    </w:rPr>
                  </w:pPr>
                </w:p>
              </w:tc>
              <w:tc>
                <w:tcPr>
                  <w:tcW w:w="1152" w:type="pct"/>
                  <w:shd w:val="clear" w:color="auto" w:fill="auto"/>
                  <w:vAlign w:val="center"/>
                </w:tcPr>
                <w:p w14:paraId="565CECAA">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eastAsia="zh-CN"/>
                    </w:rPr>
                    <w:t>设备</w:t>
                  </w:r>
                  <w:r>
                    <w:rPr>
                      <w:rFonts w:hint="eastAsia"/>
                      <w:color w:val="auto"/>
                    </w:rPr>
                    <w:t>清洗</w:t>
                  </w:r>
                  <w:r>
                    <w:rPr>
                      <w:color w:val="auto"/>
                    </w:rPr>
                    <w:t>废水</w:t>
                  </w:r>
                  <w:r>
                    <w:rPr>
                      <w:rFonts w:hint="eastAsia"/>
                      <w:color w:val="auto"/>
                      <w:lang w:val="en-US"/>
                    </w:rPr>
                    <w:t>W</w:t>
                  </w:r>
                  <w:r>
                    <w:rPr>
                      <w:rFonts w:hint="eastAsia"/>
                      <w:color w:val="auto"/>
                      <w:lang w:val="en-US" w:eastAsia="zh-CN"/>
                    </w:rPr>
                    <w:t>3</w:t>
                  </w:r>
                </w:p>
              </w:tc>
              <w:tc>
                <w:tcPr>
                  <w:tcW w:w="2093" w:type="pct"/>
                  <w:vMerge w:val="continue"/>
                  <w:vAlign w:val="center"/>
                </w:tcPr>
                <w:p w14:paraId="14DDFF3D">
                  <w:pPr>
                    <w:pStyle w:val="286"/>
                    <w:framePr w:hSpace="0" w:wrap="auto" w:vAnchor="margin" w:hAnchor="text" w:xAlign="left" w:yAlign="inline"/>
                    <w:rPr>
                      <w:rFonts w:hint="eastAsia"/>
                      <w:color w:val="0000FF"/>
                    </w:rPr>
                  </w:pPr>
                </w:p>
              </w:tc>
            </w:tr>
            <w:tr w14:paraId="434FA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2" w:hRule="atLeast"/>
              </w:trPr>
              <w:tc>
                <w:tcPr>
                  <w:tcW w:w="351" w:type="pct"/>
                  <w:vMerge w:val="continue"/>
                  <w:vAlign w:val="center"/>
                </w:tcPr>
                <w:p w14:paraId="16E398F5">
                  <w:pPr>
                    <w:pStyle w:val="286"/>
                    <w:framePr w:hSpace="0" w:wrap="auto" w:vAnchor="margin" w:hAnchor="text" w:xAlign="left" w:yAlign="inline"/>
                    <w:rPr>
                      <w:color w:val="auto"/>
                    </w:rPr>
                  </w:pPr>
                </w:p>
              </w:tc>
              <w:tc>
                <w:tcPr>
                  <w:tcW w:w="1403" w:type="pct"/>
                  <w:gridSpan w:val="2"/>
                  <w:vMerge w:val="continue"/>
                  <w:vAlign w:val="center"/>
                </w:tcPr>
                <w:p w14:paraId="54D90DE1">
                  <w:pPr>
                    <w:pStyle w:val="286"/>
                    <w:framePr w:hSpace="0" w:wrap="auto" w:vAnchor="margin" w:hAnchor="text" w:xAlign="left" w:yAlign="inline"/>
                    <w:rPr>
                      <w:rFonts w:hint="eastAsia"/>
                      <w:color w:val="auto"/>
                    </w:rPr>
                  </w:pPr>
                </w:p>
              </w:tc>
              <w:tc>
                <w:tcPr>
                  <w:tcW w:w="1152" w:type="pct"/>
                  <w:shd w:val="clear" w:color="auto" w:fill="auto"/>
                  <w:vAlign w:val="center"/>
                </w:tcPr>
                <w:p w14:paraId="6CDB3262">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eastAsia="zh-CN"/>
                    </w:rPr>
                    <w:t>地面保洁废水</w:t>
                  </w:r>
                  <w:r>
                    <w:rPr>
                      <w:rFonts w:hint="eastAsia"/>
                      <w:color w:val="auto"/>
                      <w:lang w:val="en-US" w:eastAsia="zh-CN"/>
                    </w:rPr>
                    <w:t>W4</w:t>
                  </w:r>
                </w:p>
              </w:tc>
              <w:tc>
                <w:tcPr>
                  <w:tcW w:w="2093" w:type="pct"/>
                  <w:vMerge w:val="continue"/>
                  <w:vAlign w:val="center"/>
                </w:tcPr>
                <w:p w14:paraId="43551814">
                  <w:pPr>
                    <w:pStyle w:val="286"/>
                    <w:framePr w:hSpace="0" w:wrap="auto" w:vAnchor="margin" w:hAnchor="text" w:xAlign="left" w:yAlign="inline"/>
                    <w:rPr>
                      <w:rFonts w:hint="eastAsia"/>
                      <w:color w:val="0000FF"/>
                    </w:rPr>
                  </w:pPr>
                </w:p>
              </w:tc>
            </w:tr>
            <w:tr w14:paraId="29805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2" w:hRule="atLeast"/>
              </w:trPr>
              <w:tc>
                <w:tcPr>
                  <w:tcW w:w="351" w:type="pct"/>
                  <w:vMerge w:val="continue"/>
                  <w:vAlign w:val="center"/>
                </w:tcPr>
                <w:p w14:paraId="3E015132">
                  <w:pPr>
                    <w:pStyle w:val="286"/>
                    <w:framePr w:hSpace="0" w:wrap="auto" w:vAnchor="margin" w:hAnchor="text" w:xAlign="left" w:yAlign="inline"/>
                    <w:rPr>
                      <w:color w:val="auto"/>
                    </w:rPr>
                  </w:pPr>
                </w:p>
              </w:tc>
              <w:tc>
                <w:tcPr>
                  <w:tcW w:w="1403" w:type="pct"/>
                  <w:gridSpan w:val="2"/>
                  <w:vMerge w:val="continue"/>
                  <w:vAlign w:val="center"/>
                </w:tcPr>
                <w:p w14:paraId="4DBE9219">
                  <w:pPr>
                    <w:pStyle w:val="286"/>
                    <w:framePr w:hSpace="0" w:wrap="auto" w:vAnchor="margin" w:hAnchor="text" w:xAlign="left" w:yAlign="inline"/>
                    <w:rPr>
                      <w:rFonts w:hint="eastAsia"/>
                      <w:color w:val="auto"/>
                    </w:rPr>
                  </w:pPr>
                </w:p>
              </w:tc>
              <w:tc>
                <w:tcPr>
                  <w:tcW w:w="1152" w:type="pct"/>
                  <w:shd w:val="clear" w:color="auto" w:fill="auto"/>
                  <w:vAlign w:val="center"/>
                </w:tcPr>
                <w:p w14:paraId="7A605E7E">
                  <w:pPr>
                    <w:pStyle w:val="286"/>
                    <w:framePr w:hSpace="0" w:wrap="auto" w:vAnchor="margin" w:hAnchor="text" w:xAlign="left" w:yAlign="inline"/>
                    <w:rPr>
                      <w:rFonts w:hint="default"/>
                      <w:color w:val="auto"/>
                      <w:lang w:val="en-US" w:eastAsia="zh-CN"/>
                    </w:rPr>
                  </w:pPr>
                  <w:r>
                    <w:rPr>
                      <w:rFonts w:hint="eastAsia"/>
                      <w:color w:val="auto"/>
                      <w:lang w:eastAsia="zh-CN"/>
                    </w:rPr>
                    <w:t>检验废水</w:t>
                  </w:r>
                  <w:r>
                    <w:rPr>
                      <w:rFonts w:hint="eastAsia"/>
                      <w:color w:val="auto"/>
                      <w:lang w:val="en-US" w:eastAsia="zh-CN"/>
                    </w:rPr>
                    <w:t>W5</w:t>
                  </w:r>
                </w:p>
              </w:tc>
              <w:tc>
                <w:tcPr>
                  <w:tcW w:w="2093" w:type="pct"/>
                  <w:vMerge w:val="continue"/>
                  <w:vAlign w:val="center"/>
                </w:tcPr>
                <w:p w14:paraId="1573EE4A">
                  <w:pPr>
                    <w:pStyle w:val="286"/>
                    <w:framePr w:hSpace="0" w:wrap="auto" w:vAnchor="margin" w:hAnchor="text" w:xAlign="left" w:yAlign="inline"/>
                    <w:rPr>
                      <w:rFonts w:hint="eastAsia"/>
                      <w:color w:val="0000FF"/>
                    </w:rPr>
                  </w:pPr>
                </w:p>
              </w:tc>
            </w:tr>
            <w:tr w14:paraId="787C8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2" w:hRule="atLeast"/>
              </w:trPr>
              <w:tc>
                <w:tcPr>
                  <w:tcW w:w="351" w:type="pct"/>
                  <w:vMerge w:val="restart"/>
                  <w:vAlign w:val="center"/>
                </w:tcPr>
                <w:p w14:paraId="41D0D0F7">
                  <w:pPr>
                    <w:pStyle w:val="286"/>
                    <w:framePr w:hSpace="0" w:wrap="auto" w:vAnchor="margin" w:hAnchor="text" w:xAlign="left" w:yAlign="inline"/>
                    <w:rPr>
                      <w:color w:val="auto"/>
                    </w:rPr>
                  </w:pPr>
                  <w:r>
                    <w:rPr>
                      <w:color w:val="auto"/>
                    </w:rPr>
                    <w:t>固废</w:t>
                  </w:r>
                </w:p>
              </w:tc>
              <w:tc>
                <w:tcPr>
                  <w:tcW w:w="686" w:type="pct"/>
                  <w:vMerge w:val="restart"/>
                  <w:vAlign w:val="center"/>
                </w:tcPr>
                <w:p w14:paraId="02ED706C">
                  <w:pPr>
                    <w:pStyle w:val="286"/>
                    <w:framePr w:hSpace="0" w:wrap="auto" w:vAnchor="margin" w:hAnchor="text" w:xAlign="left" w:yAlign="inline"/>
                    <w:rPr>
                      <w:color w:val="auto"/>
                    </w:rPr>
                  </w:pPr>
                  <w:r>
                    <w:rPr>
                      <w:rFonts w:hint="eastAsia"/>
                      <w:color w:val="auto"/>
                    </w:rPr>
                    <w:t>一般工业固废</w:t>
                  </w:r>
                </w:p>
              </w:tc>
              <w:tc>
                <w:tcPr>
                  <w:tcW w:w="717" w:type="pct"/>
                  <w:vAlign w:val="center"/>
                </w:tcPr>
                <w:p w14:paraId="69FE86CB">
                  <w:pPr>
                    <w:pStyle w:val="286"/>
                    <w:framePr w:hSpace="0" w:wrap="auto" w:vAnchor="margin" w:hAnchor="text" w:xAlign="left" w:yAlign="inline"/>
                    <w:rPr>
                      <w:rFonts w:hint="eastAsia" w:eastAsia="宋体"/>
                      <w:color w:val="auto"/>
                      <w:lang w:eastAsia="zh-CN"/>
                    </w:rPr>
                  </w:pPr>
                  <w:r>
                    <w:rPr>
                      <w:rFonts w:hint="eastAsia"/>
                      <w:color w:val="auto"/>
                      <w:lang w:eastAsia="zh-CN"/>
                    </w:rPr>
                    <w:t>投料</w:t>
                  </w:r>
                </w:p>
              </w:tc>
              <w:tc>
                <w:tcPr>
                  <w:tcW w:w="1152" w:type="pct"/>
                  <w:vAlign w:val="center"/>
                </w:tcPr>
                <w:p w14:paraId="6486165A">
                  <w:pPr>
                    <w:pStyle w:val="286"/>
                    <w:framePr w:hSpace="0" w:wrap="auto" w:vAnchor="margin" w:hAnchor="text" w:xAlign="left" w:yAlign="inline"/>
                    <w:rPr>
                      <w:color w:val="auto"/>
                    </w:rPr>
                  </w:pPr>
                  <w:r>
                    <w:rPr>
                      <w:rFonts w:hint="eastAsia"/>
                      <w:color w:val="auto"/>
                      <w:lang w:eastAsia="zh-CN"/>
                    </w:rPr>
                    <w:t>废包装袋</w:t>
                  </w:r>
                  <w:r>
                    <w:rPr>
                      <w:rFonts w:hint="eastAsia"/>
                      <w:color w:val="auto"/>
                    </w:rPr>
                    <w:t>S</w:t>
                  </w:r>
                  <w:r>
                    <w:rPr>
                      <w:color w:val="auto"/>
                    </w:rPr>
                    <w:t>1</w:t>
                  </w:r>
                </w:p>
              </w:tc>
              <w:tc>
                <w:tcPr>
                  <w:tcW w:w="2093" w:type="pct"/>
                  <w:vAlign w:val="center"/>
                </w:tcPr>
                <w:p w14:paraId="07146E2A">
                  <w:pPr>
                    <w:pStyle w:val="286"/>
                    <w:framePr w:hSpace="0" w:wrap="auto" w:vAnchor="margin" w:hAnchor="text" w:xAlign="left" w:yAlign="inline"/>
                    <w:rPr>
                      <w:color w:val="auto"/>
                    </w:rPr>
                  </w:pPr>
                  <w:r>
                    <w:rPr>
                      <w:rFonts w:hint="eastAsia"/>
                      <w:color w:val="auto"/>
                    </w:rPr>
                    <w:t>收集后外售物资回收单位</w:t>
                  </w:r>
                </w:p>
              </w:tc>
            </w:tr>
            <w:tr w14:paraId="374FA3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2" w:hRule="atLeast"/>
              </w:trPr>
              <w:tc>
                <w:tcPr>
                  <w:tcW w:w="351" w:type="pct"/>
                  <w:vMerge w:val="continue"/>
                  <w:vAlign w:val="center"/>
                </w:tcPr>
                <w:p w14:paraId="5C7C0F9F">
                  <w:pPr>
                    <w:pStyle w:val="286"/>
                    <w:framePr w:hSpace="0" w:wrap="auto" w:vAnchor="margin" w:hAnchor="text" w:xAlign="left" w:yAlign="inline"/>
                    <w:rPr>
                      <w:color w:val="auto"/>
                    </w:rPr>
                  </w:pPr>
                </w:p>
              </w:tc>
              <w:tc>
                <w:tcPr>
                  <w:tcW w:w="686" w:type="pct"/>
                  <w:vMerge w:val="continue"/>
                  <w:vAlign w:val="center"/>
                </w:tcPr>
                <w:p w14:paraId="1E7029E5">
                  <w:pPr>
                    <w:pStyle w:val="286"/>
                    <w:framePr w:hSpace="0" w:wrap="auto" w:vAnchor="margin" w:hAnchor="text" w:xAlign="left" w:yAlign="inline"/>
                    <w:rPr>
                      <w:color w:val="auto"/>
                    </w:rPr>
                  </w:pPr>
                </w:p>
              </w:tc>
              <w:tc>
                <w:tcPr>
                  <w:tcW w:w="717" w:type="pct"/>
                  <w:vMerge w:val="restart"/>
                  <w:vAlign w:val="center"/>
                </w:tcPr>
                <w:p w14:paraId="5003F595">
                  <w:pPr>
                    <w:pStyle w:val="286"/>
                    <w:framePr w:hSpace="0" w:wrap="auto" w:vAnchor="margin" w:hAnchor="text" w:xAlign="left" w:yAlign="inline"/>
                    <w:rPr>
                      <w:color w:val="auto"/>
                    </w:rPr>
                  </w:pPr>
                  <w:r>
                    <w:rPr>
                      <w:rFonts w:hint="default"/>
                      <w:color w:val="auto"/>
                      <w:lang w:val="en-US" w:eastAsia="zh-CN"/>
                    </w:rPr>
                    <w:t>包装</w:t>
                  </w:r>
                  <w:r>
                    <w:rPr>
                      <w:rFonts w:hint="eastAsia"/>
                      <w:color w:val="auto"/>
                      <w:lang w:val="en-US" w:eastAsia="zh-CN"/>
                    </w:rPr>
                    <w:t>检验</w:t>
                  </w:r>
                </w:p>
              </w:tc>
              <w:tc>
                <w:tcPr>
                  <w:tcW w:w="1152" w:type="pct"/>
                  <w:vAlign w:val="center"/>
                </w:tcPr>
                <w:p w14:paraId="42F1223B">
                  <w:pPr>
                    <w:pStyle w:val="286"/>
                    <w:framePr w:hSpace="0" w:wrap="auto" w:vAnchor="margin" w:hAnchor="text" w:xAlign="left" w:yAlign="inline"/>
                    <w:rPr>
                      <w:color w:val="auto"/>
                    </w:rPr>
                  </w:pPr>
                  <w:r>
                    <w:rPr>
                      <w:rFonts w:hint="eastAsia"/>
                      <w:color w:val="auto"/>
                      <w:lang w:eastAsia="zh-CN"/>
                    </w:rPr>
                    <w:t>边角料、不合格产品</w:t>
                  </w:r>
                  <w:r>
                    <w:rPr>
                      <w:rFonts w:hint="eastAsia"/>
                      <w:color w:val="auto"/>
                    </w:rPr>
                    <w:t>S</w:t>
                  </w:r>
                  <w:r>
                    <w:rPr>
                      <w:color w:val="auto"/>
                    </w:rPr>
                    <w:t>2</w:t>
                  </w:r>
                </w:p>
              </w:tc>
              <w:tc>
                <w:tcPr>
                  <w:tcW w:w="2093" w:type="pct"/>
                  <w:vAlign w:val="center"/>
                </w:tcPr>
                <w:p w14:paraId="37BB07C0">
                  <w:pPr>
                    <w:pStyle w:val="286"/>
                    <w:framePr w:hSpace="0" w:wrap="auto" w:vAnchor="margin" w:hAnchor="text" w:xAlign="left" w:yAlign="inline"/>
                    <w:rPr>
                      <w:color w:val="auto"/>
                    </w:rPr>
                  </w:pPr>
                  <w:r>
                    <w:rPr>
                      <w:rFonts w:hint="eastAsia"/>
                      <w:color w:val="auto"/>
                    </w:rPr>
                    <w:t>收集后外售</w:t>
                  </w:r>
                  <w:r>
                    <w:rPr>
                      <w:rFonts w:hint="eastAsia"/>
                      <w:color w:val="auto"/>
                      <w:lang w:eastAsia="zh-CN"/>
                    </w:rPr>
                    <w:t>作为饲料生产</w:t>
                  </w:r>
                </w:p>
              </w:tc>
            </w:tr>
            <w:tr w14:paraId="40D8AF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2" w:hRule="atLeast"/>
              </w:trPr>
              <w:tc>
                <w:tcPr>
                  <w:tcW w:w="351" w:type="pct"/>
                  <w:vMerge w:val="continue"/>
                  <w:vAlign w:val="center"/>
                </w:tcPr>
                <w:p w14:paraId="05526A71">
                  <w:pPr>
                    <w:pStyle w:val="286"/>
                    <w:framePr w:hSpace="0" w:wrap="auto" w:vAnchor="margin" w:hAnchor="text" w:xAlign="left" w:yAlign="inline"/>
                    <w:rPr>
                      <w:color w:val="auto"/>
                    </w:rPr>
                  </w:pPr>
                </w:p>
              </w:tc>
              <w:tc>
                <w:tcPr>
                  <w:tcW w:w="686" w:type="pct"/>
                  <w:vMerge w:val="continue"/>
                  <w:vAlign w:val="center"/>
                </w:tcPr>
                <w:p w14:paraId="45CA2281">
                  <w:pPr>
                    <w:pStyle w:val="286"/>
                    <w:framePr w:hSpace="0" w:wrap="auto" w:vAnchor="margin" w:hAnchor="text" w:xAlign="left" w:yAlign="inline"/>
                    <w:rPr>
                      <w:color w:val="auto"/>
                    </w:rPr>
                  </w:pPr>
                </w:p>
              </w:tc>
              <w:tc>
                <w:tcPr>
                  <w:tcW w:w="717" w:type="pct"/>
                  <w:vMerge w:val="continue"/>
                  <w:vAlign w:val="center"/>
                </w:tcPr>
                <w:p w14:paraId="769A8434">
                  <w:pPr>
                    <w:pStyle w:val="286"/>
                    <w:framePr w:hSpace="0" w:wrap="auto" w:vAnchor="margin" w:hAnchor="text" w:xAlign="left" w:yAlign="inline"/>
                    <w:rPr>
                      <w:color w:val="auto"/>
                    </w:rPr>
                  </w:pPr>
                </w:p>
              </w:tc>
              <w:tc>
                <w:tcPr>
                  <w:tcW w:w="1152" w:type="pct"/>
                  <w:vAlign w:val="center"/>
                </w:tcPr>
                <w:p w14:paraId="20CEBAD3">
                  <w:pPr>
                    <w:pStyle w:val="286"/>
                    <w:framePr w:hSpace="0" w:wrap="auto" w:vAnchor="margin" w:hAnchor="text" w:xAlign="left" w:yAlign="inline"/>
                    <w:rPr>
                      <w:color w:val="auto"/>
                    </w:rPr>
                  </w:pPr>
                  <w:r>
                    <w:rPr>
                      <w:rFonts w:hint="eastAsia"/>
                      <w:color w:val="auto"/>
                      <w:lang w:eastAsia="zh-CN"/>
                    </w:rPr>
                    <w:t>车间布袋收集粉尘</w:t>
                  </w:r>
                  <w:r>
                    <w:rPr>
                      <w:rFonts w:hint="eastAsia"/>
                      <w:color w:val="auto"/>
                    </w:rPr>
                    <w:t>S</w:t>
                  </w:r>
                  <w:r>
                    <w:rPr>
                      <w:color w:val="auto"/>
                    </w:rPr>
                    <w:t>3</w:t>
                  </w:r>
                </w:p>
              </w:tc>
              <w:tc>
                <w:tcPr>
                  <w:tcW w:w="2093" w:type="pct"/>
                  <w:vAlign w:val="center"/>
                </w:tcPr>
                <w:p w14:paraId="35E1F4EA">
                  <w:pPr>
                    <w:pStyle w:val="286"/>
                    <w:framePr w:hSpace="0" w:wrap="auto" w:vAnchor="margin" w:hAnchor="text" w:xAlign="left" w:yAlign="inline"/>
                    <w:rPr>
                      <w:rFonts w:hint="eastAsia" w:eastAsia="宋体"/>
                      <w:color w:val="auto"/>
                      <w:lang w:eastAsia="zh-CN"/>
                    </w:rPr>
                  </w:pPr>
                  <w:r>
                    <w:rPr>
                      <w:rFonts w:hint="eastAsia"/>
                      <w:color w:val="auto"/>
                    </w:rPr>
                    <w:t>收集后外售</w:t>
                  </w:r>
                  <w:r>
                    <w:rPr>
                      <w:rFonts w:hint="eastAsia"/>
                      <w:color w:val="auto"/>
                      <w:lang w:eastAsia="zh-CN"/>
                    </w:rPr>
                    <w:t>作为饲料生产</w:t>
                  </w:r>
                </w:p>
              </w:tc>
            </w:tr>
            <w:tr w14:paraId="1A4BD0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2" w:hRule="atLeast"/>
              </w:trPr>
              <w:tc>
                <w:tcPr>
                  <w:tcW w:w="351" w:type="pct"/>
                  <w:vMerge w:val="continue"/>
                  <w:vAlign w:val="center"/>
                </w:tcPr>
                <w:p w14:paraId="231E8E95">
                  <w:pPr>
                    <w:pStyle w:val="286"/>
                    <w:framePr w:hSpace="0" w:wrap="auto" w:vAnchor="margin" w:hAnchor="text" w:xAlign="left" w:yAlign="inline"/>
                    <w:rPr>
                      <w:color w:val="auto"/>
                    </w:rPr>
                  </w:pPr>
                </w:p>
              </w:tc>
              <w:tc>
                <w:tcPr>
                  <w:tcW w:w="686" w:type="pct"/>
                  <w:vMerge w:val="continue"/>
                  <w:vAlign w:val="center"/>
                </w:tcPr>
                <w:p w14:paraId="6AD8873F">
                  <w:pPr>
                    <w:pStyle w:val="286"/>
                    <w:framePr w:hSpace="0" w:wrap="auto" w:vAnchor="margin" w:hAnchor="text" w:xAlign="left" w:yAlign="inline"/>
                    <w:rPr>
                      <w:color w:val="auto"/>
                    </w:rPr>
                  </w:pPr>
                </w:p>
              </w:tc>
              <w:tc>
                <w:tcPr>
                  <w:tcW w:w="717" w:type="pct"/>
                  <w:vMerge w:val="continue"/>
                  <w:vAlign w:val="center"/>
                </w:tcPr>
                <w:p w14:paraId="556D17D2">
                  <w:pPr>
                    <w:pStyle w:val="286"/>
                    <w:framePr w:hSpace="0" w:wrap="auto" w:vAnchor="margin" w:hAnchor="text" w:xAlign="left" w:yAlign="inline"/>
                    <w:rPr>
                      <w:color w:val="auto"/>
                    </w:rPr>
                  </w:pPr>
                </w:p>
              </w:tc>
              <w:tc>
                <w:tcPr>
                  <w:tcW w:w="1152" w:type="pct"/>
                  <w:vAlign w:val="center"/>
                </w:tcPr>
                <w:p w14:paraId="0C28A5AB">
                  <w:pPr>
                    <w:pStyle w:val="286"/>
                    <w:framePr w:hSpace="0" w:wrap="auto" w:vAnchor="margin" w:hAnchor="text" w:xAlign="left" w:yAlign="inline"/>
                    <w:rPr>
                      <w:rFonts w:hint="default"/>
                      <w:color w:val="auto"/>
                      <w:lang w:val="en-US" w:eastAsia="zh-CN"/>
                    </w:rPr>
                  </w:pPr>
                  <w:r>
                    <w:rPr>
                      <w:rFonts w:hint="eastAsia"/>
                      <w:color w:val="auto"/>
                      <w:lang w:eastAsia="zh-CN"/>
                    </w:rPr>
                    <w:t>废培养基</w:t>
                  </w:r>
                  <w:r>
                    <w:rPr>
                      <w:rFonts w:hint="eastAsia"/>
                      <w:color w:val="auto"/>
                      <w:lang w:val="en-US" w:eastAsia="zh-CN"/>
                    </w:rPr>
                    <w:t>S6</w:t>
                  </w:r>
                </w:p>
              </w:tc>
              <w:tc>
                <w:tcPr>
                  <w:tcW w:w="2093" w:type="pct"/>
                  <w:vAlign w:val="center"/>
                </w:tcPr>
                <w:p w14:paraId="797D858B">
                  <w:pPr>
                    <w:pStyle w:val="286"/>
                    <w:framePr w:hSpace="0" w:wrap="auto" w:vAnchor="margin" w:hAnchor="text" w:xAlign="left" w:yAlign="inline"/>
                    <w:rPr>
                      <w:rFonts w:hint="eastAsia" w:eastAsia="宋体"/>
                      <w:color w:val="auto"/>
                      <w:lang w:eastAsia="zh-CN"/>
                    </w:rPr>
                  </w:pPr>
                  <w:r>
                    <w:rPr>
                      <w:color w:val="auto"/>
                    </w:rPr>
                    <w:t>交由环卫部门</w:t>
                  </w:r>
                  <w:r>
                    <w:rPr>
                      <w:rFonts w:hint="eastAsia"/>
                      <w:color w:val="auto"/>
                      <w:lang w:eastAsia="zh-CN"/>
                    </w:rPr>
                    <w:t>统一清理</w:t>
                  </w:r>
                </w:p>
              </w:tc>
            </w:tr>
            <w:tr w14:paraId="31530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2" w:hRule="atLeast"/>
              </w:trPr>
              <w:tc>
                <w:tcPr>
                  <w:tcW w:w="351" w:type="pct"/>
                  <w:vMerge w:val="continue"/>
                  <w:vAlign w:val="center"/>
                </w:tcPr>
                <w:p w14:paraId="542D7ECA">
                  <w:pPr>
                    <w:pStyle w:val="286"/>
                    <w:framePr w:hSpace="0" w:wrap="auto" w:vAnchor="margin" w:hAnchor="text" w:xAlign="left" w:yAlign="inline"/>
                    <w:rPr>
                      <w:color w:val="auto"/>
                    </w:rPr>
                  </w:pPr>
                </w:p>
              </w:tc>
              <w:tc>
                <w:tcPr>
                  <w:tcW w:w="686" w:type="pct"/>
                  <w:vMerge w:val="continue"/>
                  <w:vAlign w:val="center"/>
                </w:tcPr>
                <w:p w14:paraId="05B37F60">
                  <w:pPr>
                    <w:pStyle w:val="286"/>
                    <w:framePr w:hSpace="0" w:wrap="auto" w:vAnchor="margin" w:hAnchor="text" w:xAlign="left" w:yAlign="inline"/>
                    <w:rPr>
                      <w:color w:val="auto"/>
                    </w:rPr>
                  </w:pPr>
                </w:p>
              </w:tc>
              <w:tc>
                <w:tcPr>
                  <w:tcW w:w="717" w:type="pct"/>
                  <w:vAlign w:val="center"/>
                </w:tcPr>
                <w:p w14:paraId="5026AED8">
                  <w:pPr>
                    <w:pStyle w:val="286"/>
                    <w:framePr w:hSpace="0" w:wrap="auto" w:vAnchor="margin" w:hAnchor="text" w:xAlign="left" w:yAlign="inline"/>
                    <w:rPr>
                      <w:rFonts w:hint="eastAsia" w:eastAsia="宋体"/>
                      <w:color w:val="auto"/>
                      <w:lang w:eastAsia="zh-CN"/>
                    </w:rPr>
                  </w:pPr>
                  <w:r>
                    <w:rPr>
                      <w:rFonts w:hint="eastAsia"/>
                      <w:color w:val="auto"/>
                      <w:lang w:eastAsia="zh-CN"/>
                    </w:rPr>
                    <w:t>废水处理</w:t>
                  </w:r>
                </w:p>
              </w:tc>
              <w:tc>
                <w:tcPr>
                  <w:tcW w:w="1152" w:type="pct"/>
                  <w:vAlign w:val="center"/>
                </w:tcPr>
                <w:p w14:paraId="7122EC8E">
                  <w:pPr>
                    <w:pStyle w:val="286"/>
                    <w:framePr w:hSpace="0" w:wrap="auto" w:vAnchor="margin" w:hAnchor="text" w:xAlign="left" w:yAlign="inline"/>
                    <w:rPr>
                      <w:rFonts w:hint="default"/>
                      <w:color w:val="auto"/>
                      <w:lang w:val="en-US" w:eastAsia="zh-CN"/>
                    </w:rPr>
                  </w:pPr>
                  <w:r>
                    <w:rPr>
                      <w:rFonts w:hint="eastAsia"/>
                      <w:color w:val="auto"/>
                      <w:lang w:eastAsia="zh-CN"/>
                    </w:rPr>
                    <w:t>沉淀池沉渣</w:t>
                  </w:r>
                  <w:r>
                    <w:rPr>
                      <w:rFonts w:hint="eastAsia"/>
                      <w:color w:val="auto"/>
                      <w:lang w:val="en-US" w:eastAsia="zh-CN"/>
                    </w:rPr>
                    <w:t>S4</w:t>
                  </w:r>
                </w:p>
              </w:tc>
              <w:tc>
                <w:tcPr>
                  <w:tcW w:w="2093" w:type="pct"/>
                  <w:vAlign w:val="center"/>
                </w:tcPr>
                <w:p w14:paraId="1255A08B">
                  <w:pPr>
                    <w:pStyle w:val="286"/>
                    <w:framePr w:hSpace="0" w:wrap="auto" w:vAnchor="margin" w:hAnchor="text" w:xAlign="left" w:yAlign="inline"/>
                    <w:rPr>
                      <w:rFonts w:hint="eastAsia" w:eastAsia="宋体"/>
                      <w:color w:val="auto"/>
                      <w:lang w:eastAsia="zh-CN"/>
                    </w:rPr>
                  </w:pPr>
                  <w:r>
                    <w:rPr>
                      <w:rFonts w:hint="eastAsia"/>
                      <w:color w:val="auto"/>
                      <w:lang w:eastAsia="zh-CN"/>
                    </w:rPr>
                    <w:t>由环卫部门定期清掏</w:t>
                  </w:r>
                </w:p>
              </w:tc>
            </w:tr>
            <w:tr w14:paraId="0ECDA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312" w:hRule="atLeast"/>
              </w:trPr>
              <w:tc>
                <w:tcPr>
                  <w:tcW w:w="351" w:type="pct"/>
                  <w:vMerge w:val="continue"/>
                  <w:vAlign w:val="center"/>
                </w:tcPr>
                <w:p w14:paraId="46600110">
                  <w:pPr>
                    <w:pStyle w:val="286"/>
                    <w:framePr w:hSpace="0" w:wrap="auto" w:vAnchor="margin" w:hAnchor="text" w:xAlign="left" w:yAlign="inline"/>
                    <w:rPr>
                      <w:color w:val="auto"/>
                    </w:rPr>
                  </w:pPr>
                </w:p>
              </w:tc>
              <w:tc>
                <w:tcPr>
                  <w:tcW w:w="686" w:type="pct"/>
                  <w:vMerge w:val="continue"/>
                  <w:vAlign w:val="center"/>
                </w:tcPr>
                <w:p w14:paraId="0C92C842">
                  <w:pPr>
                    <w:pStyle w:val="286"/>
                    <w:framePr w:hSpace="0" w:wrap="auto" w:vAnchor="margin" w:hAnchor="text" w:xAlign="left" w:yAlign="inline"/>
                    <w:rPr>
                      <w:color w:val="auto"/>
                    </w:rPr>
                  </w:pPr>
                </w:p>
              </w:tc>
              <w:tc>
                <w:tcPr>
                  <w:tcW w:w="717" w:type="pct"/>
                  <w:shd w:val="clear" w:color="auto" w:fill="auto"/>
                  <w:vAlign w:val="center"/>
                </w:tcPr>
                <w:p w14:paraId="6E2BE124">
                  <w:pPr>
                    <w:pStyle w:val="286"/>
                    <w:framePr w:hSpace="0" w:wrap="auto" w:vAnchor="margin" w:hAnchor="text" w:xAlign="left" w:yAlign="inline"/>
                    <w:rPr>
                      <w:rFonts w:ascii="Times New Roman" w:hAnsi="Times New Roman" w:eastAsia="宋体" w:cs="宋体"/>
                      <w:color w:val="auto"/>
                      <w:kern w:val="2"/>
                      <w:sz w:val="18"/>
                      <w:szCs w:val="22"/>
                      <w:lang w:val="zh-CN" w:eastAsia="zh-CN" w:bidi="ar-SA"/>
                    </w:rPr>
                  </w:pPr>
                  <w:r>
                    <w:rPr>
                      <w:color w:val="auto"/>
                    </w:rPr>
                    <w:t>职工生活</w:t>
                  </w:r>
                </w:p>
              </w:tc>
              <w:tc>
                <w:tcPr>
                  <w:tcW w:w="1152" w:type="pct"/>
                  <w:shd w:val="clear" w:color="auto" w:fill="auto"/>
                  <w:vAlign w:val="center"/>
                </w:tcPr>
                <w:p w14:paraId="44255826">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color w:val="auto"/>
                    </w:rPr>
                    <w:t>生活垃圾</w:t>
                  </w:r>
                  <w:r>
                    <w:rPr>
                      <w:rFonts w:hint="eastAsia"/>
                      <w:color w:val="auto"/>
                      <w:lang w:val="en-US" w:eastAsia="zh-CN"/>
                    </w:rPr>
                    <w:t>S5</w:t>
                  </w:r>
                </w:p>
              </w:tc>
              <w:tc>
                <w:tcPr>
                  <w:tcW w:w="2093" w:type="pct"/>
                  <w:shd w:val="clear" w:color="auto" w:fill="auto"/>
                  <w:vAlign w:val="center"/>
                </w:tcPr>
                <w:p w14:paraId="639B458F">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color w:val="auto"/>
                    </w:rPr>
                    <w:t>交由环卫部门定期清运</w:t>
                  </w:r>
                </w:p>
              </w:tc>
            </w:tr>
            <w:tr w14:paraId="5F3224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1" w:type="dxa"/>
                  <w:bottom w:w="0" w:type="dxa"/>
                  <w:right w:w="51" w:type="dxa"/>
                </w:tblCellMar>
              </w:tblPrEx>
              <w:trPr>
                <w:trHeight w:val="766" w:hRule="atLeast"/>
              </w:trPr>
              <w:tc>
                <w:tcPr>
                  <w:tcW w:w="351" w:type="pct"/>
                  <w:vAlign w:val="center"/>
                </w:tcPr>
                <w:p w14:paraId="0F22D102">
                  <w:pPr>
                    <w:pStyle w:val="286"/>
                    <w:framePr w:hSpace="0" w:wrap="auto" w:vAnchor="margin" w:hAnchor="text" w:xAlign="left" w:yAlign="inline"/>
                    <w:rPr>
                      <w:rFonts w:ascii="Times New Roman" w:hAnsi="Times New Roman"/>
                      <w:color w:val="auto"/>
                    </w:rPr>
                  </w:pPr>
                  <w:r>
                    <w:rPr>
                      <w:rFonts w:ascii="Times New Roman" w:hAnsi="Times New Roman"/>
                      <w:color w:val="auto"/>
                    </w:rPr>
                    <w:t>噪声</w:t>
                  </w:r>
                </w:p>
              </w:tc>
              <w:tc>
                <w:tcPr>
                  <w:tcW w:w="1403" w:type="pct"/>
                  <w:gridSpan w:val="2"/>
                  <w:vAlign w:val="center"/>
                </w:tcPr>
                <w:p w14:paraId="45B8E389">
                  <w:pPr>
                    <w:pStyle w:val="286"/>
                    <w:framePr w:hSpace="0" w:wrap="auto" w:vAnchor="margin" w:hAnchor="text" w:xAlign="left" w:yAlign="inline"/>
                    <w:rPr>
                      <w:rFonts w:hint="eastAsia" w:ascii="Times New Roman" w:hAnsi="Times New Roman" w:eastAsia="宋体"/>
                      <w:color w:val="auto"/>
                      <w:lang w:eastAsia="zh-CN"/>
                    </w:rPr>
                  </w:pPr>
                  <w:r>
                    <w:rPr>
                      <w:rFonts w:hint="eastAsia" w:ascii="Times New Roman" w:hAnsi="Times New Roman"/>
                      <w:color w:val="auto"/>
                      <w:lang w:eastAsia="zh-CN"/>
                    </w:rPr>
                    <w:t>生产设备运行</w:t>
                  </w:r>
                </w:p>
              </w:tc>
              <w:tc>
                <w:tcPr>
                  <w:tcW w:w="1152" w:type="pct"/>
                  <w:vAlign w:val="center"/>
                </w:tcPr>
                <w:p w14:paraId="7063E12B">
                  <w:pPr>
                    <w:pStyle w:val="286"/>
                    <w:framePr w:hSpace="0" w:wrap="auto" w:vAnchor="margin" w:hAnchor="text" w:xAlign="left" w:yAlign="inline"/>
                    <w:rPr>
                      <w:rFonts w:hint="default" w:ascii="Times New Roman" w:hAnsi="Times New Roman"/>
                      <w:color w:val="auto"/>
                      <w:lang w:val="en-US" w:eastAsia="zh-CN"/>
                    </w:rPr>
                  </w:pPr>
                  <w:r>
                    <w:rPr>
                      <w:rFonts w:hint="eastAsia" w:ascii="Times New Roman" w:hAnsi="Times New Roman"/>
                      <w:color w:val="auto"/>
                      <w:lang w:eastAsia="zh-CN"/>
                    </w:rPr>
                    <w:t>等效</w:t>
                  </w:r>
                  <w:r>
                    <w:rPr>
                      <w:rFonts w:hint="eastAsia" w:ascii="Times New Roman" w:hAnsi="Times New Roman"/>
                      <w:color w:val="auto"/>
                      <w:lang w:val="en-US" w:eastAsia="zh-CN"/>
                    </w:rPr>
                    <w:t>A声级</w:t>
                  </w:r>
                </w:p>
              </w:tc>
              <w:tc>
                <w:tcPr>
                  <w:tcW w:w="2093" w:type="pct"/>
                  <w:vAlign w:val="center"/>
                </w:tcPr>
                <w:p w14:paraId="0A215474">
                  <w:pPr>
                    <w:pStyle w:val="286"/>
                    <w:framePr w:hSpace="0" w:wrap="auto" w:vAnchor="margin" w:hAnchor="text" w:xAlign="left" w:yAlign="inline"/>
                    <w:rPr>
                      <w:rFonts w:hint="eastAsia" w:ascii="Times New Roman" w:hAnsi="Times New Roman"/>
                      <w:color w:val="auto"/>
                      <w:lang w:eastAsia="zh-CN"/>
                    </w:rPr>
                  </w:pPr>
                  <w:r>
                    <w:rPr>
                      <w:rFonts w:hint="eastAsia" w:ascii="Times New Roman" w:hAnsi="Times New Roman"/>
                      <w:color w:val="auto"/>
                      <w:lang w:eastAsia="zh-CN"/>
                    </w:rPr>
                    <w:t>选用高效低噪声设备、安装减振底座、墙体隔声等</w:t>
                  </w:r>
                </w:p>
              </w:tc>
            </w:tr>
          </w:tbl>
          <w:p w14:paraId="2EEDB402">
            <w:pPr>
              <w:spacing w:after="0"/>
              <w:ind w:firstLine="480"/>
              <w:rPr>
                <w:color w:val="0000FF"/>
              </w:rPr>
            </w:pPr>
          </w:p>
        </w:tc>
      </w:tr>
      <w:tr w14:paraId="1AF55F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8" w:hRule="atLeast"/>
          <w:jc w:val="center"/>
        </w:trPr>
        <w:tc>
          <w:tcPr>
            <w:tcW w:w="704" w:type="dxa"/>
            <w:vAlign w:val="center"/>
          </w:tcPr>
          <w:p w14:paraId="3D315B8D">
            <w:pPr>
              <w:adjustRightInd w:val="0"/>
              <w:snapToGrid w:val="0"/>
              <w:spacing w:after="0"/>
              <w:jc w:val="center"/>
              <w:rPr>
                <w:color w:val="auto"/>
              </w:rPr>
            </w:pPr>
            <w:r>
              <w:rPr>
                <w:bCs/>
                <w:color w:val="auto"/>
              </w:rPr>
              <w:t>与项目有关的原有环境污染问题</w:t>
            </w:r>
          </w:p>
        </w:tc>
        <w:tc>
          <w:tcPr>
            <w:tcW w:w="8394" w:type="dxa"/>
            <w:vAlign w:val="center"/>
          </w:tcPr>
          <w:p w14:paraId="62315E23">
            <w:pPr>
              <w:pStyle w:val="180"/>
              <w:wordWrap/>
              <w:ind w:left="0" w:leftChars="0" w:right="0" w:rightChars="0" w:firstLine="480" w:firstLineChars="200"/>
              <w:jc w:val="both"/>
              <w:rPr>
                <w:rFonts w:hint="eastAsia"/>
                <w:bCs/>
                <w:szCs w:val="20"/>
                <w:lang w:bidi="ar-SA"/>
              </w:rPr>
            </w:pPr>
            <w:r>
              <w:rPr>
                <w:rFonts w:hint="eastAsia" w:eastAsia="宋体"/>
                <w:bCs/>
                <w:szCs w:val="20"/>
                <w:lang w:eastAsia="zh-CN" w:bidi="ar-SA"/>
              </w:rPr>
              <w:drawing>
                <wp:anchor distT="0" distB="0" distL="114300" distR="114300" simplePos="0" relativeHeight="251684864" behindDoc="0" locked="0" layoutInCell="1" allowOverlap="0">
                  <wp:simplePos x="0" y="0"/>
                  <wp:positionH relativeFrom="column">
                    <wp:posOffset>708025</wp:posOffset>
                  </wp:positionH>
                  <wp:positionV relativeFrom="page">
                    <wp:posOffset>990600</wp:posOffset>
                  </wp:positionV>
                  <wp:extent cx="4091305" cy="3703955"/>
                  <wp:effectExtent l="0" t="0" r="4445" b="10795"/>
                  <wp:wrapTopAndBottom/>
                  <wp:docPr id="25" name="图片 25" descr="b21a1f41cf5868f12df63b0a64e61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b21a1f41cf5868f12df63b0a64e61d1"/>
                          <pic:cNvPicPr>
                            <a:picLocks noChangeAspect="1"/>
                          </pic:cNvPicPr>
                        </pic:nvPicPr>
                        <pic:blipFill>
                          <a:blip r:embed="rId35"/>
                          <a:srcRect l="14917" r="2234"/>
                          <a:stretch>
                            <a:fillRect/>
                          </a:stretch>
                        </pic:blipFill>
                        <pic:spPr>
                          <a:xfrm>
                            <a:off x="0" y="0"/>
                            <a:ext cx="4091305" cy="3703955"/>
                          </a:xfrm>
                          <a:prstGeom prst="rect">
                            <a:avLst/>
                          </a:prstGeom>
                        </pic:spPr>
                      </pic:pic>
                    </a:graphicData>
                  </a:graphic>
                </wp:anchor>
              </w:drawing>
            </w:r>
            <w:r>
              <w:rPr>
                <w:rFonts w:hint="eastAsia"/>
                <w:bCs/>
                <w:szCs w:val="20"/>
                <w:lang w:bidi="ar-SA"/>
              </w:rPr>
              <w:t>本项目为租赁高端装备产业园区标准化厂房进行</w:t>
            </w:r>
            <w:r>
              <w:rPr>
                <w:rFonts w:hint="eastAsia"/>
                <w:bCs/>
                <w:szCs w:val="20"/>
                <w:lang w:val="en-US" w:eastAsia="zh-CN" w:bidi="ar-SA"/>
              </w:rPr>
              <w:t>建设</w:t>
            </w:r>
            <w:r>
              <w:rPr>
                <w:rFonts w:hint="eastAsia"/>
                <w:bCs/>
                <w:szCs w:val="20"/>
                <w:lang w:bidi="ar-SA"/>
              </w:rPr>
              <w:t>，</w:t>
            </w:r>
            <w:r>
              <w:rPr>
                <w:rFonts w:hint="eastAsia"/>
                <w:bCs/>
                <w:szCs w:val="20"/>
                <w:lang w:val="en-US" w:eastAsia="zh-CN" w:bidi="ar-SA"/>
              </w:rPr>
              <w:t>根据现场踏勘，厂房目前为空置状态，未投入生产使用，未发生过环境污染事件，不存在与原有项目有关的环境问题。</w:t>
            </w:r>
            <w:r>
              <w:rPr>
                <w:rFonts w:hint="eastAsia"/>
                <w:bCs/>
                <w:szCs w:val="20"/>
                <w:lang w:bidi="ar-SA"/>
              </w:rPr>
              <w:t>不存在与本项目有关的原有环境污染问题。</w:t>
            </w:r>
          </w:p>
          <w:p w14:paraId="5AB4E095">
            <w:pPr>
              <w:pStyle w:val="180"/>
              <w:wordWrap/>
              <w:ind w:left="0" w:leftChars="0" w:right="0" w:rightChars="0" w:firstLine="0" w:firstLineChars="0"/>
              <w:jc w:val="center"/>
              <w:rPr>
                <w:rFonts w:hint="eastAsia" w:eastAsia="宋体"/>
                <w:bCs/>
                <w:szCs w:val="20"/>
                <w:lang w:eastAsia="zh-CN" w:bidi="ar-SA"/>
              </w:rPr>
            </w:pPr>
            <w:r>
              <w:rPr>
                <w:rFonts w:hint="eastAsia"/>
                <w:bCs/>
                <w:szCs w:val="20"/>
                <w:lang w:eastAsia="zh-CN" w:bidi="ar-SA"/>
              </w:rPr>
              <w:t>工程师现场踏勘照片</w:t>
            </w:r>
          </w:p>
        </w:tc>
      </w:tr>
    </w:tbl>
    <w:p w14:paraId="5258A69D">
      <w:pPr>
        <w:spacing w:after="0"/>
        <w:rPr>
          <w:color w:val="0000FF"/>
        </w:rPr>
        <w:sectPr>
          <w:headerReference r:id="rId13" w:type="default"/>
          <w:pgSz w:w="11907" w:h="16840"/>
          <w:pgMar w:top="1440" w:right="1440" w:bottom="1440" w:left="1304" w:header="851" w:footer="851" w:gutter="0"/>
          <w:pgNumType w:fmt="decimal"/>
          <w:cols w:space="720" w:num="1"/>
          <w:docGrid w:linePitch="326" w:charSpace="0"/>
        </w:sectPr>
      </w:pPr>
    </w:p>
    <w:bookmarkEnd w:id="21"/>
    <w:p w14:paraId="2DFCAC7A">
      <w:pPr>
        <w:pStyle w:val="5"/>
        <w:bidi w:val="0"/>
        <w:spacing w:after="0" w:line="240" w:lineRule="auto"/>
        <w:rPr>
          <w:rFonts w:ascii="Times New Roman" w:hAnsi="Times New Roman"/>
          <w:snapToGrid w:val="0"/>
          <w:color w:val="auto"/>
          <w:szCs w:val="28"/>
        </w:rPr>
      </w:pPr>
      <w:bookmarkStart w:id="22" w:name="_Toc69030995"/>
      <w:r>
        <w:t>三、区域环境质量现状、环境保护目标及评价标准</w:t>
      </w:r>
      <w:bookmarkEnd w:id="22"/>
    </w:p>
    <w:tbl>
      <w:tblPr>
        <w:tblStyle w:val="57"/>
        <w:tblpPr w:leftFromText="180" w:rightFromText="180" w:vertAnchor="text" w:tblpXSpec="center" w:tblpY="1"/>
        <w:tblOverlap w:val="never"/>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8790"/>
      </w:tblGrid>
      <w:tr w14:paraId="299955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59" w:type="dxa"/>
            <w:tcBorders>
              <w:top w:val="single" w:color="auto" w:sz="4" w:space="0"/>
              <w:left w:val="single" w:color="auto" w:sz="4" w:space="0"/>
              <w:bottom w:val="single" w:color="auto" w:sz="4" w:space="0"/>
              <w:right w:val="single" w:color="auto" w:sz="4" w:space="0"/>
            </w:tcBorders>
            <w:vAlign w:val="center"/>
          </w:tcPr>
          <w:p w14:paraId="51719D2F">
            <w:pPr>
              <w:adjustRightInd w:val="0"/>
              <w:spacing w:after="0" w:line="440" w:lineRule="exact"/>
              <w:jc w:val="center"/>
              <w:outlineLvl w:val="1"/>
              <w:rPr>
                <w:color w:val="auto"/>
              </w:rPr>
            </w:pPr>
            <w:r>
              <w:rPr>
                <w:color w:val="auto"/>
              </w:rPr>
              <w:t>区域</w:t>
            </w:r>
          </w:p>
          <w:p w14:paraId="0EA7FE40">
            <w:pPr>
              <w:adjustRightInd w:val="0"/>
              <w:spacing w:after="0" w:line="440" w:lineRule="exact"/>
              <w:jc w:val="center"/>
              <w:outlineLvl w:val="1"/>
              <w:rPr>
                <w:color w:val="auto"/>
              </w:rPr>
            </w:pPr>
            <w:r>
              <w:rPr>
                <w:color w:val="auto"/>
              </w:rPr>
              <w:t>环境</w:t>
            </w:r>
          </w:p>
          <w:p w14:paraId="5DD19F7C">
            <w:pPr>
              <w:adjustRightInd w:val="0"/>
              <w:spacing w:after="0" w:line="440" w:lineRule="exact"/>
              <w:jc w:val="center"/>
              <w:outlineLvl w:val="1"/>
              <w:rPr>
                <w:color w:val="auto"/>
              </w:rPr>
            </w:pPr>
            <w:r>
              <w:rPr>
                <w:color w:val="auto"/>
              </w:rPr>
              <w:t>质量</w:t>
            </w:r>
          </w:p>
          <w:p w14:paraId="4DE047C4">
            <w:pPr>
              <w:adjustRightInd w:val="0"/>
              <w:spacing w:after="0" w:line="440" w:lineRule="exact"/>
              <w:jc w:val="center"/>
              <w:outlineLvl w:val="1"/>
              <w:rPr>
                <w:color w:val="0000FF"/>
              </w:rPr>
            </w:pPr>
            <w:r>
              <w:rPr>
                <w:color w:val="auto"/>
              </w:rPr>
              <w:t>现状</w:t>
            </w:r>
          </w:p>
        </w:tc>
        <w:tc>
          <w:tcPr>
            <w:tcW w:w="8285" w:type="dxa"/>
            <w:tcBorders>
              <w:top w:val="single" w:color="auto" w:sz="4" w:space="0"/>
              <w:left w:val="single" w:color="auto" w:sz="4" w:space="0"/>
              <w:bottom w:val="single" w:color="auto" w:sz="4" w:space="0"/>
              <w:right w:val="single" w:color="auto" w:sz="4" w:space="0"/>
            </w:tcBorders>
          </w:tcPr>
          <w:p w14:paraId="302DFD60">
            <w:pPr>
              <w:pStyle w:val="598"/>
              <w:keepNext w:val="0"/>
              <w:keepLines w:val="0"/>
              <w:pageBreakBefore w:val="0"/>
              <w:framePr w:hSpace="0" w:wrap="auto" w:vAnchor="margin" w:hAnchor="text" w:xAlign="left" w:yAlign="inline"/>
              <w:widowControl w:val="0"/>
              <w:kinsoku/>
              <w:wordWrap/>
              <w:overflowPunct/>
              <w:topLinePunct w:val="0"/>
              <w:autoSpaceDE/>
              <w:autoSpaceDN/>
              <w:bidi w:val="0"/>
              <w:adjustRightInd w:val="0"/>
              <w:snapToGrid w:val="0"/>
              <w:spacing w:line="360" w:lineRule="auto"/>
              <w:textAlignment w:val="auto"/>
              <w:rPr>
                <w:color w:val="auto"/>
              </w:rPr>
            </w:pPr>
            <w:r>
              <w:rPr>
                <w:color w:val="auto"/>
              </w:rPr>
              <w:t>3.1环境质量现状</w:t>
            </w:r>
          </w:p>
          <w:p w14:paraId="6F5E172D">
            <w:pPr>
              <w:pStyle w:val="771"/>
              <w:bidi w:val="0"/>
            </w:pPr>
            <w:r>
              <w:t>3.1.1</w:t>
            </w:r>
            <w:r>
              <w:rPr>
                <w:rFonts w:hint="eastAsia"/>
              </w:rPr>
              <w:t>环境空气质量现状</w:t>
            </w:r>
          </w:p>
          <w:p w14:paraId="07AC083F">
            <w:pPr>
              <w:pStyle w:val="771"/>
              <w:bidi w:val="0"/>
            </w:pPr>
            <w:r>
              <w:t>1</w:t>
            </w:r>
            <w:r>
              <w:rPr>
                <w:rFonts w:hint="eastAsia"/>
              </w:rPr>
              <w:t>、基本污染物</w:t>
            </w:r>
          </w:p>
          <w:p w14:paraId="6DC505C4">
            <w:pPr>
              <w:pStyle w:val="771"/>
              <w:bidi w:val="0"/>
            </w:pPr>
            <w:r>
              <w:t>本项目所在区域为环境空气二类功能区，环境空气中的基本污染物引用淮南市生态环境局发布的</w:t>
            </w:r>
            <w:r>
              <w:rPr>
                <w:rFonts w:hint="eastAsia"/>
              </w:rPr>
              <w:t>《2024年淮南市生态环境质量状况公报》</w:t>
            </w:r>
            <w:r>
              <w:t>中的内容，具体如下：</w:t>
            </w:r>
          </w:p>
          <w:p w14:paraId="560938F5">
            <w:pPr>
              <w:pStyle w:val="771"/>
              <w:bidi w:val="0"/>
              <w:rPr>
                <w:rFonts w:hint="eastAsia"/>
              </w:rPr>
            </w:pPr>
            <w:r>
              <w:rPr>
                <w:rFonts w:hint="default"/>
              </w:rPr>
              <w:t>2024</w:t>
            </w:r>
            <w:r>
              <w:rPr>
                <w:rFonts w:hint="eastAsia"/>
              </w:rPr>
              <w:t>年，全市环境空气质量一级（优）</w:t>
            </w:r>
            <w:r>
              <w:rPr>
                <w:rFonts w:hint="default"/>
              </w:rPr>
              <w:t>65</w:t>
            </w:r>
            <w:r>
              <w:rPr>
                <w:rFonts w:hint="eastAsia"/>
              </w:rPr>
              <w:t>天，二级（良）</w:t>
            </w:r>
            <w:r>
              <w:rPr>
                <w:rFonts w:hint="default"/>
              </w:rPr>
              <w:t>218</w:t>
            </w:r>
            <w:r>
              <w:rPr>
                <w:rFonts w:hint="eastAsia"/>
              </w:rPr>
              <w:t>天，三级（轻度污染）</w:t>
            </w:r>
            <w:r>
              <w:rPr>
                <w:rFonts w:hint="default"/>
              </w:rPr>
              <w:t>69</w:t>
            </w:r>
            <w:r>
              <w:rPr>
                <w:rFonts w:hint="eastAsia"/>
              </w:rPr>
              <w:t>天，四级（中度污染）</w:t>
            </w:r>
            <w:r>
              <w:rPr>
                <w:rFonts w:hint="default"/>
              </w:rPr>
              <w:t>13</w:t>
            </w:r>
            <w:r>
              <w:rPr>
                <w:rFonts w:hint="eastAsia"/>
              </w:rPr>
              <w:t>天，五级（重度污染）</w:t>
            </w:r>
            <w:r>
              <w:rPr>
                <w:rFonts w:hint="default"/>
              </w:rPr>
              <w:t>1</w:t>
            </w:r>
            <w:r>
              <w:rPr>
                <w:rFonts w:hint="eastAsia"/>
              </w:rPr>
              <w:t>天；全市年度环境空气达标天数比例为</w:t>
            </w:r>
            <w:r>
              <w:rPr>
                <w:rFonts w:hint="default"/>
              </w:rPr>
              <w:t>77.3%</w:t>
            </w:r>
            <w:r>
              <w:rPr>
                <w:rFonts w:hint="eastAsia"/>
              </w:rPr>
              <w:t>，与上年相比下降了</w:t>
            </w:r>
            <w:r>
              <w:rPr>
                <w:rFonts w:hint="default"/>
              </w:rPr>
              <w:t>3.2</w:t>
            </w:r>
            <w:r>
              <w:rPr>
                <w:rFonts w:hint="eastAsia"/>
              </w:rPr>
              <w:t>个百分点；全市环境空气综合指数为</w:t>
            </w:r>
            <w:r>
              <w:rPr>
                <w:rFonts w:hint="default"/>
              </w:rPr>
              <w:t>3.87</w:t>
            </w:r>
            <w:r>
              <w:rPr>
                <w:rFonts w:hint="eastAsia"/>
              </w:rPr>
              <w:t>，首要污染物为细颗粒物。</w:t>
            </w:r>
          </w:p>
          <w:p w14:paraId="534BA32C">
            <w:pPr>
              <w:pStyle w:val="771"/>
              <w:bidi w:val="0"/>
            </w:pPr>
            <w:r>
              <w:rPr>
                <w:rFonts w:hint="eastAsia"/>
              </w:rPr>
              <w:t>细颗粒物（PM</w:t>
            </w:r>
            <w:r>
              <w:rPr>
                <w:rFonts w:hint="eastAsia"/>
                <w:vertAlign w:val="subscript"/>
              </w:rPr>
              <w:t>2.5</w:t>
            </w:r>
            <w:r>
              <w:rPr>
                <w:rFonts w:hint="eastAsia"/>
              </w:rPr>
              <w:t>）日均浓度范围为</w:t>
            </w:r>
            <w:r>
              <w:rPr>
                <w:rFonts w:hint="eastAsia"/>
                <w:lang w:val="en-US" w:eastAsia="zh-CN"/>
              </w:rPr>
              <w:t>7</w:t>
            </w:r>
            <w:r>
              <w:rPr>
                <w:rFonts w:hint="eastAsia"/>
              </w:rPr>
              <w:t>～</w:t>
            </w:r>
            <w:r>
              <w:rPr>
                <w:rFonts w:hint="eastAsia"/>
                <w:lang w:val="en-US" w:eastAsia="zh-CN"/>
              </w:rPr>
              <w:t>156</w:t>
            </w:r>
            <w:r>
              <w:rPr>
                <w:rFonts w:hint="eastAsia"/>
              </w:rPr>
              <w:t>微克/立方米，日均值达标率为</w:t>
            </w:r>
            <w:r>
              <w:rPr>
                <w:rFonts w:hint="eastAsia"/>
                <w:lang w:val="en-US" w:eastAsia="zh-CN"/>
              </w:rPr>
              <w:t>87.6</w:t>
            </w:r>
            <w:r>
              <w:rPr>
                <w:rFonts w:hint="eastAsia"/>
              </w:rPr>
              <w:t>%。年均值为</w:t>
            </w:r>
            <w:r>
              <w:rPr>
                <w:rFonts w:hint="eastAsia"/>
                <w:lang w:val="en-US" w:eastAsia="zh-CN"/>
              </w:rPr>
              <w:t>40.0</w:t>
            </w:r>
            <w:r>
              <w:rPr>
                <w:rFonts w:hint="eastAsia"/>
              </w:rPr>
              <w:t>微克/立方米，与上年相比</w:t>
            </w:r>
            <w:r>
              <w:rPr>
                <w:rFonts w:hint="eastAsia"/>
                <w:lang w:eastAsia="zh-CN"/>
              </w:rPr>
              <w:t>上升</w:t>
            </w:r>
            <w:r>
              <w:rPr>
                <w:rFonts w:hint="eastAsia"/>
              </w:rPr>
              <w:t>了</w:t>
            </w:r>
            <w:r>
              <w:rPr>
                <w:rFonts w:hint="eastAsia"/>
                <w:lang w:val="en-US" w:eastAsia="zh-CN"/>
              </w:rPr>
              <w:t>3.4</w:t>
            </w:r>
            <w:r>
              <w:rPr>
                <w:rFonts w:hint="eastAsia"/>
              </w:rPr>
              <w:t>个百分点。</w:t>
            </w:r>
          </w:p>
          <w:p w14:paraId="7E17D3C3">
            <w:pPr>
              <w:pStyle w:val="771"/>
              <w:bidi w:val="0"/>
            </w:pPr>
            <w:r>
              <w:rPr>
                <w:rFonts w:hint="eastAsia"/>
              </w:rPr>
              <w:t>可吸入颗粒物（PM</w:t>
            </w:r>
            <w:r>
              <w:rPr>
                <w:rFonts w:hint="eastAsia"/>
                <w:vertAlign w:val="subscript"/>
              </w:rPr>
              <w:t>10</w:t>
            </w:r>
            <w:r>
              <w:rPr>
                <w:rFonts w:hint="eastAsia"/>
              </w:rPr>
              <w:t>）日均浓度范围为</w:t>
            </w:r>
            <w:r>
              <w:rPr>
                <w:rFonts w:hint="eastAsia"/>
                <w:lang w:val="en-US" w:eastAsia="zh-CN"/>
              </w:rPr>
              <w:t>10</w:t>
            </w:r>
            <w:r>
              <w:rPr>
                <w:rFonts w:hint="eastAsia"/>
              </w:rPr>
              <w:t>～</w:t>
            </w:r>
            <w:r>
              <w:rPr>
                <w:rFonts w:hint="eastAsia"/>
                <w:lang w:val="en-US" w:eastAsia="zh-CN"/>
              </w:rPr>
              <w:t>262</w:t>
            </w:r>
            <w:r>
              <w:rPr>
                <w:rFonts w:hint="eastAsia"/>
              </w:rPr>
              <w:t>微克/立方米，日均值达标率为</w:t>
            </w:r>
            <w:r>
              <w:rPr>
                <w:rFonts w:hint="eastAsia"/>
                <w:lang w:val="en-US" w:eastAsia="zh-CN"/>
              </w:rPr>
              <w:t>96.0</w:t>
            </w:r>
            <w:r>
              <w:rPr>
                <w:rFonts w:hint="eastAsia"/>
              </w:rPr>
              <w:t>%。年均值为</w:t>
            </w:r>
            <w:r>
              <w:rPr>
                <w:rFonts w:hint="eastAsia"/>
                <w:lang w:val="en-US" w:eastAsia="zh-CN"/>
              </w:rPr>
              <w:t>65.0</w:t>
            </w:r>
            <w:r>
              <w:rPr>
                <w:rFonts w:hint="eastAsia"/>
              </w:rPr>
              <w:t>微克/立方米，与上年相比下降了</w:t>
            </w:r>
            <w:r>
              <w:rPr>
                <w:rFonts w:hint="eastAsia"/>
                <w:lang w:val="en-US" w:eastAsia="zh-CN"/>
              </w:rPr>
              <w:t>1.4</w:t>
            </w:r>
            <w:r>
              <w:rPr>
                <w:rFonts w:hint="eastAsia"/>
              </w:rPr>
              <w:t>个百分点。</w:t>
            </w:r>
          </w:p>
          <w:p w14:paraId="2A650A3E">
            <w:pPr>
              <w:pStyle w:val="771"/>
              <w:bidi w:val="0"/>
            </w:pPr>
            <w:r>
              <w:rPr>
                <w:rFonts w:hint="eastAsia"/>
              </w:rPr>
              <w:t>二氧化氮（NO</w:t>
            </w:r>
            <w:r>
              <w:rPr>
                <w:rFonts w:hint="eastAsia"/>
                <w:vertAlign w:val="subscript"/>
              </w:rPr>
              <w:t>2</w:t>
            </w:r>
            <w:r>
              <w:rPr>
                <w:rFonts w:hint="eastAsia"/>
              </w:rPr>
              <w:t>）日均浓度范围为</w:t>
            </w:r>
            <w:r>
              <w:rPr>
                <w:rFonts w:hint="eastAsia"/>
                <w:lang w:val="en-US" w:eastAsia="zh-CN"/>
              </w:rPr>
              <w:t>5</w:t>
            </w:r>
            <w:r>
              <w:rPr>
                <w:rFonts w:hint="eastAsia"/>
              </w:rPr>
              <w:t>～</w:t>
            </w:r>
            <w:r>
              <w:rPr>
                <w:rFonts w:hint="eastAsia"/>
                <w:lang w:val="en-US" w:eastAsia="zh-CN"/>
              </w:rPr>
              <w:t>47</w:t>
            </w:r>
            <w:r>
              <w:rPr>
                <w:rFonts w:hint="eastAsia"/>
              </w:rPr>
              <w:t>微克/立方米，日均值达标率为100%。年均浓度为</w:t>
            </w:r>
            <w:r>
              <w:rPr>
                <w:rFonts w:hint="eastAsia"/>
                <w:lang w:val="en-US" w:eastAsia="zh-CN"/>
              </w:rPr>
              <w:t>19</w:t>
            </w:r>
            <w:r>
              <w:rPr>
                <w:rFonts w:hint="eastAsia"/>
              </w:rPr>
              <w:t>微克/立方米，与上年相比</w:t>
            </w:r>
            <w:r>
              <w:rPr>
                <w:rFonts w:hint="eastAsia"/>
                <w:lang w:eastAsia="zh-CN"/>
              </w:rPr>
              <w:t>下降</w:t>
            </w:r>
            <w:r>
              <w:rPr>
                <w:rFonts w:hint="eastAsia"/>
              </w:rPr>
              <w:t>了</w:t>
            </w:r>
            <w:r>
              <w:rPr>
                <w:rFonts w:hint="eastAsia"/>
                <w:lang w:val="en-US" w:eastAsia="zh-CN"/>
              </w:rPr>
              <w:t>9</w:t>
            </w:r>
            <w:r>
              <w:rPr>
                <w:rFonts w:hint="eastAsia"/>
              </w:rPr>
              <w:t>.5个百分点。</w:t>
            </w:r>
          </w:p>
          <w:p w14:paraId="03EA573E">
            <w:pPr>
              <w:pStyle w:val="771"/>
              <w:bidi w:val="0"/>
            </w:pPr>
            <w:r>
              <w:rPr>
                <w:rFonts w:hint="eastAsia"/>
              </w:rPr>
              <w:t>二氧化硫（SO</w:t>
            </w:r>
            <w:r>
              <w:rPr>
                <w:rFonts w:hint="eastAsia"/>
                <w:vertAlign w:val="subscript"/>
              </w:rPr>
              <w:t>2</w:t>
            </w:r>
            <w:r>
              <w:rPr>
                <w:rFonts w:hint="eastAsia"/>
              </w:rPr>
              <w:t>）日均浓度范围为</w:t>
            </w:r>
            <w:r>
              <w:rPr>
                <w:rFonts w:hint="eastAsia"/>
                <w:lang w:val="en-US" w:eastAsia="zh-CN"/>
              </w:rPr>
              <w:t>2</w:t>
            </w:r>
            <w:r>
              <w:rPr>
                <w:rFonts w:hint="eastAsia"/>
              </w:rPr>
              <w:t>～1</w:t>
            </w:r>
            <w:r>
              <w:rPr>
                <w:rFonts w:hint="eastAsia"/>
                <w:lang w:val="en-US" w:eastAsia="zh-CN"/>
              </w:rPr>
              <w:t>3</w:t>
            </w:r>
            <w:r>
              <w:rPr>
                <w:rFonts w:hint="eastAsia"/>
              </w:rPr>
              <w:t>微克/立方米，日均值达标率为100%。年均浓度为</w:t>
            </w:r>
            <w:r>
              <w:rPr>
                <w:rFonts w:hint="eastAsia"/>
                <w:lang w:val="en-US" w:eastAsia="zh-CN"/>
              </w:rPr>
              <w:t>7</w:t>
            </w:r>
            <w:r>
              <w:rPr>
                <w:rFonts w:hint="eastAsia"/>
              </w:rPr>
              <w:t>微克/立方米，与上年相比</w:t>
            </w:r>
            <w:r>
              <w:rPr>
                <w:rFonts w:hint="eastAsia"/>
                <w:lang w:eastAsia="zh-CN"/>
              </w:rPr>
              <w:t>下降</w:t>
            </w:r>
            <w:r>
              <w:rPr>
                <w:rFonts w:hint="eastAsia"/>
              </w:rPr>
              <w:t>了</w:t>
            </w:r>
            <w:r>
              <w:rPr>
                <w:rFonts w:hint="eastAsia"/>
                <w:lang w:val="en-US" w:eastAsia="zh-CN"/>
              </w:rPr>
              <w:t>12</w:t>
            </w:r>
            <w:r>
              <w:rPr>
                <w:rFonts w:hint="eastAsia"/>
              </w:rPr>
              <w:t>.5个百分点。</w:t>
            </w:r>
          </w:p>
          <w:p w14:paraId="0C606A11">
            <w:pPr>
              <w:pStyle w:val="771"/>
              <w:bidi w:val="0"/>
            </w:pPr>
            <w:r>
              <w:rPr>
                <w:rFonts w:hint="eastAsia"/>
              </w:rPr>
              <w:t>一氧化碳（CO）日均浓度范围为0.2～1.</w:t>
            </w:r>
            <w:r>
              <w:rPr>
                <w:rFonts w:hint="eastAsia"/>
                <w:lang w:val="en-US" w:eastAsia="zh-CN"/>
              </w:rPr>
              <w:t>1</w:t>
            </w:r>
            <w:r>
              <w:rPr>
                <w:rFonts w:hint="eastAsia"/>
              </w:rPr>
              <w:t>毫克/立方米，日均值达标率为100%。日均值第95百分位数为0.</w:t>
            </w:r>
            <w:r>
              <w:rPr>
                <w:rFonts w:hint="eastAsia"/>
                <w:lang w:val="en-US" w:eastAsia="zh-CN"/>
              </w:rPr>
              <w:t>8</w:t>
            </w:r>
            <w:r>
              <w:rPr>
                <w:rFonts w:hint="eastAsia"/>
              </w:rPr>
              <w:t>毫克/立方米，与上年相比</w:t>
            </w:r>
            <w:r>
              <w:rPr>
                <w:rFonts w:hint="eastAsia"/>
                <w:lang w:eastAsia="zh-CN"/>
              </w:rPr>
              <w:t>上升</w:t>
            </w:r>
            <w:r>
              <w:rPr>
                <w:rFonts w:hint="eastAsia"/>
              </w:rPr>
              <w:t>了</w:t>
            </w:r>
            <w:r>
              <w:rPr>
                <w:rFonts w:hint="eastAsia"/>
                <w:lang w:val="en-US" w:eastAsia="zh-CN"/>
              </w:rPr>
              <w:t>14.3</w:t>
            </w:r>
            <w:r>
              <w:rPr>
                <w:rFonts w:hint="eastAsia"/>
              </w:rPr>
              <w:t>个百分点。</w:t>
            </w:r>
          </w:p>
          <w:p w14:paraId="26D41487">
            <w:pPr>
              <w:pStyle w:val="771"/>
              <w:bidi w:val="0"/>
            </w:pPr>
            <w:r>
              <w:rPr>
                <w:rFonts w:hint="eastAsia"/>
              </w:rPr>
              <w:t>臭氧日最大8小时（O</w:t>
            </w:r>
            <w:r>
              <w:rPr>
                <w:rFonts w:hint="eastAsia"/>
                <w:vertAlign w:val="subscript"/>
              </w:rPr>
              <w:t>3</w:t>
            </w:r>
            <w:r>
              <w:rPr>
                <w:rFonts w:hint="eastAsia"/>
              </w:rPr>
              <w:t>-8h）滑动平均值范围为</w:t>
            </w:r>
            <w:r>
              <w:rPr>
                <w:rFonts w:hint="eastAsia"/>
                <w:lang w:val="en-US" w:eastAsia="zh-CN"/>
              </w:rPr>
              <w:t>16</w:t>
            </w:r>
            <w:r>
              <w:rPr>
                <w:rFonts w:hint="eastAsia"/>
              </w:rPr>
              <w:t>～</w:t>
            </w:r>
            <w:r>
              <w:rPr>
                <w:rFonts w:hint="eastAsia"/>
                <w:lang w:val="en-US" w:eastAsia="zh-CN"/>
              </w:rPr>
              <w:t>227</w:t>
            </w:r>
            <w:r>
              <w:rPr>
                <w:rFonts w:hint="eastAsia"/>
              </w:rPr>
              <w:t>微克/立方米，达标率为</w:t>
            </w:r>
            <w:r>
              <w:rPr>
                <w:rFonts w:hint="eastAsia"/>
                <w:lang w:val="en-US" w:eastAsia="zh-CN"/>
              </w:rPr>
              <w:t>90.4</w:t>
            </w:r>
            <w:r>
              <w:rPr>
                <w:rFonts w:hint="eastAsia"/>
              </w:rPr>
              <w:t>%。日最大8小时滑动平均值第90百分位数为</w:t>
            </w:r>
            <w:r>
              <w:rPr>
                <w:rFonts w:hint="eastAsia"/>
                <w:lang w:val="en-US" w:eastAsia="zh-CN"/>
              </w:rPr>
              <w:t>160</w:t>
            </w:r>
            <w:r>
              <w:rPr>
                <w:rFonts w:hint="eastAsia"/>
              </w:rPr>
              <w:t>微克/立方米，与上年相比上升了</w:t>
            </w:r>
            <w:r>
              <w:rPr>
                <w:rFonts w:hint="eastAsia"/>
                <w:lang w:val="en-US" w:eastAsia="zh-CN"/>
              </w:rPr>
              <w:t>1.9</w:t>
            </w:r>
            <w:r>
              <w:rPr>
                <w:rFonts w:hint="eastAsia"/>
              </w:rPr>
              <w:t>个百分点。</w:t>
            </w:r>
          </w:p>
          <w:p w14:paraId="4AAC1E6E">
            <w:pPr>
              <w:pStyle w:val="771"/>
              <w:bidi w:val="0"/>
            </w:pPr>
            <w:r>
              <w:rPr>
                <w:rFonts w:hint="eastAsia"/>
              </w:rPr>
              <w:t>依据《202</w:t>
            </w:r>
            <w:r>
              <w:rPr>
                <w:rFonts w:hint="eastAsia"/>
                <w:lang w:val="en-US" w:eastAsia="zh-CN"/>
              </w:rPr>
              <w:t>4</w:t>
            </w:r>
            <w:r>
              <w:rPr>
                <w:rFonts w:hint="eastAsia"/>
              </w:rPr>
              <w:t>年淮南市</w:t>
            </w:r>
            <w:r>
              <w:rPr>
                <w:rFonts w:hint="eastAsia"/>
                <w:lang w:eastAsia="zh-CN"/>
              </w:rPr>
              <w:t>生态</w:t>
            </w:r>
            <w:r>
              <w:rPr>
                <w:rFonts w:hint="eastAsia"/>
              </w:rPr>
              <w:t>环境质量状况公报》，区域空气质量现状如下表所示。</w:t>
            </w:r>
          </w:p>
          <w:p w14:paraId="472200C3">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3</w:t>
            </w:r>
            <w:r>
              <w:rPr>
                <w:rFonts w:hint="eastAsia"/>
                <w:lang w:eastAsia="zh-CN"/>
              </w:rPr>
              <w:t>-</w:t>
            </w:r>
            <w:r>
              <w:fldChar w:fldCharType="begin"/>
            </w:r>
            <w:r>
              <w:instrText xml:space="preserve"> SEQ 表 \* ARABIC \s 1 </w:instrText>
            </w:r>
            <w:r>
              <w:fldChar w:fldCharType="separate"/>
            </w:r>
            <w:r>
              <w:t>1</w:t>
            </w:r>
            <w:r>
              <w:fldChar w:fldCharType="end"/>
            </w:r>
            <w:r>
              <w:rPr>
                <w:color w:val="auto"/>
              </w:rPr>
              <w:t xml:space="preserve"> </w:t>
            </w:r>
            <w:r>
              <w:rPr>
                <w:rFonts w:hint="eastAsia"/>
                <w:color w:val="auto"/>
              </w:rPr>
              <w:t>区域空气质量现状评价表</w:t>
            </w:r>
          </w:p>
          <w:tbl>
            <w:tblPr>
              <w:tblStyle w:val="57"/>
              <w:tblpPr w:leftFromText="180" w:rightFromText="180" w:vertAnchor="text"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25"/>
              <w:gridCol w:w="3089"/>
              <w:gridCol w:w="1177"/>
              <w:gridCol w:w="1177"/>
              <w:gridCol w:w="1177"/>
              <w:gridCol w:w="919"/>
            </w:tblGrid>
            <w:tr w14:paraId="510C0C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8" w:type="pct"/>
                  <w:vAlign w:val="center"/>
                </w:tcPr>
                <w:p w14:paraId="767CE27F">
                  <w:pPr>
                    <w:pStyle w:val="286"/>
                    <w:framePr w:hSpace="0" w:wrap="auto" w:vAnchor="margin" w:hAnchor="text" w:xAlign="left" w:yAlign="inline"/>
                    <w:rPr>
                      <w:color w:val="auto"/>
                    </w:rPr>
                  </w:pPr>
                  <w:r>
                    <w:rPr>
                      <w:color w:val="auto"/>
                    </w:rPr>
                    <w:t>污染物</w:t>
                  </w:r>
                </w:p>
              </w:tc>
              <w:tc>
                <w:tcPr>
                  <w:tcW w:w="1803" w:type="pct"/>
                  <w:vAlign w:val="center"/>
                </w:tcPr>
                <w:p w14:paraId="300A250A">
                  <w:pPr>
                    <w:pStyle w:val="286"/>
                    <w:framePr w:hSpace="0" w:wrap="auto" w:vAnchor="margin" w:hAnchor="text" w:xAlign="left" w:yAlign="inline"/>
                    <w:rPr>
                      <w:color w:val="auto"/>
                    </w:rPr>
                  </w:pPr>
                  <w:r>
                    <w:rPr>
                      <w:color w:val="auto"/>
                    </w:rPr>
                    <w:t>年评价指标</w:t>
                  </w:r>
                </w:p>
              </w:tc>
              <w:tc>
                <w:tcPr>
                  <w:tcW w:w="687" w:type="pct"/>
                  <w:vAlign w:val="center"/>
                </w:tcPr>
                <w:p w14:paraId="103BB0B3">
                  <w:pPr>
                    <w:pStyle w:val="286"/>
                    <w:framePr w:hSpace="0" w:wrap="auto" w:vAnchor="margin" w:hAnchor="text" w:xAlign="left" w:yAlign="inline"/>
                    <w:rPr>
                      <w:color w:val="auto"/>
                    </w:rPr>
                  </w:pPr>
                  <w:r>
                    <w:rPr>
                      <w:color w:val="auto"/>
                    </w:rPr>
                    <w:t>现状浓度</w:t>
                  </w:r>
                </w:p>
                <w:p w14:paraId="5CF6821E">
                  <w:pPr>
                    <w:pStyle w:val="286"/>
                    <w:framePr w:hSpace="0" w:wrap="auto" w:vAnchor="margin" w:hAnchor="text" w:xAlign="left" w:yAlign="inline"/>
                    <w:rPr>
                      <w:color w:val="auto"/>
                    </w:rPr>
                  </w:pPr>
                  <w:r>
                    <w:rPr>
                      <w:color w:val="auto"/>
                    </w:rPr>
                    <w:t>（μg/m</w:t>
                  </w:r>
                  <w:r>
                    <w:rPr>
                      <w:color w:val="auto"/>
                      <w:vertAlign w:val="superscript"/>
                    </w:rPr>
                    <w:t>3</w:t>
                  </w:r>
                  <w:r>
                    <w:rPr>
                      <w:color w:val="auto"/>
                    </w:rPr>
                    <w:t>）</w:t>
                  </w:r>
                </w:p>
              </w:tc>
              <w:tc>
                <w:tcPr>
                  <w:tcW w:w="687" w:type="pct"/>
                  <w:vAlign w:val="center"/>
                </w:tcPr>
                <w:p w14:paraId="77EA907D">
                  <w:pPr>
                    <w:pStyle w:val="286"/>
                    <w:framePr w:hSpace="0" w:wrap="auto" w:vAnchor="margin" w:hAnchor="text" w:xAlign="left" w:yAlign="inline"/>
                    <w:rPr>
                      <w:color w:val="auto"/>
                    </w:rPr>
                  </w:pPr>
                  <w:r>
                    <w:rPr>
                      <w:color w:val="auto"/>
                    </w:rPr>
                    <w:t>标准值</w:t>
                  </w:r>
                </w:p>
                <w:p w14:paraId="7CB5F235">
                  <w:pPr>
                    <w:pStyle w:val="286"/>
                    <w:framePr w:hSpace="0" w:wrap="auto" w:vAnchor="margin" w:hAnchor="text" w:xAlign="left" w:yAlign="inline"/>
                    <w:rPr>
                      <w:color w:val="auto"/>
                    </w:rPr>
                  </w:pPr>
                  <w:r>
                    <w:rPr>
                      <w:color w:val="auto"/>
                    </w:rPr>
                    <w:t>（μg/m</w:t>
                  </w:r>
                  <w:r>
                    <w:rPr>
                      <w:color w:val="auto"/>
                      <w:vertAlign w:val="superscript"/>
                    </w:rPr>
                    <w:t>3</w:t>
                  </w:r>
                  <w:r>
                    <w:rPr>
                      <w:color w:val="auto"/>
                    </w:rPr>
                    <w:t>）</w:t>
                  </w:r>
                </w:p>
              </w:tc>
              <w:tc>
                <w:tcPr>
                  <w:tcW w:w="687" w:type="pct"/>
                  <w:vAlign w:val="center"/>
                </w:tcPr>
                <w:p w14:paraId="6B19E38C">
                  <w:pPr>
                    <w:pStyle w:val="286"/>
                    <w:framePr w:hSpace="0" w:wrap="auto" w:vAnchor="margin" w:hAnchor="text" w:xAlign="left" w:yAlign="inline"/>
                    <w:rPr>
                      <w:color w:val="auto"/>
                    </w:rPr>
                  </w:pPr>
                  <w:r>
                    <w:rPr>
                      <w:color w:val="auto"/>
                    </w:rPr>
                    <w:t>占标率</w:t>
                  </w:r>
                </w:p>
                <w:p w14:paraId="5B3B5B48">
                  <w:pPr>
                    <w:pStyle w:val="286"/>
                    <w:framePr w:hSpace="0" w:wrap="auto" w:vAnchor="margin" w:hAnchor="text" w:xAlign="left" w:yAlign="inline"/>
                    <w:rPr>
                      <w:color w:val="auto"/>
                    </w:rPr>
                  </w:pPr>
                  <w:r>
                    <w:rPr>
                      <w:color w:val="auto"/>
                    </w:rPr>
                    <w:t>（%）</w:t>
                  </w:r>
                </w:p>
              </w:tc>
              <w:tc>
                <w:tcPr>
                  <w:tcW w:w="536" w:type="pct"/>
                  <w:vAlign w:val="center"/>
                </w:tcPr>
                <w:p w14:paraId="0F29C8E1">
                  <w:pPr>
                    <w:pStyle w:val="286"/>
                    <w:framePr w:hSpace="0" w:wrap="auto" w:vAnchor="margin" w:hAnchor="text" w:xAlign="left" w:yAlign="inline"/>
                    <w:rPr>
                      <w:color w:val="auto"/>
                    </w:rPr>
                  </w:pPr>
                  <w:r>
                    <w:rPr>
                      <w:color w:val="auto"/>
                    </w:rPr>
                    <w:t>达标情况</w:t>
                  </w:r>
                </w:p>
              </w:tc>
            </w:tr>
            <w:tr w14:paraId="0F34E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8" w:type="pct"/>
                  <w:vAlign w:val="center"/>
                </w:tcPr>
                <w:p w14:paraId="564A2229">
                  <w:pPr>
                    <w:pStyle w:val="286"/>
                    <w:framePr w:hSpace="0" w:wrap="auto" w:vAnchor="margin" w:hAnchor="text" w:xAlign="left" w:yAlign="inline"/>
                    <w:rPr>
                      <w:color w:val="auto"/>
                    </w:rPr>
                  </w:pPr>
                  <w:r>
                    <w:rPr>
                      <w:color w:val="auto"/>
                    </w:rPr>
                    <w:t>SO</w:t>
                  </w:r>
                  <w:r>
                    <w:rPr>
                      <w:color w:val="auto"/>
                      <w:vertAlign w:val="subscript"/>
                    </w:rPr>
                    <w:t>2</w:t>
                  </w:r>
                </w:p>
              </w:tc>
              <w:tc>
                <w:tcPr>
                  <w:tcW w:w="1803" w:type="pct"/>
                  <w:vAlign w:val="center"/>
                </w:tcPr>
                <w:p w14:paraId="750D6DC9">
                  <w:pPr>
                    <w:pStyle w:val="286"/>
                    <w:framePr w:hSpace="0" w:wrap="auto" w:vAnchor="margin" w:hAnchor="text" w:xAlign="left" w:yAlign="inline"/>
                    <w:rPr>
                      <w:color w:val="auto"/>
                    </w:rPr>
                  </w:pPr>
                  <w:r>
                    <w:rPr>
                      <w:color w:val="auto"/>
                    </w:rPr>
                    <w:t>年平均质量浓度</w:t>
                  </w:r>
                </w:p>
              </w:tc>
              <w:tc>
                <w:tcPr>
                  <w:tcW w:w="687" w:type="pct"/>
                  <w:shd w:val="clear" w:color="auto" w:fill="auto"/>
                  <w:vAlign w:val="center"/>
                </w:tcPr>
                <w:p w14:paraId="1F39B1A1">
                  <w:pPr>
                    <w:pStyle w:val="75"/>
                    <w:rPr>
                      <w:rFonts w:hint="default" w:ascii="Times New Roman" w:hAnsi="Times New Roman" w:eastAsia="宋体" w:cs="Times New Roman"/>
                      <w:color w:val="auto"/>
                      <w:sz w:val="21"/>
                      <w:lang w:val="zh-CN" w:eastAsia="zh-CN" w:bidi="ar-SA"/>
                    </w:rPr>
                  </w:pPr>
                  <w:r>
                    <w:rPr>
                      <w:rFonts w:hint="default" w:ascii="Times New Roman" w:hAnsi="Times New Roman" w:cs="Times New Roman"/>
                      <w:color w:val="auto"/>
                      <w:lang w:val="en-US" w:eastAsia="zh-CN"/>
                    </w:rPr>
                    <w:t>7</w:t>
                  </w:r>
                </w:p>
              </w:tc>
              <w:tc>
                <w:tcPr>
                  <w:tcW w:w="687" w:type="pct"/>
                  <w:shd w:val="clear" w:color="auto" w:fill="auto"/>
                  <w:vAlign w:val="center"/>
                </w:tcPr>
                <w:p w14:paraId="03603FD7">
                  <w:pPr>
                    <w:pStyle w:val="75"/>
                    <w:rPr>
                      <w:rFonts w:hint="default" w:ascii="Times New Roman" w:hAnsi="Times New Roman" w:eastAsia="宋体" w:cs="Times New Roman"/>
                      <w:color w:val="auto"/>
                      <w:sz w:val="21"/>
                      <w:lang w:val="zh-CN" w:eastAsia="zh-CN" w:bidi="ar-SA"/>
                    </w:rPr>
                  </w:pPr>
                  <w:r>
                    <w:rPr>
                      <w:rFonts w:hint="default" w:ascii="Times New Roman" w:hAnsi="Times New Roman" w:cs="Times New Roman"/>
                      <w:color w:val="auto"/>
                    </w:rPr>
                    <w:t>60</w:t>
                  </w:r>
                </w:p>
              </w:tc>
              <w:tc>
                <w:tcPr>
                  <w:tcW w:w="687" w:type="pct"/>
                  <w:shd w:val="clear" w:color="auto" w:fill="auto"/>
                  <w:vAlign w:val="center"/>
                </w:tcPr>
                <w:p w14:paraId="1E7DC01F">
                  <w:pPr>
                    <w:pStyle w:val="75"/>
                    <w:rPr>
                      <w:rFonts w:hint="default" w:ascii="Times New Roman" w:hAnsi="Times New Roman" w:eastAsia="宋体" w:cs="Times New Roman"/>
                      <w:color w:val="auto"/>
                      <w:sz w:val="21"/>
                      <w:lang w:val="en-US" w:eastAsia="zh-CN" w:bidi="ar-SA"/>
                    </w:rPr>
                  </w:pPr>
                  <w:r>
                    <w:rPr>
                      <w:rFonts w:hint="default" w:ascii="Times New Roman" w:hAnsi="Times New Roman" w:cs="Times New Roman"/>
                      <w:color w:val="auto"/>
                      <w:lang w:val="en-US" w:eastAsia="zh-CN"/>
                    </w:rPr>
                    <w:t>11.7</w:t>
                  </w:r>
                </w:p>
              </w:tc>
              <w:tc>
                <w:tcPr>
                  <w:tcW w:w="536" w:type="pct"/>
                  <w:shd w:val="clear" w:color="auto" w:fill="auto"/>
                  <w:vAlign w:val="center"/>
                </w:tcPr>
                <w:p w14:paraId="594034C2">
                  <w:pPr>
                    <w:pStyle w:val="75"/>
                    <w:rPr>
                      <w:rFonts w:hint="default" w:ascii="Times New Roman" w:hAnsi="Times New Roman" w:eastAsia="宋体" w:cs="Times New Roman"/>
                      <w:color w:val="auto"/>
                      <w:sz w:val="21"/>
                      <w:lang w:val="zh-CN" w:eastAsia="zh-CN" w:bidi="ar-SA"/>
                    </w:rPr>
                  </w:pPr>
                  <w:r>
                    <w:rPr>
                      <w:rFonts w:hint="default" w:ascii="Times New Roman" w:hAnsi="Times New Roman" w:cs="Times New Roman"/>
                      <w:color w:val="auto"/>
                    </w:rPr>
                    <w:t>达标</w:t>
                  </w:r>
                </w:p>
              </w:tc>
            </w:tr>
            <w:tr w14:paraId="45E832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8" w:type="pct"/>
                  <w:vAlign w:val="center"/>
                </w:tcPr>
                <w:p w14:paraId="7C4D355F">
                  <w:pPr>
                    <w:pStyle w:val="286"/>
                    <w:framePr w:hSpace="0" w:wrap="auto" w:vAnchor="margin" w:hAnchor="text" w:xAlign="left" w:yAlign="inline"/>
                    <w:rPr>
                      <w:color w:val="auto"/>
                    </w:rPr>
                  </w:pPr>
                  <w:r>
                    <w:rPr>
                      <w:color w:val="auto"/>
                    </w:rPr>
                    <w:t>NO</w:t>
                  </w:r>
                  <w:r>
                    <w:rPr>
                      <w:color w:val="auto"/>
                      <w:vertAlign w:val="subscript"/>
                    </w:rPr>
                    <w:t>2</w:t>
                  </w:r>
                </w:p>
              </w:tc>
              <w:tc>
                <w:tcPr>
                  <w:tcW w:w="1803" w:type="pct"/>
                  <w:vAlign w:val="center"/>
                </w:tcPr>
                <w:p w14:paraId="39058B20">
                  <w:pPr>
                    <w:pStyle w:val="286"/>
                    <w:framePr w:hSpace="0" w:wrap="auto" w:vAnchor="margin" w:hAnchor="text" w:xAlign="left" w:yAlign="inline"/>
                    <w:rPr>
                      <w:color w:val="auto"/>
                    </w:rPr>
                  </w:pPr>
                  <w:r>
                    <w:rPr>
                      <w:color w:val="auto"/>
                    </w:rPr>
                    <w:t>年平均质量浓度</w:t>
                  </w:r>
                </w:p>
              </w:tc>
              <w:tc>
                <w:tcPr>
                  <w:tcW w:w="687" w:type="pct"/>
                  <w:shd w:val="clear" w:color="auto" w:fill="auto"/>
                  <w:vAlign w:val="center"/>
                </w:tcPr>
                <w:p w14:paraId="24B73028">
                  <w:pPr>
                    <w:pStyle w:val="75"/>
                    <w:rPr>
                      <w:rFonts w:hint="default" w:ascii="Times New Roman" w:hAnsi="Times New Roman" w:eastAsia="宋体" w:cs="Times New Roman"/>
                      <w:color w:val="auto"/>
                      <w:sz w:val="21"/>
                      <w:lang w:val="en-US" w:eastAsia="zh-CN" w:bidi="ar-SA"/>
                    </w:rPr>
                  </w:pPr>
                  <w:r>
                    <w:rPr>
                      <w:rFonts w:hint="default" w:ascii="Times New Roman" w:hAnsi="Times New Roman" w:cs="Times New Roman"/>
                      <w:color w:val="auto"/>
                      <w:lang w:val="en-US" w:eastAsia="zh-CN"/>
                    </w:rPr>
                    <w:t>19</w:t>
                  </w:r>
                </w:p>
              </w:tc>
              <w:tc>
                <w:tcPr>
                  <w:tcW w:w="687" w:type="pct"/>
                  <w:shd w:val="clear" w:color="auto" w:fill="auto"/>
                  <w:vAlign w:val="center"/>
                </w:tcPr>
                <w:p w14:paraId="22BF26BB">
                  <w:pPr>
                    <w:pStyle w:val="75"/>
                    <w:rPr>
                      <w:rFonts w:hint="default" w:ascii="Times New Roman" w:hAnsi="Times New Roman" w:eastAsia="宋体" w:cs="Times New Roman"/>
                      <w:color w:val="auto"/>
                      <w:sz w:val="21"/>
                      <w:lang w:val="zh-CN" w:eastAsia="zh-CN" w:bidi="ar-SA"/>
                    </w:rPr>
                  </w:pPr>
                  <w:r>
                    <w:rPr>
                      <w:rFonts w:hint="default" w:ascii="Times New Roman" w:hAnsi="Times New Roman" w:cs="Times New Roman"/>
                      <w:color w:val="auto"/>
                    </w:rPr>
                    <w:t>40</w:t>
                  </w:r>
                </w:p>
              </w:tc>
              <w:tc>
                <w:tcPr>
                  <w:tcW w:w="687" w:type="pct"/>
                  <w:shd w:val="clear" w:color="auto" w:fill="auto"/>
                  <w:vAlign w:val="center"/>
                </w:tcPr>
                <w:p w14:paraId="1A3D9041">
                  <w:pPr>
                    <w:pStyle w:val="75"/>
                    <w:rPr>
                      <w:rFonts w:hint="default" w:ascii="Times New Roman" w:hAnsi="Times New Roman" w:eastAsia="宋体" w:cs="Times New Roman"/>
                      <w:color w:val="auto"/>
                      <w:sz w:val="21"/>
                      <w:lang w:val="en-US" w:eastAsia="zh-CN" w:bidi="ar-SA"/>
                    </w:rPr>
                  </w:pPr>
                  <w:r>
                    <w:rPr>
                      <w:rFonts w:hint="default" w:ascii="Times New Roman" w:hAnsi="Times New Roman" w:cs="Times New Roman"/>
                      <w:color w:val="auto"/>
                      <w:lang w:val="en-US" w:eastAsia="zh-CN"/>
                    </w:rPr>
                    <w:t>47.5</w:t>
                  </w:r>
                </w:p>
              </w:tc>
              <w:tc>
                <w:tcPr>
                  <w:tcW w:w="536" w:type="pct"/>
                  <w:shd w:val="clear" w:color="auto" w:fill="auto"/>
                  <w:vAlign w:val="center"/>
                </w:tcPr>
                <w:p w14:paraId="46D3C98E">
                  <w:pPr>
                    <w:pStyle w:val="75"/>
                    <w:rPr>
                      <w:rFonts w:hint="default" w:ascii="Times New Roman" w:hAnsi="Times New Roman" w:eastAsia="宋体" w:cs="Times New Roman"/>
                      <w:color w:val="auto"/>
                      <w:sz w:val="21"/>
                      <w:lang w:val="zh-CN" w:eastAsia="zh-CN" w:bidi="ar-SA"/>
                    </w:rPr>
                  </w:pPr>
                  <w:r>
                    <w:rPr>
                      <w:rFonts w:hint="default" w:ascii="Times New Roman" w:hAnsi="Times New Roman" w:cs="Times New Roman"/>
                      <w:color w:val="auto"/>
                    </w:rPr>
                    <w:t>达标</w:t>
                  </w:r>
                </w:p>
              </w:tc>
            </w:tr>
            <w:tr w14:paraId="55C6C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8" w:type="pct"/>
                  <w:vAlign w:val="center"/>
                </w:tcPr>
                <w:p w14:paraId="77E2E093">
                  <w:pPr>
                    <w:pStyle w:val="286"/>
                    <w:framePr w:hSpace="0" w:wrap="auto" w:vAnchor="margin" w:hAnchor="text" w:xAlign="left" w:yAlign="inline"/>
                    <w:rPr>
                      <w:color w:val="auto"/>
                    </w:rPr>
                  </w:pPr>
                  <w:r>
                    <w:rPr>
                      <w:color w:val="auto"/>
                    </w:rPr>
                    <w:t>PM</w:t>
                  </w:r>
                  <w:r>
                    <w:rPr>
                      <w:color w:val="auto"/>
                      <w:vertAlign w:val="subscript"/>
                    </w:rPr>
                    <w:t>10</w:t>
                  </w:r>
                </w:p>
              </w:tc>
              <w:tc>
                <w:tcPr>
                  <w:tcW w:w="1803" w:type="pct"/>
                  <w:vAlign w:val="center"/>
                </w:tcPr>
                <w:p w14:paraId="55CE5FF6">
                  <w:pPr>
                    <w:pStyle w:val="286"/>
                    <w:framePr w:hSpace="0" w:wrap="auto" w:vAnchor="margin" w:hAnchor="text" w:xAlign="left" w:yAlign="inline"/>
                    <w:rPr>
                      <w:color w:val="auto"/>
                    </w:rPr>
                  </w:pPr>
                  <w:r>
                    <w:rPr>
                      <w:color w:val="auto"/>
                    </w:rPr>
                    <w:t>年平均质量浓度</w:t>
                  </w:r>
                </w:p>
              </w:tc>
              <w:tc>
                <w:tcPr>
                  <w:tcW w:w="687" w:type="pct"/>
                  <w:shd w:val="clear" w:color="auto" w:fill="auto"/>
                  <w:vAlign w:val="center"/>
                </w:tcPr>
                <w:p w14:paraId="6944443F">
                  <w:pPr>
                    <w:pStyle w:val="75"/>
                    <w:rPr>
                      <w:rFonts w:hint="default" w:ascii="Times New Roman" w:hAnsi="Times New Roman" w:eastAsia="宋体" w:cs="Times New Roman"/>
                      <w:color w:val="auto"/>
                      <w:sz w:val="21"/>
                      <w:lang w:val="en-US" w:eastAsia="zh-CN" w:bidi="ar-SA"/>
                    </w:rPr>
                  </w:pPr>
                  <w:r>
                    <w:rPr>
                      <w:rFonts w:hint="default" w:ascii="Times New Roman" w:hAnsi="Times New Roman" w:cs="Times New Roman"/>
                      <w:color w:val="auto"/>
                      <w:lang w:val="en-US" w:eastAsia="zh-CN"/>
                    </w:rPr>
                    <w:t>65.0</w:t>
                  </w:r>
                </w:p>
              </w:tc>
              <w:tc>
                <w:tcPr>
                  <w:tcW w:w="687" w:type="pct"/>
                  <w:shd w:val="clear" w:color="auto" w:fill="auto"/>
                  <w:vAlign w:val="center"/>
                </w:tcPr>
                <w:p w14:paraId="7AFB0398">
                  <w:pPr>
                    <w:pStyle w:val="75"/>
                    <w:rPr>
                      <w:rFonts w:hint="default" w:ascii="Times New Roman" w:hAnsi="Times New Roman" w:eastAsia="宋体" w:cs="Times New Roman"/>
                      <w:color w:val="auto"/>
                      <w:sz w:val="21"/>
                      <w:lang w:val="zh-CN" w:eastAsia="zh-CN" w:bidi="ar-SA"/>
                    </w:rPr>
                  </w:pPr>
                  <w:r>
                    <w:rPr>
                      <w:rFonts w:hint="default" w:ascii="Times New Roman" w:hAnsi="Times New Roman" w:cs="Times New Roman"/>
                      <w:color w:val="auto"/>
                    </w:rPr>
                    <w:t>70</w:t>
                  </w:r>
                </w:p>
              </w:tc>
              <w:tc>
                <w:tcPr>
                  <w:tcW w:w="687" w:type="pct"/>
                  <w:shd w:val="clear" w:color="auto" w:fill="auto"/>
                  <w:vAlign w:val="center"/>
                </w:tcPr>
                <w:p w14:paraId="0AC5CED7">
                  <w:pPr>
                    <w:pStyle w:val="75"/>
                    <w:rPr>
                      <w:rFonts w:hint="default" w:ascii="Times New Roman" w:hAnsi="Times New Roman" w:eastAsia="宋体" w:cs="Times New Roman"/>
                      <w:color w:val="auto"/>
                      <w:sz w:val="21"/>
                      <w:lang w:val="en-US" w:eastAsia="zh-CN" w:bidi="ar-SA"/>
                    </w:rPr>
                  </w:pPr>
                  <w:r>
                    <w:rPr>
                      <w:rFonts w:hint="default" w:ascii="Times New Roman" w:hAnsi="Times New Roman" w:cs="Times New Roman"/>
                      <w:color w:val="auto"/>
                      <w:lang w:val="en-US" w:eastAsia="zh-CN"/>
                    </w:rPr>
                    <w:t>92.9</w:t>
                  </w:r>
                </w:p>
              </w:tc>
              <w:tc>
                <w:tcPr>
                  <w:tcW w:w="536" w:type="pct"/>
                  <w:shd w:val="clear" w:color="auto" w:fill="auto"/>
                  <w:vAlign w:val="center"/>
                </w:tcPr>
                <w:p w14:paraId="619CC1E1">
                  <w:pPr>
                    <w:pStyle w:val="75"/>
                    <w:rPr>
                      <w:rFonts w:hint="default" w:ascii="Times New Roman" w:hAnsi="Times New Roman" w:eastAsia="宋体" w:cs="Times New Roman"/>
                      <w:color w:val="auto"/>
                      <w:sz w:val="21"/>
                      <w:lang w:val="zh-CN" w:eastAsia="zh-CN" w:bidi="ar-SA"/>
                    </w:rPr>
                  </w:pPr>
                  <w:r>
                    <w:rPr>
                      <w:rFonts w:hint="default" w:ascii="Times New Roman" w:hAnsi="Times New Roman" w:cs="Times New Roman"/>
                      <w:color w:val="auto"/>
                    </w:rPr>
                    <w:t>达标</w:t>
                  </w:r>
                </w:p>
              </w:tc>
            </w:tr>
            <w:tr w14:paraId="2AC3A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8" w:type="pct"/>
                  <w:vAlign w:val="center"/>
                </w:tcPr>
                <w:p w14:paraId="4518336D">
                  <w:pPr>
                    <w:pStyle w:val="286"/>
                    <w:framePr w:hSpace="0" w:wrap="auto" w:vAnchor="margin" w:hAnchor="text" w:xAlign="left" w:yAlign="inline"/>
                    <w:rPr>
                      <w:color w:val="auto"/>
                    </w:rPr>
                  </w:pPr>
                  <w:r>
                    <w:rPr>
                      <w:color w:val="auto"/>
                    </w:rPr>
                    <w:t>PM</w:t>
                  </w:r>
                  <w:r>
                    <w:rPr>
                      <w:color w:val="auto"/>
                      <w:vertAlign w:val="subscript"/>
                    </w:rPr>
                    <w:t>2.5</w:t>
                  </w:r>
                </w:p>
              </w:tc>
              <w:tc>
                <w:tcPr>
                  <w:tcW w:w="1803" w:type="pct"/>
                  <w:vAlign w:val="center"/>
                </w:tcPr>
                <w:p w14:paraId="4C79AC52">
                  <w:pPr>
                    <w:pStyle w:val="286"/>
                    <w:framePr w:hSpace="0" w:wrap="auto" w:vAnchor="margin" w:hAnchor="text" w:xAlign="left" w:yAlign="inline"/>
                    <w:rPr>
                      <w:color w:val="auto"/>
                    </w:rPr>
                  </w:pPr>
                  <w:r>
                    <w:rPr>
                      <w:color w:val="auto"/>
                    </w:rPr>
                    <w:t>年平均质量浓度</w:t>
                  </w:r>
                </w:p>
              </w:tc>
              <w:tc>
                <w:tcPr>
                  <w:tcW w:w="687" w:type="pct"/>
                  <w:shd w:val="clear" w:color="auto" w:fill="auto"/>
                  <w:vAlign w:val="center"/>
                </w:tcPr>
                <w:p w14:paraId="72D4A9D1">
                  <w:pPr>
                    <w:pStyle w:val="75"/>
                    <w:rPr>
                      <w:rFonts w:hint="default" w:ascii="Times New Roman" w:hAnsi="Times New Roman" w:eastAsia="宋体" w:cs="Times New Roman"/>
                      <w:color w:val="auto"/>
                      <w:sz w:val="21"/>
                      <w:lang w:val="en-US" w:eastAsia="zh-CN" w:bidi="ar-SA"/>
                    </w:rPr>
                  </w:pPr>
                  <w:r>
                    <w:rPr>
                      <w:rFonts w:hint="default" w:ascii="Times New Roman" w:hAnsi="Times New Roman" w:cs="Times New Roman"/>
                      <w:color w:val="auto"/>
                      <w:lang w:val="en-US" w:eastAsia="zh-CN"/>
                    </w:rPr>
                    <w:t>40</w:t>
                  </w:r>
                </w:p>
              </w:tc>
              <w:tc>
                <w:tcPr>
                  <w:tcW w:w="687" w:type="pct"/>
                  <w:shd w:val="clear" w:color="auto" w:fill="auto"/>
                  <w:vAlign w:val="center"/>
                </w:tcPr>
                <w:p w14:paraId="6383A392">
                  <w:pPr>
                    <w:pStyle w:val="75"/>
                    <w:rPr>
                      <w:rFonts w:hint="default" w:ascii="Times New Roman" w:hAnsi="Times New Roman" w:eastAsia="宋体" w:cs="Times New Roman"/>
                      <w:color w:val="auto"/>
                      <w:sz w:val="21"/>
                      <w:lang w:val="zh-CN" w:eastAsia="zh-CN" w:bidi="ar-SA"/>
                    </w:rPr>
                  </w:pPr>
                  <w:r>
                    <w:rPr>
                      <w:rFonts w:hint="default" w:ascii="Times New Roman" w:hAnsi="Times New Roman" w:cs="Times New Roman"/>
                      <w:color w:val="auto"/>
                    </w:rPr>
                    <w:t>35</w:t>
                  </w:r>
                </w:p>
              </w:tc>
              <w:tc>
                <w:tcPr>
                  <w:tcW w:w="687" w:type="pct"/>
                  <w:shd w:val="clear" w:color="auto" w:fill="auto"/>
                  <w:vAlign w:val="center"/>
                </w:tcPr>
                <w:p w14:paraId="4C270090">
                  <w:pPr>
                    <w:pStyle w:val="75"/>
                    <w:rPr>
                      <w:rFonts w:hint="default" w:ascii="Times New Roman" w:hAnsi="Times New Roman" w:eastAsia="宋体" w:cs="Times New Roman"/>
                      <w:color w:val="auto"/>
                      <w:sz w:val="21"/>
                      <w:lang w:val="en-US" w:eastAsia="zh-CN" w:bidi="ar-SA"/>
                    </w:rPr>
                  </w:pPr>
                  <w:r>
                    <w:rPr>
                      <w:rFonts w:hint="default" w:ascii="Times New Roman" w:hAnsi="Times New Roman" w:cs="Times New Roman"/>
                      <w:color w:val="auto"/>
                      <w:lang w:val="en-US" w:eastAsia="zh-CN"/>
                    </w:rPr>
                    <w:t>114.3</w:t>
                  </w:r>
                </w:p>
              </w:tc>
              <w:tc>
                <w:tcPr>
                  <w:tcW w:w="536" w:type="pct"/>
                  <w:shd w:val="clear" w:color="auto" w:fill="auto"/>
                  <w:vAlign w:val="center"/>
                </w:tcPr>
                <w:p w14:paraId="0F4D7D11">
                  <w:pPr>
                    <w:pStyle w:val="75"/>
                    <w:rPr>
                      <w:rFonts w:hint="default" w:ascii="Times New Roman" w:hAnsi="Times New Roman" w:eastAsia="宋体" w:cs="Times New Roman"/>
                      <w:color w:val="auto"/>
                      <w:sz w:val="21"/>
                      <w:lang w:val="zh-CN" w:eastAsia="zh-CN" w:bidi="ar-SA"/>
                    </w:rPr>
                  </w:pPr>
                  <w:r>
                    <w:rPr>
                      <w:rFonts w:hint="default" w:ascii="Times New Roman" w:hAnsi="Times New Roman" w:cs="Times New Roman"/>
                      <w:color w:val="auto"/>
                    </w:rPr>
                    <w:t>超标</w:t>
                  </w:r>
                </w:p>
              </w:tc>
            </w:tr>
            <w:tr w14:paraId="45BCD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8" w:type="pct"/>
                  <w:vAlign w:val="center"/>
                </w:tcPr>
                <w:p w14:paraId="2EC824BD">
                  <w:pPr>
                    <w:pStyle w:val="286"/>
                    <w:framePr w:hSpace="0" w:wrap="auto" w:vAnchor="margin" w:hAnchor="text" w:xAlign="left" w:yAlign="inline"/>
                    <w:rPr>
                      <w:color w:val="auto"/>
                    </w:rPr>
                  </w:pPr>
                  <w:r>
                    <w:rPr>
                      <w:color w:val="auto"/>
                    </w:rPr>
                    <w:t>CO</w:t>
                  </w:r>
                </w:p>
              </w:tc>
              <w:tc>
                <w:tcPr>
                  <w:tcW w:w="1803" w:type="pct"/>
                  <w:vAlign w:val="center"/>
                </w:tcPr>
                <w:p w14:paraId="4F3632B6">
                  <w:pPr>
                    <w:pStyle w:val="286"/>
                    <w:framePr w:hSpace="0" w:wrap="auto" w:vAnchor="margin" w:hAnchor="text" w:xAlign="left" w:yAlign="inline"/>
                    <w:rPr>
                      <w:color w:val="auto"/>
                    </w:rPr>
                  </w:pPr>
                  <w:r>
                    <w:rPr>
                      <w:color w:val="auto"/>
                    </w:rPr>
                    <w:t>第95百分位数日平均质量浓度</w:t>
                  </w:r>
                </w:p>
              </w:tc>
              <w:tc>
                <w:tcPr>
                  <w:tcW w:w="687" w:type="pct"/>
                  <w:shd w:val="clear" w:color="auto" w:fill="auto"/>
                  <w:vAlign w:val="center"/>
                </w:tcPr>
                <w:p w14:paraId="6D4457F7">
                  <w:pPr>
                    <w:pStyle w:val="75"/>
                    <w:rPr>
                      <w:rFonts w:hint="default" w:ascii="Times New Roman" w:hAnsi="Times New Roman" w:eastAsia="宋体" w:cs="Times New Roman"/>
                      <w:color w:val="auto"/>
                      <w:sz w:val="21"/>
                      <w:lang w:val="en-US" w:eastAsia="zh-CN" w:bidi="ar-SA"/>
                    </w:rPr>
                  </w:pPr>
                  <w:r>
                    <w:rPr>
                      <w:rFonts w:hint="default" w:ascii="Times New Roman" w:hAnsi="Times New Roman" w:cs="Times New Roman"/>
                      <w:color w:val="auto"/>
                      <w:lang w:val="en-US" w:eastAsia="zh-CN"/>
                    </w:rPr>
                    <w:t>800</w:t>
                  </w:r>
                </w:p>
              </w:tc>
              <w:tc>
                <w:tcPr>
                  <w:tcW w:w="687" w:type="pct"/>
                  <w:shd w:val="clear" w:color="auto" w:fill="auto"/>
                  <w:vAlign w:val="center"/>
                </w:tcPr>
                <w:p w14:paraId="71EF957D">
                  <w:pPr>
                    <w:pStyle w:val="75"/>
                    <w:rPr>
                      <w:rFonts w:hint="default" w:ascii="Times New Roman" w:hAnsi="Times New Roman" w:eastAsia="宋体" w:cs="Times New Roman"/>
                      <w:color w:val="auto"/>
                      <w:sz w:val="21"/>
                      <w:lang w:val="zh-CN" w:eastAsia="zh-CN" w:bidi="ar-SA"/>
                    </w:rPr>
                  </w:pPr>
                  <w:r>
                    <w:rPr>
                      <w:rFonts w:hint="default" w:ascii="Times New Roman" w:hAnsi="Times New Roman" w:cs="Times New Roman"/>
                      <w:color w:val="auto"/>
                    </w:rPr>
                    <w:t>4000</w:t>
                  </w:r>
                </w:p>
              </w:tc>
              <w:tc>
                <w:tcPr>
                  <w:tcW w:w="687" w:type="pct"/>
                  <w:shd w:val="clear" w:color="auto" w:fill="auto"/>
                  <w:vAlign w:val="center"/>
                </w:tcPr>
                <w:p w14:paraId="0F46D8DF">
                  <w:pPr>
                    <w:pStyle w:val="75"/>
                    <w:rPr>
                      <w:rFonts w:hint="default" w:ascii="Times New Roman" w:hAnsi="Times New Roman" w:eastAsia="宋体" w:cs="Times New Roman"/>
                      <w:color w:val="auto"/>
                      <w:sz w:val="21"/>
                      <w:lang w:val="en-US" w:eastAsia="zh-CN" w:bidi="ar-SA"/>
                    </w:rPr>
                  </w:pPr>
                  <w:r>
                    <w:rPr>
                      <w:rFonts w:hint="default" w:ascii="Times New Roman" w:hAnsi="Times New Roman" w:cs="Times New Roman"/>
                      <w:color w:val="auto"/>
                      <w:lang w:val="en-US" w:eastAsia="zh-CN"/>
                    </w:rPr>
                    <w:t>20</w:t>
                  </w:r>
                </w:p>
              </w:tc>
              <w:tc>
                <w:tcPr>
                  <w:tcW w:w="536" w:type="pct"/>
                  <w:shd w:val="clear" w:color="auto" w:fill="auto"/>
                  <w:vAlign w:val="center"/>
                </w:tcPr>
                <w:p w14:paraId="2BFA8B40">
                  <w:pPr>
                    <w:pStyle w:val="75"/>
                    <w:rPr>
                      <w:rFonts w:hint="default" w:ascii="Times New Roman" w:hAnsi="Times New Roman" w:eastAsia="宋体" w:cs="Times New Roman"/>
                      <w:color w:val="auto"/>
                      <w:sz w:val="21"/>
                      <w:lang w:val="zh-CN" w:eastAsia="zh-CN" w:bidi="ar-SA"/>
                    </w:rPr>
                  </w:pPr>
                  <w:r>
                    <w:rPr>
                      <w:rFonts w:hint="default" w:ascii="Times New Roman" w:hAnsi="Times New Roman" w:cs="Times New Roman"/>
                      <w:color w:val="auto"/>
                    </w:rPr>
                    <w:t>达标</w:t>
                  </w:r>
                </w:p>
              </w:tc>
            </w:tr>
            <w:tr w14:paraId="44313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98" w:type="pct"/>
                  <w:vAlign w:val="center"/>
                </w:tcPr>
                <w:p w14:paraId="79AFF26A">
                  <w:pPr>
                    <w:pStyle w:val="286"/>
                    <w:framePr w:hSpace="0" w:wrap="auto" w:vAnchor="margin" w:hAnchor="text" w:xAlign="left" w:yAlign="inline"/>
                    <w:rPr>
                      <w:color w:val="auto"/>
                    </w:rPr>
                  </w:pPr>
                  <w:r>
                    <w:rPr>
                      <w:color w:val="auto"/>
                    </w:rPr>
                    <w:t>O</w:t>
                  </w:r>
                  <w:r>
                    <w:rPr>
                      <w:color w:val="auto"/>
                      <w:vertAlign w:val="subscript"/>
                    </w:rPr>
                    <w:t>3</w:t>
                  </w:r>
                </w:p>
              </w:tc>
              <w:tc>
                <w:tcPr>
                  <w:tcW w:w="1803" w:type="pct"/>
                  <w:vAlign w:val="center"/>
                </w:tcPr>
                <w:p w14:paraId="6DF3D5A0">
                  <w:pPr>
                    <w:pStyle w:val="286"/>
                    <w:framePr w:hSpace="0" w:wrap="auto" w:vAnchor="margin" w:hAnchor="text" w:xAlign="left" w:yAlign="inline"/>
                    <w:rPr>
                      <w:color w:val="auto"/>
                    </w:rPr>
                  </w:pPr>
                  <w:r>
                    <w:rPr>
                      <w:color w:val="auto"/>
                    </w:rPr>
                    <w:t>第90百分位数日平均质量浓度</w:t>
                  </w:r>
                </w:p>
              </w:tc>
              <w:tc>
                <w:tcPr>
                  <w:tcW w:w="687" w:type="pct"/>
                  <w:shd w:val="clear" w:color="auto" w:fill="auto"/>
                  <w:vAlign w:val="center"/>
                </w:tcPr>
                <w:p w14:paraId="3E57448D">
                  <w:pPr>
                    <w:pStyle w:val="75"/>
                    <w:rPr>
                      <w:rFonts w:hint="default" w:ascii="Times New Roman" w:hAnsi="Times New Roman" w:eastAsia="宋体" w:cs="Times New Roman"/>
                      <w:color w:val="auto"/>
                      <w:sz w:val="21"/>
                      <w:lang w:val="en-US" w:eastAsia="zh-CN" w:bidi="ar-SA"/>
                    </w:rPr>
                  </w:pPr>
                  <w:r>
                    <w:rPr>
                      <w:rFonts w:hint="default" w:ascii="Times New Roman" w:hAnsi="Times New Roman" w:cs="Times New Roman"/>
                      <w:color w:val="auto"/>
                      <w:lang w:val="en-US" w:eastAsia="zh-CN"/>
                    </w:rPr>
                    <w:t>160</w:t>
                  </w:r>
                </w:p>
              </w:tc>
              <w:tc>
                <w:tcPr>
                  <w:tcW w:w="687" w:type="pct"/>
                  <w:shd w:val="clear" w:color="auto" w:fill="auto"/>
                  <w:vAlign w:val="center"/>
                </w:tcPr>
                <w:p w14:paraId="34ED9E94">
                  <w:pPr>
                    <w:pStyle w:val="75"/>
                    <w:rPr>
                      <w:rFonts w:hint="default" w:ascii="Times New Roman" w:hAnsi="Times New Roman" w:eastAsia="宋体" w:cs="Times New Roman"/>
                      <w:color w:val="auto"/>
                      <w:sz w:val="21"/>
                      <w:lang w:val="zh-CN" w:eastAsia="zh-CN" w:bidi="ar-SA"/>
                    </w:rPr>
                  </w:pPr>
                  <w:r>
                    <w:rPr>
                      <w:rFonts w:hint="default" w:ascii="Times New Roman" w:hAnsi="Times New Roman" w:cs="Times New Roman"/>
                      <w:color w:val="auto"/>
                    </w:rPr>
                    <w:t>160</w:t>
                  </w:r>
                </w:p>
              </w:tc>
              <w:tc>
                <w:tcPr>
                  <w:tcW w:w="687" w:type="pct"/>
                  <w:shd w:val="clear" w:color="auto" w:fill="auto"/>
                  <w:vAlign w:val="center"/>
                </w:tcPr>
                <w:p w14:paraId="1AE966F0">
                  <w:pPr>
                    <w:pStyle w:val="75"/>
                    <w:rPr>
                      <w:rFonts w:hint="default" w:ascii="Times New Roman" w:hAnsi="Times New Roman" w:eastAsia="宋体" w:cs="Times New Roman"/>
                      <w:color w:val="auto"/>
                      <w:sz w:val="21"/>
                      <w:lang w:val="en-US" w:eastAsia="zh-CN" w:bidi="ar-SA"/>
                    </w:rPr>
                  </w:pPr>
                  <w:r>
                    <w:rPr>
                      <w:rFonts w:hint="default" w:ascii="Times New Roman" w:hAnsi="Times New Roman" w:cs="Times New Roman"/>
                      <w:color w:val="auto"/>
                      <w:lang w:val="en-US" w:eastAsia="zh-CN"/>
                    </w:rPr>
                    <w:t>100</w:t>
                  </w:r>
                </w:p>
              </w:tc>
              <w:tc>
                <w:tcPr>
                  <w:tcW w:w="536" w:type="pct"/>
                  <w:shd w:val="clear" w:color="auto" w:fill="auto"/>
                  <w:vAlign w:val="center"/>
                </w:tcPr>
                <w:p w14:paraId="071ED07F">
                  <w:pPr>
                    <w:pStyle w:val="75"/>
                    <w:rPr>
                      <w:rFonts w:hint="default" w:ascii="Times New Roman" w:hAnsi="Times New Roman" w:eastAsia="宋体" w:cs="Times New Roman"/>
                      <w:color w:val="auto"/>
                      <w:sz w:val="21"/>
                      <w:lang w:val="zh-CN" w:eastAsia="zh-CN" w:bidi="ar-SA"/>
                    </w:rPr>
                  </w:pPr>
                  <w:r>
                    <w:rPr>
                      <w:rFonts w:hint="default" w:ascii="Times New Roman" w:hAnsi="Times New Roman" w:cs="Times New Roman"/>
                      <w:color w:val="auto"/>
                    </w:rPr>
                    <w:t>达标</w:t>
                  </w:r>
                </w:p>
              </w:tc>
            </w:tr>
          </w:tbl>
          <w:p w14:paraId="376E26A8">
            <w:pPr>
              <w:keepNext w:val="0"/>
              <w:keepLines w:val="0"/>
              <w:pageBreakBefore w:val="0"/>
              <w:kinsoku/>
              <w:wordWrap/>
              <w:overflowPunct/>
              <w:topLinePunct w:val="0"/>
              <w:autoSpaceDE/>
              <w:autoSpaceDN/>
              <w:bidi w:val="0"/>
              <w:adjustRightInd/>
              <w:snapToGrid/>
              <w:spacing w:after="0" w:line="360" w:lineRule="auto"/>
              <w:ind w:firstLine="480" w:firstLineChars="200"/>
              <w:textAlignment w:val="auto"/>
            </w:pPr>
            <w:r>
              <w:rPr>
                <w:rFonts w:hint="eastAsia"/>
              </w:rPr>
              <w:t>根据质量状况公报结果，淮南市属于环境空气质量不达标区域，超标污染物为细颗粒物（PM</w:t>
            </w:r>
            <w:r>
              <w:rPr>
                <w:rFonts w:hint="eastAsia"/>
                <w:vertAlign w:val="subscript"/>
              </w:rPr>
              <w:t>2.5</w:t>
            </w:r>
            <w:r>
              <w:rPr>
                <w:rFonts w:hint="eastAsia"/>
              </w:rPr>
              <w:t>）。</w:t>
            </w:r>
          </w:p>
          <w:p w14:paraId="3EF54767">
            <w:pPr>
              <w:pStyle w:val="180"/>
              <w:keepNext w:val="0"/>
              <w:keepLines w:val="0"/>
              <w:pageBreakBefore w:val="0"/>
              <w:kinsoku/>
              <w:wordWrap/>
              <w:overflowPunct/>
              <w:topLinePunct w:val="0"/>
              <w:autoSpaceDE/>
              <w:autoSpaceDN/>
              <w:bidi w:val="0"/>
              <w:adjustRightInd/>
              <w:snapToGrid/>
              <w:spacing w:after="0" w:line="360" w:lineRule="auto"/>
              <w:ind w:firstLine="480"/>
              <w:textAlignment w:val="auto"/>
              <w:rPr>
                <w:color w:val="0000FF"/>
              </w:rPr>
            </w:pPr>
            <w:r>
              <w:rPr>
                <w:rFonts w:hint="eastAsia"/>
              </w:rPr>
              <w:t>目前，淮南市已制订《淮南市“十四五”大气污染防治规划（2021-2025）年》，围绕工业大气污染治理、扬（烟）尘污染防治等开展专项治理活动，进一步削减大气污染物排放。</w:t>
            </w:r>
          </w:p>
          <w:p w14:paraId="62C0FED3">
            <w:pPr>
              <w:pStyle w:val="179"/>
              <w:framePr w:hSpace="0" w:wrap="auto" w:vAnchor="margin" w:hAnchor="text" w:xAlign="left" w:yAlign="inline"/>
              <w:ind w:firstLine="482"/>
              <w:rPr>
                <w:color w:val="auto"/>
              </w:rPr>
            </w:pPr>
            <w:r>
              <w:rPr>
                <w:color w:val="auto"/>
              </w:rPr>
              <w:t>2</w:t>
            </w:r>
            <w:r>
              <w:rPr>
                <w:rFonts w:hint="eastAsia"/>
                <w:color w:val="auto"/>
              </w:rPr>
              <w:t>、特征污染物</w:t>
            </w:r>
          </w:p>
          <w:p w14:paraId="20FCDEA3">
            <w:pPr>
              <w:pStyle w:val="180"/>
              <w:wordWrap/>
              <w:ind w:firstLine="480"/>
              <w:outlineLvl w:val="1"/>
              <w:rPr>
                <w:rFonts w:cs="宋体"/>
                <w:color w:val="auto"/>
              </w:rPr>
            </w:pPr>
            <w:r>
              <w:rPr>
                <w:rFonts w:hint="eastAsia" w:cs="宋体"/>
                <w:color w:val="auto"/>
              </w:rPr>
              <w:t>为了解项目所在区域的特征污染物（</w:t>
            </w:r>
            <w:r>
              <w:rPr>
                <w:rFonts w:cs="宋体"/>
                <w:b/>
                <w:color w:val="auto"/>
              </w:rPr>
              <w:t>TSP</w:t>
            </w:r>
            <w:r>
              <w:rPr>
                <w:rFonts w:hint="eastAsia" w:cs="宋体"/>
                <w:color w:val="auto"/>
              </w:rPr>
              <w:t>）的环境质量现状情况，特征污染物</w:t>
            </w:r>
            <w:r>
              <w:rPr>
                <w:color w:val="auto"/>
              </w:rPr>
              <w:t>引用</w:t>
            </w:r>
            <w:r>
              <w:rPr>
                <w:rFonts w:hint="default"/>
                <w:color w:val="auto"/>
              </w:rPr>
              <w:t>引</w:t>
            </w:r>
            <w:r>
              <w:rPr>
                <w:rFonts w:hint="default"/>
                <w:color w:val="auto"/>
                <w:lang w:val="en-US" w:eastAsia="zh-CN"/>
              </w:rPr>
              <w:t>用</w:t>
            </w:r>
            <w:r>
              <w:rPr>
                <w:rFonts w:hint="eastAsia"/>
                <w:color w:val="auto"/>
                <w:lang w:val="en-US" w:eastAsia="zh-CN"/>
              </w:rPr>
              <w:t>淮南市经济技术开发区生态环境分局委托安徽澳林检测技术有限公司于2024年10月26日</w:t>
            </w:r>
            <w:r>
              <w:rPr>
                <w:color w:val="auto"/>
              </w:rPr>
              <w:t>至</w:t>
            </w:r>
            <w:r>
              <w:rPr>
                <w:rFonts w:hint="eastAsia"/>
                <w:color w:val="auto"/>
                <w:lang w:val="en-US" w:eastAsia="zh-CN"/>
              </w:rPr>
              <w:t>11月1日监测大气环境质量</w:t>
            </w:r>
            <w:r>
              <w:rPr>
                <w:rFonts w:hint="eastAsia"/>
                <w:color w:val="auto"/>
                <w:lang w:eastAsia="zh-CN"/>
              </w:rPr>
              <w:t>检测报告中</w:t>
            </w:r>
            <w:r>
              <w:rPr>
                <w:rFonts w:hint="eastAsia"/>
                <w:color w:val="auto"/>
                <w:lang w:val="en-US" w:eastAsia="zh-CN"/>
              </w:rPr>
              <w:t>淮南富力城小区监测点的</w:t>
            </w:r>
            <w:r>
              <w:rPr>
                <w:rFonts w:hint="eastAsia"/>
                <w:color w:val="auto"/>
                <w:lang w:eastAsia="zh-CN"/>
              </w:rPr>
              <w:t>部分</w:t>
            </w:r>
            <w:r>
              <w:rPr>
                <w:rFonts w:hint="default"/>
                <w:color w:val="auto"/>
              </w:rPr>
              <w:t>数据，引用监测点位</w:t>
            </w:r>
            <w:r>
              <w:rPr>
                <w:rFonts w:hint="eastAsia"/>
                <w:color w:val="auto"/>
                <w:lang w:val="en-US" w:eastAsia="zh-CN"/>
              </w:rPr>
              <w:t>距离</w:t>
            </w:r>
            <w:r>
              <w:rPr>
                <w:rFonts w:hint="default"/>
                <w:color w:val="auto"/>
              </w:rPr>
              <w:t>项目所在地</w:t>
            </w:r>
            <w:r>
              <w:rPr>
                <w:rFonts w:hint="eastAsia"/>
                <w:color w:val="auto"/>
                <w:lang w:val="en-US" w:eastAsia="zh-CN"/>
              </w:rPr>
              <w:t>西北侧</w:t>
            </w:r>
            <w:r>
              <w:rPr>
                <w:rFonts w:hint="default"/>
                <w:color w:val="auto"/>
              </w:rPr>
              <w:t>约</w:t>
            </w:r>
            <w:r>
              <w:rPr>
                <w:rFonts w:hint="eastAsia"/>
                <w:color w:val="auto"/>
                <w:lang w:val="en-US" w:eastAsia="zh-CN"/>
              </w:rPr>
              <w:t>1754</w:t>
            </w:r>
            <w:r>
              <w:rPr>
                <w:rFonts w:hint="default"/>
                <w:color w:val="auto"/>
              </w:rPr>
              <w:t>m</w:t>
            </w:r>
            <w:r>
              <w:rPr>
                <w:rFonts w:hint="eastAsia"/>
                <w:color w:val="auto"/>
                <w:lang w:eastAsia="zh-CN"/>
              </w:rPr>
              <w:t>；</w:t>
            </w:r>
            <w:r>
              <w:rPr>
                <w:rFonts w:hint="eastAsia"/>
                <w:color w:val="auto"/>
              </w:rPr>
              <w:t>引用监测数据满足《建设项目环境影响报告表编制技术指南（污染影响类）（试行）》中大气环境质量现状可引用建设项目周边5千米范围内近3年的现有监测数据要求。</w:t>
            </w:r>
          </w:p>
          <w:p w14:paraId="1FF5E1F7">
            <w:pPr>
              <w:pStyle w:val="179"/>
              <w:framePr w:hSpace="0" w:wrap="auto" w:vAnchor="margin" w:hAnchor="text" w:xAlign="left" w:yAlign="inline"/>
              <w:ind w:firstLine="482"/>
              <w:rPr>
                <w:color w:val="auto"/>
              </w:rPr>
            </w:pPr>
            <w:bookmarkStart w:id="23" w:name="_Hlk172985570"/>
            <w:r>
              <w:rPr>
                <w:rFonts w:hint="eastAsia"/>
                <w:color w:val="auto"/>
              </w:rPr>
              <w:t>（1）监测布点及监测因子</w:t>
            </w:r>
          </w:p>
          <w:p w14:paraId="52302411">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表 </w:t>
            </w:r>
            <w:r>
              <w:rPr>
                <w:rFonts w:hint="eastAsia"/>
                <w:lang w:val="en-US" w:eastAsia="zh-CN"/>
              </w:rPr>
              <w:t>3</w:t>
            </w:r>
            <w:r>
              <w:rPr>
                <w:rFonts w:hint="eastAsia"/>
                <w:lang w:eastAsia="zh-CN"/>
              </w:rPr>
              <w:t>-</w:t>
            </w:r>
            <w:r>
              <w:fldChar w:fldCharType="begin"/>
            </w:r>
            <w:r>
              <w:instrText xml:space="preserve"> SEQ 表 \* ARABIC \s 1 </w:instrText>
            </w:r>
            <w:r>
              <w:fldChar w:fldCharType="separate"/>
            </w:r>
            <w:r>
              <w:t>2</w:t>
            </w:r>
            <w:r>
              <w:fldChar w:fldCharType="end"/>
            </w:r>
            <w:r>
              <w:rPr>
                <w:rFonts w:hint="eastAsia"/>
                <w:lang w:val="en-US" w:eastAsia="zh-CN"/>
              </w:rPr>
              <w:t xml:space="preserve"> </w:t>
            </w:r>
            <w:r>
              <w:rPr>
                <w:color w:val="auto"/>
              </w:rPr>
              <w:t>大气环境质量监测布点与监测因子</w:t>
            </w:r>
          </w:p>
          <w:tbl>
            <w:tblPr>
              <w:tblStyle w:val="57"/>
              <w:tblpPr w:leftFromText="180" w:rightFromText="180" w:vertAnchor="text" w:tblpXSpec="center" w:tblpY="1"/>
              <w:tblOverlap w:val="never"/>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34" w:type="dxa"/>
                <w:bottom w:w="0" w:type="dxa"/>
                <w:right w:w="34" w:type="dxa"/>
              </w:tblCellMar>
            </w:tblPr>
            <w:tblGrid>
              <w:gridCol w:w="1001"/>
              <w:gridCol w:w="827"/>
              <w:gridCol w:w="833"/>
              <w:gridCol w:w="879"/>
              <w:gridCol w:w="1032"/>
              <w:gridCol w:w="571"/>
              <w:gridCol w:w="727"/>
              <w:gridCol w:w="2694"/>
            </w:tblGrid>
            <w:tr w14:paraId="2AFB2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293" w:hRule="atLeast"/>
                <w:jc w:val="center"/>
              </w:trPr>
              <w:tc>
                <w:tcPr>
                  <w:tcW w:w="609" w:type="pct"/>
                  <w:vMerge w:val="restart"/>
                  <w:vAlign w:val="center"/>
                </w:tcPr>
                <w:p w14:paraId="60ABCB0C">
                  <w:pPr>
                    <w:pStyle w:val="286"/>
                    <w:framePr w:hSpace="0" w:wrap="auto" w:vAnchor="margin" w:hAnchor="text" w:xAlign="left" w:yAlign="inline"/>
                    <w:rPr>
                      <w:color w:val="auto"/>
                    </w:rPr>
                  </w:pPr>
                  <w:r>
                    <w:rPr>
                      <w:color w:val="auto"/>
                    </w:rPr>
                    <w:t>监测点名称</w:t>
                  </w:r>
                </w:p>
              </w:tc>
              <w:tc>
                <w:tcPr>
                  <w:tcW w:w="822" w:type="pct"/>
                  <w:gridSpan w:val="2"/>
                  <w:vAlign w:val="center"/>
                </w:tcPr>
                <w:p w14:paraId="39996EDD">
                  <w:pPr>
                    <w:pStyle w:val="286"/>
                    <w:framePr w:hSpace="0" w:wrap="auto" w:vAnchor="margin" w:hAnchor="text" w:xAlign="left" w:yAlign="inline"/>
                    <w:rPr>
                      <w:color w:val="auto"/>
                    </w:rPr>
                  </w:pPr>
                  <w:r>
                    <w:rPr>
                      <w:color w:val="auto"/>
                    </w:rPr>
                    <w:t>监测点坐标</w:t>
                  </w:r>
                </w:p>
              </w:tc>
              <w:tc>
                <w:tcPr>
                  <w:tcW w:w="538" w:type="pct"/>
                  <w:vMerge w:val="restart"/>
                  <w:vAlign w:val="center"/>
                </w:tcPr>
                <w:p w14:paraId="4E3EF684">
                  <w:pPr>
                    <w:pStyle w:val="286"/>
                    <w:framePr w:hSpace="0" w:wrap="auto" w:vAnchor="margin" w:hAnchor="text" w:xAlign="left" w:yAlign="inline"/>
                    <w:rPr>
                      <w:color w:val="auto"/>
                    </w:rPr>
                  </w:pPr>
                  <w:r>
                    <w:rPr>
                      <w:color w:val="auto"/>
                    </w:rPr>
                    <w:t>监测因子</w:t>
                  </w:r>
                </w:p>
              </w:tc>
              <w:tc>
                <w:tcPr>
                  <w:tcW w:w="627" w:type="pct"/>
                  <w:vMerge w:val="restart"/>
                  <w:vAlign w:val="center"/>
                </w:tcPr>
                <w:p w14:paraId="608404D0">
                  <w:pPr>
                    <w:pStyle w:val="286"/>
                    <w:framePr w:hSpace="0" w:wrap="auto" w:vAnchor="margin" w:hAnchor="text" w:xAlign="left" w:yAlign="inline"/>
                    <w:rPr>
                      <w:color w:val="auto"/>
                    </w:rPr>
                  </w:pPr>
                  <w:r>
                    <w:rPr>
                      <w:color w:val="auto"/>
                    </w:rPr>
                    <w:t>监测时段</w:t>
                  </w:r>
                </w:p>
              </w:tc>
              <w:tc>
                <w:tcPr>
                  <w:tcW w:w="358" w:type="pct"/>
                  <w:vMerge w:val="restart"/>
                  <w:vAlign w:val="center"/>
                </w:tcPr>
                <w:p w14:paraId="43B977C1">
                  <w:pPr>
                    <w:pStyle w:val="286"/>
                    <w:framePr w:hSpace="0" w:wrap="auto" w:vAnchor="margin" w:hAnchor="text" w:xAlign="left" w:yAlign="inline"/>
                    <w:rPr>
                      <w:color w:val="auto"/>
                    </w:rPr>
                  </w:pPr>
                  <w:r>
                    <w:rPr>
                      <w:color w:val="auto"/>
                    </w:rPr>
                    <w:t>相对厂址方位</w:t>
                  </w:r>
                </w:p>
              </w:tc>
              <w:tc>
                <w:tcPr>
                  <w:tcW w:w="449" w:type="pct"/>
                  <w:vMerge w:val="restart"/>
                  <w:vAlign w:val="center"/>
                </w:tcPr>
                <w:p w14:paraId="3D33F8EF">
                  <w:pPr>
                    <w:pStyle w:val="286"/>
                    <w:framePr w:hSpace="0" w:wrap="auto" w:vAnchor="margin" w:hAnchor="text" w:xAlign="left" w:yAlign="inline"/>
                    <w:rPr>
                      <w:color w:val="auto"/>
                    </w:rPr>
                  </w:pPr>
                  <w:r>
                    <w:rPr>
                      <w:color w:val="auto"/>
                    </w:rPr>
                    <w:t>相对厂界距离</w:t>
                  </w:r>
                </w:p>
              </w:tc>
              <w:tc>
                <w:tcPr>
                  <w:tcW w:w="1597" w:type="pct"/>
                  <w:vMerge w:val="restart"/>
                  <w:vAlign w:val="center"/>
                </w:tcPr>
                <w:p w14:paraId="0DE1D027">
                  <w:pPr>
                    <w:pStyle w:val="286"/>
                    <w:framePr w:hSpace="0" w:wrap="auto" w:vAnchor="margin" w:hAnchor="text" w:xAlign="left" w:yAlign="inline"/>
                    <w:rPr>
                      <w:color w:val="auto"/>
                    </w:rPr>
                  </w:pPr>
                  <w:r>
                    <w:rPr>
                      <w:rFonts w:hint="eastAsia"/>
                      <w:color w:val="auto"/>
                    </w:rPr>
                    <w:t>评价</w:t>
                  </w:r>
                  <w:r>
                    <w:rPr>
                      <w:color w:val="auto"/>
                    </w:rPr>
                    <w:t>标准</w:t>
                  </w:r>
                </w:p>
              </w:tc>
            </w:tr>
            <w:tr w14:paraId="4A2C12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293" w:hRule="atLeast"/>
                <w:jc w:val="center"/>
              </w:trPr>
              <w:tc>
                <w:tcPr>
                  <w:tcW w:w="609" w:type="pct"/>
                  <w:vMerge w:val="continue"/>
                  <w:vAlign w:val="center"/>
                </w:tcPr>
                <w:p w14:paraId="01265AAD">
                  <w:pPr>
                    <w:pStyle w:val="286"/>
                    <w:framePr w:hSpace="0" w:wrap="auto" w:vAnchor="margin" w:hAnchor="text" w:xAlign="left" w:yAlign="inline"/>
                    <w:rPr>
                      <w:color w:val="auto"/>
                    </w:rPr>
                  </w:pPr>
                </w:p>
              </w:tc>
              <w:tc>
                <w:tcPr>
                  <w:tcW w:w="413" w:type="pct"/>
                  <w:vAlign w:val="center"/>
                </w:tcPr>
                <w:p w14:paraId="37713D6B">
                  <w:pPr>
                    <w:pStyle w:val="286"/>
                    <w:framePr w:hSpace="0" w:wrap="auto" w:vAnchor="margin" w:hAnchor="text" w:xAlign="left" w:yAlign="inline"/>
                    <w:rPr>
                      <w:color w:val="auto"/>
                    </w:rPr>
                  </w:pPr>
                  <w:r>
                    <w:rPr>
                      <w:color w:val="auto"/>
                    </w:rPr>
                    <w:t>X</w:t>
                  </w:r>
                </w:p>
              </w:tc>
              <w:tc>
                <w:tcPr>
                  <w:tcW w:w="409" w:type="pct"/>
                  <w:vAlign w:val="center"/>
                </w:tcPr>
                <w:p w14:paraId="0E4E0FE9">
                  <w:pPr>
                    <w:pStyle w:val="286"/>
                    <w:framePr w:hSpace="0" w:wrap="auto" w:vAnchor="margin" w:hAnchor="text" w:xAlign="left" w:yAlign="inline"/>
                    <w:rPr>
                      <w:color w:val="auto"/>
                    </w:rPr>
                  </w:pPr>
                  <w:r>
                    <w:rPr>
                      <w:color w:val="auto"/>
                    </w:rPr>
                    <w:t>Y</w:t>
                  </w:r>
                </w:p>
              </w:tc>
              <w:tc>
                <w:tcPr>
                  <w:tcW w:w="538" w:type="pct"/>
                  <w:vMerge w:val="continue"/>
                  <w:vAlign w:val="center"/>
                </w:tcPr>
                <w:p w14:paraId="63C51B02">
                  <w:pPr>
                    <w:pStyle w:val="286"/>
                    <w:framePr w:hSpace="0" w:wrap="auto" w:vAnchor="margin" w:hAnchor="text" w:xAlign="left" w:yAlign="inline"/>
                    <w:rPr>
                      <w:color w:val="auto"/>
                    </w:rPr>
                  </w:pPr>
                </w:p>
              </w:tc>
              <w:tc>
                <w:tcPr>
                  <w:tcW w:w="627" w:type="pct"/>
                  <w:vMerge w:val="continue"/>
                  <w:vAlign w:val="center"/>
                </w:tcPr>
                <w:p w14:paraId="1BAA12DD">
                  <w:pPr>
                    <w:pStyle w:val="286"/>
                    <w:framePr w:hSpace="0" w:wrap="auto" w:vAnchor="margin" w:hAnchor="text" w:xAlign="left" w:yAlign="inline"/>
                    <w:rPr>
                      <w:color w:val="auto"/>
                    </w:rPr>
                  </w:pPr>
                </w:p>
              </w:tc>
              <w:tc>
                <w:tcPr>
                  <w:tcW w:w="358" w:type="pct"/>
                  <w:vMerge w:val="continue"/>
                  <w:vAlign w:val="center"/>
                </w:tcPr>
                <w:p w14:paraId="66A27AC7">
                  <w:pPr>
                    <w:pStyle w:val="286"/>
                    <w:framePr w:hSpace="0" w:wrap="auto" w:vAnchor="margin" w:hAnchor="text" w:xAlign="left" w:yAlign="inline"/>
                    <w:rPr>
                      <w:color w:val="auto"/>
                    </w:rPr>
                  </w:pPr>
                </w:p>
              </w:tc>
              <w:tc>
                <w:tcPr>
                  <w:tcW w:w="449" w:type="pct"/>
                  <w:vMerge w:val="continue"/>
                  <w:vAlign w:val="center"/>
                </w:tcPr>
                <w:p w14:paraId="024D23FA">
                  <w:pPr>
                    <w:pStyle w:val="286"/>
                    <w:framePr w:hSpace="0" w:wrap="auto" w:vAnchor="margin" w:hAnchor="text" w:xAlign="left" w:yAlign="inline"/>
                    <w:rPr>
                      <w:color w:val="auto"/>
                    </w:rPr>
                  </w:pPr>
                </w:p>
              </w:tc>
              <w:tc>
                <w:tcPr>
                  <w:tcW w:w="1597" w:type="pct"/>
                  <w:vMerge w:val="continue"/>
                  <w:vAlign w:val="center"/>
                </w:tcPr>
                <w:p w14:paraId="6469CEB6">
                  <w:pPr>
                    <w:pStyle w:val="286"/>
                    <w:framePr w:hSpace="0" w:wrap="auto" w:vAnchor="margin" w:hAnchor="text" w:xAlign="left" w:yAlign="inline"/>
                    <w:rPr>
                      <w:color w:val="auto"/>
                    </w:rPr>
                  </w:pPr>
                </w:p>
              </w:tc>
            </w:tr>
            <w:tr w14:paraId="6A560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4" w:type="dxa"/>
                  <w:bottom w:w="0" w:type="dxa"/>
                  <w:right w:w="34" w:type="dxa"/>
                </w:tblCellMar>
              </w:tblPrEx>
              <w:trPr>
                <w:trHeight w:val="416" w:hRule="atLeast"/>
                <w:jc w:val="center"/>
              </w:trPr>
              <w:tc>
                <w:tcPr>
                  <w:tcW w:w="609" w:type="pct"/>
                  <w:vAlign w:val="center"/>
                </w:tcPr>
                <w:p w14:paraId="17C90FAB">
                  <w:pPr>
                    <w:pStyle w:val="286"/>
                    <w:framePr w:hSpace="0" w:wrap="auto" w:vAnchor="margin" w:hAnchor="text" w:xAlign="left" w:yAlign="inline"/>
                    <w:rPr>
                      <w:rFonts w:hint="eastAsia" w:eastAsia="宋体"/>
                      <w:color w:val="auto"/>
                      <w:lang w:eastAsia="zh-CN"/>
                    </w:rPr>
                  </w:pPr>
                  <w:r>
                    <w:rPr>
                      <w:rFonts w:hint="eastAsia"/>
                      <w:color w:val="auto"/>
                      <w:lang w:eastAsia="zh-CN"/>
                    </w:rPr>
                    <w:t>淮南富力城小区内</w:t>
                  </w:r>
                </w:p>
              </w:tc>
              <w:tc>
                <w:tcPr>
                  <w:tcW w:w="413" w:type="pct"/>
                  <w:vAlign w:val="center"/>
                </w:tcPr>
                <w:p w14:paraId="176AC819">
                  <w:pPr>
                    <w:pStyle w:val="286"/>
                    <w:framePr w:hSpace="0" w:wrap="auto" w:vAnchor="margin" w:hAnchor="text" w:xAlign="left" w:yAlign="inline"/>
                    <w:rPr>
                      <w:color w:val="auto"/>
                    </w:rPr>
                  </w:pPr>
                  <w:r>
                    <w:rPr>
                      <w:rFonts w:hint="eastAsia"/>
                      <w:color w:val="auto"/>
                    </w:rPr>
                    <w:t>117.06895</w:t>
                  </w:r>
                </w:p>
              </w:tc>
              <w:tc>
                <w:tcPr>
                  <w:tcW w:w="409" w:type="pct"/>
                  <w:vAlign w:val="center"/>
                </w:tcPr>
                <w:p w14:paraId="768B2AAA">
                  <w:pPr>
                    <w:pStyle w:val="286"/>
                    <w:framePr w:hSpace="0" w:wrap="auto" w:vAnchor="margin" w:hAnchor="text" w:xAlign="left" w:yAlign="inline"/>
                    <w:rPr>
                      <w:color w:val="auto"/>
                    </w:rPr>
                  </w:pPr>
                  <w:r>
                    <w:rPr>
                      <w:rFonts w:hint="eastAsia"/>
                      <w:color w:val="auto"/>
                    </w:rPr>
                    <w:t>32.652845</w:t>
                  </w:r>
                </w:p>
              </w:tc>
              <w:tc>
                <w:tcPr>
                  <w:tcW w:w="538" w:type="pct"/>
                  <w:vAlign w:val="center"/>
                </w:tcPr>
                <w:p w14:paraId="53F0B5D1">
                  <w:pPr>
                    <w:pStyle w:val="286"/>
                    <w:framePr w:hSpace="0" w:wrap="auto" w:vAnchor="margin" w:hAnchor="text" w:xAlign="left" w:yAlign="inline"/>
                    <w:rPr>
                      <w:color w:val="auto"/>
                    </w:rPr>
                  </w:pPr>
                  <w:r>
                    <w:rPr>
                      <w:color w:val="auto"/>
                    </w:rPr>
                    <w:t>TSP</w:t>
                  </w:r>
                </w:p>
              </w:tc>
              <w:tc>
                <w:tcPr>
                  <w:tcW w:w="627" w:type="pct"/>
                  <w:vAlign w:val="center"/>
                </w:tcPr>
                <w:p w14:paraId="547BE8B8">
                  <w:pPr>
                    <w:pStyle w:val="286"/>
                    <w:framePr w:hSpace="0" w:wrap="auto" w:vAnchor="margin" w:hAnchor="text" w:xAlign="left" w:yAlign="inline"/>
                    <w:rPr>
                      <w:color w:val="auto"/>
                    </w:rPr>
                  </w:pPr>
                  <w:r>
                    <w:rPr>
                      <w:color w:val="auto"/>
                    </w:rPr>
                    <w:t>20</w:t>
                  </w:r>
                  <w:r>
                    <w:rPr>
                      <w:rFonts w:hint="eastAsia"/>
                      <w:color w:val="auto"/>
                      <w:lang w:val="en-US" w:eastAsia="zh-CN"/>
                    </w:rPr>
                    <w:t>24</w:t>
                  </w:r>
                  <w:r>
                    <w:rPr>
                      <w:color w:val="auto"/>
                    </w:rPr>
                    <w:t>年1</w:t>
                  </w:r>
                  <w:r>
                    <w:rPr>
                      <w:rFonts w:hint="eastAsia"/>
                      <w:color w:val="auto"/>
                      <w:lang w:val="en-US" w:eastAsia="zh-CN"/>
                    </w:rPr>
                    <w:t>0</w:t>
                  </w:r>
                  <w:r>
                    <w:rPr>
                      <w:color w:val="auto"/>
                    </w:rPr>
                    <w:t>月</w:t>
                  </w:r>
                  <w:r>
                    <w:rPr>
                      <w:rFonts w:hint="eastAsia"/>
                      <w:color w:val="auto"/>
                      <w:lang w:val="en-US" w:eastAsia="zh-CN"/>
                    </w:rPr>
                    <w:t>26</w:t>
                  </w:r>
                  <w:r>
                    <w:rPr>
                      <w:color w:val="auto"/>
                    </w:rPr>
                    <w:t>日~</w:t>
                  </w:r>
                  <w:r>
                    <w:rPr>
                      <w:rFonts w:hint="eastAsia"/>
                      <w:color w:val="auto"/>
                      <w:lang w:val="en-US" w:eastAsia="zh-CN"/>
                    </w:rPr>
                    <w:t>11月1</w:t>
                  </w:r>
                  <w:r>
                    <w:rPr>
                      <w:color w:val="auto"/>
                    </w:rPr>
                    <w:t>日</w:t>
                  </w:r>
                </w:p>
              </w:tc>
              <w:tc>
                <w:tcPr>
                  <w:tcW w:w="358" w:type="pct"/>
                  <w:vAlign w:val="center"/>
                </w:tcPr>
                <w:p w14:paraId="309BB3DC">
                  <w:pPr>
                    <w:pStyle w:val="286"/>
                    <w:framePr w:hSpace="0" w:wrap="auto" w:vAnchor="margin" w:hAnchor="text" w:xAlign="left" w:yAlign="inline"/>
                    <w:rPr>
                      <w:color w:val="auto"/>
                    </w:rPr>
                  </w:pPr>
                  <w:r>
                    <w:rPr>
                      <w:rFonts w:hint="eastAsia"/>
                      <w:color w:val="auto"/>
                      <w:lang w:eastAsia="zh-CN"/>
                    </w:rPr>
                    <w:t>西</w:t>
                  </w:r>
                  <w:r>
                    <w:rPr>
                      <w:rFonts w:hint="eastAsia"/>
                      <w:color w:val="auto"/>
                    </w:rPr>
                    <w:t>北</w:t>
                  </w:r>
                </w:p>
              </w:tc>
              <w:tc>
                <w:tcPr>
                  <w:tcW w:w="449" w:type="pct"/>
                  <w:vAlign w:val="center"/>
                </w:tcPr>
                <w:p w14:paraId="604FD0AB">
                  <w:pPr>
                    <w:pStyle w:val="286"/>
                    <w:framePr w:hSpace="0" w:wrap="auto" w:vAnchor="margin" w:hAnchor="text" w:xAlign="left" w:yAlign="inline"/>
                    <w:rPr>
                      <w:color w:val="auto"/>
                    </w:rPr>
                  </w:pPr>
                  <w:r>
                    <w:rPr>
                      <w:rFonts w:hint="eastAsia"/>
                      <w:color w:val="auto"/>
                      <w:lang w:val="en-US" w:eastAsia="zh-CN"/>
                    </w:rPr>
                    <w:t>1.754</w:t>
                  </w:r>
                  <w:r>
                    <w:rPr>
                      <w:rFonts w:hint="eastAsia"/>
                      <w:color w:val="auto"/>
                    </w:rPr>
                    <w:t>km</w:t>
                  </w:r>
                </w:p>
              </w:tc>
              <w:tc>
                <w:tcPr>
                  <w:tcW w:w="1597" w:type="pct"/>
                  <w:vAlign w:val="center"/>
                </w:tcPr>
                <w:p w14:paraId="7105107A">
                  <w:pPr>
                    <w:pStyle w:val="286"/>
                    <w:framePr w:hSpace="0" w:wrap="auto" w:vAnchor="margin" w:hAnchor="text" w:xAlign="left" w:yAlign="inline"/>
                    <w:rPr>
                      <w:color w:val="auto"/>
                    </w:rPr>
                  </w:pPr>
                  <w:r>
                    <w:rPr>
                      <w:rFonts w:hint="eastAsia"/>
                      <w:color w:val="auto"/>
                    </w:rPr>
                    <w:t>《环境空气质量标准》（GB3095-2012）及2</w:t>
                  </w:r>
                  <w:r>
                    <w:rPr>
                      <w:color w:val="auto"/>
                    </w:rPr>
                    <w:t>018修改单中</w:t>
                  </w:r>
                  <w:r>
                    <w:rPr>
                      <w:rFonts w:hint="eastAsia"/>
                      <w:color w:val="auto"/>
                    </w:rPr>
                    <w:t>表2；</w:t>
                  </w:r>
                  <w:r>
                    <w:rPr>
                      <w:color w:val="auto"/>
                    </w:rPr>
                    <w:t>《环境影响评价技术导则 大气环境》（HJ2.2-2018）附录D</w:t>
                  </w:r>
                </w:p>
              </w:tc>
            </w:tr>
          </w:tbl>
          <w:p w14:paraId="019BF997">
            <w:pPr>
              <w:spacing w:after="0" w:line="240" w:lineRule="auto"/>
              <w:outlineLvl w:val="1"/>
            </w:pPr>
            <w:r>
              <w:drawing>
                <wp:anchor distT="0" distB="0" distL="114300" distR="114300" simplePos="0" relativeHeight="251685888" behindDoc="0" locked="0" layoutInCell="1" allowOverlap="1">
                  <wp:simplePos x="0" y="0"/>
                  <wp:positionH relativeFrom="column">
                    <wp:posOffset>4633595</wp:posOffset>
                  </wp:positionH>
                  <wp:positionV relativeFrom="page">
                    <wp:posOffset>4086225</wp:posOffset>
                  </wp:positionV>
                  <wp:extent cx="796290" cy="510540"/>
                  <wp:effectExtent l="9525" t="9525" r="13335" b="13335"/>
                  <wp:wrapNone/>
                  <wp:docPr id="205616999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169994" name="图片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796290" cy="510540"/>
                          </a:xfrm>
                          <a:prstGeom prst="rect">
                            <a:avLst/>
                          </a:prstGeom>
                          <a:noFill/>
                          <a:ln w="9525" cmpd="sng">
                            <a:solidFill>
                              <a:srgbClr val="000000"/>
                            </a:solidFill>
                            <a:miter lim="800000"/>
                            <a:headEnd/>
                            <a:tailEnd/>
                          </a:ln>
                        </pic:spPr>
                      </pic:pic>
                    </a:graphicData>
                  </a:graphic>
                </wp:anchor>
              </w:drawing>
            </w:r>
            <w:r>
              <w:rPr>
                <w:color w:val="0000FF"/>
              </w:rPr>
              <w:drawing>
                <wp:anchor distT="0" distB="0" distL="114300" distR="114300" simplePos="0" relativeHeight="251672576" behindDoc="0" locked="0" layoutInCell="1" allowOverlap="1">
                  <wp:simplePos x="0" y="0"/>
                  <wp:positionH relativeFrom="column">
                    <wp:posOffset>4951095</wp:posOffset>
                  </wp:positionH>
                  <wp:positionV relativeFrom="paragraph">
                    <wp:posOffset>53975</wp:posOffset>
                  </wp:positionV>
                  <wp:extent cx="466725" cy="475615"/>
                  <wp:effectExtent l="0" t="0" r="9525" b="635"/>
                  <wp:wrapNone/>
                  <wp:docPr id="8" name="图片 5" descr="C:\Users\李青青\AppData\Roaming\Tencent\Users\403002229\QQ\WinTemp\RichOle\030%UR9BYU3GM772(UBEC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descr="C:\Users\李青青\AppData\Roaming\Tencent\Users\403002229\QQ\WinTemp\RichOle\030%UR9BYU3GM772(UBEC80.png"/>
                          <pic:cNvPicPr>
                            <a:picLocks noChangeAspect="1" noChangeArrowheads="1"/>
                          </pic:cNvPicPr>
                        </pic:nvPicPr>
                        <pic:blipFill>
                          <a:blip r:embed="rId37" r:link="rId38" cstate="print"/>
                          <a:srcRect/>
                          <a:stretch>
                            <a:fillRect/>
                          </a:stretch>
                        </pic:blipFill>
                        <pic:spPr>
                          <a:xfrm>
                            <a:off x="0" y="0"/>
                            <a:ext cx="466725" cy="475615"/>
                          </a:xfrm>
                          <a:prstGeom prst="rect">
                            <a:avLst/>
                          </a:prstGeom>
                          <a:noFill/>
                          <a:ln w="19050">
                            <a:noFill/>
                          </a:ln>
                        </pic:spPr>
                      </pic:pic>
                    </a:graphicData>
                  </a:graphic>
                </wp:anchor>
              </w:drawing>
            </w:r>
            <w:r>
              <w:drawing>
                <wp:inline distT="0" distB="0" distL="114300" distR="114300">
                  <wp:extent cx="5476240" cy="5022215"/>
                  <wp:effectExtent l="9525" t="9525" r="19685" b="1651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39"/>
                          <a:stretch>
                            <a:fillRect/>
                          </a:stretch>
                        </pic:blipFill>
                        <pic:spPr>
                          <a:xfrm>
                            <a:off x="0" y="0"/>
                            <a:ext cx="5476240" cy="5022215"/>
                          </a:xfrm>
                          <a:prstGeom prst="rect">
                            <a:avLst/>
                          </a:prstGeom>
                          <a:noFill/>
                          <a:ln>
                            <a:solidFill>
                              <a:schemeClr val="tx1"/>
                            </a:solidFill>
                          </a:ln>
                        </pic:spPr>
                      </pic:pic>
                    </a:graphicData>
                  </a:graphic>
                </wp:inline>
              </w:drawing>
            </w:r>
          </w:p>
          <w:p w14:paraId="4D57902D">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图 </w:t>
            </w:r>
            <w:r>
              <w:rPr>
                <w:rFonts w:hint="eastAsia"/>
                <w:lang w:val="en-US" w:eastAsia="zh-CN"/>
              </w:rPr>
              <w:t>3</w:t>
            </w:r>
            <w:r>
              <w:rPr>
                <w:rFonts w:hint="eastAsia"/>
                <w:lang w:eastAsia="zh-CN"/>
              </w:rPr>
              <w:t>-</w:t>
            </w:r>
            <w:r>
              <w:fldChar w:fldCharType="begin"/>
            </w:r>
            <w:r>
              <w:instrText xml:space="preserve"> SEQ 图 \* ARABIC \s 1 </w:instrText>
            </w:r>
            <w:r>
              <w:fldChar w:fldCharType="separate"/>
            </w:r>
            <w:r>
              <w:t>1</w:t>
            </w:r>
            <w:r>
              <w:fldChar w:fldCharType="end"/>
            </w:r>
            <w:r>
              <w:rPr>
                <w:rFonts w:hint="eastAsia"/>
                <w:lang w:val="en-US" w:eastAsia="zh-CN"/>
              </w:rPr>
              <w:t xml:space="preserve"> </w:t>
            </w:r>
            <w:r>
              <w:rPr>
                <w:rFonts w:hint="eastAsia"/>
                <w:color w:val="auto"/>
              </w:rPr>
              <w:t>特征污染物监测点位与本项目位置关系图</w:t>
            </w:r>
          </w:p>
          <w:bookmarkEnd w:id="23"/>
          <w:p w14:paraId="65230587">
            <w:pPr>
              <w:pStyle w:val="179"/>
              <w:framePr w:hSpace="0" w:wrap="auto" w:vAnchor="margin" w:hAnchor="text" w:xAlign="left" w:yAlign="inline"/>
              <w:ind w:firstLine="482"/>
              <w:rPr>
                <w:color w:val="auto"/>
              </w:rPr>
            </w:pPr>
            <w:r>
              <w:rPr>
                <w:rFonts w:hint="eastAsia"/>
                <w:color w:val="auto"/>
              </w:rPr>
              <w:t>（</w:t>
            </w:r>
            <w:r>
              <w:rPr>
                <w:color w:val="auto"/>
              </w:rPr>
              <w:t>2</w:t>
            </w:r>
            <w:r>
              <w:rPr>
                <w:rFonts w:hint="eastAsia"/>
                <w:color w:val="auto"/>
              </w:rPr>
              <w:t>）监测时间、频次和分析方法</w:t>
            </w:r>
          </w:p>
          <w:p w14:paraId="0B97EE47">
            <w:pPr>
              <w:spacing w:after="0" w:line="460" w:lineRule="exact"/>
              <w:ind w:firstLine="480"/>
              <w:outlineLvl w:val="1"/>
              <w:rPr>
                <w:color w:val="auto"/>
                <w:vertAlign w:val="subscript"/>
              </w:rPr>
            </w:pPr>
            <w:r>
              <w:rPr>
                <w:color w:val="auto"/>
              </w:rPr>
              <w:t>监测频率：连续监测7天</w:t>
            </w:r>
            <w:r>
              <w:rPr>
                <w:rFonts w:hint="eastAsia"/>
                <w:color w:val="auto"/>
              </w:rPr>
              <w:t>日均值。</w:t>
            </w:r>
            <w:r>
              <w:rPr>
                <w:color w:val="auto"/>
              </w:rPr>
              <w:t>监测时间及技术方法满足《环境监测技术规范》（大气部分）与《环境影响评价技术导则大气环境》（HJ2.2-2008）的要求。</w:t>
            </w:r>
          </w:p>
          <w:p w14:paraId="5E9CD24A">
            <w:pPr>
              <w:pStyle w:val="179"/>
              <w:framePr w:hSpace="0" w:wrap="auto" w:vAnchor="margin" w:hAnchor="text" w:xAlign="left" w:yAlign="inline"/>
              <w:ind w:firstLine="482"/>
              <w:rPr>
                <w:color w:val="auto"/>
              </w:rPr>
            </w:pPr>
            <w:r>
              <w:rPr>
                <w:rFonts w:hint="eastAsia" w:ascii="Times New Roman" w:hAnsi="Times New Roman" w:eastAsia="宋体" w:cs="Times New Roman"/>
                <w:b/>
                <w:sz w:val="24"/>
                <w:lang w:val="en-US" w:eastAsia="zh-CN" w:bidi="en-US"/>
              </w:rPr>
              <w:t>（3）监测结果</w:t>
            </w:r>
          </w:p>
          <w:p w14:paraId="413C3913">
            <w:pPr>
              <w:pStyle w:val="180"/>
              <w:wordWrap/>
              <w:ind w:firstLine="480"/>
              <w:rPr>
                <w:b/>
                <w:bCs/>
                <w:color w:val="auto"/>
                <w:sz w:val="21"/>
                <w:lang w:bidi="ar"/>
              </w:rPr>
            </w:pPr>
            <w:r>
              <w:rPr>
                <w:color w:val="auto"/>
              </w:rPr>
              <w:t>根据</w:t>
            </w:r>
            <w:r>
              <w:rPr>
                <w:rFonts w:hint="eastAsia"/>
                <w:color w:val="auto"/>
                <w:lang w:eastAsia="zh-CN"/>
              </w:rPr>
              <w:t>下表</w:t>
            </w:r>
            <w:r>
              <w:rPr>
                <w:color w:val="auto"/>
              </w:rPr>
              <w:t>可知，监测点</w:t>
            </w:r>
            <w:r>
              <w:rPr>
                <w:rFonts w:hint="eastAsia"/>
                <w:color w:val="auto"/>
              </w:rPr>
              <w:t>各监测指标</w:t>
            </w:r>
            <w:r>
              <w:rPr>
                <w:color w:val="auto"/>
              </w:rPr>
              <w:t>均满足对应质量标准限值。</w:t>
            </w:r>
          </w:p>
          <w:p w14:paraId="07456F83">
            <w:pPr>
              <w:pStyle w:val="17"/>
              <w:keepNext w:val="0"/>
              <w:keepLines w:val="0"/>
              <w:pageBreakBefore w:val="0"/>
              <w:widowControl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表 </w:t>
            </w:r>
            <w:r>
              <w:rPr>
                <w:rFonts w:hint="eastAsia"/>
                <w:lang w:val="en-US" w:eastAsia="zh-CN"/>
              </w:rPr>
              <w:t>3</w:t>
            </w:r>
            <w:r>
              <w:rPr>
                <w:rFonts w:hint="eastAsia"/>
                <w:lang w:eastAsia="zh-CN"/>
              </w:rPr>
              <w:t>-</w:t>
            </w:r>
            <w:r>
              <w:fldChar w:fldCharType="begin"/>
            </w:r>
            <w:r>
              <w:instrText xml:space="preserve"> SEQ 表 \* ARABIC \s 1 </w:instrText>
            </w:r>
            <w:r>
              <w:fldChar w:fldCharType="separate"/>
            </w:r>
            <w:r>
              <w:t>3</w:t>
            </w:r>
            <w:r>
              <w:fldChar w:fldCharType="end"/>
            </w:r>
            <w:r>
              <w:rPr>
                <w:rFonts w:hint="eastAsia"/>
                <w:lang w:val="en-US" w:eastAsia="zh-CN"/>
              </w:rPr>
              <w:t xml:space="preserve"> </w:t>
            </w:r>
            <w:r>
              <w:rPr>
                <w:rFonts w:hint="eastAsia"/>
                <w:color w:val="auto"/>
              </w:rPr>
              <w:t xml:space="preserve">特征污染物环境质量现状监测结果及评价统计   </w:t>
            </w:r>
            <w:r>
              <w:rPr>
                <w:rFonts w:hint="eastAsia"/>
                <w:bCs/>
                <w:color w:val="auto"/>
                <w:sz w:val="16"/>
                <w:szCs w:val="18"/>
              </w:rPr>
              <w:t>单位：</w:t>
            </w:r>
            <w:r>
              <w:rPr>
                <w:rFonts w:hint="eastAsia"/>
                <w:bCs/>
                <w:color w:val="auto"/>
                <w:sz w:val="16"/>
                <w:szCs w:val="18"/>
                <w:lang w:eastAsia="zh-CN"/>
              </w:rPr>
              <w:t>μ</w:t>
            </w:r>
            <w:r>
              <w:rPr>
                <w:bCs/>
                <w:color w:val="auto"/>
                <w:sz w:val="16"/>
                <w:szCs w:val="18"/>
                <w:lang w:bidi="ar"/>
              </w:rPr>
              <w:t>g/m</w:t>
            </w:r>
            <w:r>
              <w:rPr>
                <w:bCs/>
                <w:color w:val="auto"/>
                <w:sz w:val="16"/>
                <w:szCs w:val="18"/>
                <w:vertAlign w:val="superscript"/>
                <w:lang w:bidi="ar"/>
              </w:rPr>
              <w:t>3</w:t>
            </w:r>
          </w:p>
          <w:tbl>
            <w:tblPr>
              <w:tblStyle w:val="57"/>
              <w:tblpPr w:leftFromText="181" w:rightFromText="181" w:vertAnchor="text" w:tblpXSpec="center" w:tblpY="1"/>
              <w:tblOverlap w:val="never"/>
              <w:tblW w:w="487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040"/>
              <w:gridCol w:w="860"/>
              <w:gridCol w:w="910"/>
              <w:gridCol w:w="1363"/>
              <w:gridCol w:w="984"/>
              <w:gridCol w:w="1107"/>
              <w:gridCol w:w="1046"/>
              <w:gridCol w:w="1047"/>
            </w:tblGrid>
            <w:tr w14:paraId="0995D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blHeader/>
              </w:trPr>
              <w:tc>
                <w:tcPr>
                  <w:tcW w:w="622" w:type="pct"/>
                  <w:tcBorders>
                    <w:top w:val="single" w:color="auto" w:sz="4" w:space="0"/>
                    <w:left w:val="single" w:color="auto" w:sz="4" w:space="0"/>
                    <w:bottom w:val="single" w:color="auto" w:sz="4" w:space="0"/>
                    <w:right w:val="single" w:color="auto" w:sz="4" w:space="0"/>
                  </w:tcBorders>
                  <w:vAlign w:val="center"/>
                </w:tcPr>
                <w:p w14:paraId="742704C0">
                  <w:pPr>
                    <w:pStyle w:val="286"/>
                    <w:framePr w:hSpace="0" w:wrap="auto" w:vAnchor="margin" w:hAnchor="text" w:xAlign="left" w:yAlign="inline"/>
                    <w:rPr>
                      <w:rFonts w:hint="eastAsia" w:eastAsia="宋体"/>
                      <w:color w:val="auto"/>
                      <w:lang w:eastAsia="zh-CN"/>
                    </w:rPr>
                  </w:pPr>
                  <w:r>
                    <w:rPr>
                      <w:rFonts w:hint="eastAsia"/>
                      <w:color w:val="auto"/>
                      <w:lang w:eastAsia="zh-CN"/>
                    </w:rPr>
                    <w:t>监测点位</w:t>
                  </w:r>
                </w:p>
              </w:tc>
              <w:tc>
                <w:tcPr>
                  <w:tcW w:w="514" w:type="pct"/>
                  <w:tcBorders>
                    <w:top w:val="single" w:color="auto" w:sz="4" w:space="0"/>
                    <w:left w:val="single" w:color="auto" w:sz="4" w:space="0"/>
                    <w:bottom w:val="single" w:color="auto" w:sz="4" w:space="0"/>
                    <w:right w:val="single" w:color="auto" w:sz="4" w:space="0"/>
                  </w:tcBorders>
                  <w:shd w:val="clear" w:color="auto" w:fill="auto"/>
                  <w:vAlign w:val="center"/>
                </w:tcPr>
                <w:p w14:paraId="1A854EC4">
                  <w:pPr>
                    <w:pStyle w:val="286"/>
                    <w:framePr w:hSpace="0" w:wrap="auto" w:vAnchor="margin" w:hAnchor="text" w:xAlign="left" w:yAlign="inline"/>
                    <w:rPr>
                      <w:rFonts w:ascii="Times New Roman" w:hAnsi="Times New Roman" w:eastAsia="宋体" w:cs="宋体"/>
                      <w:color w:val="auto"/>
                      <w:kern w:val="2"/>
                      <w:sz w:val="18"/>
                      <w:szCs w:val="22"/>
                      <w:lang w:val="zh-CN" w:eastAsia="zh-CN" w:bidi="ar-SA"/>
                    </w:rPr>
                  </w:pPr>
                  <w:r>
                    <w:rPr>
                      <w:color w:val="auto"/>
                    </w:rPr>
                    <w:t>污染物</w:t>
                  </w:r>
                </w:p>
              </w:tc>
              <w:tc>
                <w:tcPr>
                  <w:tcW w:w="544" w:type="pct"/>
                  <w:tcBorders>
                    <w:top w:val="single" w:color="auto" w:sz="4" w:space="0"/>
                    <w:left w:val="single" w:color="auto" w:sz="4" w:space="0"/>
                    <w:bottom w:val="single" w:color="auto" w:sz="4" w:space="0"/>
                    <w:right w:val="single" w:color="auto" w:sz="4" w:space="0"/>
                  </w:tcBorders>
                  <w:vAlign w:val="center"/>
                </w:tcPr>
                <w:p w14:paraId="27382E27">
                  <w:pPr>
                    <w:pStyle w:val="286"/>
                    <w:framePr w:hSpace="0" w:wrap="auto" w:vAnchor="margin" w:hAnchor="text" w:xAlign="left" w:yAlign="inline"/>
                    <w:rPr>
                      <w:rFonts w:hint="eastAsia" w:eastAsia="宋体"/>
                      <w:color w:val="auto"/>
                      <w:lang w:eastAsia="zh-CN"/>
                    </w:rPr>
                  </w:pPr>
                  <w:r>
                    <w:rPr>
                      <w:rFonts w:hint="eastAsia"/>
                      <w:color w:val="auto"/>
                      <w:lang w:eastAsia="zh-CN"/>
                    </w:rPr>
                    <w:t>平均时间</w:t>
                  </w:r>
                </w:p>
              </w:tc>
              <w:tc>
                <w:tcPr>
                  <w:tcW w:w="815" w:type="pct"/>
                  <w:tcBorders>
                    <w:top w:val="single" w:color="auto" w:sz="4" w:space="0"/>
                    <w:left w:val="single" w:color="auto" w:sz="4" w:space="0"/>
                    <w:bottom w:val="single" w:color="auto" w:sz="4" w:space="0"/>
                    <w:right w:val="single" w:color="auto" w:sz="4" w:space="0"/>
                  </w:tcBorders>
                  <w:vAlign w:val="center"/>
                </w:tcPr>
                <w:p w14:paraId="314F4491">
                  <w:pPr>
                    <w:pStyle w:val="286"/>
                    <w:framePr w:hSpace="0" w:wrap="auto" w:vAnchor="margin" w:hAnchor="text" w:xAlign="left" w:yAlign="inline"/>
                    <w:rPr>
                      <w:color w:val="auto"/>
                    </w:rPr>
                  </w:pPr>
                  <w:r>
                    <w:rPr>
                      <w:color w:val="auto"/>
                    </w:rPr>
                    <w:t>监测浓度范围</w:t>
                  </w:r>
                </w:p>
              </w:tc>
              <w:tc>
                <w:tcPr>
                  <w:tcW w:w="588" w:type="pct"/>
                  <w:tcBorders>
                    <w:top w:val="single" w:color="auto" w:sz="4" w:space="0"/>
                    <w:left w:val="single" w:color="auto" w:sz="4" w:space="0"/>
                    <w:bottom w:val="single" w:color="auto" w:sz="4" w:space="0"/>
                    <w:right w:val="single" w:color="auto" w:sz="4" w:space="0"/>
                  </w:tcBorders>
                  <w:vAlign w:val="center"/>
                </w:tcPr>
                <w:p w14:paraId="49064392">
                  <w:pPr>
                    <w:pStyle w:val="286"/>
                    <w:framePr w:hSpace="0" w:wrap="auto" w:vAnchor="margin" w:hAnchor="text" w:xAlign="left" w:yAlign="inline"/>
                    <w:rPr>
                      <w:rFonts w:hint="eastAsia" w:eastAsia="宋体"/>
                      <w:color w:val="auto"/>
                      <w:lang w:eastAsia="zh-CN"/>
                    </w:rPr>
                  </w:pPr>
                  <w:r>
                    <w:rPr>
                      <w:rFonts w:hint="eastAsia"/>
                      <w:color w:val="auto"/>
                      <w:lang w:eastAsia="zh-CN"/>
                    </w:rPr>
                    <w:t>评价标准</w:t>
                  </w:r>
                </w:p>
              </w:tc>
              <w:tc>
                <w:tcPr>
                  <w:tcW w:w="662" w:type="pct"/>
                  <w:tcBorders>
                    <w:top w:val="single" w:color="auto" w:sz="4" w:space="0"/>
                    <w:left w:val="single" w:color="auto" w:sz="4" w:space="0"/>
                    <w:bottom w:val="single" w:color="auto" w:sz="4" w:space="0"/>
                    <w:right w:val="single" w:color="auto" w:sz="4" w:space="0"/>
                  </w:tcBorders>
                  <w:vAlign w:val="center"/>
                </w:tcPr>
                <w:p w14:paraId="105B0A2A">
                  <w:pPr>
                    <w:pStyle w:val="286"/>
                    <w:framePr w:hSpace="0" w:wrap="auto" w:vAnchor="margin" w:hAnchor="text" w:xAlign="left" w:yAlign="inline"/>
                    <w:rPr>
                      <w:rFonts w:hint="default" w:eastAsia="宋体"/>
                      <w:color w:val="auto"/>
                      <w:lang w:val="en-US" w:eastAsia="zh-CN"/>
                    </w:rPr>
                  </w:pPr>
                  <w:r>
                    <w:rPr>
                      <w:color w:val="auto"/>
                    </w:rPr>
                    <w:t>最大</w:t>
                  </w:r>
                  <w:r>
                    <w:rPr>
                      <w:rFonts w:hint="eastAsia"/>
                      <w:color w:val="auto"/>
                      <w:lang w:eastAsia="zh-CN"/>
                    </w:rPr>
                    <w:t>浓度占标率</w:t>
                  </w:r>
                  <w:r>
                    <w:rPr>
                      <w:rFonts w:hint="eastAsia"/>
                      <w:color w:val="auto"/>
                      <w:lang w:val="en-US" w:eastAsia="zh-CN"/>
                    </w:rPr>
                    <w:t>%</w:t>
                  </w:r>
                </w:p>
              </w:tc>
              <w:tc>
                <w:tcPr>
                  <w:tcW w:w="625" w:type="pct"/>
                  <w:tcBorders>
                    <w:top w:val="single" w:color="auto" w:sz="4" w:space="0"/>
                    <w:left w:val="single" w:color="auto" w:sz="4" w:space="0"/>
                    <w:bottom w:val="single" w:color="auto" w:sz="4" w:space="0"/>
                    <w:right w:val="single" w:color="auto" w:sz="4" w:space="0"/>
                  </w:tcBorders>
                  <w:vAlign w:val="center"/>
                </w:tcPr>
                <w:p w14:paraId="471318CC">
                  <w:pPr>
                    <w:pStyle w:val="286"/>
                    <w:framePr w:hSpace="0" w:wrap="auto" w:vAnchor="margin" w:hAnchor="text" w:xAlign="left" w:yAlign="inline"/>
                    <w:rPr>
                      <w:rFonts w:hint="default" w:eastAsia="宋体"/>
                      <w:color w:val="auto"/>
                      <w:lang w:val="en-US" w:eastAsia="zh-CN"/>
                    </w:rPr>
                  </w:pPr>
                  <w:r>
                    <w:rPr>
                      <w:color w:val="auto"/>
                    </w:rPr>
                    <w:t>超标</w:t>
                  </w:r>
                  <w:r>
                    <w:rPr>
                      <w:rFonts w:hint="eastAsia"/>
                      <w:color w:val="auto"/>
                      <w:lang w:eastAsia="zh-CN"/>
                    </w:rPr>
                    <w:t>率</w:t>
                  </w:r>
                  <w:r>
                    <w:rPr>
                      <w:rFonts w:hint="eastAsia"/>
                      <w:color w:val="auto"/>
                      <w:lang w:val="en-US" w:eastAsia="zh-CN"/>
                    </w:rPr>
                    <w:t>%</w:t>
                  </w:r>
                </w:p>
              </w:tc>
              <w:tc>
                <w:tcPr>
                  <w:tcW w:w="626" w:type="pct"/>
                  <w:tcBorders>
                    <w:top w:val="single" w:color="auto" w:sz="4" w:space="0"/>
                    <w:left w:val="single" w:color="auto" w:sz="4" w:space="0"/>
                    <w:bottom w:val="single" w:color="auto" w:sz="4" w:space="0"/>
                    <w:right w:val="single" w:color="auto" w:sz="4" w:space="0"/>
                  </w:tcBorders>
                  <w:vAlign w:val="center"/>
                </w:tcPr>
                <w:p w14:paraId="38C8C762">
                  <w:pPr>
                    <w:pStyle w:val="286"/>
                    <w:framePr w:hSpace="0" w:wrap="auto" w:vAnchor="margin" w:hAnchor="text" w:xAlign="left" w:yAlign="inline"/>
                    <w:rPr>
                      <w:rFonts w:hint="eastAsia" w:eastAsia="宋体"/>
                      <w:color w:val="auto"/>
                      <w:lang w:eastAsia="zh-CN"/>
                    </w:rPr>
                  </w:pPr>
                  <w:r>
                    <w:rPr>
                      <w:color w:val="auto"/>
                    </w:rPr>
                    <w:t>达标</w:t>
                  </w:r>
                  <w:r>
                    <w:rPr>
                      <w:rFonts w:hint="eastAsia"/>
                      <w:color w:val="auto"/>
                      <w:lang w:eastAsia="zh-CN"/>
                    </w:rPr>
                    <w:t>情况</w:t>
                  </w:r>
                </w:p>
              </w:tc>
            </w:tr>
            <w:tr w14:paraId="5496F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10" w:hRule="atLeast"/>
              </w:trPr>
              <w:tc>
                <w:tcPr>
                  <w:tcW w:w="622" w:type="pct"/>
                  <w:tcBorders>
                    <w:top w:val="single" w:color="auto" w:sz="4" w:space="0"/>
                    <w:left w:val="single" w:color="auto" w:sz="4" w:space="0"/>
                    <w:bottom w:val="single" w:color="auto" w:sz="4" w:space="0"/>
                    <w:right w:val="single" w:color="auto" w:sz="4" w:space="0"/>
                  </w:tcBorders>
                  <w:vAlign w:val="center"/>
                </w:tcPr>
                <w:p w14:paraId="58843BA5">
                  <w:pPr>
                    <w:pStyle w:val="286"/>
                    <w:framePr w:hSpace="0" w:wrap="auto" w:vAnchor="margin" w:hAnchor="text" w:xAlign="left" w:yAlign="inline"/>
                    <w:rPr>
                      <w:rFonts w:hint="eastAsia" w:eastAsia="宋体"/>
                      <w:color w:val="auto"/>
                      <w:lang w:eastAsia="zh-CN"/>
                    </w:rPr>
                  </w:pPr>
                  <w:r>
                    <w:rPr>
                      <w:rFonts w:hint="eastAsia"/>
                      <w:color w:val="auto"/>
                      <w:lang w:eastAsia="zh-CN"/>
                    </w:rPr>
                    <w:t>淮南富力城小区内</w:t>
                  </w:r>
                </w:p>
              </w:tc>
              <w:tc>
                <w:tcPr>
                  <w:tcW w:w="514" w:type="pct"/>
                  <w:tcBorders>
                    <w:left w:val="single" w:color="auto" w:sz="4" w:space="0"/>
                    <w:right w:val="single" w:color="auto" w:sz="4" w:space="0"/>
                  </w:tcBorders>
                  <w:shd w:val="clear" w:color="auto" w:fill="auto"/>
                  <w:vAlign w:val="center"/>
                </w:tcPr>
                <w:p w14:paraId="05F00C02">
                  <w:pPr>
                    <w:pStyle w:val="286"/>
                    <w:framePr w:hSpace="0" w:wrap="auto" w:vAnchor="margin" w:hAnchor="text" w:xAlign="left" w:yAlign="inline"/>
                    <w:rPr>
                      <w:rFonts w:ascii="Times New Roman" w:hAnsi="Times New Roman" w:eastAsia="宋体" w:cs="宋体"/>
                      <w:color w:val="auto"/>
                      <w:kern w:val="2"/>
                      <w:sz w:val="18"/>
                      <w:szCs w:val="22"/>
                      <w:lang w:val="zh-CN" w:eastAsia="zh-CN" w:bidi="ar-SA"/>
                    </w:rPr>
                  </w:pPr>
                  <w:r>
                    <w:rPr>
                      <w:color w:val="auto"/>
                    </w:rPr>
                    <w:t>TSP</w:t>
                  </w:r>
                </w:p>
              </w:tc>
              <w:tc>
                <w:tcPr>
                  <w:tcW w:w="544" w:type="pct"/>
                  <w:tcBorders>
                    <w:left w:val="single" w:color="auto" w:sz="4" w:space="0"/>
                    <w:right w:val="single" w:color="auto" w:sz="4" w:space="0"/>
                  </w:tcBorders>
                  <w:vAlign w:val="center"/>
                </w:tcPr>
                <w:p w14:paraId="63F11835">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24h</w:t>
                  </w:r>
                </w:p>
              </w:tc>
              <w:tc>
                <w:tcPr>
                  <w:tcW w:w="815" w:type="pct"/>
                  <w:tcBorders>
                    <w:top w:val="single" w:color="auto" w:sz="4" w:space="0"/>
                    <w:left w:val="single" w:color="auto" w:sz="4" w:space="0"/>
                    <w:bottom w:val="single" w:color="auto" w:sz="4" w:space="0"/>
                    <w:right w:val="single" w:color="auto" w:sz="4" w:space="0"/>
                  </w:tcBorders>
                  <w:shd w:val="clear" w:color="auto" w:fill="auto"/>
                  <w:vAlign w:val="center"/>
                </w:tcPr>
                <w:p w14:paraId="333A9F58">
                  <w:pPr>
                    <w:pStyle w:val="286"/>
                    <w:framePr w:hSpace="0" w:wrap="auto" w:vAnchor="margin" w:hAnchor="text" w:xAlign="left" w:yAlign="inline"/>
                    <w:rPr>
                      <w:rFonts w:hint="default" w:ascii="Times New Roman" w:hAnsi="Times New Roman" w:eastAsia="宋体" w:cs="宋体"/>
                      <w:color w:val="auto"/>
                      <w:kern w:val="2"/>
                      <w:sz w:val="18"/>
                      <w:szCs w:val="22"/>
                      <w:lang w:val="en-US" w:eastAsia="zh-CN" w:bidi="ar-SA"/>
                    </w:rPr>
                  </w:pPr>
                  <w:r>
                    <w:rPr>
                      <w:rFonts w:hint="eastAsia"/>
                      <w:color w:val="auto"/>
                      <w:lang w:val="en-US" w:eastAsia="zh-CN"/>
                    </w:rPr>
                    <w:t>90~97</w:t>
                  </w:r>
                </w:p>
              </w:tc>
              <w:tc>
                <w:tcPr>
                  <w:tcW w:w="588" w:type="pct"/>
                  <w:tcBorders>
                    <w:left w:val="single" w:color="auto" w:sz="4" w:space="0"/>
                    <w:right w:val="single" w:color="auto" w:sz="4" w:space="0"/>
                  </w:tcBorders>
                  <w:shd w:val="clear" w:color="auto" w:fill="auto"/>
                  <w:vAlign w:val="center"/>
                </w:tcPr>
                <w:p w14:paraId="6E28237F">
                  <w:pPr>
                    <w:pStyle w:val="286"/>
                    <w:framePr w:hSpace="0" w:wrap="auto" w:vAnchor="margin" w:hAnchor="text" w:xAlign="left" w:yAlign="inline"/>
                    <w:rPr>
                      <w:rFonts w:hint="default" w:ascii="Times New Roman" w:hAnsi="Times New Roman" w:eastAsia="宋体" w:cs="宋体"/>
                      <w:color w:val="auto"/>
                      <w:kern w:val="2"/>
                      <w:sz w:val="18"/>
                      <w:szCs w:val="22"/>
                      <w:lang w:val="en-US" w:eastAsia="zh-CN" w:bidi="ar-SA"/>
                    </w:rPr>
                  </w:pPr>
                  <w:r>
                    <w:rPr>
                      <w:rFonts w:hint="eastAsia"/>
                      <w:color w:val="auto"/>
                      <w:lang w:val="en-US" w:eastAsia="zh-CN"/>
                    </w:rPr>
                    <w:t>300</w:t>
                  </w:r>
                </w:p>
              </w:tc>
              <w:tc>
                <w:tcPr>
                  <w:tcW w:w="662" w:type="pct"/>
                  <w:tcBorders>
                    <w:top w:val="single" w:color="auto" w:sz="4" w:space="0"/>
                    <w:left w:val="single" w:color="auto" w:sz="4" w:space="0"/>
                    <w:bottom w:val="single" w:color="auto" w:sz="4" w:space="0"/>
                    <w:right w:val="single" w:color="auto" w:sz="4" w:space="0"/>
                  </w:tcBorders>
                  <w:shd w:val="clear" w:color="auto" w:fill="auto"/>
                  <w:vAlign w:val="center"/>
                </w:tcPr>
                <w:p w14:paraId="6FBAE737">
                  <w:pPr>
                    <w:pStyle w:val="286"/>
                    <w:framePr w:hSpace="0" w:wrap="auto" w:vAnchor="margin" w:hAnchor="text" w:xAlign="left" w:yAlign="inline"/>
                    <w:rPr>
                      <w:rFonts w:hint="default" w:ascii="Times New Roman" w:hAnsi="Times New Roman" w:eastAsia="宋体" w:cs="宋体"/>
                      <w:color w:val="auto"/>
                      <w:kern w:val="2"/>
                      <w:sz w:val="18"/>
                      <w:szCs w:val="22"/>
                      <w:lang w:val="en-US" w:eastAsia="zh-CN" w:bidi="ar-SA"/>
                    </w:rPr>
                  </w:pPr>
                  <w:r>
                    <w:rPr>
                      <w:rFonts w:hint="eastAsia"/>
                      <w:color w:val="auto"/>
                      <w:lang w:val="en-US" w:eastAsia="zh-CN"/>
                    </w:rPr>
                    <w:t>32.3%</w:t>
                  </w:r>
                </w:p>
              </w:tc>
              <w:tc>
                <w:tcPr>
                  <w:tcW w:w="625" w:type="pct"/>
                  <w:tcBorders>
                    <w:top w:val="single" w:color="auto" w:sz="4" w:space="0"/>
                    <w:left w:val="single" w:color="auto" w:sz="4" w:space="0"/>
                    <w:bottom w:val="single" w:color="auto" w:sz="4" w:space="0"/>
                    <w:right w:val="single" w:color="auto" w:sz="4" w:space="0"/>
                  </w:tcBorders>
                  <w:vAlign w:val="center"/>
                </w:tcPr>
                <w:p w14:paraId="28F35A44">
                  <w:pPr>
                    <w:pStyle w:val="286"/>
                    <w:framePr w:hSpace="0" w:wrap="auto" w:vAnchor="margin" w:hAnchor="text" w:xAlign="left" w:yAlign="inline"/>
                    <w:rPr>
                      <w:rFonts w:hint="eastAsia" w:eastAsia="宋体"/>
                      <w:color w:val="auto"/>
                      <w:lang w:eastAsia="zh-CN"/>
                    </w:rPr>
                  </w:pPr>
                  <w:r>
                    <w:rPr>
                      <w:rFonts w:hint="eastAsia"/>
                      <w:color w:val="auto"/>
                      <w:lang w:val="en-US" w:eastAsia="zh-CN"/>
                    </w:rPr>
                    <w:t>/</w:t>
                  </w:r>
                </w:p>
              </w:tc>
              <w:tc>
                <w:tcPr>
                  <w:tcW w:w="626" w:type="pct"/>
                  <w:tcBorders>
                    <w:top w:val="single" w:color="auto" w:sz="4" w:space="0"/>
                    <w:left w:val="single" w:color="auto" w:sz="4" w:space="0"/>
                    <w:bottom w:val="single" w:color="auto" w:sz="4" w:space="0"/>
                    <w:right w:val="single" w:color="auto" w:sz="4" w:space="0"/>
                  </w:tcBorders>
                  <w:vAlign w:val="center"/>
                </w:tcPr>
                <w:p w14:paraId="1ADABD25">
                  <w:pPr>
                    <w:pStyle w:val="286"/>
                    <w:framePr w:hSpace="0" w:wrap="auto" w:vAnchor="margin" w:hAnchor="text" w:xAlign="left" w:yAlign="inline"/>
                    <w:rPr>
                      <w:rFonts w:hint="eastAsia" w:eastAsia="宋体"/>
                      <w:color w:val="auto"/>
                      <w:lang w:eastAsia="zh-CN"/>
                    </w:rPr>
                  </w:pPr>
                  <w:r>
                    <w:rPr>
                      <w:rFonts w:hint="eastAsia"/>
                      <w:color w:val="auto"/>
                      <w:lang w:eastAsia="zh-CN"/>
                    </w:rPr>
                    <w:t>达标</w:t>
                  </w:r>
                </w:p>
              </w:tc>
            </w:tr>
          </w:tbl>
          <w:p w14:paraId="3DAD8423">
            <w:pPr>
              <w:pStyle w:val="598"/>
              <w:keepNext w:val="0"/>
              <w:keepLines w:val="0"/>
              <w:pageBreakBefore w:val="0"/>
              <w:framePr w:hSpace="0" w:wrap="auto" w:vAnchor="margin" w:hAnchor="text" w:xAlign="left" w:yAlign="inline"/>
              <w:kinsoku/>
              <w:wordWrap/>
              <w:overflowPunct/>
              <w:topLinePunct w:val="0"/>
              <w:autoSpaceDE/>
              <w:autoSpaceDN/>
              <w:bidi w:val="0"/>
              <w:adjustRightInd/>
              <w:snapToGrid/>
              <w:spacing w:line="360" w:lineRule="auto"/>
              <w:ind w:firstLine="482" w:firstLineChars="200"/>
              <w:textAlignment w:val="auto"/>
              <w:outlineLvl w:val="1"/>
              <w:rPr>
                <w:color w:val="auto"/>
              </w:rPr>
            </w:pPr>
            <w:r>
              <w:rPr>
                <w:color w:val="auto"/>
              </w:rPr>
              <w:t>3.1.2</w:t>
            </w:r>
            <w:r>
              <w:rPr>
                <w:rFonts w:hint="eastAsia"/>
                <w:color w:val="auto"/>
              </w:rPr>
              <w:t>地表水环境质量现状</w:t>
            </w:r>
          </w:p>
          <w:p w14:paraId="2BFA183C">
            <w:pPr>
              <w:keepNext w:val="0"/>
              <w:keepLines w:val="0"/>
              <w:pageBreakBefore w:val="0"/>
              <w:kinsoku/>
              <w:wordWrap/>
              <w:overflowPunct/>
              <w:topLinePunct w:val="0"/>
              <w:autoSpaceDE/>
              <w:autoSpaceDN/>
              <w:bidi w:val="0"/>
              <w:adjustRightInd/>
              <w:snapToGrid/>
              <w:spacing w:after="0" w:line="360" w:lineRule="auto"/>
              <w:ind w:firstLine="480" w:firstLineChars="200"/>
              <w:textAlignment w:val="auto"/>
              <w:rPr>
                <w:rFonts w:ascii="Times New Roman" w:hAnsi="Times New Roman" w:eastAsia="宋体" w:cs="Times New Roman"/>
                <w:color w:val="auto"/>
                <w:sz w:val="24"/>
                <w:lang w:val="en-US" w:eastAsia="zh-CN" w:bidi="en-US"/>
              </w:rPr>
            </w:pPr>
            <w:r>
              <w:rPr>
                <w:rFonts w:ascii="Times New Roman" w:hAnsi="Times New Roman" w:eastAsia="宋体" w:cs="Times New Roman"/>
                <w:color w:val="auto"/>
                <w:sz w:val="24"/>
                <w:lang w:val="en-US" w:eastAsia="zh-CN" w:bidi="en-US"/>
              </w:rPr>
              <w:t>本项目位于Ⅲ类水环境功能区，评价区域内的地表水体为淮河（淮南段）和大涧沟，地表水体执行《地表水环境质量标准》（GB3838-2002）III类标准。根据淮南市生态环境局发布的《202</w:t>
            </w:r>
            <w:r>
              <w:rPr>
                <w:rFonts w:hint="eastAsia" w:ascii="Times New Roman" w:hAnsi="Times New Roman" w:eastAsia="宋体" w:cs="Times New Roman"/>
                <w:color w:val="auto"/>
                <w:sz w:val="24"/>
                <w:lang w:val="en-US" w:eastAsia="zh-CN" w:bidi="en-US"/>
              </w:rPr>
              <w:t>4</w:t>
            </w:r>
            <w:r>
              <w:rPr>
                <w:rFonts w:ascii="Times New Roman" w:hAnsi="Times New Roman" w:eastAsia="宋体" w:cs="Times New Roman"/>
                <w:color w:val="auto"/>
                <w:sz w:val="24"/>
                <w:lang w:val="en-US" w:eastAsia="zh-CN" w:bidi="en-US"/>
              </w:rPr>
              <w:t>年淮南市</w:t>
            </w:r>
            <w:r>
              <w:rPr>
                <w:rFonts w:hint="eastAsia" w:cs="Times New Roman"/>
                <w:color w:val="auto"/>
                <w:sz w:val="24"/>
                <w:lang w:val="en-US" w:eastAsia="zh-CN" w:bidi="en-US"/>
              </w:rPr>
              <w:t>生态</w:t>
            </w:r>
            <w:r>
              <w:rPr>
                <w:rFonts w:ascii="Times New Roman" w:hAnsi="Times New Roman" w:eastAsia="宋体" w:cs="Times New Roman"/>
                <w:color w:val="auto"/>
                <w:sz w:val="24"/>
                <w:lang w:val="en-US" w:eastAsia="zh-CN" w:bidi="en-US"/>
              </w:rPr>
              <w:t>环境质量状况公报》，</w:t>
            </w:r>
            <w:r>
              <w:rPr>
                <w:rFonts w:hint="eastAsia" w:ascii="Times New Roman" w:hAnsi="Times New Roman" w:eastAsia="宋体" w:cs="Times New Roman"/>
                <w:color w:val="auto"/>
                <w:sz w:val="24"/>
                <w:lang w:val="en-US" w:eastAsia="zh-CN" w:bidi="en-US"/>
              </w:rPr>
              <w:t>2024年，全市地表水24个监测断面中优良水质比例为91.7%，比上年下降了4.1个百分点，IV类水质比例8.3%，总体水质状况优。</w:t>
            </w:r>
          </w:p>
          <w:p w14:paraId="27B58D6F">
            <w:pPr>
              <w:keepNext w:val="0"/>
              <w:keepLines w:val="0"/>
              <w:pageBreakBefore w:val="0"/>
              <w:kinsoku/>
              <w:wordWrap/>
              <w:overflowPunct/>
              <w:topLinePunct w:val="0"/>
              <w:autoSpaceDE/>
              <w:autoSpaceDN/>
              <w:bidi w:val="0"/>
              <w:adjustRightInd/>
              <w:snapToGrid/>
              <w:spacing w:after="0" w:line="360" w:lineRule="auto"/>
              <w:ind w:firstLine="480" w:firstLineChars="200"/>
              <w:textAlignment w:val="auto"/>
              <w:rPr>
                <w:rFonts w:hint="default" w:ascii="Times New Roman" w:hAnsi="Times New Roman" w:eastAsia="宋体" w:cs="Times New Roman"/>
                <w:color w:val="auto"/>
                <w:sz w:val="24"/>
                <w:lang w:val="en-US" w:eastAsia="zh-CN" w:bidi="en-US"/>
              </w:rPr>
            </w:pPr>
            <w:r>
              <w:rPr>
                <w:rFonts w:hint="eastAsia" w:ascii="Times New Roman" w:hAnsi="Times New Roman" w:eastAsia="宋体" w:cs="Times New Roman"/>
                <w:color w:val="auto"/>
                <w:sz w:val="24"/>
                <w:lang w:val="en-US" w:eastAsia="zh-CN" w:bidi="en-US"/>
              </w:rPr>
              <w:t>8个国控断面中优良水质比例为87.5%，IV类水质比例12.5%，水质总体状况良好；11个省控断面中优良水质比例为90.9%，水质总体状况优。</w:t>
            </w:r>
            <w:r>
              <w:rPr>
                <w:rFonts w:hint="eastAsia" w:cs="Times New Roman"/>
                <w:color w:val="auto"/>
                <w:sz w:val="24"/>
                <w:lang w:val="en-US" w:eastAsia="zh-CN" w:bidi="en-US"/>
              </w:rPr>
              <w:t xml:space="preserve">                                                                                                                                                                                                                                                                                                                                                                                                                                                                                                                                                                                                                                                                                                                                                                                                                                                                                                                                                                                                                                                                                                                                                                                                                                                                                                                                                                                                                                                                                                                                                                                                                                                                                                                                                                                                                                                                                                                                                                                                                                                                                                                                                                                                                                                                                                                                                                                                                                                                                                                                                                                                                                                                                                                                                                                                                                                                                                                                                                                                                                                                                                                                                                                                                                                                                                                                                                                                                                                                                                                                                                                                                                                                                                                                                                                                                                                                                                                                                                                                                                                                                                                                                                                                                </w:t>
            </w:r>
            <w:r>
              <w:rPr>
                <w:rFonts w:hint="eastAsia" w:cs="Times New Roman"/>
                <w:color w:val="auto"/>
                <w:sz w:val="24"/>
                <w:lang w:val="en-US" w:eastAsia="zh-CN" w:bidi="en-US"/>
              </w:rPr>
              <w:t xml:space="preserve">                                                                                                                                                                                                                                                                                                                                                                                                                                                                                                                                                                                                                                                                                                                                                                                                                                                                                                                                                                                                                                                                                                                                                                                                                                                                                                                                                                                                                                                                                                                                                                                                                                                                                                                                                                                                                                                                                                                                                                                                                                                                                                                                                                                                                                                                                                                                                                                                                                                                                                                                                                                                                                                                                                                                                                                                                                                                                                                                                                                                                                                                                                                                                                                                                                                                                                                                                                                                                                                                                                                                                                                                                                                                                                                                                                                                                                                                                                                                                                                                                                                                                                                                                                                                                </w:t>
            </w:r>
            <w:r>
              <w:rPr>
                <w:rFonts w:hint="eastAsia" w:cs="Times New Roman"/>
                <w:color w:val="auto"/>
                <w:sz w:val="24"/>
                <w:lang w:val="en-US" w:eastAsia="zh-CN" w:bidi="en-US"/>
              </w:rPr>
              <w:t xml:space="preserve">                                                                                                                                                                                                                                                                                                                                                                                                                                                                                                                                                                                                                                                                                                                                                                                                                                                                                                                                                                                                                                                                                                                                                                                                                                                                                                                                                                                                                                                                                                                                                                                                                                                                                                                                                                                                                                                                                                                                                                                                                                                                                                                                                                                                                                                                                                                                                                                                                                                                                                                                                                                                                                                                                                                                                                                                                                                                                                                                                                                                                                                                                                                                                                                                                                                                                                                                                                                                                                                                                                                                                                                                                                                                                                                                                                                                                                                                                                                                                                                                                                                                                                                                                                                                                </w:t>
            </w:r>
            <w:r>
              <w:rPr>
                <w:rFonts w:hint="eastAsia" w:cs="Times New Roman"/>
                <w:color w:val="auto"/>
                <w:sz w:val="24"/>
                <w:lang w:val="en-US" w:eastAsia="zh-CN" w:bidi="en-US"/>
              </w:rPr>
              <w:t xml:space="preserve">                                                                                                                                                                                                                                                                                                                                                                                                                                                                                                                                                                                                                                                                                                                                                                                                                                                                                                                                                                                                                                                                                                                                                                                                                                                                                                                                                                                                                                                                                                                                                                                                                                                                                                                                                                                                                                                                                                                                                                                                                                                                                                                                                                                                                                                                                                                                                                                                                                                                                                                                                                                                                                                                                                                                                                                                                                                                                                                                                                                                                                                                                                                                                                                                                                                                                                                                                                                                                                                                                                                                                                                                                                                                                                                                                                                                                                                                                                                                                                                                                                                                                                                                                                                                                </w:t>
            </w:r>
            <w:r>
              <w:rPr>
                <w:rFonts w:hint="eastAsia" w:cs="Times New Roman"/>
                <w:color w:val="auto"/>
                <w:sz w:val="24"/>
                <w:lang w:val="en-US" w:eastAsia="zh-CN" w:bidi="en-US"/>
              </w:rPr>
              <w:t xml:space="preserve">                                                                                                                                                                                                                                                                                                                                                                                                                                                             </w:t>
            </w:r>
          </w:p>
          <w:p w14:paraId="031506A1">
            <w:pPr>
              <w:keepNext w:val="0"/>
              <w:keepLines w:val="0"/>
              <w:pageBreakBefore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eastAsia="宋体" w:cs="Times New Roman"/>
                <w:color w:val="auto"/>
                <w:sz w:val="24"/>
                <w:lang w:val="en-US" w:eastAsia="zh-CN" w:bidi="en-US"/>
              </w:rPr>
            </w:pPr>
            <w:r>
              <w:rPr>
                <w:rFonts w:hint="eastAsia" w:ascii="Times New Roman" w:hAnsi="Times New Roman" w:eastAsia="宋体" w:cs="Times New Roman"/>
                <w:color w:val="auto"/>
                <w:sz w:val="24"/>
                <w:lang w:val="en-US" w:eastAsia="zh-CN" w:bidi="en-US"/>
              </w:rPr>
              <w:t>河流：全市辖区内淮河干流水质状况为优，永幸河和丁家沟水质状况为优，西淝河、东淝河、架河、泥河、万小河、瓦西干渠、陡涧河和便民沟水质状况为良好。20个监测断面中优良水质比例为100%，与去年持平。其中黄圩和丁家沟河口断面水质均有所好转（Ⅲ类→Ⅱ类），五里闸（II类→Ⅲ类）和西淝河闸下（II类→Ⅲ类）水质均有所下降，其他断面水质保持稳定。</w:t>
            </w:r>
          </w:p>
          <w:p w14:paraId="7EA38AFC">
            <w:pPr>
              <w:pStyle w:val="180"/>
              <w:keepNext w:val="0"/>
              <w:keepLines w:val="0"/>
              <w:pageBreakBefore w:val="0"/>
              <w:kinsoku/>
              <w:wordWrap/>
              <w:overflowPunct/>
              <w:topLinePunct w:val="0"/>
              <w:autoSpaceDE/>
              <w:autoSpaceDN/>
              <w:bidi w:val="0"/>
              <w:adjustRightInd/>
              <w:snapToGrid/>
              <w:spacing w:after="0" w:line="360" w:lineRule="auto"/>
              <w:ind w:firstLine="480"/>
              <w:textAlignment w:val="auto"/>
              <w:rPr>
                <w:rFonts w:ascii="Times New Roman" w:hAnsi="Times New Roman" w:eastAsia="宋体" w:cs="Times New Roman"/>
                <w:color w:val="auto"/>
                <w:sz w:val="24"/>
                <w:lang w:val="en-US" w:eastAsia="zh-CN" w:bidi="en-US"/>
              </w:rPr>
            </w:pPr>
            <w:r>
              <w:rPr>
                <w:rFonts w:hint="eastAsia" w:ascii="Times New Roman" w:hAnsi="Times New Roman" w:eastAsia="宋体" w:cs="Times New Roman"/>
                <w:color w:val="auto"/>
                <w:sz w:val="24"/>
                <w:lang w:val="en-US" w:eastAsia="zh-CN" w:bidi="en-US"/>
              </w:rPr>
              <w:t>湖库：瓦埠湖和焦岗湖点位水质年均值符合Ⅲ类标准，水质状况为良好</w:t>
            </w:r>
            <w:r>
              <w:rPr>
                <w:rFonts w:hint="eastAsia" w:cs="Times New Roman"/>
                <w:color w:val="auto"/>
                <w:sz w:val="24"/>
                <w:lang w:val="en-US" w:eastAsia="zh-CN" w:bidi="en-US"/>
              </w:rPr>
              <w:t>；</w:t>
            </w:r>
            <w:r>
              <w:rPr>
                <w:rFonts w:hint="eastAsia" w:ascii="Times New Roman" w:hAnsi="Times New Roman" w:eastAsia="宋体" w:cs="Times New Roman"/>
                <w:color w:val="auto"/>
                <w:sz w:val="24"/>
                <w:lang w:val="en-US" w:eastAsia="zh-CN" w:bidi="en-US"/>
              </w:rPr>
              <w:t>高塘湖和安丰塘点位水质年均值符合IV类标准，水质轻度污染，主要污染指标为总磷。安丰塘营养状态为中营养，焦岗湖、高塘湖和瓦埠湖营养状态均为轻度富营养。与上年相比，安丰塘点位水质类别由Ⅲ类下降为IV类，瓦埠湖、高塘湖和焦岗湖点位水质类别保持稳定。</w:t>
            </w:r>
          </w:p>
          <w:p w14:paraId="10FEACF1">
            <w:pPr>
              <w:pStyle w:val="180"/>
              <w:keepNext w:val="0"/>
              <w:keepLines w:val="0"/>
              <w:pageBreakBefore w:val="0"/>
              <w:kinsoku/>
              <w:wordWrap/>
              <w:overflowPunct/>
              <w:topLinePunct w:val="0"/>
              <w:autoSpaceDE/>
              <w:autoSpaceDN/>
              <w:bidi w:val="0"/>
              <w:adjustRightInd/>
              <w:snapToGrid/>
              <w:spacing w:after="0" w:line="360" w:lineRule="auto"/>
              <w:ind w:firstLine="480"/>
              <w:textAlignment w:val="auto"/>
              <w:rPr>
                <w:color w:val="auto"/>
              </w:rPr>
            </w:pPr>
            <w:r>
              <w:rPr>
                <w:color w:val="auto"/>
              </w:rPr>
              <w:t>综上，项目所在区域地表水淮河环境质量总体满足《地表水环境质量标准》（GB3838-2002）Ⅲ类标准，地表水水质良好。</w:t>
            </w:r>
          </w:p>
          <w:p w14:paraId="153D630F">
            <w:pPr>
              <w:pStyle w:val="179"/>
              <w:framePr w:hSpace="0" w:wrap="auto" w:vAnchor="margin" w:hAnchor="text" w:xAlign="left" w:yAlign="inline"/>
              <w:ind w:firstLine="482"/>
              <w:rPr>
                <w:color w:val="auto"/>
              </w:rPr>
            </w:pPr>
            <w:r>
              <w:rPr>
                <w:color w:val="auto"/>
              </w:rPr>
              <w:t>3.1.3</w:t>
            </w:r>
            <w:r>
              <w:rPr>
                <w:rFonts w:hint="eastAsia"/>
                <w:color w:val="auto"/>
              </w:rPr>
              <w:t>声环境质量现状</w:t>
            </w:r>
          </w:p>
          <w:p w14:paraId="32ADBA99">
            <w:pPr>
              <w:pStyle w:val="180"/>
              <w:wordWrap/>
              <w:ind w:firstLine="480"/>
              <w:rPr>
                <w:rFonts w:hint="eastAsia"/>
                <w:color w:val="auto"/>
              </w:rPr>
            </w:pPr>
            <w:r>
              <w:rPr>
                <w:color w:val="auto"/>
              </w:rPr>
              <w:t>根据淮南市生态环境局发布的《</w:t>
            </w:r>
            <w:r>
              <w:rPr>
                <w:rFonts w:hint="eastAsia"/>
                <w:color w:val="auto"/>
                <w:lang w:eastAsia="zh-CN"/>
              </w:rPr>
              <w:t>2024年淮南市生态环境质量状况公报</w:t>
            </w:r>
            <w:r>
              <w:rPr>
                <w:color w:val="auto"/>
              </w:rPr>
              <w:t>》，</w:t>
            </w:r>
            <w:r>
              <w:rPr>
                <w:rFonts w:hint="eastAsia"/>
                <w:color w:val="auto"/>
              </w:rPr>
              <w:t>2024年，全市区域环境噪声昼间平均等效声级为51.6分贝，与上年相比上升0.4分贝，噪声总体水平稳定保持二级，声环境质量较好。</w:t>
            </w:r>
          </w:p>
          <w:p w14:paraId="1D89F657">
            <w:pPr>
              <w:pStyle w:val="180"/>
              <w:wordWrap/>
              <w:ind w:firstLine="480"/>
              <w:rPr>
                <w:rFonts w:hint="eastAsia"/>
                <w:color w:val="auto"/>
              </w:rPr>
            </w:pPr>
            <w:r>
              <w:rPr>
                <w:rFonts w:hint="eastAsia"/>
                <w:color w:val="auto"/>
              </w:rPr>
              <w:t>城市道路交通噪声昼间平均等效声级为66.6分贝，与上年相比上升0.4分贝，噪声强度等级稳定保持为一级，声环境质量级别为好。</w:t>
            </w:r>
          </w:p>
          <w:p w14:paraId="6F0DF131">
            <w:pPr>
              <w:pStyle w:val="180"/>
              <w:wordWrap/>
              <w:ind w:firstLine="480"/>
              <w:rPr>
                <w:color w:val="auto"/>
              </w:rPr>
            </w:pPr>
            <w:r>
              <w:rPr>
                <w:rFonts w:hint="eastAsia"/>
                <w:color w:val="auto"/>
              </w:rPr>
              <w:t>各功能区噪声平均等效声级达标率为70.8%，昼间达标率为83.3%，夜间达标率为58.3%。与上年相比，昼间达标率减少0.5个百分点，夜间达标率减少6.7个百分点，平均等效声级达标率减少了3.5个百分点。</w:t>
            </w:r>
          </w:p>
          <w:p w14:paraId="3EF6506D">
            <w:pPr>
              <w:pStyle w:val="180"/>
              <w:wordWrap/>
              <w:ind w:firstLine="480"/>
              <w:rPr>
                <w:color w:val="auto"/>
              </w:rPr>
            </w:pPr>
            <w:r>
              <w:rPr>
                <w:color w:val="auto"/>
              </w:rPr>
              <w:t>根据现场踏勘，项目厂界外50米范围内</w:t>
            </w:r>
            <w:r>
              <w:rPr>
                <w:rFonts w:hint="eastAsia"/>
                <w:color w:val="auto"/>
              </w:rPr>
              <w:t>不存在</w:t>
            </w:r>
            <w:r>
              <w:rPr>
                <w:color w:val="auto"/>
              </w:rPr>
              <w:t>声环境保护目标</w:t>
            </w:r>
            <w:r>
              <w:rPr>
                <w:rFonts w:hint="eastAsia"/>
                <w:color w:val="auto"/>
              </w:rPr>
              <w:t>，对照《淮南市中心城区声环境功能区划分方案》（2021年），本项目位于3类声环境功能区，</w:t>
            </w:r>
            <w:r>
              <w:rPr>
                <w:color w:val="auto"/>
              </w:rPr>
              <w:t>项目营运期所在区域声环境执行《声环境质量标准》（GB3096-2008）声环境功能区3类区标准</w:t>
            </w:r>
            <w:r>
              <w:rPr>
                <w:rFonts w:hint="eastAsia"/>
                <w:color w:val="auto"/>
              </w:rPr>
              <w:t>；</w:t>
            </w:r>
            <w:r>
              <w:rPr>
                <w:color w:val="auto"/>
              </w:rPr>
              <w:t>具体标准值见</w:t>
            </w:r>
            <w:r>
              <w:rPr>
                <w:rFonts w:hint="eastAsia"/>
                <w:color w:val="auto"/>
                <w:lang w:eastAsia="zh-CN"/>
              </w:rPr>
              <w:t>下表</w:t>
            </w:r>
            <w:r>
              <w:rPr>
                <w:color w:val="auto"/>
              </w:rPr>
              <w:t>。</w:t>
            </w:r>
            <w:r>
              <w:rPr>
                <w:rFonts w:hint="eastAsia"/>
                <w:color w:val="auto"/>
              </w:rPr>
              <w:t>本项目所在声功能区划图见</w:t>
            </w:r>
            <w:r>
              <w:rPr>
                <w:rFonts w:hint="eastAsia"/>
                <w:color w:val="auto"/>
                <w:lang w:eastAsia="zh-CN"/>
              </w:rPr>
              <w:t>下图</w:t>
            </w:r>
            <w:r>
              <w:rPr>
                <w:rFonts w:hint="eastAsia"/>
                <w:color w:val="auto"/>
              </w:rPr>
              <w:t>。</w:t>
            </w:r>
          </w:p>
          <w:p w14:paraId="14763EF4">
            <w:pPr>
              <w:pStyle w:val="17"/>
              <w:keepNext w:val="0"/>
              <w:keepLines w:val="0"/>
              <w:pageBreakBefore w:val="0"/>
              <w:widowControl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表 </w:t>
            </w:r>
            <w:r>
              <w:rPr>
                <w:rFonts w:hint="eastAsia"/>
                <w:lang w:val="en-US" w:eastAsia="zh-CN"/>
              </w:rPr>
              <w:t>3</w:t>
            </w:r>
            <w:r>
              <w:rPr>
                <w:rFonts w:hint="eastAsia"/>
                <w:lang w:eastAsia="zh-CN"/>
              </w:rPr>
              <w:t>-</w:t>
            </w:r>
            <w:r>
              <w:fldChar w:fldCharType="begin"/>
            </w:r>
            <w:r>
              <w:instrText xml:space="preserve"> SEQ 表 \* ARABIC \s 1 </w:instrText>
            </w:r>
            <w:r>
              <w:fldChar w:fldCharType="separate"/>
            </w:r>
            <w:r>
              <w:t>4</w:t>
            </w:r>
            <w:r>
              <w:fldChar w:fldCharType="end"/>
            </w:r>
            <w:r>
              <w:rPr>
                <w:rFonts w:hint="eastAsia"/>
                <w:lang w:val="en-US" w:eastAsia="zh-CN"/>
              </w:rPr>
              <w:t xml:space="preserve"> </w:t>
            </w:r>
            <w:r>
              <w:rPr>
                <w:b/>
                <w:bCs/>
                <w:color w:val="auto"/>
                <w:sz w:val="21"/>
              </w:rPr>
              <w:t>《声环境质量标准》</w:t>
            </w:r>
            <w:r>
              <w:rPr>
                <w:rFonts w:hint="eastAsia"/>
                <w:b/>
                <w:bCs/>
                <w:color w:val="auto"/>
                <w:sz w:val="21"/>
                <w:lang w:eastAsia="zh-CN"/>
              </w:rPr>
              <w:t>（</w:t>
            </w:r>
            <w:r>
              <w:rPr>
                <w:b/>
                <w:bCs/>
                <w:color w:val="auto"/>
                <w:sz w:val="21"/>
              </w:rPr>
              <w:t>GB3096-2008</w:t>
            </w:r>
            <w:r>
              <w:rPr>
                <w:rFonts w:hint="eastAsia"/>
                <w:b/>
                <w:bCs/>
                <w:color w:val="auto"/>
                <w:sz w:val="21"/>
                <w:lang w:eastAsia="zh-CN"/>
              </w:rPr>
              <w:t>）</w:t>
            </w:r>
            <w:r>
              <w:rPr>
                <w:b/>
                <w:bCs/>
                <w:color w:val="auto"/>
                <w:sz w:val="21"/>
              </w:rPr>
              <w:t xml:space="preserve">  单位：dB</w:t>
            </w:r>
            <w:r>
              <w:rPr>
                <w:rFonts w:hint="eastAsia"/>
                <w:b/>
                <w:bCs/>
                <w:color w:val="auto"/>
                <w:sz w:val="21"/>
                <w:lang w:eastAsia="zh-CN"/>
              </w:rPr>
              <w:t>（</w:t>
            </w:r>
            <w:r>
              <w:rPr>
                <w:b/>
                <w:bCs/>
                <w:color w:val="auto"/>
                <w:sz w:val="21"/>
              </w:rPr>
              <w:t>A</w:t>
            </w:r>
            <w:r>
              <w:rPr>
                <w:rFonts w:hint="eastAsia"/>
                <w:b/>
                <w:bCs/>
                <w:color w:val="auto"/>
                <w:sz w:val="21"/>
                <w:lang w:eastAsia="zh-CN"/>
              </w:rPr>
              <w:t>）</w:t>
            </w:r>
          </w:p>
          <w:tbl>
            <w:tblPr>
              <w:tblStyle w:val="57"/>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1936"/>
              <w:gridCol w:w="2211"/>
              <w:gridCol w:w="2209"/>
              <w:gridCol w:w="2208"/>
            </w:tblGrid>
            <w:tr w14:paraId="661B4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3936" w:type="dxa"/>
                  <w:gridSpan w:val="2"/>
                  <w:vAlign w:val="center"/>
                </w:tcPr>
                <w:p w14:paraId="4126A8DF">
                  <w:pPr>
                    <w:pStyle w:val="160"/>
                    <w:spacing w:after="0"/>
                    <w:outlineLvl w:val="1"/>
                    <w:rPr>
                      <w:rFonts w:ascii="Times New Roman" w:eastAsia="宋体"/>
                      <w:color w:val="auto"/>
                      <w:sz w:val="18"/>
                      <w:szCs w:val="21"/>
                    </w:rPr>
                  </w:pPr>
                  <w:r>
                    <w:rPr>
                      <w:rFonts w:ascii="Times New Roman" w:eastAsia="宋体"/>
                      <w:color w:val="auto"/>
                      <w:sz w:val="18"/>
                      <w:szCs w:val="21"/>
                    </w:rPr>
                    <w:t>标准类别</w:t>
                  </w:r>
                </w:p>
              </w:tc>
              <w:tc>
                <w:tcPr>
                  <w:tcW w:w="2096" w:type="dxa"/>
                  <w:vAlign w:val="center"/>
                </w:tcPr>
                <w:p w14:paraId="03293B8C">
                  <w:pPr>
                    <w:pStyle w:val="160"/>
                    <w:spacing w:after="0"/>
                    <w:outlineLvl w:val="1"/>
                    <w:rPr>
                      <w:rFonts w:ascii="Times New Roman" w:eastAsia="宋体"/>
                      <w:color w:val="auto"/>
                      <w:sz w:val="18"/>
                      <w:szCs w:val="21"/>
                    </w:rPr>
                  </w:pPr>
                  <w:r>
                    <w:rPr>
                      <w:rFonts w:ascii="Times New Roman" w:eastAsia="宋体"/>
                      <w:color w:val="auto"/>
                      <w:sz w:val="18"/>
                      <w:szCs w:val="21"/>
                    </w:rPr>
                    <w:t>昼间dB（A）</w:t>
                  </w:r>
                </w:p>
              </w:tc>
              <w:tc>
                <w:tcPr>
                  <w:tcW w:w="2095" w:type="dxa"/>
                  <w:vAlign w:val="center"/>
                </w:tcPr>
                <w:p w14:paraId="5FDE16BD">
                  <w:pPr>
                    <w:pStyle w:val="160"/>
                    <w:spacing w:after="0"/>
                    <w:outlineLvl w:val="1"/>
                    <w:rPr>
                      <w:rFonts w:ascii="Times New Roman" w:eastAsia="宋体"/>
                      <w:color w:val="auto"/>
                      <w:sz w:val="18"/>
                      <w:szCs w:val="21"/>
                    </w:rPr>
                  </w:pPr>
                  <w:r>
                    <w:rPr>
                      <w:rFonts w:ascii="Times New Roman" w:eastAsia="宋体"/>
                      <w:color w:val="auto"/>
                      <w:sz w:val="18"/>
                      <w:szCs w:val="21"/>
                    </w:rPr>
                    <w:t>夜间dB（A）</w:t>
                  </w:r>
                </w:p>
              </w:tc>
            </w:tr>
            <w:tr w14:paraId="69C7FE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1838" w:type="dxa"/>
                  <w:vAlign w:val="center"/>
                </w:tcPr>
                <w:p w14:paraId="3FD7C406">
                  <w:pPr>
                    <w:pStyle w:val="160"/>
                    <w:spacing w:after="0"/>
                    <w:outlineLvl w:val="1"/>
                    <w:rPr>
                      <w:rFonts w:ascii="Times New Roman" w:eastAsia="宋体"/>
                      <w:color w:val="auto"/>
                      <w:sz w:val="18"/>
                      <w:szCs w:val="21"/>
                    </w:rPr>
                  </w:pPr>
                  <w:r>
                    <w:rPr>
                      <w:rFonts w:ascii="Times New Roman" w:eastAsia="宋体"/>
                      <w:color w:val="auto"/>
                      <w:sz w:val="18"/>
                      <w:szCs w:val="21"/>
                    </w:rPr>
                    <w:t>环境噪声</w:t>
                  </w:r>
                </w:p>
              </w:tc>
              <w:tc>
                <w:tcPr>
                  <w:tcW w:w="2098" w:type="dxa"/>
                  <w:vAlign w:val="center"/>
                </w:tcPr>
                <w:p w14:paraId="5387E4BC">
                  <w:pPr>
                    <w:pStyle w:val="160"/>
                    <w:spacing w:after="0"/>
                    <w:outlineLvl w:val="1"/>
                    <w:rPr>
                      <w:rFonts w:ascii="Times New Roman" w:eastAsia="宋体"/>
                      <w:color w:val="auto"/>
                      <w:sz w:val="18"/>
                      <w:szCs w:val="21"/>
                    </w:rPr>
                  </w:pPr>
                  <w:r>
                    <w:rPr>
                      <w:rFonts w:ascii="Times New Roman" w:eastAsia="宋体"/>
                      <w:color w:val="auto"/>
                      <w:sz w:val="18"/>
                      <w:szCs w:val="21"/>
                    </w:rPr>
                    <w:t>3类标准</w:t>
                  </w:r>
                </w:p>
              </w:tc>
              <w:tc>
                <w:tcPr>
                  <w:tcW w:w="2096" w:type="dxa"/>
                  <w:vAlign w:val="center"/>
                </w:tcPr>
                <w:p w14:paraId="1F5ECFDF">
                  <w:pPr>
                    <w:pStyle w:val="160"/>
                    <w:spacing w:after="0"/>
                    <w:outlineLvl w:val="1"/>
                    <w:rPr>
                      <w:rFonts w:ascii="Times New Roman" w:eastAsia="宋体"/>
                      <w:color w:val="auto"/>
                      <w:sz w:val="18"/>
                      <w:szCs w:val="21"/>
                    </w:rPr>
                  </w:pPr>
                  <w:r>
                    <w:rPr>
                      <w:rFonts w:ascii="Times New Roman" w:eastAsia="宋体"/>
                      <w:color w:val="auto"/>
                      <w:sz w:val="18"/>
                      <w:szCs w:val="21"/>
                    </w:rPr>
                    <w:t>65</w:t>
                  </w:r>
                </w:p>
              </w:tc>
              <w:tc>
                <w:tcPr>
                  <w:tcW w:w="2095" w:type="dxa"/>
                  <w:vAlign w:val="center"/>
                </w:tcPr>
                <w:p w14:paraId="1359741B">
                  <w:pPr>
                    <w:pStyle w:val="160"/>
                    <w:spacing w:after="0"/>
                    <w:outlineLvl w:val="1"/>
                    <w:rPr>
                      <w:rFonts w:ascii="Times New Roman" w:eastAsia="宋体"/>
                      <w:color w:val="auto"/>
                      <w:sz w:val="18"/>
                      <w:szCs w:val="21"/>
                    </w:rPr>
                  </w:pPr>
                  <w:r>
                    <w:rPr>
                      <w:rFonts w:ascii="Times New Roman" w:eastAsia="宋体"/>
                      <w:color w:val="auto"/>
                      <w:sz w:val="18"/>
                      <w:szCs w:val="21"/>
                    </w:rPr>
                    <w:t>55</w:t>
                  </w:r>
                </w:p>
              </w:tc>
            </w:tr>
            <w:tr w14:paraId="786DC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40" w:hRule="atLeast"/>
              </w:trPr>
              <w:tc>
                <w:tcPr>
                  <w:tcW w:w="1838" w:type="dxa"/>
                  <w:vAlign w:val="center"/>
                </w:tcPr>
                <w:p w14:paraId="3874EA81">
                  <w:pPr>
                    <w:pStyle w:val="160"/>
                    <w:spacing w:after="0"/>
                    <w:outlineLvl w:val="1"/>
                    <w:rPr>
                      <w:rFonts w:ascii="Times New Roman" w:eastAsia="宋体"/>
                      <w:color w:val="auto"/>
                      <w:sz w:val="18"/>
                      <w:szCs w:val="21"/>
                    </w:rPr>
                  </w:pPr>
                  <w:r>
                    <w:rPr>
                      <w:rFonts w:ascii="Times New Roman" w:eastAsia="宋体"/>
                      <w:color w:val="auto"/>
                      <w:sz w:val="18"/>
                      <w:szCs w:val="21"/>
                    </w:rPr>
                    <w:t>标准来源</w:t>
                  </w:r>
                </w:p>
              </w:tc>
              <w:tc>
                <w:tcPr>
                  <w:tcW w:w="6289" w:type="dxa"/>
                  <w:gridSpan w:val="3"/>
                  <w:vAlign w:val="center"/>
                </w:tcPr>
                <w:p w14:paraId="785538B7">
                  <w:pPr>
                    <w:pStyle w:val="160"/>
                    <w:spacing w:after="0"/>
                    <w:outlineLvl w:val="1"/>
                    <w:rPr>
                      <w:rFonts w:ascii="Times New Roman" w:eastAsia="宋体"/>
                      <w:color w:val="auto"/>
                      <w:sz w:val="18"/>
                      <w:szCs w:val="21"/>
                    </w:rPr>
                  </w:pPr>
                  <w:r>
                    <w:rPr>
                      <w:rFonts w:ascii="Times New Roman" w:eastAsia="宋体"/>
                      <w:color w:val="auto"/>
                      <w:sz w:val="18"/>
                      <w:szCs w:val="21"/>
                    </w:rPr>
                    <w:t>《声环境质量标准》（GB3096-2008）</w:t>
                  </w:r>
                </w:p>
              </w:tc>
            </w:tr>
          </w:tbl>
          <w:p w14:paraId="5571665B">
            <w:pPr>
              <w:rPr>
                <w:color w:val="auto"/>
              </w:rPr>
            </w:pPr>
          </w:p>
          <w:p w14:paraId="72E6727D">
            <w:pPr>
              <w:adjustRightInd w:val="0"/>
              <w:snapToGrid w:val="0"/>
              <w:spacing w:after="0" w:line="240" w:lineRule="auto"/>
              <w:jc w:val="center"/>
              <w:rPr>
                <w:rFonts w:hint="eastAsia"/>
                <w:b/>
                <w:color w:val="0000FF"/>
                <w:sz w:val="21"/>
              </w:rPr>
            </w:pPr>
            <w:r>
              <w:drawing>
                <wp:anchor distT="0" distB="0" distL="114300" distR="114300" simplePos="0" relativeHeight="251673600" behindDoc="0" locked="0" layoutInCell="1" allowOverlap="1">
                  <wp:simplePos x="0" y="0"/>
                  <wp:positionH relativeFrom="column">
                    <wp:posOffset>107950</wp:posOffset>
                  </wp:positionH>
                  <wp:positionV relativeFrom="paragraph">
                    <wp:posOffset>677545</wp:posOffset>
                  </wp:positionV>
                  <wp:extent cx="2825750" cy="1980565"/>
                  <wp:effectExtent l="9525" t="9525" r="22225" b="10160"/>
                  <wp:wrapNone/>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40"/>
                          <a:stretch>
                            <a:fillRect/>
                          </a:stretch>
                        </pic:blipFill>
                        <pic:spPr>
                          <a:xfrm>
                            <a:off x="0" y="0"/>
                            <a:ext cx="2825750" cy="1980565"/>
                          </a:xfrm>
                          <a:prstGeom prst="rect">
                            <a:avLst/>
                          </a:prstGeom>
                          <a:noFill/>
                          <a:ln>
                            <a:solidFill>
                              <a:schemeClr val="tx1"/>
                            </a:solidFill>
                          </a:ln>
                        </pic:spPr>
                      </pic:pic>
                    </a:graphicData>
                  </a:graphic>
                </wp:anchor>
              </w:drawing>
            </w:r>
            <w:r>
              <w:rPr>
                <w:sz w:val="24"/>
              </w:rPr>
              <mc:AlternateContent>
                <mc:Choice Requires="wps">
                  <w:drawing>
                    <wp:anchor distT="0" distB="0" distL="114300" distR="114300" simplePos="0" relativeHeight="251677696" behindDoc="0" locked="0" layoutInCell="1" allowOverlap="1">
                      <wp:simplePos x="0" y="0"/>
                      <wp:positionH relativeFrom="column">
                        <wp:posOffset>1379855</wp:posOffset>
                      </wp:positionH>
                      <wp:positionV relativeFrom="paragraph">
                        <wp:posOffset>1650365</wp:posOffset>
                      </wp:positionV>
                      <wp:extent cx="681355" cy="274955"/>
                      <wp:effectExtent l="4445" t="4445" r="19050" b="6350"/>
                      <wp:wrapNone/>
                      <wp:docPr id="34" name="文本框 34"/>
                      <wp:cNvGraphicFramePr/>
                      <a:graphic xmlns:a="http://schemas.openxmlformats.org/drawingml/2006/main">
                        <a:graphicData uri="http://schemas.microsoft.com/office/word/2010/wordprocessingShape">
                          <wps:wsp>
                            <wps:cNvSpPr txBox="1"/>
                            <wps:spPr>
                              <a:xfrm>
                                <a:off x="2605405" y="3132455"/>
                                <a:ext cx="681355" cy="27495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CF478C4">
                                  <w:pPr>
                                    <w:rPr>
                                      <w:rFonts w:hint="eastAsia" w:eastAsia="宋体"/>
                                      <w:lang w:eastAsia="zh-CN"/>
                                    </w:rPr>
                                  </w:pPr>
                                  <w:r>
                                    <w:rPr>
                                      <w:rFonts w:hint="eastAsia"/>
                                      <w:lang w:eastAsia="zh-CN"/>
                                    </w:rPr>
                                    <w:t>本项目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8.65pt;margin-top:129.95pt;height:21.65pt;width:53.65pt;z-index:251677696;mso-width-relative:page;mso-height-relative:page;" fillcolor="#FFFFFF [3201]" filled="t" stroked="t" coordsize="21600,21600" o:gfxdata="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WUIla1wAAAAsBAAAPAAAAAAAAAAEAIAAAACIAAABkcnMvZG93bnJldi54bWxQSwECFAAU&#10;AAAACACHTuJARwv+v2QCAADEBAAADgAAAAAAAAABACAAAAAmAQAAZHJzL2Uyb0RvYy54bWxQSwUG&#10;AAAAAAYABgBZAQAA/AUAAAAA&#10;">
                      <v:fill on="t" focussize="0,0"/>
                      <v:stroke weight="0.5pt" color="#000000 [3204]" joinstyle="round"/>
                      <v:imagedata o:title=""/>
                      <o:lock v:ext="edit" aspectratio="f"/>
                      <v:textbox>
                        <w:txbxContent>
                          <w:p w14:paraId="3CF478C4">
                            <w:pPr>
                              <w:rPr>
                                <w:rFonts w:hint="eastAsia" w:eastAsia="宋体"/>
                                <w:lang w:eastAsia="zh-CN"/>
                              </w:rPr>
                            </w:pPr>
                            <w:r>
                              <w:rPr>
                                <w:rFonts w:hint="eastAsia"/>
                                <w:lang w:eastAsia="zh-CN"/>
                              </w:rPr>
                              <w:t>本项目</w:t>
                            </w:r>
                          </w:p>
                        </w:txbxContent>
                      </v:textbox>
                    </v:shape>
                  </w:pict>
                </mc:Fallback>
              </mc:AlternateContent>
            </w:r>
            <w:r>
              <w:rPr>
                <w:sz w:val="24"/>
              </w:rPr>
              <mc:AlternateContent>
                <mc:Choice Requires="wps">
                  <w:drawing>
                    <wp:anchor distT="0" distB="0" distL="114300" distR="114300" simplePos="0" relativeHeight="251676672" behindDoc="0" locked="0" layoutInCell="1" allowOverlap="1">
                      <wp:simplePos x="0" y="0"/>
                      <wp:positionH relativeFrom="column">
                        <wp:posOffset>2933700</wp:posOffset>
                      </wp:positionH>
                      <wp:positionV relativeFrom="paragraph">
                        <wp:posOffset>1668145</wp:posOffset>
                      </wp:positionV>
                      <wp:extent cx="1184275" cy="997585"/>
                      <wp:effectExtent l="3810" t="5080" r="12065" b="6985"/>
                      <wp:wrapNone/>
                      <wp:docPr id="33" name="直接箭头连接符 33"/>
                      <wp:cNvGraphicFramePr/>
                      <a:graphic xmlns:a="http://schemas.openxmlformats.org/drawingml/2006/main">
                        <a:graphicData uri="http://schemas.microsoft.com/office/word/2010/wordprocessingShape">
                          <wps:wsp>
                            <wps:cNvCnPr>
                              <a:stCxn id="30" idx="3"/>
                              <a:endCxn id="32" idx="1"/>
                            </wps:cNvCnPr>
                            <wps:spPr>
                              <a:xfrm>
                                <a:off x="4225925" y="3567430"/>
                                <a:ext cx="1184275" cy="997585"/>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31pt;margin-top:131.35pt;height:78.55pt;width:93.25pt;z-index:251676672;mso-width-relative:page;mso-height-relative:page;" filled="f" stroked="t" coordsize="21600,21600" o:gfxdata="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lVE0bdkAAAALAQAADwAAAAAAAAABACAAAAAiAAAAZHJzL2Rvd25yZXYueG1s&#10;UEsBAhQAFAAAAAgAh07iQJwmpJAwAgAANAQAAA4AAAAAAAAAAQAgAAAAKAEAAGRycy9lMm9Eb2Mu&#10;eG1sUEsFBgAAAAAGAAYAWQEAAMoFAAAAAA==&#10;">
                      <v:fill on="f" focussize="0,0"/>
                      <v:stroke weight="1pt" color="#000000 [3213]" miterlimit="8" joinstyle="miter" endarrow="open"/>
                      <v:imagedata o:title=""/>
                      <o:lock v:ext="edit" aspectratio="f"/>
                    </v:shape>
                  </w:pict>
                </mc:Fallback>
              </mc:AlternateContent>
            </w:r>
            <w:r>
              <w:rPr>
                <w:sz w:val="24"/>
              </w:rPr>
              <mc:AlternateContent>
                <mc:Choice Requires="wps">
                  <w:drawing>
                    <wp:anchor distT="0" distB="0" distL="114300" distR="114300" simplePos="0" relativeHeight="251675648" behindDoc="0" locked="0" layoutInCell="1" allowOverlap="1">
                      <wp:simplePos x="0" y="0"/>
                      <wp:positionH relativeFrom="column">
                        <wp:posOffset>4117975</wp:posOffset>
                      </wp:positionH>
                      <wp:positionV relativeFrom="paragraph">
                        <wp:posOffset>2623820</wp:posOffset>
                      </wp:positionV>
                      <wp:extent cx="117475" cy="109855"/>
                      <wp:effectExtent l="19685" t="20320" r="34290" b="22225"/>
                      <wp:wrapNone/>
                      <wp:docPr id="32" name="五角星 32"/>
                      <wp:cNvGraphicFramePr/>
                      <a:graphic xmlns:a="http://schemas.openxmlformats.org/drawingml/2006/main">
                        <a:graphicData uri="http://schemas.microsoft.com/office/word/2010/wordprocessingShape">
                          <wps:wsp>
                            <wps:cNvSpPr/>
                            <wps:spPr>
                              <a:xfrm>
                                <a:off x="0" y="0"/>
                                <a:ext cx="117475" cy="10985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324.25pt;margin-top:206.6pt;height:8.65pt;width:9.25pt;z-index:251675648;v-text-anchor:middle;mso-width-relative:page;mso-height-relative:page;" fillcolor="#FFFF00" filled="t" stroked="t" coordsize="117475,109855" o:gfxdata="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AY/EGK2QAAAAsBAAAPAAAAAAAAAAEAIAAAACIAAABkcnMv&#10;ZG93bnJldi54bWxQSwECFAAUAAAACACHTuJAuDClk3QCAAD5BAAADgAAAAAAAAABACAAAAAoAQAA&#10;ZHJzL2Uyb0RvYy54bWxQSwUGAAAAAAYABgBZAQAADgYAAAAA&#10;" path="m0,41960l44871,41961,58737,0,72603,41961,117474,41960,81172,67893,95039,109854,58737,83921,22435,109854,36302,67893xe">
                      <v:path o:connectlocs="58737,0;0,41960;22435,109854;95039,109854;117474,41960" o:connectangles="247,164,82,82,0"/>
                      <v:fill on="t" focussize="0,0"/>
                      <v:stroke weight="1pt" color="#FFFF00 [2404]" miterlimit="8" joinstyle="miter"/>
                      <v:imagedata o:title=""/>
                      <o:lock v:ext="edit" aspectratio="f"/>
                    </v:shape>
                  </w:pict>
                </mc:Fallback>
              </mc:AlternateContent>
            </w:r>
            <w:r>
              <w:rPr>
                <w:sz w:val="24"/>
              </w:rPr>
              <mc:AlternateContent>
                <mc:Choice Requires="wps">
                  <w:drawing>
                    <wp:anchor distT="0" distB="0" distL="114300" distR="114300" simplePos="0" relativeHeight="251674624" behindDoc="0" locked="0" layoutInCell="1" allowOverlap="1">
                      <wp:simplePos x="0" y="0"/>
                      <wp:positionH relativeFrom="column">
                        <wp:posOffset>1737995</wp:posOffset>
                      </wp:positionH>
                      <wp:positionV relativeFrom="paragraph">
                        <wp:posOffset>1518920</wp:posOffset>
                      </wp:positionV>
                      <wp:extent cx="117475" cy="109855"/>
                      <wp:effectExtent l="19685" t="20320" r="34290" b="22225"/>
                      <wp:wrapNone/>
                      <wp:docPr id="31" name="五角星 31"/>
                      <wp:cNvGraphicFramePr/>
                      <a:graphic xmlns:a="http://schemas.openxmlformats.org/drawingml/2006/main">
                        <a:graphicData uri="http://schemas.microsoft.com/office/word/2010/wordprocessingShape">
                          <wps:wsp>
                            <wps:cNvSpPr/>
                            <wps:spPr>
                              <a:xfrm>
                                <a:off x="2978785" y="3432810"/>
                                <a:ext cx="117475" cy="10985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36.85pt;margin-top:119.6pt;height:8.65pt;width:9.25pt;z-index:251674624;v-text-anchor:middle;mso-width-relative:page;mso-height-relative:page;" fillcolor="#FFFF00" filled="t" stroked="t" coordsize="117475,109855" o:gfxdata="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Cg5B4b2AAAAAsBAAAPAAAAAAAAAAEAIAAA&#10;ACIAAABkcnMvZG93bnJldi54bWxQSwECFAAUAAAACACHTuJAia4sa34CAAAFBQAADgAAAAAAAAAB&#10;ACAAAAAnAQAAZHJzL2Uyb0RvYy54bWxQSwUGAAAAAAYABgBZAQAAFwYAAAAA&#10;" path="m0,41960l44871,41961,58737,0,72603,41961,117474,41960,81172,67893,95039,109854,58737,83921,22435,109854,36302,67893xe">
                      <v:path o:connectlocs="58737,0;0,41960;22435,109854;95039,109854;117474,41960" o:connectangles="247,164,82,82,0"/>
                      <v:fill on="t" focussize="0,0"/>
                      <v:stroke weight="1pt" color="#FFFF00 [2404]" miterlimit="8" joinstyle="miter"/>
                      <v:imagedata o:title=""/>
                      <o:lock v:ext="edit" aspectratio="f"/>
                    </v:shape>
                  </w:pict>
                </mc:Fallback>
              </mc:AlternateContent>
            </w:r>
            <w:r>
              <w:rPr>
                <w:rFonts w:hint="eastAsia"/>
                <w:b/>
                <w:color w:val="0000FF"/>
                <w:sz w:val="21"/>
              </w:rPr>
              <w:drawing>
                <wp:inline distT="0" distB="0" distL="114300" distR="114300">
                  <wp:extent cx="5441315" cy="4577715"/>
                  <wp:effectExtent l="9525" t="9525" r="16510" b="22860"/>
                  <wp:docPr id="21" name="图片 21" descr="声环境功能区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声环境功能区划图"/>
                          <pic:cNvPicPr>
                            <a:picLocks noChangeAspect="1"/>
                          </pic:cNvPicPr>
                        </pic:nvPicPr>
                        <pic:blipFill>
                          <a:blip r:embed="rId41"/>
                          <a:stretch>
                            <a:fillRect/>
                          </a:stretch>
                        </pic:blipFill>
                        <pic:spPr>
                          <a:xfrm>
                            <a:off x="0" y="0"/>
                            <a:ext cx="5441315" cy="4577715"/>
                          </a:xfrm>
                          <a:prstGeom prst="rect">
                            <a:avLst/>
                          </a:prstGeom>
                          <a:ln>
                            <a:solidFill>
                              <a:schemeClr val="tx1"/>
                            </a:solidFill>
                          </a:ln>
                        </pic:spPr>
                      </pic:pic>
                    </a:graphicData>
                  </a:graphic>
                </wp:inline>
              </w:drawing>
            </w:r>
          </w:p>
          <w:p w14:paraId="79079020">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图 </w:t>
            </w:r>
            <w:r>
              <w:rPr>
                <w:rFonts w:hint="eastAsia"/>
                <w:lang w:val="en-US" w:eastAsia="zh-CN"/>
              </w:rPr>
              <w:t>3</w:t>
            </w:r>
            <w:r>
              <w:rPr>
                <w:rFonts w:hint="eastAsia"/>
                <w:lang w:eastAsia="zh-CN"/>
              </w:rPr>
              <w:t>-</w:t>
            </w:r>
            <w:r>
              <w:fldChar w:fldCharType="begin"/>
            </w:r>
            <w:r>
              <w:instrText xml:space="preserve"> SEQ 图 \* ARABIC \s 1 </w:instrText>
            </w:r>
            <w:r>
              <w:fldChar w:fldCharType="separate"/>
            </w:r>
            <w:r>
              <w:t>2</w:t>
            </w:r>
            <w:r>
              <w:fldChar w:fldCharType="end"/>
            </w:r>
            <w:r>
              <w:rPr>
                <w:rFonts w:hint="eastAsia"/>
                <w:lang w:val="en-US" w:eastAsia="zh-CN"/>
              </w:rPr>
              <w:t xml:space="preserve"> </w:t>
            </w:r>
            <w:r>
              <w:rPr>
                <w:rFonts w:hint="eastAsia"/>
                <w:b/>
                <w:color w:val="auto"/>
                <w:sz w:val="21"/>
              </w:rPr>
              <w:t>本项目所在声功能区划图</w:t>
            </w:r>
          </w:p>
          <w:p w14:paraId="2766F094">
            <w:pPr>
              <w:pStyle w:val="179"/>
              <w:framePr w:hSpace="0" w:wrap="auto" w:vAnchor="margin" w:hAnchor="text" w:xAlign="left" w:yAlign="inline"/>
              <w:ind w:firstLine="482"/>
              <w:rPr>
                <w:color w:val="auto"/>
              </w:rPr>
            </w:pPr>
            <w:r>
              <w:rPr>
                <w:rFonts w:hint="eastAsia"/>
                <w:color w:val="auto"/>
              </w:rPr>
              <w:t>3</w:t>
            </w:r>
            <w:r>
              <w:rPr>
                <w:color w:val="auto"/>
              </w:rPr>
              <w:t>.1.4</w:t>
            </w:r>
            <w:r>
              <w:rPr>
                <w:rFonts w:hint="eastAsia" w:ascii="宋体" w:hAnsi="宋体" w:cs="宋体"/>
                <w:color w:val="auto"/>
              </w:rPr>
              <w:t>电磁辐射</w:t>
            </w:r>
          </w:p>
          <w:p w14:paraId="332834C2">
            <w:pPr>
              <w:pStyle w:val="669"/>
              <w:rPr>
                <w:color w:val="auto"/>
              </w:rPr>
            </w:pPr>
            <w:r>
              <w:rPr>
                <w:color w:val="auto"/>
              </w:rPr>
              <w:t>项目不涉及电磁辐射，无需对电磁辐射现状开展监测与评价。</w:t>
            </w:r>
          </w:p>
          <w:p w14:paraId="287CCBE6">
            <w:pPr>
              <w:pStyle w:val="179"/>
              <w:framePr w:hSpace="0" w:wrap="auto" w:vAnchor="margin" w:hAnchor="text" w:xAlign="left" w:yAlign="inline"/>
              <w:ind w:firstLine="482"/>
              <w:rPr>
                <w:color w:val="auto"/>
              </w:rPr>
            </w:pPr>
            <w:r>
              <w:rPr>
                <w:rFonts w:hint="eastAsia"/>
                <w:color w:val="auto"/>
              </w:rPr>
              <w:t>3</w:t>
            </w:r>
            <w:r>
              <w:rPr>
                <w:color w:val="auto"/>
              </w:rPr>
              <w:t>.1.5</w:t>
            </w:r>
            <w:r>
              <w:rPr>
                <w:rFonts w:hint="eastAsia"/>
                <w:color w:val="auto"/>
              </w:rPr>
              <w:t>地下水、土壤环境</w:t>
            </w:r>
          </w:p>
          <w:p w14:paraId="56A6ECBA">
            <w:pPr>
              <w:pStyle w:val="669"/>
              <w:rPr>
                <w:color w:val="auto"/>
              </w:rPr>
            </w:pPr>
            <w:r>
              <w:rPr>
                <w:rFonts w:hint="eastAsia"/>
                <w:color w:val="auto"/>
              </w:rPr>
              <w:t>本项目生产过程中采取源头控制和分区防渗等措施后，正常生产时不存在土壤、地下水污染途径，故无需开展地下水、土壤环境现状调查。</w:t>
            </w:r>
          </w:p>
          <w:p w14:paraId="5CD481EC">
            <w:pPr>
              <w:shd w:val="clear" w:color="auto" w:fill="FFFFFF"/>
              <w:autoSpaceDE w:val="0"/>
              <w:autoSpaceDN w:val="0"/>
              <w:adjustRightInd w:val="0"/>
              <w:spacing w:after="0" w:line="460" w:lineRule="exact"/>
              <w:ind w:firstLine="482" w:firstLineChars="200"/>
              <w:outlineLvl w:val="1"/>
              <w:rPr>
                <w:b/>
                <w:bCs/>
                <w:color w:val="auto"/>
                <w:szCs w:val="24"/>
              </w:rPr>
            </w:pPr>
            <w:r>
              <w:rPr>
                <w:rFonts w:hint="eastAsia"/>
                <w:b/>
                <w:bCs/>
                <w:color w:val="auto"/>
                <w:szCs w:val="24"/>
              </w:rPr>
              <w:t>3</w:t>
            </w:r>
            <w:r>
              <w:rPr>
                <w:b/>
                <w:bCs/>
                <w:color w:val="auto"/>
                <w:szCs w:val="24"/>
              </w:rPr>
              <w:t>.1.</w:t>
            </w:r>
            <w:r>
              <w:rPr>
                <w:rFonts w:hint="eastAsia"/>
                <w:b/>
                <w:bCs/>
                <w:color w:val="auto"/>
                <w:szCs w:val="24"/>
              </w:rPr>
              <w:t xml:space="preserve">6 </w:t>
            </w:r>
            <w:r>
              <w:rPr>
                <w:b/>
                <w:color w:val="auto"/>
                <w:szCs w:val="24"/>
              </w:rPr>
              <w:t>生态环境</w:t>
            </w:r>
          </w:p>
          <w:p w14:paraId="5F891938">
            <w:pPr>
              <w:pStyle w:val="669"/>
              <w:rPr>
                <w:color w:val="0000FF"/>
              </w:rPr>
            </w:pPr>
            <w:r>
              <w:rPr>
                <w:color w:val="auto"/>
              </w:rPr>
              <w:t>本项目在淮南经济技术开发区</w:t>
            </w:r>
            <w:r>
              <w:rPr>
                <w:rFonts w:hint="eastAsia" w:hAnsi="宋体"/>
                <w:color w:val="auto"/>
                <w:lang w:eastAsia="zh-CN"/>
              </w:rPr>
              <w:t>高端装备产业园</w:t>
            </w:r>
            <w:r>
              <w:rPr>
                <w:rFonts w:hint="eastAsia" w:hAnsi="宋体"/>
                <w:color w:val="auto"/>
                <w:lang w:val="en-US" w:eastAsia="zh-CN"/>
              </w:rPr>
              <w:t>X4号楼1层</w:t>
            </w:r>
            <w:r>
              <w:rPr>
                <w:rFonts w:hint="eastAsia"/>
                <w:color w:val="auto"/>
              </w:rPr>
              <w:t>实施建设，用地范围内无生态环境保护目标，无需</w:t>
            </w:r>
            <w:r>
              <w:rPr>
                <w:color w:val="auto"/>
              </w:rPr>
              <w:t>进行生态现状调查。</w:t>
            </w:r>
          </w:p>
        </w:tc>
      </w:tr>
      <w:tr w14:paraId="7006F9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59" w:type="dxa"/>
            <w:tcBorders>
              <w:top w:val="single" w:color="auto" w:sz="4" w:space="0"/>
              <w:left w:val="single" w:color="auto" w:sz="4" w:space="0"/>
              <w:bottom w:val="single" w:color="auto" w:sz="4" w:space="0"/>
              <w:right w:val="single" w:color="auto" w:sz="4" w:space="0"/>
            </w:tcBorders>
            <w:vAlign w:val="center"/>
          </w:tcPr>
          <w:p w14:paraId="7A60E082">
            <w:pPr>
              <w:adjustRightInd w:val="0"/>
              <w:spacing w:before="2400" w:beforeLines="1000" w:after="0" w:line="240" w:lineRule="auto"/>
              <w:jc w:val="center"/>
              <w:outlineLvl w:val="1"/>
              <w:rPr>
                <w:color w:val="0000FF"/>
              </w:rPr>
            </w:pPr>
            <w:r>
              <w:rPr>
                <w:color w:val="auto"/>
              </w:rPr>
              <w:t>环境保护目标</w:t>
            </w:r>
          </w:p>
        </w:tc>
        <w:tc>
          <w:tcPr>
            <w:tcW w:w="8267" w:type="dxa"/>
            <w:tcBorders>
              <w:top w:val="single" w:color="auto" w:sz="4" w:space="0"/>
              <w:left w:val="single" w:color="auto" w:sz="4" w:space="0"/>
              <w:bottom w:val="single" w:color="auto" w:sz="4" w:space="0"/>
              <w:right w:val="single" w:color="auto" w:sz="4" w:space="0"/>
            </w:tcBorders>
            <w:vAlign w:val="center"/>
          </w:tcPr>
          <w:p w14:paraId="7191E70A">
            <w:pPr>
              <w:pStyle w:val="598"/>
              <w:framePr w:hSpace="0" w:wrap="auto" w:vAnchor="margin" w:hAnchor="text" w:xAlign="left" w:yAlign="inline"/>
              <w:rPr>
                <w:color w:val="auto"/>
              </w:rPr>
            </w:pPr>
            <w:r>
              <w:rPr>
                <w:color w:val="auto"/>
              </w:rPr>
              <w:t>3.2项目环境保护目标</w:t>
            </w:r>
          </w:p>
          <w:p w14:paraId="055968BE">
            <w:pPr>
              <w:pStyle w:val="180"/>
              <w:wordWrap/>
              <w:ind w:firstLine="482"/>
              <w:outlineLvl w:val="1"/>
              <w:rPr>
                <w:b/>
                <w:color w:val="auto"/>
              </w:rPr>
            </w:pPr>
            <w:bookmarkStart w:id="24" w:name="_Hlk178607550"/>
            <w:r>
              <w:rPr>
                <w:rFonts w:hint="eastAsia"/>
                <w:b/>
                <w:color w:val="auto"/>
              </w:rPr>
              <w:t>3.2.1 大气环境</w:t>
            </w:r>
          </w:p>
          <w:p w14:paraId="5213E91C">
            <w:pPr>
              <w:pStyle w:val="180"/>
              <w:wordWrap/>
              <w:ind w:firstLine="480"/>
              <w:outlineLvl w:val="1"/>
              <w:rPr>
                <w:rFonts w:hint="default" w:eastAsia="宋体"/>
                <w:color w:val="auto"/>
                <w:lang w:val="en-US" w:eastAsia="zh-CN"/>
              </w:rPr>
            </w:pPr>
            <w:r>
              <w:rPr>
                <w:rFonts w:hint="eastAsia"/>
                <w:color w:val="auto"/>
              </w:rPr>
              <w:t>本项目</w:t>
            </w:r>
            <w:r>
              <w:rPr>
                <w:color w:val="auto"/>
              </w:rPr>
              <w:t>厂界外500m范围内无自然保护区、风景名胜区和文物古迹等需要特殊保护的环境敏感对象</w:t>
            </w:r>
            <w:r>
              <w:rPr>
                <w:rFonts w:hint="eastAsia"/>
                <w:color w:val="auto"/>
              </w:rPr>
              <w:t>。</w:t>
            </w:r>
            <w:r>
              <w:rPr>
                <w:rFonts w:hint="eastAsia"/>
                <w:color w:val="auto"/>
                <w:lang w:eastAsia="zh-CN"/>
              </w:rPr>
              <w:t>厂界外</w:t>
            </w:r>
            <w:r>
              <w:rPr>
                <w:rFonts w:hint="eastAsia"/>
                <w:color w:val="auto"/>
                <w:lang w:val="en-US" w:eastAsia="zh-CN"/>
              </w:rPr>
              <w:t>500m范围内存在园区宿舍楼。</w:t>
            </w:r>
          </w:p>
          <w:p w14:paraId="60E2B7D4">
            <w:pPr>
              <w:pStyle w:val="180"/>
              <w:wordWrap/>
              <w:ind w:firstLine="482"/>
              <w:outlineLvl w:val="1"/>
              <w:rPr>
                <w:b/>
                <w:color w:val="auto"/>
              </w:rPr>
            </w:pPr>
            <w:r>
              <w:rPr>
                <w:rFonts w:hint="eastAsia"/>
                <w:b/>
                <w:color w:val="auto"/>
              </w:rPr>
              <w:t>3.2.2 声环境</w:t>
            </w:r>
          </w:p>
          <w:p w14:paraId="74B325FD">
            <w:pPr>
              <w:pStyle w:val="180"/>
              <w:wordWrap/>
              <w:ind w:firstLine="480"/>
              <w:outlineLvl w:val="1"/>
              <w:rPr>
                <w:color w:val="auto"/>
              </w:rPr>
            </w:pPr>
            <w:r>
              <w:rPr>
                <w:rFonts w:hint="eastAsia"/>
                <w:color w:val="auto"/>
              </w:rPr>
              <w:t>本项目所在地为3类声环境功能区，区域声环境执行《声环境质量标准》（GB3096-2008）中的</w:t>
            </w:r>
            <w:r>
              <w:rPr>
                <w:color w:val="auto"/>
              </w:rPr>
              <w:t>3</w:t>
            </w:r>
            <w:r>
              <w:rPr>
                <w:rFonts w:hint="eastAsia"/>
                <w:color w:val="auto"/>
              </w:rPr>
              <w:t>类标准，厂界外50m范围内无声环境保护目标。</w:t>
            </w:r>
          </w:p>
          <w:p w14:paraId="17C56348">
            <w:pPr>
              <w:pStyle w:val="180"/>
              <w:wordWrap/>
              <w:ind w:firstLine="482"/>
              <w:outlineLvl w:val="1"/>
              <w:rPr>
                <w:b/>
                <w:color w:val="auto"/>
              </w:rPr>
            </w:pPr>
            <w:r>
              <w:rPr>
                <w:rFonts w:hint="eastAsia"/>
                <w:b/>
                <w:color w:val="auto"/>
              </w:rPr>
              <w:t>3.2.3 水环境</w:t>
            </w:r>
          </w:p>
          <w:p w14:paraId="0A7E8B1D">
            <w:pPr>
              <w:pStyle w:val="180"/>
              <w:wordWrap/>
              <w:ind w:firstLine="480"/>
              <w:outlineLvl w:val="1"/>
              <w:rPr>
                <w:color w:val="auto"/>
              </w:rPr>
            </w:pPr>
            <w:r>
              <w:rPr>
                <w:rFonts w:hint="eastAsia"/>
                <w:color w:val="auto"/>
              </w:rPr>
              <w:t>本项目厂界外500m范围内无地下水集中式饮用水水源和热水、矿泉水、温泉等特殊地下水资源；地表河流为淮河和大涧沟，区域河段为《地表水环境质量标准》</w:t>
            </w:r>
            <w:r>
              <w:rPr>
                <w:rFonts w:hint="eastAsia"/>
                <w:color w:val="auto"/>
                <w:lang w:eastAsia="zh-CN"/>
              </w:rPr>
              <w:t>（</w:t>
            </w:r>
            <w:r>
              <w:rPr>
                <w:rFonts w:hint="eastAsia"/>
                <w:color w:val="auto"/>
              </w:rPr>
              <w:t>GB3838-2002</w:t>
            </w:r>
            <w:r>
              <w:rPr>
                <w:rFonts w:hint="eastAsia"/>
                <w:color w:val="auto"/>
                <w:lang w:eastAsia="zh-CN"/>
              </w:rPr>
              <w:t>）</w:t>
            </w:r>
            <w:r>
              <w:rPr>
                <w:rFonts w:hint="eastAsia"/>
                <w:color w:val="auto"/>
              </w:rPr>
              <w:t>中Ⅲ类水功能区。</w:t>
            </w:r>
          </w:p>
          <w:p w14:paraId="33AB95BA">
            <w:pPr>
              <w:pStyle w:val="180"/>
              <w:wordWrap/>
              <w:ind w:firstLine="482"/>
              <w:outlineLvl w:val="1"/>
              <w:rPr>
                <w:b/>
                <w:color w:val="auto"/>
              </w:rPr>
            </w:pPr>
            <w:r>
              <w:rPr>
                <w:rFonts w:hint="eastAsia"/>
                <w:b/>
                <w:color w:val="auto"/>
              </w:rPr>
              <w:t>3.2.4 生态环境</w:t>
            </w:r>
          </w:p>
          <w:p w14:paraId="589BD144">
            <w:pPr>
              <w:pStyle w:val="180"/>
              <w:wordWrap/>
              <w:ind w:firstLine="480"/>
              <w:outlineLvl w:val="1"/>
              <w:rPr>
                <w:color w:val="auto"/>
              </w:rPr>
            </w:pPr>
            <w:r>
              <w:rPr>
                <w:rFonts w:hint="eastAsia"/>
                <w:color w:val="auto"/>
              </w:rPr>
              <w:t>本项目建设地址为</w:t>
            </w:r>
            <w:r>
              <w:rPr>
                <w:color w:val="auto"/>
              </w:rPr>
              <w:t>安徽省淮南市</w:t>
            </w:r>
            <w:r>
              <w:rPr>
                <w:rFonts w:hint="eastAsia"/>
                <w:color w:val="auto"/>
              </w:rPr>
              <w:t>淮南经济技术开发区</w:t>
            </w:r>
            <w:r>
              <w:rPr>
                <w:rFonts w:hint="eastAsia"/>
                <w:color w:val="auto"/>
                <w:lang w:eastAsia="zh-CN"/>
              </w:rPr>
              <w:t>高端装备产业园</w:t>
            </w:r>
            <w:r>
              <w:rPr>
                <w:rFonts w:hint="eastAsia"/>
                <w:color w:val="auto"/>
                <w:lang w:val="en-US" w:eastAsia="zh-CN"/>
              </w:rPr>
              <w:t>X4号楼一层</w:t>
            </w:r>
            <w:r>
              <w:rPr>
                <w:rFonts w:hint="eastAsia"/>
                <w:color w:val="auto"/>
              </w:rPr>
              <w:t>，不涉及新增用地的，无新增用地范围内生态环境保护目标。</w:t>
            </w:r>
          </w:p>
          <w:p w14:paraId="6CB80F97">
            <w:pPr>
              <w:pStyle w:val="180"/>
              <w:wordWrap/>
              <w:ind w:firstLine="482"/>
              <w:outlineLvl w:val="1"/>
              <w:rPr>
                <w:b/>
                <w:color w:val="auto"/>
              </w:rPr>
            </w:pPr>
            <w:r>
              <w:rPr>
                <w:b/>
                <w:color w:val="auto"/>
              </w:rPr>
              <w:t>3.2.5</w:t>
            </w:r>
            <w:r>
              <w:rPr>
                <w:rFonts w:hint="eastAsia"/>
                <w:b/>
                <w:color w:val="auto"/>
              </w:rPr>
              <w:t xml:space="preserve"> 主要环境保护目标及分布情况</w:t>
            </w:r>
          </w:p>
          <w:p w14:paraId="6C3B17A7">
            <w:pPr>
              <w:pStyle w:val="180"/>
              <w:wordWrap/>
              <w:ind w:firstLine="480"/>
              <w:rPr>
                <w:color w:val="auto"/>
              </w:rPr>
            </w:pPr>
            <w:r>
              <w:rPr>
                <w:rFonts w:hint="eastAsia"/>
                <w:color w:val="auto"/>
              </w:rPr>
              <w:t>本项目周围主要环境保护目标及分布情况见</w:t>
            </w:r>
            <w:r>
              <w:rPr>
                <w:rFonts w:hint="eastAsia"/>
                <w:color w:val="auto"/>
                <w:lang w:eastAsia="zh-CN"/>
              </w:rPr>
              <w:t>下表</w:t>
            </w:r>
            <w:r>
              <w:rPr>
                <w:color w:val="auto"/>
              </w:rPr>
              <w:t>，</w:t>
            </w:r>
            <w:r>
              <w:rPr>
                <w:rFonts w:hint="eastAsia"/>
                <w:color w:val="auto"/>
              </w:rPr>
              <w:t>项目500m范围内大气环境保护目标分布图见</w:t>
            </w:r>
            <w:r>
              <w:rPr>
                <w:rFonts w:hint="eastAsia"/>
                <w:color w:val="auto"/>
                <w:lang w:eastAsia="zh-CN"/>
              </w:rPr>
              <w:t>下图</w:t>
            </w:r>
            <w:r>
              <w:rPr>
                <w:rFonts w:hint="eastAsia"/>
                <w:color w:val="auto"/>
              </w:rPr>
              <w:t>。</w:t>
            </w:r>
          </w:p>
          <w:bookmarkEnd w:id="24"/>
          <w:p w14:paraId="07916912">
            <w:pPr>
              <w:pStyle w:val="17"/>
              <w:keepNext w:val="0"/>
              <w:keepLines w:val="0"/>
              <w:pageBreakBefore w:val="0"/>
              <w:kinsoku/>
              <w:wordWrap/>
              <w:overflowPunct/>
              <w:topLinePunct w:val="0"/>
              <w:autoSpaceDE/>
              <w:autoSpaceDN/>
              <w:bidi w:val="0"/>
              <w:adjustRightInd w:val="0"/>
              <w:snapToGrid w:val="0"/>
              <w:spacing w:after="0" w:line="240" w:lineRule="auto"/>
              <w:textAlignment w:val="auto"/>
            </w:pPr>
            <w:bookmarkStart w:id="25" w:name="_Hlk173503795"/>
            <w:r>
              <w:t xml:space="preserve">表 </w:t>
            </w:r>
            <w:r>
              <w:rPr>
                <w:rFonts w:hint="eastAsia"/>
                <w:lang w:val="en-US" w:eastAsia="zh-CN"/>
              </w:rPr>
              <w:t>3</w:t>
            </w:r>
            <w:r>
              <w:rPr>
                <w:rFonts w:hint="eastAsia"/>
                <w:lang w:eastAsia="zh-CN"/>
              </w:rPr>
              <w:t>-</w:t>
            </w:r>
            <w:r>
              <w:fldChar w:fldCharType="begin"/>
            </w:r>
            <w:r>
              <w:instrText xml:space="preserve"> SEQ 表 \* ARABIC \s 1 </w:instrText>
            </w:r>
            <w:r>
              <w:fldChar w:fldCharType="separate"/>
            </w:r>
            <w:r>
              <w:t>5</w:t>
            </w:r>
            <w:r>
              <w:fldChar w:fldCharType="end"/>
            </w:r>
            <w:r>
              <w:rPr>
                <w:color w:val="auto"/>
              </w:rPr>
              <w:t xml:space="preserve"> 本项目主要环境保护目标</w:t>
            </w:r>
          </w:p>
          <w:tbl>
            <w:tblPr>
              <w:tblStyle w:val="57"/>
              <w:tblpPr w:leftFromText="181" w:rightFromText="181" w:vertAnchor="text" w:tblpXSpec="center" w:tblpY="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97"/>
              <w:gridCol w:w="1219"/>
              <w:gridCol w:w="1154"/>
              <w:gridCol w:w="1177"/>
              <w:gridCol w:w="981"/>
              <w:gridCol w:w="1728"/>
              <w:gridCol w:w="596"/>
              <w:gridCol w:w="449"/>
              <w:gridCol w:w="663"/>
            </w:tblGrid>
            <w:tr w14:paraId="29407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dxa"/>
                  <w:vMerge w:val="restart"/>
                  <w:vAlign w:val="center"/>
                </w:tcPr>
                <w:p w14:paraId="5D6E1A59">
                  <w:pPr>
                    <w:pStyle w:val="286"/>
                    <w:framePr w:hSpace="0" w:wrap="auto" w:vAnchor="margin" w:hAnchor="text" w:xAlign="left" w:yAlign="inline"/>
                    <w:rPr>
                      <w:color w:val="auto"/>
                    </w:rPr>
                  </w:pPr>
                  <w:r>
                    <w:rPr>
                      <w:color w:val="auto"/>
                    </w:rPr>
                    <w:t>类别</w:t>
                  </w:r>
                </w:p>
              </w:tc>
              <w:tc>
                <w:tcPr>
                  <w:tcW w:w="1219" w:type="dxa"/>
                  <w:vMerge w:val="restart"/>
                  <w:vAlign w:val="center"/>
                </w:tcPr>
                <w:p w14:paraId="63F5AB63">
                  <w:pPr>
                    <w:pStyle w:val="286"/>
                    <w:framePr w:hSpace="0" w:wrap="auto" w:vAnchor="margin" w:hAnchor="text" w:xAlign="left" w:yAlign="inline"/>
                    <w:rPr>
                      <w:color w:val="auto"/>
                    </w:rPr>
                  </w:pPr>
                  <w:r>
                    <w:rPr>
                      <w:color w:val="auto"/>
                    </w:rPr>
                    <w:t>保护目标名称</w:t>
                  </w:r>
                </w:p>
              </w:tc>
              <w:tc>
                <w:tcPr>
                  <w:tcW w:w="2331" w:type="dxa"/>
                  <w:gridSpan w:val="2"/>
                  <w:vAlign w:val="center"/>
                </w:tcPr>
                <w:p w14:paraId="62BCD3BF">
                  <w:pPr>
                    <w:pStyle w:val="286"/>
                    <w:framePr w:hSpace="0" w:wrap="auto" w:vAnchor="margin" w:hAnchor="text" w:xAlign="left" w:yAlign="inline"/>
                    <w:rPr>
                      <w:color w:val="auto"/>
                    </w:rPr>
                  </w:pPr>
                  <w:r>
                    <w:rPr>
                      <w:color w:val="auto"/>
                    </w:rPr>
                    <w:t>坐标</w:t>
                  </w:r>
                </w:p>
              </w:tc>
              <w:tc>
                <w:tcPr>
                  <w:tcW w:w="981" w:type="dxa"/>
                  <w:vMerge w:val="restart"/>
                  <w:vAlign w:val="center"/>
                </w:tcPr>
                <w:p w14:paraId="01143DFA">
                  <w:pPr>
                    <w:pStyle w:val="286"/>
                    <w:framePr w:hSpace="0" w:wrap="auto" w:vAnchor="margin" w:hAnchor="text" w:xAlign="left" w:yAlign="inline"/>
                    <w:rPr>
                      <w:color w:val="auto"/>
                    </w:rPr>
                  </w:pPr>
                  <w:r>
                    <w:rPr>
                      <w:color w:val="auto"/>
                    </w:rPr>
                    <w:t>保护对象</w:t>
                  </w:r>
                </w:p>
              </w:tc>
              <w:tc>
                <w:tcPr>
                  <w:tcW w:w="1728" w:type="dxa"/>
                  <w:vMerge w:val="restart"/>
                  <w:vAlign w:val="center"/>
                </w:tcPr>
                <w:p w14:paraId="009A4F67">
                  <w:pPr>
                    <w:pStyle w:val="286"/>
                    <w:framePr w:hSpace="0" w:wrap="auto" w:vAnchor="margin" w:hAnchor="text" w:xAlign="left" w:yAlign="inline"/>
                    <w:rPr>
                      <w:color w:val="auto"/>
                    </w:rPr>
                  </w:pPr>
                  <w:r>
                    <w:rPr>
                      <w:color w:val="auto"/>
                    </w:rPr>
                    <w:t>保护</w:t>
                  </w:r>
                </w:p>
                <w:p w14:paraId="3AE4E302">
                  <w:pPr>
                    <w:pStyle w:val="286"/>
                    <w:framePr w:hSpace="0" w:wrap="auto" w:vAnchor="margin" w:hAnchor="text" w:xAlign="left" w:yAlign="inline"/>
                    <w:rPr>
                      <w:color w:val="auto"/>
                    </w:rPr>
                  </w:pPr>
                  <w:r>
                    <w:rPr>
                      <w:color w:val="auto"/>
                    </w:rPr>
                    <w:t>内容</w:t>
                  </w:r>
                </w:p>
              </w:tc>
              <w:tc>
                <w:tcPr>
                  <w:tcW w:w="596" w:type="dxa"/>
                  <w:vMerge w:val="restart"/>
                  <w:vAlign w:val="center"/>
                </w:tcPr>
                <w:p w14:paraId="79E598BA">
                  <w:pPr>
                    <w:pStyle w:val="286"/>
                    <w:framePr w:hSpace="0" w:wrap="auto" w:vAnchor="margin" w:hAnchor="text" w:xAlign="left" w:yAlign="inline"/>
                    <w:rPr>
                      <w:color w:val="auto"/>
                    </w:rPr>
                  </w:pPr>
                  <w:r>
                    <w:rPr>
                      <w:color w:val="auto"/>
                    </w:rPr>
                    <w:t>环境功能区</w:t>
                  </w:r>
                </w:p>
              </w:tc>
              <w:tc>
                <w:tcPr>
                  <w:tcW w:w="448" w:type="dxa"/>
                  <w:vMerge w:val="restart"/>
                  <w:vAlign w:val="center"/>
                </w:tcPr>
                <w:p w14:paraId="782116B8">
                  <w:pPr>
                    <w:pStyle w:val="286"/>
                    <w:framePr w:hSpace="0" w:wrap="auto" w:vAnchor="margin" w:hAnchor="text" w:xAlign="left" w:yAlign="inline"/>
                    <w:rPr>
                      <w:color w:val="auto"/>
                    </w:rPr>
                  </w:pPr>
                  <w:r>
                    <w:rPr>
                      <w:color w:val="auto"/>
                    </w:rPr>
                    <w:t>相对厂址方位</w:t>
                  </w:r>
                </w:p>
              </w:tc>
              <w:tc>
                <w:tcPr>
                  <w:tcW w:w="662" w:type="dxa"/>
                  <w:vMerge w:val="restart"/>
                  <w:vAlign w:val="center"/>
                </w:tcPr>
                <w:p w14:paraId="28719A7D">
                  <w:pPr>
                    <w:pStyle w:val="286"/>
                    <w:framePr w:hSpace="0" w:wrap="auto" w:vAnchor="margin" w:hAnchor="text" w:xAlign="left" w:yAlign="inline"/>
                    <w:rPr>
                      <w:rFonts w:hint="eastAsia" w:eastAsia="宋体"/>
                      <w:color w:val="auto"/>
                      <w:lang w:eastAsia="zh-CN"/>
                    </w:rPr>
                  </w:pPr>
                  <w:r>
                    <w:rPr>
                      <w:color w:val="auto"/>
                    </w:rPr>
                    <w:t>相对厂界距离</w:t>
                  </w:r>
                  <w:r>
                    <w:rPr>
                      <w:rFonts w:hint="eastAsia"/>
                      <w:color w:val="auto"/>
                      <w:lang w:eastAsia="zh-CN"/>
                    </w:rPr>
                    <w:t>（</w:t>
                  </w:r>
                  <w:r>
                    <w:rPr>
                      <w:color w:val="auto"/>
                    </w:rPr>
                    <w:t>m</w:t>
                  </w:r>
                  <w:r>
                    <w:rPr>
                      <w:rFonts w:hint="eastAsia"/>
                      <w:color w:val="auto"/>
                      <w:lang w:eastAsia="zh-CN"/>
                    </w:rPr>
                    <w:t>）</w:t>
                  </w:r>
                </w:p>
              </w:tc>
            </w:tr>
            <w:tr w14:paraId="246CF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dxa"/>
                  <w:vMerge w:val="continue"/>
                  <w:vAlign w:val="center"/>
                </w:tcPr>
                <w:p w14:paraId="29B44964">
                  <w:pPr>
                    <w:pStyle w:val="286"/>
                    <w:framePr w:hSpace="0" w:wrap="auto" w:vAnchor="margin" w:hAnchor="text" w:xAlign="left" w:yAlign="inline"/>
                    <w:rPr>
                      <w:color w:val="auto"/>
                    </w:rPr>
                  </w:pPr>
                </w:p>
              </w:tc>
              <w:tc>
                <w:tcPr>
                  <w:tcW w:w="1219" w:type="dxa"/>
                  <w:vMerge w:val="continue"/>
                  <w:vAlign w:val="center"/>
                </w:tcPr>
                <w:p w14:paraId="04705447">
                  <w:pPr>
                    <w:pStyle w:val="286"/>
                    <w:framePr w:hSpace="0" w:wrap="auto" w:vAnchor="margin" w:hAnchor="text" w:xAlign="left" w:yAlign="inline"/>
                    <w:rPr>
                      <w:color w:val="auto"/>
                    </w:rPr>
                  </w:pPr>
                </w:p>
              </w:tc>
              <w:tc>
                <w:tcPr>
                  <w:tcW w:w="1154" w:type="dxa"/>
                  <w:vAlign w:val="center"/>
                </w:tcPr>
                <w:p w14:paraId="645DDE30">
                  <w:pPr>
                    <w:pStyle w:val="286"/>
                    <w:framePr w:hSpace="0" w:wrap="auto" w:vAnchor="margin" w:hAnchor="text" w:xAlign="left" w:yAlign="inline"/>
                    <w:rPr>
                      <w:color w:val="auto"/>
                    </w:rPr>
                  </w:pPr>
                  <w:r>
                    <w:rPr>
                      <w:color w:val="auto"/>
                    </w:rPr>
                    <w:t>东经（°）</w:t>
                  </w:r>
                </w:p>
              </w:tc>
              <w:tc>
                <w:tcPr>
                  <w:tcW w:w="1177" w:type="dxa"/>
                  <w:vAlign w:val="center"/>
                </w:tcPr>
                <w:p w14:paraId="0021D2B3">
                  <w:pPr>
                    <w:pStyle w:val="286"/>
                    <w:framePr w:hSpace="0" w:wrap="auto" w:vAnchor="margin" w:hAnchor="text" w:xAlign="left" w:yAlign="inline"/>
                    <w:rPr>
                      <w:color w:val="auto"/>
                    </w:rPr>
                  </w:pPr>
                  <w:r>
                    <w:rPr>
                      <w:color w:val="auto"/>
                    </w:rPr>
                    <w:t>北纬（°）</w:t>
                  </w:r>
                </w:p>
              </w:tc>
              <w:tc>
                <w:tcPr>
                  <w:tcW w:w="981" w:type="dxa"/>
                  <w:vMerge w:val="continue"/>
                  <w:vAlign w:val="center"/>
                </w:tcPr>
                <w:p w14:paraId="2C9CC8C9">
                  <w:pPr>
                    <w:pStyle w:val="286"/>
                    <w:framePr w:hSpace="0" w:wrap="auto" w:vAnchor="margin" w:hAnchor="text" w:xAlign="left" w:yAlign="inline"/>
                    <w:rPr>
                      <w:color w:val="auto"/>
                    </w:rPr>
                  </w:pPr>
                </w:p>
              </w:tc>
              <w:tc>
                <w:tcPr>
                  <w:tcW w:w="1728" w:type="dxa"/>
                  <w:vMerge w:val="continue"/>
                  <w:vAlign w:val="center"/>
                </w:tcPr>
                <w:p w14:paraId="15CFA3DC">
                  <w:pPr>
                    <w:pStyle w:val="286"/>
                    <w:framePr w:hSpace="0" w:wrap="auto" w:vAnchor="margin" w:hAnchor="text" w:xAlign="left" w:yAlign="inline"/>
                    <w:rPr>
                      <w:color w:val="auto"/>
                    </w:rPr>
                  </w:pPr>
                </w:p>
              </w:tc>
              <w:tc>
                <w:tcPr>
                  <w:tcW w:w="596" w:type="dxa"/>
                  <w:vMerge w:val="continue"/>
                  <w:vAlign w:val="center"/>
                </w:tcPr>
                <w:p w14:paraId="59CDF2CE">
                  <w:pPr>
                    <w:pStyle w:val="286"/>
                    <w:framePr w:hSpace="0" w:wrap="auto" w:vAnchor="margin" w:hAnchor="text" w:xAlign="left" w:yAlign="inline"/>
                    <w:rPr>
                      <w:color w:val="auto"/>
                    </w:rPr>
                  </w:pPr>
                </w:p>
              </w:tc>
              <w:tc>
                <w:tcPr>
                  <w:tcW w:w="448" w:type="dxa"/>
                  <w:vMerge w:val="continue"/>
                  <w:vAlign w:val="center"/>
                </w:tcPr>
                <w:p w14:paraId="4CE8B867">
                  <w:pPr>
                    <w:pStyle w:val="286"/>
                    <w:framePr w:hSpace="0" w:wrap="auto" w:vAnchor="margin" w:hAnchor="text" w:xAlign="left" w:yAlign="inline"/>
                    <w:rPr>
                      <w:color w:val="auto"/>
                    </w:rPr>
                  </w:pPr>
                </w:p>
              </w:tc>
              <w:tc>
                <w:tcPr>
                  <w:tcW w:w="662" w:type="dxa"/>
                  <w:vMerge w:val="continue"/>
                  <w:vAlign w:val="center"/>
                </w:tcPr>
                <w:p w14:paraId="16F73305">
                  <w:pPr>
                    <w:pStyle w:val="286"/>
                    <w:framePr w:hSpace="0" w:wrap="auto" w:vAnchor="margin" w:hAnchor="text" w:xAlign="left" w:yAlign="inline"/>
                    <w:rPr>
                      <w:color w:val="auto"/>
                    </w:rPr>
                  </w:pPr>
                </w:p>
              </w:tc>
            </w:tr>
            <w:tr w14:paraId="69413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dxa"/>
                  <w:vMerge w:val="restart"/>
                  <w:vAlign w:val="center"/>
                </w:tcPr>
                <w:p w14:paraId="02D96BC9">
                  <w:pPr>
                    <w:pStyle w:val="286"/>
                    <w:framePr w:hSpace="0" w:wrap="auto" w:vAnchor="margin" w:hAnchor="text" w:xAlign="left" w:yAlign="inline"/>
                    <w:rPr>
                      <w:color w:val="auto"/>
                    </w:rPr>
                  </w:pPr>
                  <w:r>
                    <w:rPr>
                      <w:color w:val="auto"/>
                    </w:rPr>
                    <w:t>大气</w:t>
                  </w:r>
                </w:p>
                <w:p w14:paraId="6A08B1F1">
                  <w:pPr>
                    <w:pStyle w:val="286"/>
                    <w:framePr w:hSpace="0" w:wrap="auto" w:vAnchor="margin" w:hAnchor="text" w:xAlign="left" w:yAlign="inline"/>
                    <w:rPr>
                      <w:color w:val="auto"/>
                    </w:rPr>
                  </w:pPr>
                  <w:r>
                    <w:rPr>
                      <w:color w:val="auto"/>
                    </w:rPr>
                    <w:t>环境</w:t>
                  </w:r>
                </w:p>
              </w:tc>
              <w:tc>
                <w:tcPr>
                  <w:tcW w:w="1219" w:type="dxa"/>
                  <w:vAlign w:val="center"/>
                </w:tcPr>
                <w:p w14:paraId="6A9F6608">
                  <w:pPr>
                    <w:pStyle w:val="286"/>
                    <w:framePr w:hSpace="0" w:wrap="auto" w:vAnchor="margin" w:hAnchor="text" w:xAlign="left" w:yAlign="inline"/>
                    <w:rPr>
                      <w:rFonts w:hint="eastAsia" w:eastAsia="宋体"/>
                      <w:color w:val="auto"/>
                      <w:highlight w:val="yellow"/>
                      <w:lang w:eastAsia="zh-CN"/>
                    </w:rPr>
                  </w:pPr>
                  <w:r>
                    <w:rPr>
                      <w:rFonts w:hint="eastAsia"/>
                      <w:color w:val="auto"/>
                      <w:lang w:eastAsia="zh-CN"/>
                    </w:rPr>
                    <w:t>园区宿舍</w:t>
                  </w:r>
                </w:p>
              </w:tc>
              <w:tc>
                <w:tcPr>
                  <w:tcW w:w="1154" w:type="dxa"/>
                  <w:vAlign w:val="center"/>
                </w:tcPr>
                <w:p w14:paraId="001A3EF1">
                  <w:pPr>
                    <w:pStyle w:val="286"/>
                    <w:framePr w:hSpace="0" w:wrap="auto" w:vAnchor="margin" w:hAnchor="text" w:xAlign="left" w:yAlign="inline"/>
                    <w:rPr>
                      <w:color w:val="auto"/>
                    </w:rPr>
                  </w:pPr>
                  <w:r>
                    <w:rPr>
                      <w:rFonts w:hint="eastAsia"/>
                      <w:color w:val="auto"/>
                    </w:rPr>
                    <w:t>117.07500720</w:t>
                  </w:r>
                  <w:r>
                    <w:rPr>
                      <w:color w:val="auto"/>
                    </w:rPr>
                    <w:t xml:space="preserve"> </w:t>
                  </w:r>
                </w:p>
              </w:tc>
              <w:tc>
                <w:tcPr>
                  <w:tcW w:w="1177" w:type="dxa"/>
                  <w:vAlign w:val="center"/>
                </w:tcPr>
                <w:p w14:paraId="09ED4499">
                  <w:pPr>
                    <w:pStyle w:val="286"/>
                    <w:framePr w:hSpace="0" w:wrap="auto" w:vAnchor="margin" w:hAnchor="text" w:xAlign="left" w:yAlign="inline"/>
                    <w:rPr>
                      <w:color w:val="auto"/>
                    </w:rPr>
                  </w:pPr>
                  <w:r>
                    <w:rPr>
                      <w:rFonts w:hint="eastAsia"/>
                      <w:color w:val="auto"/>
                    </w:rPr>
                    <w:t>32.63631785</w:t>
                  </w:r>
                </w:p>
              </w:tc>
              <w:tc>
                <w:tcPr>
                  <w:tcW w:w="981" w:type="dxa"/>
                  <w:vAlign w:val="center"/>
                </w:tcPr>
                <w:p w14:paraId="6E6D5907">
                  <w:pPr>
                    <w:pStyle w:val="286"/>
                    <w:framePr w:hSpace="0" w:wrap="auto" w:vAnchor="margin" w:hAnchor="text" w:xAlign="left" w:yAlign="inline"/>
                    <w:rPr>
                      <w:color w:val="auto"/>
                    </w:rPr>
                  </w:pPr>
                  <w:r>
                    <w:rPr>
                      <w:rFonts w:hint="eastAsia"/>
                      <w:color w:val="auto"/>
                    </w:rPr>
                    <w:t>居民</w:t>
                  </w:r>
                </w:p>
              </w:tc>
              <w:tc>
                <w:tcPr>
                  <w:tcW w:w="1728" w:type="dxa"/>
                  <w:vAlign w:val="center"/>
                </w:tcPr>
                <w:p w14:paraId="73FD59A4">
                  <w:pPr>
                    <w:pStyle w:val="286"/>
                    <w:framePr w:hSpace="0" w:wrap="auto" w:vAnchor="margin" w:hAnchor="text" w:xAlign="left" w:yAlign="inline"/>
                    <w:rPr>
                      <w:color w:val="auto"/>
                    </w:rPr>
                  </w:pPr>
                  <w:r>
                    <w:rPr>
                      <w:rFonts w:hint="eastAsia"/>
                      <w:color w:val="auto"/>
                    </w:rPr>
                    <w:t>约356户/802人</w:t>
                  </w:r>
                </w:p>
              </w:tc>
              <w:tc>
                <w:tcPr>
                  <w:tcW w:w="596" w:type="dxa"/>
                  <w:vMerge w:val="restart"/>
                  <w:vAlign w:val="center"/>
                </w:tcPr>
                <w:p w14:paraId="370A42D5">
                  <w:pPr>
                    <w:pStyle w:val="286"/>
                    <w:framePr w:hSpace="0" w:wrap="auto" w:vAnchor="margin" w:hAnchor="text" w:xAlign="left" w:yAlign="inline"/>
                    <w:rPr>
                      <w:color w:val="auto"/>
                    </w:rPr>
                  </w:pPr>
                  <w:r>
                    <w:rPr>
                      <w:color w:val="auto"/>
                    </w:rPr>
                    <w:t>二类</w:t>
                  </w:r>
                </w:p>
              </w:tc>
              <w:tc>
                <w:tcPr>
                  <w:tcW w:w="448" w:type="dxa"/>
                  <w:vAlign w:val="center"/>
                </w:tcPr>
                <w:p w14:paraId="1FB2C058">
                  <w:pPr>
                    <w:pStyle w:val="286"/>
                    <w:framePr w:hSpace="0" w:wrap="auto" w:vAnchor="margin" w:hAnchor="text" w:xAlign="left" w:yAlign="inline"/>
                    <w:rPr>
                      <w:color w:val="auto"/>
                    </w:rPr>
                  </w:pPr>
                  <w:r>
                    <w:rPr>
                      <w:rFonts w:hint="eastAsia"/>
                      <w:color w:val="auto"/>
                      <w:lang w:val="en-US" w:eastAsia="zh-CN"/>
                    </w:rPr>
                    <w:t>S</w:t>
                  </w:r>
                  <w:r>
                    <w:rPr>
                      <w:color w:val="auto"/>
                    </w:rPr>
                    <w:t>W</w:t>
                  </w:r>
                </w:p>
              </w:tc>
              <w:tc>
                <w:tcPr>
                  <w:tcW w:w="662" w:type="dxa"/>
                  <w:vAlign w:val="center"/>
                </w:tcPr>
                <w:p w14:paraId="2789B714">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124</w:t>
                  </w:r>
                </w:p>
              </w:tc>
            </w:tr>
            <w:tr w14:paraId="6F508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dxa"/>
                  <w:vMerge w:val="continue"/>
                  <w:vAlign w:val="center"/>
                </w:tcPr>
                <w:p w14:paraId="06AF6ABD">
                  <w:pPr>
                    <w:pStyle w:val="286"/>
                    <w:framePr w:hSpace="0" w:wrap="auto" w:vAnchor="margin" w:hAnchor="text" w:xAlign="left" w:yAlign="inline"/>
                    <w:rPr>
                      <w:color w:val="auto"/>
                    </w:rPr>
                  </w:pPr>
                </w:p>
              </w:tc>
              <w:tc>
                <w:tcPr>
                  <w:tcW w:w="1219" w:type="dxa"/>
                  <w:vAlign w:val="center"/>
                </w:tcPr>
                <w:p w14:paraId="129E91F4">
                  <w:pPr>
                    <w:pStyle w:val="286"/>
                    <w:framePr w:hSpace="0" w:wrap="auto" w:vAnchor="margin" w:hAnchor="text" w:xAlign="left" w:yAlign="inline"/>
                    <w:rPr>
                      <w:rFonts w:hint="eastAsia" w:eastAsia="宋体"/>
                      <w:color w:val="auto"/>
                      <w:lang w:eastAsia="zh-CN"/>
                    </w:rPr>
                  </w:pPr>
                  <w:r>
                    <w:rPr>
                      <w:rFonts w:hint="eastAsia"/>
                      <w:color w:val="auto"/>
                      <w:lang w:eastAsia="zh-CN"/>
                    </w:rPr>
                    <w:t>东方花园</w:t>
                  </w:r>
                </w:p>
              </w:tc>
              <w:tc>
                <w:tcPr>
                  <w:tcW w:w="1154" w:type="dxa"/>
                  <w:vAlign w:val="center"/>
                </w:tcPr>
                <w:p w14:paraId="68520771">
                  <w:pPr>
                    <w:pStyle w:val="286"/>
                    <w:framePr w:hSpace="0" w:wrap="auto" w:vAnchor="margin" w:hAnchor="text" w:xAlign="left" w:yAlign="inline"/>
                    <w:rPr>
                      <w:color w:val="auto"/>
                    </w:rPr>
                  </w:pPr>
                  <w:r>
                    <w:rPr>
                      <w:rFonts w:hint="eastAsia"/>
                      <w:color w:val="auto"/>
                    </w:rPr>
                    <w:t>117.07302236</w:t>
                  </w:r>
                </w:p>
              </w:tc>
              <w:tc>
                <w:tcPr>
                  <w:tcW w:w="1177" w:type="dxa"/>
                  <w:vAlign w:val="center"/>
                </w:tcPr>
                <w:p w14:paraId="2DF47708">
                  <w:pPr>
                    <w:pStyle w:val="286"/>
                    <w:framePr w:hSpace="0" w:wrap="auto" w:vAnchor="margin" w:hAnchor="text" w:xAlign="left" w:yAlign="inline"/>
                    <w:rPr>
                      <w:color w:val="auto"/>
                    </w:rPr>
                  </w:pPr>
                  <w:r>
                    <w:rPr>
                      <w:rFonts w:hint="eastAsia"/>
                      <w:color w:val="auto"/>
                    </w:rPr>
                    <w:t>32.63271833</w:t>
                  </w:r>
                </w:p>
              </w:tc>
              <w:tc>
                <w:tcPr>
                  <w:tcW w:w="981" w:type="dxa"/>
                  <w:vAlign w:val="center"/>
                </w:tcPr>
                <w:p w14:paraId="168746D9">
                  <w:pPr>
                    <w:pStyle w:val="286"/>
                    <w:framePr w:hSpace="0" w:wrap="auto" w:vAnchor="margin" w:hAnchor="text" w:xAlign="left" w:yAlign="inline"/>
                    <w:rPr>
                      <w:color w:val="auto"/>
                    </w:rPr>
                  </w:pPr>
                  <w:r>
                    <w:rPr>
                      <w:rFonts w:hint="eastAsia"/>
                      <w:color w:val="auto"/>
                    </w:rPr>
                    <w:t>居民</w:t>
                  </w:r>
                </w:p>
              </w:tc>
              <w:tc>
                <w:tcPr>
                  <w:tcW w:w="1728" w:type="dxa"/>
                  <w:vAlign w:val="center"/>
                </w:tcPr>
                <w:p w14:paraId="5EB5BD9C">
                  <w:pPr>
                    <w:pStyle w:val="286"/>
                    <w:framePr w:hSpace="0" w:wrap="auto" w:vAnchor="margin" w:hAnchor="text" w:xAlign="left" w:yAlign="inline"/>
                    <w:rPr>
                      <w:color w:val="auto"/>
                    </w:rPr>
                  </w:pPr>
                  <w:r>
                    <w:rPr>
                      <w:color w:val="auto"/>
                    </w:rPr>
                    <w:t>约</w:t>
                  </w:r>
                  <w:r>
                    <w:rPr>
                      <w:rFonts w:hint="eastAsia"/>
                      <w:color w:val="auto"/>
                      <w:lang w:val="en-US" w:eastAsia="zh-CN"/>
                    </w:rPr>
                    <w:t>740户/3</w:t>
                  </w:r>
                  <w:r>
                    <w:rPr>
                      <w:rFonts w:hint="eastAsia"/>
                      <w:color w:val="auto"/>
                    </w:rPr>
                    <w:t>000</w:t>
                  </w:r>
                  <w:r>
                    <w:rPr>
                      <w:color w:val="auto"/>
                    </w:rPr>
                    <w:t>人</w:t>
                  </w:r>
                </w:p>
              </w:tc>
              <w:tc>
                <w:tcPr>
                  <w:tcW w:w="596" w:type="dxa"/>
                  <w:vMerge w:val="continue"/>
                  <w:vAlign w:val="center"/>
                </w:tcPr>
                <w:p w14:paraId="7D37EE26">
                  <w:pPr>
                    <w:pStyle w:val="286"/>
                    <w:framePr w:hSpace="0" w:wrap="auto" w:vAnchor="margin" w:hAnchor="text" w:xAlign="left" w:yAlign="inline"/>
                    <w:rPr>
                      <w:color w:val="auto"/>
                    </w:rPr>
                  </w:pPr>
                </w:p>
              </w:tc>
              <w:tc>
                <w:tcPr>
                  <w:tcW w:w="448" w:type="dxa"/>
                  <w:vAlign w:val="center"/>
                </w:tcPr>
                <w:p w14:paraId="65B817E5">
                  <w:pPr>
                    <w:pStyle w:val="286"/>
                    <w:framePr w:hSpace="0" w:wrap="auto" w:vAnchor="margin" w:hAnchor="text" w:xAlign="left" w:yAlign="inline"/>
                    <w:rPr>
                      <w:color w:val="auto"/>
                    </w:rPr>
                  </w:pPr>
                  <w:r>
                    <w:rPr>
                      <w:rFonts w:hint="eastAsia"/>
                      <w:color w:val="auto"/>
                      <w:lang w:val="en-US" w:eastAsia="zh-CN"/>
                    </w:rPr>
                    <w:t>S</w:t>
                  </w:r>
                  <w:r>
                    <w:rPr>
                      <w:color w:val="auto"/>
                    </w:rPr>
                    <w:t>W</w:t>
                  </w:r>
                </w:p>
              </w:tc>
              <w:tc>
                <w:tcPr>
                  <w:tcW w:w="662" w:type="dxa"/>
                  <w:vAlign w:val="center"/>
                </w:tcPr>
                <w:p w14:paraId="6279A234">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475</w:t>
                  </w:r>
                </w:p>
              </w:tc>
            </w:tr>
            <w:tr w14:paraId="5579C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dxa"/>
                  <w:vMerge w:val="continue"/>
                  <w:vAlign w:val="center"/>
                </w:tcPr>
                <w:p w14:paraId="7E96380A">
                  <w:pPr>
                    <w:pStyle w:val="286"/>
                    <w:framePr w:hSpace="0" w:wrap="auto" w:vAnchor="margin" w:hAnchor="text" w:xAlign="left" w:yAlign="inline"/>
                    <w:rPr>
                      <w:color w:val="auto"/>
                    </w:rPr>
                  </w:pPr>
                </w:p>
              </w:tc>
              <w:tc>
                <w:tcPr>
                  <w:tcW w:w="1219" w:type="dxa"/>
                  <w:vAlign w:val="center"/>
                </w:tcPr>
                <w:p w14:paraId="63F0E612">
                  <w:pPr>
                    <w:pStyle w:val="286"/>
                    <w:framePr w:hSpace="0" w:wrap="auto" w:vAnchor="margin" w:hAnchor="text" w:xAlign="left" w:yAlign="inline"/>
                    <w:rPr>
                      <w:rFonts w:hint="eastAsia" w:eastAsia="宋体"/>
                      <w:color w:val="auto"/>
                      <w:lang w:eastAsia="zh-CN"/>
                    </w:rPr>
                  </w:pPr>
                  <w:r>
                    <w:rPr>
                      <w:rFonts w:hint="eastAsia"/>
                      <w:color w:val="auto"/>
                      <w:lang w:eastAsia="zh-CN"/>
                    </w:rPr>
                    <w:t>淮南世和双语高级中学</w:t>
                  </w:r>
                </w:p>
              </w:tc>
              <w:tc>
                <w:tcPr>
                  <w:tcW w:w="1154" w:type="dxa"/>
                  <w:vAlign w:val="center"/>
                </w:tcPr>
                <w:p w14:paraId="2BB725EB">
                  <w:pPr>
                    <w:pStyle w:val="286"/>
                    <w:framePr w:hSpace="0" w:wrap="auto" w:vAnchor="margin" w:hAnchor="text" w:xAlign="left" w:yAlign="inline"/>
                    <w:rPr>
                      <w:color w:val="auto"/>
                    </w:rPr>
                  </w:pPr>
                  <w:r>
                    <w:rPr>
                      <w:rFonts w:hint="eastAsia"/>
                      <w:color w:val="auto"/>
                    </w:rPr>
                    <w:t>117.06970983</w:t>
                  </w:r>
                </w:p>
              </w:tc>
              <w:tc>
                <w:tcPr>
                  <w:tcW w:w="1177" w:type="dxa"/>
                  <w:vAlign w:val="center"/>
                </w:tcPr>
                <w:p w14:paraId="2C3678FF">
                  <w:pPr>
                    <w:pStyle w:val="286"/>
                    <w:framePr w:hSpace="0" w:wrap="auto" w:vAnchor="margin" w:hAnchor="text" w:xAlign="left" w:yAlign="inline"/>
                    <w:rPr>
                      <w:color w:val="auto"/>
                    </w:rPr>
                  </w:pPr>
                  <w:r>
                    <w:rPr>
                      <w:rFonts w:hint="eastAsia"/>
                      <w:color w:val="auto"/>
                    </w:rPr>
                    <w:t>32.63417477</w:t>
                  </w:r>
                </w:p>
              </w:tc>
              <w:tc>
                <w:tcPr>
                  <w:tcW w:w="981" w:type="dxa"/>
                  <w:vAlign w:val="center"/>
                </w:tcPr>
                <w:p w14:paraId="40CC9332">
                  <w:pPr>
                    <w:pStyle w:val="286"/>
                    <w:framePr w:hSpace="0" w:wrap="auto" w:vAnchor="margin" w:hAnchor="text" w:xAlign="left" w:yAlign="inline"/>
                    <w:rPr>
                      <w:color w:val="auto"/>
                    </w:rPr>
                  </w:pPr>
                  <w:r>
                    <w:rPr>
                      <w:rFonts w:hint="eastAsia"/>
                      <w:color w:val="auto"/>
                    </w:rPr>
                    <w:t>师生</w:t>
                  </w:r>
                </w:p>
              </w:tc>
              <w:tc>
                <w:tcPr>
                  <w:tcW w:w="1728" w:type="dxa"/>
                  <w:vAlign w:val="center"/>
                </w:tcPr>
                <w:p w14:paraId="0337C6BA">
                  <w:pPr>
                    <w:pStyle w:val="286"/>
                    <w:framePr w:hSpace="0" w:wrap="auto" w:vAnchor="margin" w:hAnchor="text" w:xAlign="left" w:yAlign="inline"/>
                    <w:rPr>
                      <w:rFonts w:hint="default" w:eastAsia="宋体"/>
                      <w:color w:val="auto"/>
                      <w:lang w:val="en-US" w:eastAsia="zh-CN"/>
                    </w:rPr>
                  </w:pPr>
                  <w:r>
                    <w:rPr>
                      <w:rFonts w:hint="eastAsia"/>
                      <w:color w:val="auto"/>
                      <w:lang w:eastAsia="zh-CN"/>
                    </w:rPr>
                    <w:t>约</w:t>
                  </w:r>
                  <w:r>
                    <w:rPr>
                      <w:rFonts w:hint="eastAsia"/>
                      <w:color w:val="auto"/>
                      <w:lang w:val="en-US" w:eastAsia="zh-CN"/>
                    </w:rPr>
                    <w:t>50教师/1500学生</w:t>
                  </w:r>
                </w:p>
              </w:tc>
              <w:tc>
                <w:tcPr>
                  <w:tcW w:w="596" w:type="dxa"/>
                  <w:vMerge w:val="continue"/>
                  <w:vAlign w:val="center"/>
                </w:tcPr>
                <w:p w14:paraId="0DCF6DB8">
                  <w:pPr>
                    <w:pStyle w:val="286"/>
                    <w:framePr w:hSpace="0" w:wrap="auto" w:vAnchor="margin" w:hAnchor="text" w:xAlign="left" w:yAlign="inline"/>
                    <w:rPr>
                      <w:color w:val="auto"/>
                    </w:rPr>
                  </w:pPr>
                </w:p>
              </w:tc>
              <w:tc>
                <w:tcPr>
                  <w:tcW w:w="448" w:type="dxa"/>
                  <w:vAlign w:val="center"/>
                </w:tcPr>
                <w:p w14:paraId="69B0DC66">
                  <w:pPr>
                    <w:pStyle w:val="286"/>
                    <w:framePr w:hSpace="0" w:wrap="auto" w:vAnchor="margin" w:hAnchor="text" w:xAlign="left" w:yAlign="inline"/>
                    <w:rPr>
                      <w:color w:val="auto"/>
                    </w:rPr>
                  </w:pPr>
                  <w:r>
                    <w:rPr>
                      <w:rFonts w:hint="eastAsia"/>
                      <w:color w:val="auto"/>
                      <w:lang w:val="en-US" w:eastAsia="zh-CN"/>
                    </w:rPr>
                    <w:t>S</w:t>
                  </w:r>
                  <w:r>
                    <w:rPr>
                      <w:color w:val="auto"/>
                    </w:rPr>
                    <w:t>W</w:t>
                  </w:r>
                </w:p>
              </w:tc>
              <w:tc>
                <w:tcPr>
                  <w:tcW w:w="662" w:type="dxa"/>
                  <w:vAlign w:val="center"/>
                </w:tcPr>
                <w:p w14:paraId="41041A82">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495</w:t>
                  </w:r>
                </w:p>
              </w:tc>
            </w:tr>
            <w:tr w14:paraId="2FB4ED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dxa"/>
                  <w:vAlign w:val="center"/>
                </w:tcPr>
                <w:p w14:paraId="3A653EB2">
                  <w:pPr>
                    <w:pStyle w:val="286"/>
                    <w:framePr w:hSpace="0" w:wrap="auto" w:vAnchor="margin" w:hAnchor="text" w:xAlign="left" w:yAlign="inline"/>
                    <w:rPr>
                      <w:color w:val="auto"/>
                    </w:rPr>
                  </w:pPr>
                  <w:r>
                    <w:rPr>
                      <w:color w:val="auto"/>
                    </w:rPr>
                    <w:t>声环境</w:t>
                  </w:r>
                </w:p>
              </w:tc>
              <w:tc>
                <w:tcPr>
                  <w:tcW w:w="7965" w:type="dxa"/>
                  <w:gridSpan w:val="8"/>
                  <w:vAlign w:val="center"/>
                </w:tcPr>
                <w:p w14:paraId="59230648">
                  <w:pPr>
                    <w:pStyle w:val="286"/>
                    <w:framePr w:hSpace="0" w:wrap="auto" w:vAnchor="margin" w:hAnchor="text" w:xAlign="left" w:yAlign="inline"/>
                    <w:rPr>
                      <w:color w:val="auto"/>
                    </w:rPr>
                  </w:pPr>
                  <w:r>
                    <w:rPr>
                      <w:color w:val="auto"/>
                    </w:rPr>
                    <w:t>厂界外50m无声环境保护目标。</w:t>
                  </w:r>
                </w:p>
              </w:tc>
            </w:tr>
            <w:tr w14:paraId="215CF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dxa"/>
                  <w:vMerge w:val="restart"/>
                  <w:vAlign w:val="center"/>
                </w:tcPr>
                <w:p w14:paraId="4AFF463C">
                  <w:pPr>
                    <w:pStyle w:val="286"/>
                    <w:framePr w:hSpace="0" w:wrap="auto" w:vAnchor="margin" w:hAnchor="text" w:xAlign="left" w:yAlign="inline"/>
                    <w:rPr>
                      <w:color w:val="auto"/>
                    </w:rPr>
                  </w:pPr>
                  <w:r>
                    <w:rPr>
                      <w:rFonts w:hint="eastAsia"/>
                      <w:color w:val="auto"/>
                    </w:rPr>
                    <w:t>地表水</w:t>
                  </w:r>
                </w:p>
              </w:tc>
              <w:tc>
                <w:tcPr>
                  <w:tcW w:w="2373" w:type="dxa"/>
                  <w:gridSpan w:val="2"/>
                  <w:vAlign w:val="center"/>
                </w:tcPr>
                <w:p w14:paraId="3E36414A">
                  <w:pPr>
                    <w:pStyle w:val="286"/>
                    <w:framePr w:hSpace="0" w:wrap="auto" w:vAnchor="margin" w:hAnchor="text" w:xAlign="left" w:yAlign="inline"/>
                    <w:rPr>
                      <w:color w:val="auto"/>
                    </w:rPr>
                  </w:pPr>
                  <w:r>
                    <w:rPr>
                      <w:rFonts w:hint="eastAsia"/>
                      <w:color w:val="auto"/>
                    </w:rPr>
                    <w:t>淮河</w:t>
                  </w:r>
                </w:p>
              </w:tc>
              <w:tc>
                <w:tcPr>
                  <w:tcW w:w="3886" w:type="dxa"/>
                  <w:gridSpan w:val="3"/>
                  <w:vAlign w:val="center"/>
                </w:tcPr>
                <w:p w14:paraId="42739763">
                  <w:pPr>
                    <w:pStyle w:val="286"/>
                    <w:framePr w:hSpace="0" w:wrap="auto" w:vAnchor="margin" w:hAnchor="text" w:xAlign="left" w:yAlign="inline"/>
                    <w:rPr>
                      <w:color w:val="auto"/>
                    </w:rPr>
                  </w:pPr>
                  <w:r>
                    <w:rPr>
                      <w:rFonts w:hint="eastAsia"/>
                      <w:color w:val="auto"/>
                    </w:rPr>
                    <w:t>大型河流</w:t>
                  </w:r>
                </w:p>
              </w:tc>
              <w:tc>
                <w:tcPr>
                  <w:tcW w:w="596" w:type="dxa"/>
                  <w:vAlign w:val="center"/>
                </w:tcPr>
                <w:p w14:paraId="67839332">
                  <w:pPr>
                    <w:pStyle w:val="286"/>
                    <w:framePr w:hSpace="0" w:wrap="auto" w:vAnchor="margin" w:hAnchor="text" w:xAlign="left" w:yAlign="inline"/>
                    <w:rPr>
                      <w:color w:val="auto"/>
                    </w:rPr>
                  </w:pPr>
                  <w:r>
                    <w:rPr>
                      <w:rFonts w:hint="eastAsia"/>
                      <w:color w:val="auto"/>
                    </w:rPr>
                    <w:t>Ⅲ类</w:t>
                  </w:r>
                </w:p>
              </w:tc>
              <w:tc>
                <w:tcPr>
                  <w:tcW w:w="448" w:type="dxa"/>
                  <w:vAlign w:val="center"/>
                </w:tcPr>
                <w:p w14:paraId="3DB2C406">
                  <w:pPr>
                    <w:pStyle w:val="286"/>
                    <w:framePr w:hSpace="0" w:wrap="auto" w:vAnchor="margin" w:hAnchor="text" w:xAlign="left" w:yAlign="inline"/>
                    <w:rPr>
                      <w:color w:val="auto"/>
                    </w:rPr>
                  </w:pPr>
                  <w:r>
                    <w:rPr>
                      <w:color w:val="auto"/>
                    </w:rPr>
                    <w:t>N</w:t>
                  </w:r>
                </w:p>
              </w:tc>
              <w:tc>
                <w:tcPr>
                  <w:tcW w:w="662" w:type="dxa"/>
                  <w:vAlign w:val="center"/>
                </w:tcPr>
                <w:p w14:paraId="0E16F260">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6046</w:t>
                  </w:r>
                </w:p>
              </w:tc>
            </w:tr>
            <w:tr w14:paraId="011FB4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dxa"/>
                  <w:vMerge w:val="continue"/>
                  <w:vAlign w:val="center"/>
                </w:tcPr>
                <w:p w14:paraId="06AFBC35">
                  <w:pPr>
                    <w:pStyle w:val="286"/>
                    <w:framePr w:hSpace="0" w:wrap="auto" w:vAnchor="margin" w:hAnchor="text" w:xAlign="left" w:yAlign="inline"/>
                    <w:rPr>
                      <w:color w:val="auto"/>
                    </w:rPr>
                  </w:pPr>
                </w:p>
              </w:tc>
              <w:tc>
                <w:tcPr>
                  <w:tcW w:w="2373" w:type="dxa"/>
                  <w:gridSpan w:val="2"/>
                  <w:vAlign w:val="center"/>
                </w:tcPr>
                <w:p w14:paraId="1ED4033D">
                  <w:pPr>
                    <w:pStyle w:val="286"/>
                    <w:framePr w:hSpace="0" w:wrap="auto" w:vAnchor="margin" w:hAnchor="text" w:xAlign="left" w:yAlign="inline"/>
                    <w:rPr>
                      <w:color w:val="auto"/>
                    </w:rPr>
                  </w:pPr>
                  <w:r>
                    <w:rPr>
                      <w:rFonts w:hint="eastAsia"/>
                      <w:color w:val="auto"/>
                    </w:rPr>
                    <w:t>大涧沟</w:t>
                  </w:r>
                </w:p>
              </w:tc>
              <w:tc>
                <w:tcPr>
                  <w:tcW w:w="3886" w:type="dxa"/>
                  <w:gridSpan w:val="3"/>
                  <w:vAlign w:val="center"/>
                </w:tcPr>
                <w:p w14:paraId="468D07A9">
                  <w:pPr>
                    <w:pStyle w:val="286"/>
                    <w:framePr w:hSpace="0" w:wrap="auto" w:vAnchor="margin" w:hAnchor="text" w:xAlign="left" w:yAlign="inline"/>
                    <w:rPr>
                      <w:color w:val="auto"/>
                    </w:rPr>
                  </w:pPr>
                  <w:r>
                    <w:rPr>
                      <w:rFonts w:hint="eastAsia"/>
                      <w:color w:val="auto"/>
                    </w:rPr>
                    <w:t>小型河流</w:t>
                  </w:r>
                </w:p>
              </w:tc>
              <w:tc>
                <w:tcPr>
                  <w:tcW w:w="596" w:type="dxa"/>
                  <w:vAlign w:val="center"/>
                </w:tcPr>
                <w:p w14:paraId="2B6BC9B2">
                  <w:pPr>
                    <w:pStyle w:val="286"/>
                    <w:framePr w:hSpace="0" w:wrap="auto" w:vAnchor="margin" w:hAnchor="text" w:xAlign="left" w:yAlign="inline"/>
                    <w:rPr>
                      <w:color w:val="auto"/>
                    </w:rPr>
                  </w:pPr>
                  <w:r>
                    <w:rPr>
                      <w:rFonts w:hint="eastAsia"/>
                      <w:color w:val="auto"/>
                    </w:rPr>
                    <w:t>Ⅲ类</w:t>
                  </w:r>
                </w:p>
              </w:tc>
              <w:tc>
                <w:tcPr>
                  <w:tcW w:w="448" w:type="dxa"/>
                  <w:vAlign w:val="center"/>
                </w:tcPr>
                <w:p w14:paraId="61256956">
                  <w:pPr>
                    <w:pStyle w:val="286"/>
                    <w:framePr w:hSpace="0" w:wrap="auto" w:vAnchor="margin" w:hAnchor="text" w:xAlign="left" w:yAlign="inline"/>
                    <w:rPr>
                      <w:rFonts w:hint="eastAsia" w:eastAsia="宋体"/>
                      <w:color w:val="auto"/>
                      <w:lang w:eastAsia="zh-CN"/>
                    </w:rPr>
                  </w:pPr>
                  <w:r>
                    <w:rPr>
                      <w:color w:val="auto"/>
                    </w:rPr>
                    <w:t>N</w:t>
                  </w:r>
                  <w:r>
                    <w:rPr>
                      <w:rFonts w:hint="eastAsia"/>
                      <w:color w:val="auto"/>
                      <w:lang w:val="en-US" w:eastAsia="zh-CN"/>
                    </w:rPr>
                    <w:t>W</w:t>
                  </w:r>
                </w:p>
              </w:tc>
              <w:tc>
                <w:tcPr>
                  <w:tcW w:w="662" w:type="dxa"/>
                  <w:vAlign w:val="center"/>
                </w:tcPr>
                <w:p w14:paraId="7346E081">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4177</w:t>
                  </w:r>
                </w:p>
              </w:tc>
            </w:tr>
            <w:tr w14:paraId="6A5E1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dxa"/>
                  <w:vAlign w:val="center"/>
                </w:tcPr>
                <w:p w14:paraId="3849E0BC">
                  <w:pPr>
                    <w:pStyle w:val="286"/>
                    <w:framePr w:hSpace="0" w:wrap="auto" w:vAnchor="margin" w:hAnchor="text" w:xAlign="left" w:yAlign="inline"/>
                    <w:rPr>
                      <w:color w:val="auto"/>
                    </w:rPr>
                  </w:pPr>
                  <w:r>
                    <w:rPr>
                      <w:color w:val="auto"/>
                    </w:rPr>
                    <w:t>地下水环境</w:t>
                  </w:r>
                </w:p>
              </w:tc>
              <w:tc>
                <w:tcPr>
                  <w:tcW w:w="7965" w:type="dxa"/>
                  <w:gridSpan w:val="8"/>
                  <w:vAlign w:val="center"/>
                </w:tcPr>
                <w:p w14:paraId="053F59A1">
                  <w:pPr>
                    <w:pStyle w:val="286"/>
                    <w:framePr w:hSpace="0" w:wrap="auto" w:vAnchor="margin" w:hAnchor="text" w:xAlign="left" w:yAlign="inline"/>
                    <w:rPr>
                      <w:color w:val="auto"/>
                    </w:rPr>
                  </w:pPr>
                  <w:r>
                    <w:rPr>
                      <w:color w:val="auto"/>
                    </w:rPr>
                    <w:t>厂界外500m无地下水集中式饮用水水源和热水、矿泉水、温泉等特殊地下水资源。</w:t>
                  </w:r>
                </w:p>
              </w:tc>
            </w:tr>
            <w:tr w14:paraId="52444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97" w:type="dxa"/>
                  <w:vAlign w:val="center"/>
                </w:tcPr>
                <w:p w14:paraId="37E94DD4">
                  <w:pPr>
                    <w:pStyle w:val="286"/>
                    <w:framePr w:hSpace="0" w:wrap="auto" w:vAnchor="margin" w:hAnchor="text" w:xAlign="left" w:yAlign="inline"/>
                    <w:rPr>
                      <w:color w:val="auto"/>
                    </w:rPr>
                  </w:pPr>
                  <w:r>
                    <w:rPr>
                      <w:color w:val="auto"/>
                    </w:rPr>
                    <w:t>生态</w:t>
                  </w:r>
                </w:p>
                <w:p w14:paraId="0C5B89B2">
                  <w:pPr>
                    <w:pStyle w:val="286"/>
                    <w:framePr w:hSpace="0" w:wrap="auto" w:vAnchor="margin" w:hAnchor="text" w:xAlign="left" w:yAlign="inline"/>
                    <w:rPr>
                      <w:color w:val="auto"/>
                    </w:rPr>
                  </w:pPr>
                  <w:r>
                    <w:rPr>
                      <w:color w:val="auto"/>
                    </w:rPr>
                    <w:t>环境</w:t>
                  </w:r>
                </w:p>
              </w:tc>
              <w:tc>
                <w:tcPr>
                  <w:tcW w:w="7965" w:type="dxa"/>
                  <w:gridSpan w:val="8"/>
                  <w:vAlign w:val="center"/>
                </w:tcPr>
                <w:p w14:paraId="2EBE36AD">
                  <w:pPr>
                    <w:pStyle w:val="286"/>
                    <w:framePr w:hSpace="0" w:wrap="auto" w:vAnchor="margin" w:hAnchor="text" w:xAlign="left" w:yAlign="inline"/>
                    <w:rPr>
                      <w:color w:val="auto"/>
                    </w:rPr>
                  </w:pPr>
                  <w:r>
                    <w:rPr>
                      <w:color w:val="auto"/>
                    </w:rPr>
                    <w:t>项目用地范围内无生态环境保护目标。</w:t>
                  </w:r>
                </w:p>
              </w:tc>
            </w:tr>
          </w:tbl>
          <w:p w14:paraId="20C4148F">
            <w:pPr>
              <w:pStyle w:val="180"/>
              <w:wordWrap/>
              <w:spacing w:line="360" w:lineRule="auto"/>
              <w:ind w:firstLine="0" w:firstLineChars="0"/>
              <w:jc w:val="left"/>
              <w:outlineLvl w:val="1"/>
            </w:pPr>
            <w:r>
              <w:rPr>
                <w:color w:val="0000FF"/>
              </w:rPr>
              <w:drawing>
                <wp:anchor distT="0" distB="0" distL="114300" distR="114300" simplePos="0" relativeHeight="251678720" behindDoc="0" locked="0" layoutInCell="1" allowOverlap="1">
                  <wp:simplePos x="0" y="0"/>
                  <wp:positionH relativeFrom="column">
                    <wp:posOffset>4824095</wp:posOffset>
                  </wp:positionH>
                  <wp:positionV relativeFrom="paragraph">
                    <wp:posOffset>20955</wp:posOffset>
                  </wp:positionV>
                  <wp:extent cx="581660" cy="593090"/>
                  <wp:effectExtent l="0" t="0" r="8890" b="16510"/>
                  <wp:wrapNone/>
                  <wp:docPr id="35" name="图片 5" descr="C:\Users\李青青\AppData\Roaming\Tencent\Users\403002229\QQ\WinTemp\RichOle\030%UR9BYU3GM772(UBEC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descr="C:\Users\李青青\AppData\Roaming\Tencent\Users\403002229\QQ\WinTemp\RichOle\030%UR9BYU3GM772(UBEC80.png"/>
                          <pic:cNvPicPr>
                            <a:picLocks noChangeAspect="1" noChangeArrowheads="1"/>
                          </pic:cNvPicPr>
                        </pic:nvPicPr>
                        <pic:blipFill>
                          <a:blip r:embed="rId37" r:link="rId38" cstate="print"/>
                          <a:srcRect/>
                          <a:stretch>
                            <a:fillRect/>
                          </a:stretch>
                        </pic:blipFill>
                        <pic:spPr>
                          <a:xfrm>
                            <a:off x="0" y="0"/>
                            <a:ext cx="581660" cy="593090"/>
                          </a:xfrm>
                          <a:prstGeom prst="rect">
                            <a:avLst/>
                          </a:prstGeom>
                          <a:noFill/>
                          <a:ln w="19050">
                            <a:noFill/>
                          </a:ln>
                        </pic:spPr>
                      </pic:pic>
                    </a:graphicData>
                  </a:graphic>
                </wp:anchor>
              </w:drawing>
            </w:r>
            <w:r>
              <w:drawing>
                <wp:inline distT="0" distB="0" distL="114300" distR="114300">
                  <wp:extent cx="5408930" cy="4016375"/>
                  <wp:effectExtent l="9525" t="9525" r="10795" b="12700"/>
                  <wp:docPr id="3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
                          <pic:cNvPicPr>
                            <a:picLocks noChangeAspect="1"/>
                          </pic:cNvPicPr>
                        </pic:nvPicPr>
                        <pic:blipFill>
                          <a:blip r:embed="rId42"/>
                          <a:stretch>
                            <a:fillRect/>
                          </a:stretch>
                        </pic:blipFill>
                        <pic:spPr>
                          <a:xfrm>
                            <a:off x="0" y="0"/>
                            <a:ext cx="5408930" cy="4016375"/>
                          </a:xfrm>
                          <a:prstGeom prst="rect">
                            <a:avLst/>
                          </a:prstGeom>
                          <a:noFill/>
                          <a:ln>
                            <a:solidFill>
                              <a:schemeClr val="tx1"/>
                            </a:solidFill>
                          </a:ln>
                        </pic:spPr>
                      </pic:pic>
                    </a:graphicData>
                  </a:graphic>
                </wp:inline>
              </w:drawing>
            </w:r>
          </w:p>
          <w:p w14:paraId="1D5564C1">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ascii="Times New Roman" w:cs="Times New Roman"/>
                <w:b/>
                <w:bCs/>
                <w:color w:val="0000FF"/>
                <w:sz w:val="21"/>
              </w:rPr>
            </w:pPr>
            <w:r>
              <w:t xml:space="preserve">图 </w:t>
            </w:r>
            <w:r>
              <w:rPr>
                <w:rFonts w:hint="eastAsia"/>
                <w:lang w:val="en-US" w:eastAsia="zh-CN"/>
              </w:rPr>
              <w:t>3</w:t>
            </w:r>
            <w:r>
              <w:rPr>
                <w:rFonts w:hint="eastAsia"/>
                <w:lang w:eastAsia="zh-CN"/>
              </w:rPr>
              <w:t>-</w:t>
            </w:r>
            <w:r>
              <w:fldChar w:fldCharType="begin"/>
            </w:r>
            <w:r>
              <w:instrText xml:space="preserve"> SEQ 图 \* ARABIC \s 1 </w:instrText>
            </w:r>
            <w:r>
              <w:fldChar w:fldCharType="separate"/>
            </w:r>
            <w:r>
              <w:t>3</w:t>
            </w:r>
            <w:r>
              <w:fldChar w:fldCharType="end"/>
            </w:r>
            <w:r>
              <w:rPr>
                <w:rFonts w:hint="eastAsia"/>
                <w:lang w:val="en-US" w:eastAsia="zh-CN"/>
              </w:rPr>
              <w:t xml:space="preserve"> </w:t>
            </w:r>
            <w:r>
              <w:rPr>
                <w:rFonts w:ascii="Times New Roman" w:cs="Times New Roman"/>
                <w:b/>
                <w:bCs/>
                <w:color w:val="auto"/>
                <w:sz w:val="21"/>
              </w:rPr>
              <w:t>本项目环境保护目标分布图</w:t>
            </w:r>
            <w:r>
              <w:rPr>
                <w:rFonts w:hint="eastAsia" w:ascii="Times New Roman" w:cs="Times New Roman"/>
                <w:b/>
                <w:bCs/>
                <w:color w:val="auto"/>
                <w:sz w:val="21"/>
                <w:highlight w:val="none"/>
              </w:rPr>
              <w:t>（详见附图5）</w:t>
            </w:r>
            <w:bookmarkEnd w:id="25"/>
          </w:p>
        </w:tc>
      </w:tr>
      <w:tr w14:paraId="5D3F7E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659"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569BEF70">
            <w:pPr>
              <w:spacing w:after="0"/>
              <w:ind w:left="0" w:leftChars="0" w:right="0" w:rightChars="0" w:firstLine="0" w:firstLineChars="0"/>
              <w:jc w:val="center"/>
              <w:outlineLvl w:val="1"/>
              <w:rPr>
                <w:color w:val="0000FF"/>
              </w:rPr>
            </w:pPr>
            <w:r>
              <w:rPr>
                <w:color w:val="auto"/>
              </w:rPr>
              <w:t>污染物排放控制标准</w:t>
            </w:r>
          </w:p>
        </w:tc>
        <w:tc>
          <w:tcPr>
            <w:tcW w:w="8267" w:type="dxa"/>
            <w:tcBorders>
              <w:top w:val="single" w:color="auto" w:sz="4" w:space="0"/>
              <w:left w:val="single" w:color="auto" w:sz="4" w:space="0"/>
              <w:bottom w:val="single" w:color="auto" w:sz="4" w:space="0"/>
              <w:right w:val="single" w:color="auto" w:sz="4" w:space="0"/>
            </w:tcBorders>
            <w:vAlign w:val="center"/>
          </w:tcPr>
          <w:p w14:paraId="373D8CE8">
            <w:pPr>
              <w:pStyle w:val="598"/>
              <w:framePr w:hSpace="0" w:wrap="auto" w:vAnchor="margin" w:hAnchor="text" w:xAlign="left" w:yAlign="inline"/>
              <w:rPr>
                <w:color w:val="auto"/>
              </w:rPr>
            </w:pPr>
            <w:bookmarkStart w:id="26" w:name="_Hlk174981776"/>
            <w:r>
              <w:rPr>
                <w:color w:val="auto"/>
              </w:rPr>
              <w:t>3.3</w:t>
            </w:r>
            <w:r>
              <w:rPr>
                <w:rFonts w:hint="eastAsia"/>
                <w:color w:val="auto"/>
              </w:rPr>
              <w:t xml:space="preserve"> 污染物排放控制标准</w:t>
            </w:r>
          </w:p>
          <w:p w14:paraId="4F53655D">
            <w:pPr>
              <w:pStyle w:val="180"/>
              <w:ind w:firstLine="482"/>
              <w:rPr>
                <w:b/>
                <w:bCs/>
                <w:color w:val="auto"/>
              </w:rPr>
            </w:pPr>
            <w:r>
              <w:rPr>
                <w:b/>
                <w:bCs/>
                <w:color w:val="auto"/>
              </w:rPr>
              <w:t>3.3.1</w:t>
            </w:r>
            <w:r>
              <w:rPr>
                <w:rFonts w:hint="eastAsia" w:ascii="宋体" w:hAnsi="宋体" w:cs="宋体"/>
                <w:b/>
                <w:bCs/>
                <w:color w:val="auto"/>
              </w:rPr>
              <w:t>废气排放标准</w:t>
            </w:r>
          </w:p>
          <w:p w14:paraId="7BA32CAB">
            <w:pPr>
              <w:pStyle w:val="180"/>
              <w:wordWrap/>
              <w:ind w:firstLine="480"/>
              <w:rPr>
                <w:rFonts w:hint="eastAsia"/>
                <w:color w:val="auto"/>
              </w:rPr>
            </w:pPr>
            <w:r>
              <w:rPr>
                <w:rFonts w:hint="eastAsia"/>
                <w:color w:val="auto"/>
              </w:rPr>
              <w:t>本项目废气排放源为原料投料工序</w:t>
            </w:r>
            <w:r>
              <w:rPr>
                <w:rFonts w:hint="eastAsia"/>
                <w:color w:val="auto"/>
                <w:lang w:eastAsia="zh-CN"/>
              </w:rPr>
              <w:t>产生的投料粉尘</w:t>
            </w:r>
            <w:r>
              <w:rPr>
                <w:rFonts w:hint="eastAsia"/>
                <w:color w:val="auto"/>
              </w:rPr>
              <w:t>，排放污染物为颗粒物，排放方式为无组织排放，排放标准执行《大气污染物综合排放标准》</w:t>
            </w:r>
            <w:r>
              <w:rPr>
                <w:rFonts w:hint="eastAsia"/>
                <w:color w:val="auto"/>
                <w:lang w:eastAsia="zh-CN"/>
              </w:rPr>
              <w:t>（</w:t>
            </w:r>
            <w:r>
              <w:rPr>
                <w:rFonts w:hint="eastAsia"/>
                <w:color w:val="auto"/>
              </w:rPr>
              <w:t>GB16297-1996</w:t>
            </w:r>
            <w:r>
              <w:rPr>
                <w:rFonts w:hint="eastAsia"/>
                <w:color w:val="auto"/>
                <w:lang w:eastAsia="zh-CN"/>
              </w:rPr>
              <w:t>）</w:t>
            </w:r>
            <w:r>
              <w:rPr>
                <w:rFonts w:hint="eastAsia"/>
                <w:color w:val="auto"/>
              </w:rPr>
              <w:t>中表2中无组织排放监控浓度限值。</w:t>
            </w:r>
          </w:p>
          <w:p w14:paraId="4D648CC2">
            <w:pPr>
              <w:pStyle w:val="180"/>
              <w:wordWrap/>
              <w:ind w:firstLine="480"/>
              <w:rPr>
                <w:color w:val="auto"/>
              </w:rPr>
            </w:pPr>
            <w:r>
              <w:rPr>
                <w:color w:val="auto"/>
              </w:rPr>
              <w:t>具体标准限值见下表。</w:t>
            </w:r>
          </w:p>
          <w:p w14:paraId="321191F1">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表 </w:t>
            </w:r>
            <w:r>
              <w:rPr>
                <w:rFonts w:hint="eastAsia"/>
                <w:lang w:val="en-US" w:eastAsia="zh-CN"/>
              </w:rPr>
              <w:t>3</w:t>
            </w:r>
            <w:r>
              <w:rPr>
                <w:rFonts w:hint="eastAsia"/>
                <w:lang w:eastAsia="zh-CN"/>
              </w:rPr>
              <w:t>-</w:t>
            </w:r>
            <w:r>
              <w:fldChar w:fldCharType="begin"/>
            </w:r>
            <w:r>
              <w:instrText xml:space="preserve"> SEQ 表 \* ARABIC \s 1 </w:instrText>
            </w:r>
            <w:r>
              <w:fldChar w:fldCharType="separate"/>
            </w:r>
            <w:r>
              <w:t>6</w:t>
            </w:r>
            <w:r>
              <w:fldChar w:fldCharType="end"/>
            </w:r>
            <w:r>
              <w:rPr>
                <w:rFonts w:hint="eastAsia"/>
                <w:lang w:val="en-US" w:eastAsia="zh-CN"/>
              </w:rPr>
              <w:t xml:space="preserve"> </w:t>
            </w:r>
            <w:r>
              <w:t>《</w:t>
            </w:r>
            <w:r>
              <w:rPr>
                <w:rFonts w:hint="eastAsia"/>
              </w:rPr>
              <w:t>大气污染物综合排放标准</w:t>
            </w:r>
            <w:r>
              <w:t>》（GB</w:t>
            </w:r>
            <w:r>
              <w:rPr>
                <w:rFonts w:hint="eastAsia"/>
              </w:rPr>
              <w:t>16297-1996</w:t>
            </w:r>
            <w:r>
              <w:t>）</w:t>
            </w:r>
          </w:p>
          <w:tbl>
            <w:tblPr>
              <w:tblStyle w:val="57"/>
              <w:tblpPr w:leftFromText="180" w:rightFromText="180" w:vertAnchor="text" w:tblpXSpec="center" w:tblpY="1"/>
              <w:tblOverlap w:val="never"/>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733"/>
              <w:gridCol w:w="2400"/>
              <w:gridCol w:w="3429"/>
            </w:tblGrid>
            <w:tr w14:paraId="19D71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596" w:type="pct"/>
                  <w:vMerge w:val="restart"/>
                  <w:vAlign w:val="center"/>
                </w:tcPr>
                <w:p w14:paraId="24310E0B">
                  <w:pPr>
                    <w:pStyle w:val="286"/>
                    <w:framePr w:hSpace="0" w:wrap="auto" w:vAnchor="margin" w:hAnchor="text" w:xAlign="left" w:yAlign="inline"/>
                    <w:rPr>
                      <w:color w:val="auto"/>
                    </w:rPr>
                  </w:pPr>
                  <w:r>
                    <w:rPr>
                      <w:color w:val="auto"/>
                    </w:rPr>
                    <w:t>污染物</w:t>
                  </w:r>
                  <w:r>
                    <w:rPr>
                      <w:rFonts w:hint="eastAsia"/>
                      <w:color w:val="auto"/>
                    </w:rPr>
                    <w:t>/排气筒</w:t>
                  </w:r>
                </w:p>
              </w:tc>
              <w:tc>
                <w:tcPr>
                  <w:tcW w:w="3403" w:type="pct"/>
                  <w:gridSpan w:val="2"/>
                  <w:vAlign w:val="center"/>
                </w:tcPr>
                <w:p w14:paraId="36DA3A7D">
                  <w:pPr>
                    <w:pStyle w:val="286"/>
                    <w:framePr w:hSpace="0" w:wrap="auto" w:vAnchor="margin" w:hAnchor="text" w:xAlign="left" w:yAlign="inline"/>
                    <w:rPr>
                      <w:color w:val="auto"/>
                    </w:rPr>
                  </w:pPr>
                  <w:r>
                    <w:rPr>
                      <w:color w:val="auto"/>
                    </w:rPr>
                    <w:t>无组织排放监控浓度值</w:t>
                  </w:r>
                </w:p>
              </w:tc>
            </w:tr>
            <w:tr w14:paraId="227F2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596" w:type="pct"/>
                  <w:vMerge w:val="continue"/>
                  <w:vAlign w:val="center"/>
                </w:tcPr>
                <w:p w14:paraId="6B241E45">
                  <w:pPr>
                    <w:pStyle w:val="286"/>
                    <w:framePr w:hSpace="0" w:wrap="auto" w:vAnchor="margin" w:hAnchor="text" w:xAlign="left" w:yAlign="inline"/>
                    <w:rPr>
                      <w:color w:val="auto"/>
                    </w:rPr>
                  </w:pPr>
                </w:p>
              </w:tc>
              <w:tc>
                <w:tcPr>
                  <w:tcW w:w="1401" w:type="pct"/>
                  <w:vAlign w:val="center"/>
                </w:tcPr>
                <w:p w14:paraId="2FC22B67">
                  <w:pPr>
                    <w:pStyle w:val="286"/>
                    <w:framePr w:hSpace="0" w:wrap="auto" w:vAnchor="margin" w:hAnchor="text" w:xAlign="left" w:yAlign="inline"/>
                    <w:rPr>
                      <w:color w:val="auto"/>
                    </w:rPr>
                  </w:pPr>
                  <w:r>
                    <w:rPr>
                      <w:color w:val="auto"/>
                    </w:rPr>
                    <w:t>监控点</w:t>
                  </w:r>
                </w:p>
              </w:tc>
              <w:tc>
                <w:tcPr>
                  <w:tcW w:w="2002" w:type="pct"/>
                  <w:vAlign w:val="center"/>
                </w:tcPr>
                <w:p w14:paraId="4707E004">
                  <w:pPr>
                    <w:pStyle w:val="286"/>
                    <w:framePr w:hSpace="0" w:wrap="auto" w:vAnchor="margin" w:hAnchor="text" w:xAlign="left" w:yAlign="inline"/>
                    <w:rPr>
                      <w:color w:val="auto"/>
                    </w:rPr>
                  </w:pPr>
                  <w:r>
                    <w:rPr>
                      <w:color w:val="auto"/>
                    </w:rPr>
                    <w:t>浓度mg/m</w:t>
                  </w:r>
                  <w:r>
                    <w:rPr>
                      <w:color w:val="auto"/>
                      <w:vertAlign w:val="superscript"/>
                    </w:rPr>
                    <w:t>3</w:t>
                  </w:r>
                </w:p>
              </w:tc>
            </w:tr>
            <w:tr w14:paraId="55D712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596" w:type="pct"/>
                  <w:vAlign w:val="center"/>
                </w:tcPr>
                <w:p w14:paraId="0263DE97">
                  <w:pPr>
                    <w:pStyle w:val="286"/>
                    <w:framePr w:hSpace="0" w:wrap="auto" w:vAnchor="margin" w:hAnchor="text" w:xAlign="left" w:yAlign="inline"/>
                    <w:rPr>
                      <w:color w:val="auto"/>
                    </w:rPr>
                  </w:pPr>
                  <w:r>
                    <w:rPr>
                      <w:color w:val="auto"/>
                    </w:rPr>
                    <w:t>颗粒物</w:t>
                  </w:r>
                </w:p>
              </w:tc>
              <w:tc>
                <w:tcPr>
                  <w:tcW w:w="1401" w:type="pct"/>
                  <w:vAlign w:val="center"/>
                </w:tcPr>
                <w:p w14:paraId="67ADDCB4">
                  <w:pPr>
                    <w:pStyle w:val="286"/>
                    <w:framePr w:hSpace="0" w:wrap="auto" w:vAnchor="margin" w:hAnchor="text" w:xAlign="left" w:yAlign="inline"/>
                    <w:rPr>
                      <w:color w:val="auto"/>
                    </w:rPr>
                  </w:pPr>
                  <w:r>
                    <w:rPr>
                      <w:color w:val="auto"/>
                    </w:rPr>
                    <w:t>周界外浓度最高点</w:t>
                  </w:r>
                </w:p>
              </w:tc>
              <w:tc>
                <w:tcPr>
                  <w:tcW w:w="2002" w:type="pct"/>
                  <w:vAlign w:val="center"/>
                </w:tcPr>
                <w:p w14:paraId="13F8C3BA">
                  <w:pPr>
                    <w:pStyle w:val="286"/>
                    <w:framePr w:hSpace="0" w:wrap="auto" w:vAnchor="margin" w:hAnchor="text" w:xAlign="left" w:yAlign="inline"/>
                    <w:rPr>
                      <w:color w:val="auto"/>
                    </w:rPr>
                  </w:pPr>
                  <w:r>
                    <w:rPr>
                      <w:color w:val="auto"/>
                    </w:rPr>
                    <w:t>1.0</w:t>
                  </w:r>
                </w:p>
              </w:tc>
            </w:tr>
            <w:bookmarkEnd w:id="26"/>
          </w:tbl>
          <w:p w14:paraId="528E1A76">
            <w:pPr>
              <w:pStyle w:val="179"/>
              <w:framePr w:hSpace="0" w:wrap="auto" w:vAnchor="margin" w:hAnchor="text" w:xAlign="left" w:yAlign="inline"/>
              <w:ind w:firstLine="482"/>
              <w:rPr>
                <w:color w:val="auto"/>
              </w:rPr>
            </w:pPr>
            <w:r>
              <w:rPr>
                <w:color w:val="auto"/>
              </w:rPr>
              <w:t>3.3.2</w:t>
            </w:r>
            <w:r>
              <w:rPr>
                <w:rFonts w:hint="eastAsia"/>
                <w:color w:val="auto"/>
              </w:rPr>
              <w:t>废水排放标准</w:t>
            </w:r>
          </w:p>
          <w:p w14:paraId="309A014D">
            <w:pPr>
              <w:pStyle w:val="180"/>
              <w:wordWrap/>
              <w:ind w:firstLine="480"/>
              <w:rPr>
                <w:color w:val="auto"/>
              </w:rPr>
            </w:pPr>
            <w:r>
              <w:rPr>
                <w:color w:val="auto"/>
              </w:rPr>
              <w:t>本项目属于淮南经济技术开发区工业污水处理厂的纳污范围</w:t>
            </w:r>
            <w:r>
              <w:rPr>
                <w:rFonts w:hint="eastAsia"/>
                <w:color w:val="auto"/>
              </w:rPr>
              <w:t>，运营期</w:t>
            </w:r>
            <w:r>
              <w:rPr>
                <w:snapToGrid w:val="0"/>
                <w:color w:val="auto"/>
              </w:rPr>
              <w:t>生活污水</w:t>
            </w:r>
            <w:r>
              <w:rPr>
                <w:rFonts w:hint="eastAsia"/>
                <w:snapToGrid w:val="0"/>
                <w:color w:val="auto"/>
                <w:lang w:eastAsia="zh-CN"/>
              </w:rPr>
              <w:t>、洗米废水、</w:t>
            </w:r>
            <w:r>
              <w:rPr>
                <w:rFonts w:hint="eastAsia"/>
                <w:color w:val="auto"/>
                <w:lang w:eastAsia="zh-CN"/>
              </w:rPr>
              <w:t>设备清洗废水、地面清洁废水、检验废水等</w:t>
            </w:r>
            <w:r>
              <w:rPr>
                <w:rFonts w:cs="Times New Roman"/>
                <w:color w:val="auto"/>
              </w:rPr>
              <w:t>经</w:t>
            </w:r>
            <w:r>
              <w:rPr>
                <w:rFonts w:hint="eastAsia" w:cs="Times New Roman"/>
                <w:color w:val="auto"/>
                <w:lang w:eastAsia="zh-CN"/>
              </w:rPr>
              <w:t>预</w:t>
            </w:r>
            <w:r>
              <w:rPr>
                <w:rFonts w:ascii="Times New Roman" w:hAnsi="Times New Roman" w:eastAsia="宋体" w:cs="Times New Roman"/>
                <w:color w:val="auto"/>
              </w:rPr>
              <w:t>处理</w:t>
            </w:r>
            <w:r>
              <w:rPr>
                <w:rFonts w:cs="Times New Roman"/>
                <w:color w:val="auto"/>
              </w:rPr>
              <w:t>达到《关于发布淮南经开区企业生产废水排放限值的通知》</w:t>
            </w:r>
            <w:r>
              <w:rPr>
                <w:rFonts w:hint="eastAsia" w:cs="Times New Roman"/>
                <w:color w:val="auto"/>
                <w:lang w:eastAsia="zh-CN"/>
              </w:rPr>
              <w:t>及</w:t>
            </w:r>
            <w:r>
              <w:rPr>
                <w:rFonts w:hint="eastAsia" w:ascii="Times New Roman" w:hAnsi="Times New Roman" w:eastAsia="宋体" w:cs="Times New Roman"/>
                <w:bCs/>
                <w:color w:val="auto"/>
                <w:szCs w:val="21"/>
                <w:highlight w:val="none"/>
                <w:lang w:val="zh-CN"/>
              </w:rPr>
              <w:t>《污水综合排放标准》（GB8978-1996）表4中三级标准</w:t>
            </w:r>
            <w:r>
              <w:rPr>
                <w:rFonts w:cs="Times New Roman"/>
                <w:color w:val="auto"/>
              </w:rPr>
              <w:t>中规定的标准要求后，由区域污水管网接入</w:t>
            </w:r>
            <w:r>
              <w:rPr>
                <w:rFonts w:hint="eastAsia" w:cs="Times New Roman"/>
                <w:color w:val="auto"/>
                <w:lang w:eastAsia="zh-CN"/>
              </w:rPr>
              <w:t>淮南经济技术开发区工业</w:t>
            </w:r>
            <w:r>
              <w:rPr>
                <w:rFonts w:cs="Times New Roman"/>
                <w:color w:val="auto"/>
              </w:rPr>
              <w:t>污水处理厂集中处理，尾水处理达标后由大涧沟排入淮河（淮南段）；</w:t>
            </w:r>
            <w:r>
              <w:rPr>
                <w:rFonts w:hint="eastAsia" w:cs="Times New Roman"/>
                <w:color w:val="auto"/>
                <w:lang w:eastAsia="zh-CN"/>
              </w:rPr>
              <w:t>淮南经济技术开发区</w:t>
            </w:r>
            <w:r>
              <w:rPr>
                <w:rFonts w:cs="Times New Roman"/>
                <w:color w:val="auto"/>
              </w:rPr>
              <w:t>污水处理厂尾水出水水质执行《城镇污水处理厂污染物排放标准》（GB18918-2002）中一级A标准</w:t>
            </w:r>
            <w:r>
              <w:rPr>
                <w:rFonts w:hint="eastAsia"/>
                <w:color w:val="auto"/>
                <w:kern w:val="0"/>
              </w:rPr>
              <w:t>。其标准值见下表：</w:t>
            </w:r>
          </w:p>
          <w:p w14:paraId="6FF7B2EF">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表 </w:t>
            </w:r>
            <w:r>
              <w:rPr>
                <w:rFonts w:hint="eastAsia"/>
                <w:lang w:val="en-US" w:eastAsia="zh-CN"/>
              </w:rPr>
              <w:t>3</w:t>
            </w:r>
            <w:r>
              <w:rPr>
                <w:rFonts w:hint="eastAsia"/>
                <w:lang w:eastAsia="zh-CN"/>
              </w:rPr>
              <w:t>-</w:t>
            </w:r>
            <w:r>
              <w:fldChar w:fldCharType="begin"/>
            </w:r>
            <w:r>
              <w:instrText xml:space="preserve"> SEQ 表 \* ARABIC \s 1 </w:instrText>
            </w:r>
            <w:r>
              <w:fldChar w:fldCharType="separate"/>
            </w:r>
            <w:r>
              <w:t>7</w:t>
            </w:r>
            <w:r>
              <w:fldChar w:fldCharType="end"/>
            </w:r>
            <w:r>
              <w:rPr>
                <w:rFonts w:hint="eastAsia"/>
                <w:lang w:val="en-US" w:eastAsia="zh-CN"/>
              </w:rPr>
              <w:t xml:space="preserve"> </w:t>
            </w:r>
            <w:r>
              <w:rPr>
                <w:rFonts w:hint="eastAsia"/>
                <w:color w:val="auto"/>
                <w:lang w:eastAsia="zh-CN"/>
              </w:rPr>
              <w:t>废水污染物排放标准</w:t>
            </w:r>
            <w:r>
              <w:rPr>
                <w:color w:val="auto"/>
              </w:rPr>
              <w:t xml:space="preserve"> </w:t>
            </w:r>
            <w:r>
              <w:rPr>
                <w:bCs/>
                <w:color w:val="auto"/>
                <w:sz w:val="18"/>
              </w:rPr>
              <w:t>单位：mg/L（pH无量纲）</w:t>
            </w:r>
          </w:p>
          <w:tbl>
            <w:tblPr>
              <w:tblStyle w:val="57"/>
              <w:tblpPr w:leftFromText="180" w:rightFromText="180" w:vertAnchor="text" w:tblpXSpec="center"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367"/>
              <w:gridCol w:w="774"/>
              <w:gridCol w:w="774"/>
              <w:gridCol w:w="774"/>
              <w:gridCol w:w="774"/>
              <w:gridCol w:w="774"/>
              <w:gridCol w:w="774"/>
              <w:gridCol w:w="775"/>
              <w:gridCol w:w="775"/>
            </w:tblGrid>
            <w:tr w14:paraId="13602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82" w:type="pct"/>
                  <w:vAlign w:val="center"/>
                </w:tcPr>
                <w:p w14:paraId="56771AFA">
                  <w:pPr>
                    <w:pStyle w:val="286"/>
                    <w:framePr w:hSpace="0" w:wrap="auto" w:vAnchor="margin" w:hAnchor="text" w:xAlign="left" w:yAlign="inline"/>
                    <w:rPr>
                      <w:color w:val="auto"/>
                    </w:rPr>
                  </w:pPr>
                  <w:r>
                    <w:rPr>
                      <w:color w:val="auto"/>
                    </w:rPr>
                    <w:t>水质指标</w:t>
                  </w:r>
                </w:p>
              </w:tc>
              <w:tc>
                <w:tcPr>
                  <w:tcW w:w="452" w:type="pct"/>
                  <w:vAlign w:val="center"/>
                </w:tcPr>
                <w:p w14:paraId="3252D7F1">
                  <w:pPr>
                    <w:pStyle w:val="286"/>
                    <w:framePr w:hSpace="0" w:wrap="auto" w:vAnchor="margin" w:hAnchor="text" w:xAlign="left" w:yAlign="inline"/>
                    <w:rPr>
                      <w:color w:val="auto"/>
                    </w:rPr>
                  </w:pPr>
                  <w:r>
                    <w:rPr>
                      <w:color w:val="auto"/>
                    </w:rPr>
                    <w:t>pH</w:t>
                  </w:r>
                </w:p>
              </w:tc>
              <w:tc>
                <w:tcPr>
                  <w:tcW w:w="452" w:type="pct"/>
                  <w:vAlign w:val="center"/>
                </w:tcPr>
                <w:p w14:paraId="2F32FA57">
                  <w:pPr>
                    <w:pStyle w:val="286"/>
                    <w:framePr w:hSpace="0" w:wrap="auto" w:vAnchor="margin" w:hAnchor="text" w:xAlign="left" w:yAlign="inline"/>
                    <w:rPr>
                      <w:color w:val="auto"/>
                    </w:rPr>
                  </w:pPr>
                  <w:r>
                    <w:rPr>
                      <w:color w:val="auto"/>
                    </w:rPr>
                    <w:t>COD</w:t>
                  </w:r>
                </w:p>
              </w:tc>
              <w:tc>
                <w:tcPr>
                  <w:tcW w:w="452" w:type="pct"/>
                  <w:vAlign w:val="center"/>
                </w:tcPr>
                <w:p w14:paraId="51BAA183">
                  <w:pPr>
                    <w:pStyle w:val="286"/>
                    <w:framePr w:hSpace="0" w:wrap="auto" w:vAnchor="margin" w:hAnchor="text" w:xAlign="left" w:yAlign="inline"/>
                    <w:rPr>
                      <w:color w:val="auto"/>
                    </w:rPr>
                  </w:pPr>
                  <w:r>
                    <w:rPr>
                      <w:color w:val="auto"/>
                    </w:rPr>
                    <w:t>BOD</w:t>
                  </w:r>
                  <w:r>
                    <w:rPr>
                      <w:color w:val="auto"/>
                      <w:vertAlign w:val="subscript"/>
                    </w:rPr>
                    <w:t>5</w:t>
                  </w:r>
                </w:p>
              </w:tc>
              <w:tc>
                <w:tcPr>
                  <w:tcW w:w="452" w:type="pct"/>
                  <w:vAlign w:val="center"/>
                </w:tcPr>
                <w:p w14:paraId="7FD30A7C">
                  <w:pPr>
                    <w:pStyle w:val="286"/>
                    <w:framePr w:hSpace="0" w:wrap="auto" w:vAnchor="margin" w:hAnchor="text" w:xAlign="left" w:yAlign="inline"/>
                    <w:rPr>
                      <w:color w:val="auto"/>
                    </w:rPr>
                  </w:pPr>
                  <w:r>
                    <w:rPr>
                      <w:color w:val="auto"/>
                    </w:rPr>
                    <w:t>NH</w:t>
                  </w:r>
                  <w:r>
                    <w:rPr>
                      <w:color w:val="auto"/>
                      <w:vertAlign w:val="subscript"/>
                    </w:rPr>
                    <w:t>3</w:t>
                  </w:r>
                  <w:r>
                    <w:rPr>
                      <w:color w:val="auto"/>
                    </w:rPr>
                    <w:t>-N</w:t>
                  </w:r>
                </w:p>
              </w:tc>
              <w:tc>
                <w:tcPr>
                  <w:tcW w:w="452" w:type="pct"/>
                  <w:vAlign w:val="center"/>
                </w:tcPr>
                <w:p w14:paraId="5E462677">
                  <w:pPr>
                    <w:pStyle w:val="286"/>
                    <w:framePr w:hSpace="0" w:wrap="auto" w:vAnchor="margin" w:hAnchor="text" w:xAlign="left" w:yAlign="inline"/>
                    <w:rPr>
                      <w:color w:val="auto"/>
                    </w:rPr>
                  </w:pPr>
                  <w:r>
                    <w:rPr>
                      <w:color w:val="auto"/>
                    </w:rPr>
                    <w:t>SS</w:t>
                  </w:r>
                </w:p>
              </w:tc>
              <w:tc>
                <w:tcPr>
                  <w:tcW w:w="452" w:type="pct"/>
                  <w:vAlign w:val="center"/>
                </w:tcPr>
                <w:p w14:paraId="182CE203">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TN</w:t>
                  </w:r>
                </w:p>
              </w:tc>
              <w:tc>
                <w:tcPr>
                  <w:tcW w:w="452" w:type="pct"/>
                  <w:vAlign w:val="center"/>
                </w:tcPr>
                <w:p w14:paraId="443E80F7">
                  <w:pPr>
                    <w:pStyle w:val="286"/>
                    <w:framePr w:hSpace="0" w:wrap="auto" w:vAnchor="margin" w:hAnchor="text" w:xAlign="left" w:yAlign="inline"/>
                    <w:rPr>
                      <w:color w:val="auto"/>
                    </w:rPr>
                  </w:pPr>
                  <w:r>
                    <w:rPr>
                      <w:color w:val="auto"/>
                    </w:rPr>
                    <w:t>TP</w:t>
                  </w:r>
                </w:p>
              </w:tc>
              <w:tc>
                <w:tcPr>
                  <w:tcW w:w="452" w:type="pct"/>
                  <w:vAlign w:val="center"/>
                </w:tcPr>
                <w:p w14:paraId="54254CA7">
                  <w:pPr>
                    <w:pStyle w:val="286"/>
                    <w:framePr w:hSpace="0" w:wrap="auto" w:vAnchor="margin" w:hAnchor="text" w:xAlign="left" w:yAlign="inline"/>
                    <w:rPr>
                      <w:rFonts w:hint="eastAsia" w:eastAsia="宋体"/>
                      <w:color w:val="auto"/>
                      <w:lang w:eastAsia="zh-CN"/>
                    </w:rPr>
                  </w:pPr>
                  <w:r>
                    <w:rPr>
                      <w:rFonts w:hint="eastAsia"/>
                      <w:color w:val="auto"/>
                      <w:lang w:eastAsia="zh-CN"/>
                    </w:rPr>
                    <w:t>动植物油</w:t>
                  </w:r>
                </w:p>
              </w:tc>
            </w:tr>
            <w:tr w14:paraId="691EF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82" w:type="pct"/>
                  <w:vAlign w:val="center"/>
                </w:tcPr>
                <w:p w14:paraId="0EC642F0">
                  <w:pPr>
                    <w:pStyle w:val="286"/>
                    <w:framePr w:hSpace="0" w:wrap="auto" w:vAnchor="margin" w:hAnchor="text" w:xAlign="left" w:yAlign="inline"/>
                    <w:rPr>
                      <w:color w:val="auto"/>
                    </w:rPr>
                  </w:pPr>
                  <w:r>
                    <w:rPr>
                      <w:rFonts w:cs="Times New Roman"/>
                      <w:color w:val="auto"/>
                      <w:kern w:val="0"/>
                      <w:szCs w:val="20"/>
                    </w:rPr>
                    <w:t>《关于发布淮南经开区企业生产废水排放限值的通知》</w:t>
                  </w:r>
                </w:p>
              </w:tc>
              <w:tc>
                <w:tcPr>
                  <w:tcW w:w="452" w:type="pct"/>
                  <w:vAlign w:val="center"/>
                </w:tcPr>
                <w:p w14:paraId="6702A2A3">
                  <w:pPr>
                    <w:pStyle w:val="286"/>
                    <w:framePr w:hSpace="0" w:wrap="auto" w:vAnchor="margin" w:hAnchor="text" w:xAlign="left" w:yAlign="inline"/>
                    <w:rPr>
                      <w:color w:val="auto"/>
                    </w:rPr>
                  </w:pPr>
                  <w:r>
                    <w:rPr>
                      <w:color w:val="auto"/>
                    </w:rPr>
                    <w:t>6~9</w:t>
                  </w:r>
                </w:p>
              </w:tc>
              <w:tc>
                <w:tcPr>
                  <w:tcW w:w="452" w:type="pct"/>
                  <w:vAlign w:val="center"/>
                </w:tcPr>
                <w:p w14:paraId="6B2642EB">
                  <w:pPr>
                    <w:pStyle w:val="286"/>
                    <w:framePr w:hSpace="0" w:wrap="auto" w:vAnchor="margin" w:hAnchor="text" w:xAlign="left" w:yAlign="inline"/>
                    <w:rPr>
                      <w:color w:val="auto"/>
                    </w:rPr>
                  </w:pPr>
                  <w:r>
                    <w:rPr>
                      <w:color w:val="auto"/>
                    </w:rPr>
                    <w:t>360</w:t>
                  </w:r>
                </w:p>
              </w:tc>
              <w:tc>
                <w:tcPr>
                  <w:tcW w:w="452" w:type="pct"/>
                  <w:vAlign w:val="center"/>
                </w:tcPr>
                <w:p w14:paraId="35E22D4E">
                  <w:pPr>
                    <w:pStyle w:val="286"/>
                    <w:framePr w:hSpace="0" w:wrap="auto" w:vAnchor="margin" w:hAnchor="text" w:xAlign="left" w:yAlign="inline"/>
                    <w:rPr>
                      <w:color w:val="auto"/>
                    </w:rPr>
                  </w:pPr>
                  <w:r>
                    <w:rPr>
                      <w:color w:val="auto"/>
                    </w:rPr>
                    <w:t>80</w:t>
                  </w:r>
                </w:p>
              </w:tc>
              <w:tc>
                <w:tcPr>
                  <w:tcW w:w="452" w:type="pct"/>
                  <w:vAlign w:val="center"/>
                </w:tcPr>
                <w:p w14:paraId="40F0CD99">
                  <w:pPr>
                    <w:pStyle w:val="286"/>
                    <w:framePr w:hSpace="0" w:wrap="auto" w:vAnchor="margin" w:hAnchor="text" w:xAlign="left" w:yAlign="inline"/>
                    <w:rPr>
                      <w:color w:val="auto"/>
                    </w:rPr>
                  </w:pPr>
                  <w:r>
                    <w:rPr>
                      <w:color w:val="auto"/>
                    </w:rPr>
                    <w:t>35</w:t>
                  </w:r>
                </w:p>
              </w:tc>
              <w:tc>
                <w:tcPr>
                  <w:tcW w:w="452" w:type="pct"/>
                  <w:vAlign w:val="center"/>
                </w:tcPr>
                <w:p w14:paraId="710C2C43">
                  <w:pPr>
                    <w:pStyle w:val="286"/>
                    <w:framePr w:hSpace="0" w:wrap="auto" w:vAnchor="margin" w:hAnchor="text" w:xAlign="left" w:yAlign="inline"/>
                    <w:rPr>
                      <w:color w:val="auto"/>
                    </w:rPr>
                  </w:pPr>
                  <w:r>
                    <w:rPr>
                      <w:color w:val="auto"/>
                    </w:rPr>
                    <w:t>200</w:t>
                  </w:r>
                </w:p>
              </w:tc>
              <w:tc>
                <w:tcPr>
                  <w:tcW w:w="452" w:type="pct"/>
                  <w:vAlign w:val="center"/>
                </w:tcPr>
                <w:p w14:paraId="6D5B625E">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50</w:t>
                  </w:r>
                </w:p>
              </w:tc>
              <w:tc>
                <w:tcPr>
                  <w:tcW w:w="452" w:type="pct"/>
                  <w:vAlign w:val="center"/>
                </w:tcPr>
                <w:p w14:paraId="7B0B03B1">
                  <w:pPr>
                    <w:pStyle w:val="286"/>
                    <w:framePr w:hSpace="0" w:wrap="auto" w:vAnchor="margin" w:hAnchor="text" w:xAlign="left" w:yAlign="inline"/>
                    <w:rPr>
                      <w:color w:val="auto"/>
                    </w:rPr>
                  </w:pPr>
                  <w:r>
                    <w:rPr>
                      <w:color w:val="auto"/>
                    </w:rPr>
                    <w:t>4.5</w:t>
                  </w:r>
                </w:p>
              </w:tc>
              <w:tc>
                <w:tcPr>
                  <w:tcW w:w="452" w:type="pct"/>
                  <w:vAlign w:val="center"/>
                </w:tcPr>
                <w:p w14:paraId="684D92F7">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w:t>
                  </w:r>
                </w:p>
              </w:tc>
            </w:tr>
            <w:tr w14:paraId="24959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82" w:type="pct"/>
                  <w:vAlign w:val="center"/>
                </w:tcPr>
                <w:p w14:paraId="2E4342DF">
                  <w:pPr>
                    <w:pStyle w:val="286"/>
                    <w:framePr w:hSpace="0" w:wrap="auto" w:vAnchor="margin" w:hAnchor="text" w:xAlign="left" w:yAlign="inline"/>
                    <w:rPr>
                      <w:rFonts w:cs="Times New Roman"/>
                      <w:color w:val="auto"/>
                      <w:kern w:val="0"/>
                      <w:szCs w:val="20"/>
                    </w:rPr>
                  </w:pPr>
                  <w:r>
                    <w:rPr>
                      <w:rFonts w:hint="eastAsia" w:ascii="Times New Roman" w:hAnsi="Times New Roman" w:eastAsia="宋体" w:cs="Times New Roman"/>
                      <w:bCs/>
                      <w:color w:val="auto"/>
                      <w:szCs w:val="21"/>
                      <w:highlight w:val="none"/>
                      <w:lang w:val="zh-CN"/>
                    </w:rPr>
                    <w:t>GB8978-1996表4中三级标准</w:t>
                  </w:r>
                </w:p>
              </w:tc>
              <w:tc>
                <w:tcPr>
                  <w:tcW w:w="452" w:type="pct"/>
                  <w:vAlign w:val="center"/>
                </w:tcPr>
                <w:p w14:paraId="263643D5">
                  <w:pPr>
                    <w:pStyle w:val="286"/>
                    <w:framePr w:hSpace="0" w:wrap="auto" w:vAnchor="margin" w:hAnchor="text" w:xAlign="left" w:yAlign="inline"/>
                    <w:rPr>
                      <w:color w:val="auto"/>
                    </w:rPr>
                  </w:pPr>
                  <w:r>
                    <w:rPr>
                      <w:color w:val="auto"/>
                    </w:rPr>
                    <w:t>6~9</w:t>
                  </w:r>
                </w:p>
              </w:tc>
              <w:tc>
                <w:tcPr>
                  <w:tcW w:w="452" w:type="pct"/>
                  <w:vAlign w:val="center"/>
                </w:tcPr>
                <w:p w14:paraId="453BCF24">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500</w:t>
                  </w:r>
                </w:p>
              </w:tc>
              <w:tc>
                <w:tcPr>
                  <w:tcW w:w="452" w:type="pct"/>
                  <w:vAlign w:val="center"/>
                </w:tcPr>
                <w:p w14:paraId="62519BD6">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300</w:t>
                  </w:r>
                </w:p>
              </w:tc>
              <w:tc>
                <w:tcPr>
                  <w:tcW w:w="452" w:type="pct"/>
                  <w:vAlign w:val="center"/>
                </w:tcPr>
                <w:p w14:paraId="26FFA6E8">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w:t>
                  </w:r>
                </w:p>
              </w:tc>
              <w:tc>
                <w:tcPr>
                  <w:tcW w:w="452" w:type="pct"/>
                  <w:vAlign w:val="center"/>
                </w:tcPr>
                <w:p w14:paraId="3B8B2004">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400</w:t>
                  </w:r>
                </w:p>
              </w:tc>
              <w:tc>
                <w:tcPr>
                  <w:tcW w:w="452" w:type="pct"/>
                  <w:vAlign w:val="center"/>
                </w:tcPr>
                <w:p w14:paraId="638685AB">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w:t>
                  </w:r>
                </w:p>
              </w:tc>
              <w:tc>
                <w:tcPr>
                  <w:tcW w:w="452" w:type="pct"/>
                  <w:vAlign w:val="center"/>
                </w:tcPr>
                <w:p w14:paraId="289AD0F6">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w:t>
                  </w:r>
                </w:p>
              </w:tc>
              <w:tc>
                <w:tcPr>
                  <w:tcW w:w="452" w:type="pct"/>
                  <w:vAlign w:val="center"/>
                </w:tcPr>
                <w:p w14:paraId="3B481A6E">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100</w:t>
                  </w:r>
                </w:p>
              </w:tc>
            </w:tr>
            <w:tr w14:paraId="5B9905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82" w:type="pct"/>
                  <w:vAlign w:val="center"/>
                </w:tcPr>
                <w:p w14:paraId="15787EE3">
                  <w:pPr>
                    <w:pStyle w:val="286"/>
                    <w:framePr w:hSpace="0" w:wrap="auto" w:vAnchor="margin" w:hAnchor="text" w:xAlign="left" w:yAlign="inline"/>
                    <w:rPr>
                      <w:rFonts w:hint="eastAsia" w:ascii="Times New Roman" w:hAnsi="Times New Roman" w:eastAsia="宋体" w:cs="Times New Roman"/>
                      <w:bCs/>
                      <w:color w:val="auto"/>
                      <w:szCs w:val="21"/>
                      <w:highlight w:val="none"/>
                      <w:lang w:val="zh-CN"/>
                    </w:rPr>
                  </w:pPr>
                  <w:r>
                    <w:rPr>
                      <w:rFonts w:hint="eastAsia" w:ascii="Times New Roman" w:hAnsi="Times New Roman" w:cs="Times New Roman"/>
                      <w:bCs/>
                      <w:color w:val="auto"/>
                      <w:szCs w:val="21"/>
                      <w:highlight w:val="none"/>
                      <w:lang w:val="zh-CN"/>
                    </w:rPr>
                    <w:t>本项目执行标准</w:t>
                  </w:r>
                </w:p>
              </w:tc>
              <w:tc>
                <w:tcPr>
                  <w:tcW w:w="452" w:type="pct"/>
                  <w:vAlign w:val="center"/>
                </w:tcPr>
                <w:p w14:paraId="6F603327">
                  <w:pPr>
                    <w:pStyle w:val="286"/>
                    <w:framePr w:hSpace="0" w:wrap="auto" w:vAnchor="margin" w:hAnchor="text" w:xAlign="left" w:yAlign="inline"/>
                    <w:rPr>
                      <w:color w:val="auto"/>
                    </w:rPr>
                  </w:pPr>
                  <w:r>
                    <w:rPr>
                      <w:color w:val="auto"/>
                    </w:rPr>
                    <w:t>6~9</w:t>
                  </w:r>
                </w:p>
              </w:tc>
              <w:tc>
                <w:tcPr>
                  <w:tcW w:w="452" w:type="pct"/>
                  <w:vAlign w:val="center"/>
                </w:tcPr>
                <w:p w14:paraId="6BE25BED">
                  <w:pPr>
                    <w:pStyle w:val="286"/>
                    <w:framePr w:hSpace="0" w:wrap="auto" w:vAnchor="margin" w:hAnchor="text" w:xAlign="left" w:yAlign="inline"/>
                    <w:rPr>
                      <w:rFonts w:hint="default"/>
                      <w:color w:val="auto"/>
                      <w:lang w:val="en-US" w:eastAsia="zh-CN"/>
                    </w:rPr>
                  </w:pPr>
                  <w:r>
                    <w:rPr>
                      <w:rFonts w:hint="eastAsia"/>
                      <w:color w:val="auto"/>
                      <w:lang w:val="en-US" w:eastAsia="zh-CN"/>
                    </w:rPr>
                    <w:t>360</w:t>
                  </w:r>
                </w:p>
              </w:tc>
              <w:tc>
                <w:tcPr>
                  <w:tcW w:w="452" w:type="pct"/>
                  <w:vAlign w:val="center"/>
                </w:tcPr>
                <w:p w14:paraId="0D25A352">
                  <w:pPr>
                    <w:pStyle w:val="286"/>
                    <w:framePr w:hSpace="0" w:wrap="auto" w:vAnchor="margin" w:hAnchor="text" w:xAlign="left" w:yAlign="inline"/>
                    <w:rPr>
                      <w:rFonts w:hint="default"/>
                      <w:color w:val="auto"/>
                      <w:lang w:val="en-US" w:eastAsia="zh-CN"/>
                    </w:rPr>
                  </w:pPr>
                  <w:r>
                    <w:rPr>
                      <w:rFonts w:hint="eastAsia"/>
                      <w:color w:val="auto"/>
                      <w:lang w:val="en-US" w:eastAsia="zh-CN"/>
                    </w:rPr>
                    <w:t>80</w:t>
                  </w:r>
                </w:p>
              </w:tc>
              <w:tc>
                <w:tcPr>
                  <w:tcW w:w="452" w:type="pct"/>
                  <w:vAlign w:val="center"/>
                </w:tcPr>
                <w:p w14:paraId="634B79D4">
                  <w:pPr>
                    <w:pStyle w:val="286"/>
                    <w:framePr w:hSpace="0" w:wrap="auto" w:vAnchor="margin" w:hAnchor="text" w:xAlign="left" w:yAlign="inline"/>
                    <w:rPr>
                      <w:rFonts w:hint="default"/>
                      <w:color w:val="auto"/>
                      <w:lang w:val="en-US" w:eastAsia="zh-CN"/>
                    </w:rPr>
                  </w:pPr>
                  <w:r>
                    <w:rPr>
                      <w:rFonts w:hint="eastAsia"/>
                      <w:color w:val="auto"/>
                      <w:lang w:val="en-US" w:eastAsia="zh-CN"/>
                    </w:rPr>
                    <w:t>35</w:t>
                  </w:r>
                </w:p>
              </w:tc>
              <w:tc>
                <w:tcPr>
                  <w:tcW w:w="452" w:type="pct"/>
                  <w:vAlign w:val="center"/>
                </w:tcPr>
                <w:p w14:paraId="1C4E904A">
                  <w:pPr>
                    <w:pStyle w:val="286"/>
                    <w:framePr w:hSpace="0" w:wrap="auto" w:vAnchor="margin" w:hAnchor="text" w:xAlign="left" w:yAlign="inline"/>
                    <w:rPr>
                      <w:rFonts w:hint="default"/>
                      <w:color w:val="auto"/>
                      <w:lang w:val="en-US" w:eastAsia="zh-CN"/>
                    </w:rPr>
                  </w:pPr>
                  <w:r>
                    <w:rPr>
                      <w:rFonts w:hint="eastAsia"/>
                      <w:color w:val="auto"/>
                      <w:lang w:val="en-US" w:eastAsia="zh-CN"/>
                    </w:rPr>
                    <w:t>200</w:t>
                  </w:r>
                </w:p>
              </w:tc>
              <w:tc>
                <w:tcPr>
                  <w:tcW w:w="452" w:type="pct"/>
                  <w:vAlign w:val="center"/>
                </w:tcPr>
                <w:p w14:paraId="416FE6FB">
                  <w:pPr>
                    <w:pStyle w:val="286"/>
                    <w:framePr w:hSpace="0" w:wrap="auto" w:vAnchor="margin" w:hAnchor="text" w:xAlign="left" w:yAlign="inline"/>
                    <w:rPr>
                      <w:rFonts w:hint="default"/>
                      <w:color w:val="auto"/>
                      <w:lang w:val="en-US" w:eastAsia="zh-CN"/>
                    </w:rPr>
                  </w:pPr>
                  <w:r>
                    <w:rPr>
                      <w:rFonts w:hint="eastAsia"/>
                      <w:color w:val="auto"/>
                      <w:lang w:val="en-US" w:eastAsia="zh-CN"/>
                    </w:rPr>
                    <w:t>50</w:t>
                  </w:r>
                </w:p>
              </w:tc>
              <w:tc>
                <w:tcPr>
                  <w:tcW w:w="452" w:type="pct"/>
                  <w:vAlign w:val="center"/>
                </w:tcPr>
                <w:p w14:paraId="6091CAD0">
                  <w:pPr>
                    <w:pStyle w:val="286"/>
                    <w:framePr w:hSpace="0" w:wrap="auto" w:vAnchor="margin" w:hAnchor="text" w:xAlign="left" w:yAlign="inline"/>
                    <w:rPr>
                      <w:rFonts w:hint="default"/>
                      <w:color w:val="auto"/>
                      <w:lang w:val="en-US" w:eastAsia="zh-CN"/>
                    </w:rPr>
                  </w:pPr>
                  <w:r>
                    <w:rPr>
                      <w:rFonts w:hint="eastAsia"/>
                      <w:color w:val="auto"/>
                      <w:lang w:val="en-US" w:eastAsia="zh-CN"/>
                    </w:rPr>
                    <w:t>4.5</w:t>
                  </w:r>
                </w:p>
              </w:tc>
              <w:tc>
                <w:tcPr>
                  <w:tcW w:w="452" w:type="pct"/>
                  <w:vAlign w:val="center"/>
                </w:tcPr>
                <w:p w14:paraId="1F65E960">
                  <w:pPr>
                    <w:pStyle w:val="286"/>
                    <w:framePr w:hSpace="0" w:wrap="auto" w:vAnchor="margin" w:hAnchor="text" w:xAlign="left" w:yAlign="inline"/>
                    <w:rPr>
                      <w:rFonts w:hint="default"/>
                      <w:color w:val="auto"/>
                      <w:lang w:val="en-US" w:eastAsia="zh-CN"/>
                    </w:rPr>
                  </w:pPr>
                  <w:r>
                    <w:rPr>
                      <w:rFonts w:hint="eastAsia"/>
                      <w:color w:val="auto"/>
                      <w:lang w:val="en-US" w:eastAsia="zh-CN"/>
                    </w:rPr>
                    <w:t>100</w:t>
                  </w:r>
                </w:p>
              </w:tc>
            </w:tr>
            <w:tr w14:paraId="4C626F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1382" w:type="pct"/>
                  <w:vAlign w:val="center"/>
                </w:tcPr>
                <w:p w14:paraId="168519DB">
                  <w:pPr>
                    <w:pStyle w:val="286"/>
                    <w:framePr w:hSpace="0" w:wrap="auto" w:vAnchor="margin" w:hAnchor="text" w:xAlign="left" w:yAlign="inline"/>
                    <w:rPr>
                      <w:color w:val="auto"/>
                    </w:rPr>
                  </w:pPr>
                  <w:r>
                    <w:rPr>
                      <w:rFonts w:cs="Times New Roman"/>
                      <w:color w:val="auto"/>
                      <w:kern w:val="0"/>
                      <w:szCs w:val="20"/>
                    </w:rPr>
                    <w:t>GB18918-2002中一级A标准</w:t>
                  </w:r>
                </w:p>
              </w:tc>
              <w:tc>
                <w:tcPr>
                  <w:tcW w:w="452" w:type="pct"/>
                  <w:vAlign w:val="center"/>
                </w:tcPr>
                <w:p w14:paraId="5826E2FE">
                  <w:pPr>
                    <w:pStyle w:val="286"/>
                    <w:framePr w:hSpace="0" w:wrap="auto" w:vAnchor="margin" w:hAnchor="text" w:xAlign="left" w:yAlign="inline"/>
                    <w:rPr>
                      <w:color w:val="auto"/>
                    </w:rPr>
                  </w:pPr>
                  <w:r>
                    <w:rPr>
                      <w:color w:val="auto"/>
                    </w:rPr>
                    <w:t>6~9</w:t>
                  </w:r>
                </w:p>
              </w:tc>
              <w:tc>
                <w:tcPr>
                  <w:tcW w:w="452" w:type="pct"/>
                  <w:vAlign w:val="center"/>
                </w:tcPr>
                <w:p w14:paraId="4FB2EBC7">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50</w:t>
                  </w:r>
                </w:p>
              </w:tc>
              <w:tc>
                <w:tcPr>
                  <w:tcW w:w="452" w:type="pct"/>
                  <w:vAlign w:val="center"/>
                </w:tcPr>
                <w:p w14:paraId="171883C9">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10</w:t>
                  </w:r>
                </w:p>
              </w:tc>
              <w:tc>
                <w:tcPr>
                  <w:tcW w:w="452" w:type="pct"/>
                  <w:vAlign w:val="center"/>
                </w:tcPr>
                <w:p w14:paraId="58629C59">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5</w:t>
                  </w:r>
                </w:p>
              </w:tc>
              <w:tc>
                <w:tcPr>
                  <w:tcW w:w="452" w:type="pct"/>
                  <w:vAlign w:val="center"/>
                </w:tcPr>
                <w:p w14:paraId="0CD518A4">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10</w:t>
                  </w:r>
                </w:p>
              </w:tc>
              <w:tc>
                <w:tcPr>
                  <w:tcW w:w="452" w:type="pct"/>
                  <w:vAlign w:val="center"/>
                </w:tcPr>
                <w:p w14:paraId="3953E06C">
                  <w:pPr>
                    <w:pStyle w:val="286"/>
                    <w:framePr w:hSpace="0" w:wrap="auto" w:vAnchor="margin" w:hAnchor="text" w:xAlign="left" w:yAlign="inline"/>
                    <w:rPr>
                      <w:rFonts w:hint="default"/>
                      <w:color w:val="auto"/>
                      <w:lang w:val="en-US" w:eastAsia="zh-CN"/>
                    </w:rPr>
                  </w:pPr>
                  <w:r>
                    <w:rPr>
                      <w:rFonts w:hint="eastAsia"/>
                      <w:color w:val="auto"/>
                      <w:lang w:val="en-US" w:eastAsia="zh-CN"/>
                    </w:rPr>
                    <w:t>15</w:t>
                  </w:r>
                </w:p>
              </w:tc>
              <w:tc>
                <w:tcPr>
                  <w:tcW w:w="452" w:type="pct"/>
                  <w:vAlign w:val="center"/>
                </w:tcPr>
                <w:p w14:paraId="7282F9E0">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0.5</w:t>
                  </w:r>
                </w:p>
              </w:tc>
              <w:tc>
                <w:tcPr>
                  <w:tcW w:w="452" w:type="pct"/>
                  <w:vAlign w:val="center"/>
                </w:tcPr>
                <w:p w14:paraId="6ACF0011">
                  <w:pPr>
                    <w:pStyle w:val="286"/>
                    <w:framePr w:hSpace="0" w:wrap="auto" w:vAnchor="margin" w:hAnchor="text" w:xAlign="left" w:yAlign="inline"/>
                    <w:rPr>
                      <w:rFonts w:hint="default"/>
                      <w:color w:val="auto"/>
                      <w:lang w:val="en-US" w:eastAsia="zh-CN"/>
                    </w:rPr>
                  </w:pPr>
                  <w:r>
                    <w:rPr>
                      <w:rFonts w:hint="eastAsia"/>
                      <w:color w:val="auto"/>
                      <w:lang w:val="en-US" w:eastAsia="zh-CN"/>
                    </w:rPr>
                    <w:t>1</w:t>
                  </w:r>
                </w:p>
              </w:tc>
            </w:tr>
          </w:tbl>
          <w:p w14:paraId="32AA9515">
            <w:pPr>
              <w:pStyle w:val="179"/>
              <w:framePr w:hSpace="0" w:wrap="auto" w:vAnchor="margin" w:hAnchor="text" w:xAlign="left" w:yAlign="inline"/>
              <w:ind w:firstLine="482"/>
              <w:rPr>
                <w:color w:val="auto"/>
              </w:rPr>
            </w:pPr>
            <w:r>
              <w:rPr>
                <w:color w:val="auto"/>
              </w:rPr>
              <w:t>3.3.3</w:t>
            </w:r>
            <w:r>
              <w:rPr>
                <w:rFonts w:hint="eastAsia" w:ascii="宋体" w:hAnsi="宋体" w:cs="宋体"/>
                <w:color w:val="auto"/>
              </w:rPr>
              <w:t>噪声排放标准</w:t>
            </w:r>
          </w:p>
          <w:p w14:paraId="5526039F">
            <w:pPr>
              <w:spacing w:after="0" w:line="460" w:lineRule="exact"/>
              <w:ind w:firstLine="480" w:firstLineChars="200"/>
              <w:outlineLvl w:val="1"/>
              <w:rPr>
                <w:color w:val="auto"/>
              </w:rPr>
            </w:pPr>
            <w:bookmarkStart w:id="27" w:name="_Hlk177980749"/>
            <w:r>
              <w:rPr>
                <w:rFonts w:hint="eastAsia"/>
                <w:color w:val="auto"/>
              </w:rPr>
              <w:t>根据现场调查，本项目</w:t>
            </w:r>
            <w:r>
              <w:rPr>
                <w:rFonts w:hint="eastAsia"/>
                <w:color w:val="auto"/>
                <w:lang w:eastAsia="zh-CN"/>
              </w:rPr>
              <w:t>位于淮南经济技术开发区高端装备产业园内</w:t>
            </w:r>
            <w:r>
              <w:rPr>
                <w:rFonts w:hint="eastAsia"/>
                <w:color w:val="auto"/>
              </w:rPr>
              <w:t>，</w:t>
            </w:r>
            <w:r>
              <w:rPr>
                <w:color w:val="auto"/>
              </w:rPr>
              <w:t>根据</w:t>
            </w:r>
            <w:r>
              <w:rPr>
                <w:rFonts w:hint="eastAsia"/>
                <w:color w:val="auto"/>
              </w:rPr>
              <w:t>《淮南市中心城区声环境功能区划分方案》（2021年），</w:t>
            </w:r>
            <w:r>
              <w:rPr>
                <w:color w:val="auto"/>
              </w:rPr>
              <w:t>本项目</w:t>
            </w:r>
            <w:r>
              <w:rPr>
                <w:rFonts w:hint="eastAsia"/>
                <w:color w:val="auto"/>
              </w:rPr>
              <w:t>位于</w:t>
            </w:r>
            <w:r>
              <w:rPr>
                <w:color w:val="auto"/>
              </w:rPr>
              <w:t>声环境功能区3类区，</w:t>
            </w:r>
            <w:bookmarkEnd w:id="27"/>
            <w:r>
              <w:rPr>
                <w:color w:val="auto"/>
              </w:rPr>
              <w:t>厂界</w:t>
            </w:r>
            <w:r>
              <w:rPr>
                <w:rFonts w:hint="eastAsia"/>
                <w:color w:val="auto"/>
              </w:rPr>
              <w:t>噪声</w:t>
            </w:r>
            <w:r>
              <w:rPr>
                <w:color w:val="auto"/>
              </w:rPr>
              <w:t>排放执行《工业企业厂界环境噪声排放标准》（GB12348-2008）3类标准</w:t>
            </w:r>
            <w:r>
              <w:rPr>
                <w:rFonts w:hint="eastAsia"/>
                <w:color w:val="auto"/>
              </w:rPr>
              <w:t>，</w:t>
            </w:r>
            <w:r>
              <w:rPr>
                <w:color w:val="auto"/>
              </w:rPr>
              <w:t>具体见下表。</w:t>
            </w:r>
          </w:p>
          <w:p w14:paraId="34DA3670">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表 </w:t>
            </w:r>
            <w:r>
              <w:rPr>
                <w:rFonts w:hint="eastAsia"/>
                <w:lang w:val="en-US" w:eastAsia="zh-CN"/>
              </w:rPr>
              <w:t>3</w:t>
            </w:r>
            <w:r>
              <w:rPr>
                <w:rFonts w:hint="eastAsia"/>
                <w:lang w:eastAsia="zh-CN"/>
              </w:rPr>
              <w:t>-</w:t>
            </w:r>
            <w:r>
              <w:fldChar w:fldCharType="begin"/>
            </w:r>
            <w:r>
              <w:instrText xml:space="preserve"> SEQ 表 \* ARABIC \s 1 </w:instrText>
            </w:r>
            <w:r>
              <w:fldChar w:fldCharType="separate"/>
            </w:r>
            <w:r>
              <w:t>8</w:t>
            </w:r>
            <w:r>
              <w:fldChar w:fldCharType="end"/>
            </w:r>
            <w:r>
              <w:rPr>
                <w:rFonts w:hint="eastAsia"/>
                <w:lang w:val="en-US" w:eastAsia="zh-CN"/>
              </w:rPr>
              <w:t xml:space="preserve"> </w:t>
            </w:r>
            <w:r>
              <w:rPr>
                <w:b/>
                <w:color w:val="auto"/>
                <w:sz w:val="21"/>
              </w:rPr>
              <w:t>《工业企业厂界环境噪声排放标准》（GB12348-2008）</w:t>
            </w:r>
          </w:p>
          <w:tbl>
            <w:tblPr>
              <w:tblStyle w:val="57"/>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2349"/>
              <w:gridCol w:w="1799"/>
              <w:gridCol w:w="2209"/>
              <w:gridCol w:w="2207"/>
            </w:tblGrid>
            <w:tr w14:paraId="59458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blHeader/>
              </w:trPr>
              <w:tc>
                <w:tcPr>
                  <w:tcW w:w="3904" w:type="dxa"/>
                  <w:gridSpan w:val="2"/>
                  <w:vAlign w:val="center"/>
                </w:tcPr>
                <w:p w14:paraId="105F6331">
                  <w:pPr>
                    <w:spacing w:after="0"/>
                    <w:jc w:val="center"/>
                    <w:outlineLvl w:val="1"/>
                    <w:rPr>
                      <w:bCs/>
                      <w:color w:val="auto"/>
                      <w:sz w:val="18"/>
                    </w:rPr>
                  </w:pPr>
                  <w:r>
                    <w:rPr>
                      <w:bCs/>
                      <w:color w:val="auto"/>
                      <w:sz w:val="18"/>
                    </w:rPr>
                    <w:t>标准类别</w:t>
                  </w:r>
                </w:p>
              </w:tc>
              <w:tc>
                <w:tcPr>
                  <w:tcW w:w="2079" w:type="dxa"/>
                  <w:vAlign w:val="center"/>
                </w:tcPr>
                <w:p w14:paraId="366CFFE1">
                  <w:pPr>
                    <w:spacing w:after="0"/>
                    <w:jc w:val="center"/>
                    <w:outlineLvl w:val="1"/>
                    <w:rPr>
                      <w:bCs/>
                      <w:color w:val="auto"/>
                      <w:sz w:val="18"/>
                    </w:rPr>
                  </w:pPr>
                  <w:r>
                    <w:rPr>
                      <w:bCs/>
                      <w:color w:val="auto"/>
                      <w:sz w:val="18"/>
                    </w:rPr>
                    <w:t>昼间dB（A）</w:t>
                  </w:r>
                </w:p>
              </w:tc>
              <w:tc>
                <w:tcPr>
                  <w:tcW w:w="2077" w:type="dxa"/>
                  <w:vAlign w:val="center"/>
                </w:tcPr>
                <w:p w14:paraId="0EA1339B">
                  <w:pPr>
                    <w:spacing w:after="0"/>
                    <w:jc w:val="center"/>
                    <w:outlineLvl w:val="1"/>
                    <w:rPr>
                      <w:bCs/>
                      <w:color w:val="auto"/>
                      <w:sz w:val="18"/>
                    </w:rPr>
                  </w:pPr>
                  <w:r>
                    <w:rPr>
                      <w:bCs/>
                      <w:color w:val="auto"/>
                      <w:sz w:val="18"/>
                    </w:rPr>
                    <w:t>夜间dB（A）</w:t>
                  </w:r>
                </w:p>
              </w:tc>
            </w:tr>
            <w:tr w14:paraId="151FA8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2211" w:type="dxa"/>
                  <w:vAlign w:val="center"/>
                </w:tcPr>
                <w:p w14:paraId="5B10B87F">
                  <w:pPr>
                    <w:spacing w:after="0"/>
                    <w:jc w:val="center"/>
                    <w:outlineLvl w:val="1"/>
                    <w:rPr>
                      <w:bCs/>
                      <w:color w:val="auto"/>
                      <w:sz w:val="18"/>
                    </w:rPr>
                  </w:pPr>
                  <w:r>
                    <w:rPr>
                      <w:bCs/>
                      <w:color w:val="auto"/>
                      <w:sz w:val="18"/>
                    </w:rPr>
                    <w:t>厂界</w:t>
                  </w:r>
                </w:p>
              </w:tc>
              <w:tc>
                <w:tcPr>
                  <w:tcW w:w="1693" w:type="dxa"/>
                  <w:vAlign w:val="center"/>
                </w:tcPr>
                <w:p w14:paraId="2B82CFDB">
                  <w:pPr>
                    <w:spacing w:after="0"/>
                    <w:jc w:val="center"/>
                    <w:outlineLvl w:val="1"/>
                    <w:rPr>
                      <w:bCs/>
                      <w:color w:val="auto"/>
                      <w:sz w:val="18"/>
                    </w:rPr>
                  </w:pPr>
                  <w:r>
                    <w:rPr>
                      <w:bCs/>
                      <w:color w:val="auto"/>
                      <w:sz w:val="18"/>
                    </w:rPr>
                    <w:t>3类标准</w:t>
                  </w:r>
                </w:p>
              </w:tc>
              <w:tc>
                <w:tcPr>
                  <w:tcW w:w="2079" w:type="dxa"/>
                  <w:vAlign w:val="center"/>
                </w:tcPr>
                <w:p w14:paraId="546CD7BA">
                  <w:pPr>
                    <w:spacing w:after="0"/>
                    <w:jc w:val="center"/>
                    <w:outlineLvl w:val="1"/>
                    <w:rPr>
                      <w:bCs/>
                      <w:color w:val="auto"/>
                      <w:sz w:val="18"/>
                    </w:rPr>
                  </w:pPr>
                  <w:r>
                    <w:rPr>
                      <w:bCs/>
                      <w:color w:val="auto"/>
                      <w:sz w:val="18"/>
                    </w:rPr>
                    <w:t>65</w:t>
                  </w:r>
                </w:p>
              </w:tc>
              <w:tc>
                <w:tcPr>
                  <w:tcW w:w="2077" w:type="dxa"/>
                  <w:vAlign w:val="center"/>
                </w:tcPr>
                <w:p w14:paraId="6E9CEC3C">
                  <w:pPr>
                    <w:spacing w:after="0"/>
                    <w:jc w:val="center"/>
                    <w:outlineLvl w:val="1"/>
                    <w:rPr>
                      <w:bCs/>
                      <w:color w:val="auto"/>
                      <w:sz w:val="18"/>
                    </w:rPr>
                  </w:pPr>
                  <w:r>
                    <w:rPr>
                      <w:bCs/>
                      <w:color w:val="auto"/>
                      <w:sz w:val="18"/>
                    </w:rPr>
                    <w:t>55</w:t>
                  </w:r>
                </w:p>
              </w:tc>
            </w:tr>
          </w:tbl>
          <w:p w14:paraId="7A97618B">
            <w:pPr>
              <w:pStyle w:val="179"/>
              <w:framePr w:hSpace="0" w:wrap="auto" w:vAnchor="margin" w:hAnchor="text" w:xAlign="left" w:yAlign="inline"/>
              <w:ind w:firstLine="482"/>
              <w:rPr>
                <w:color w:val="auto"/>
              </w:rPr>
            </w:pPr>
            <w:r>
              <w:rPr>
                <w:color w:val="auto"/>
              </w:rPr>
              <w:t>3.3.4</w:t>
            </w:r>
            <w:r>
              <w:rPr>
                <w:rFonts w:hint="eastAsia"/>
                <w:color w:val="auto"/>
              </w:rPr>
              <w:t>固体废物执行标准</w:t>
            </w:r>
          </w:p>
          <w:p w14:paraId="1C860A22">
            <w:pPr>
              <w:pStyle w:val="180"/>
              <w:wordWrap/>
              <w:ind w:firstLine="480"/>
              <w:outlineLvl w:val="1"/>
              <w:rPr>
                <w:color w:val="0000FF"/>
              </w:rPr>
            </w:pPr>
            <w:r>
              <w:rPr>
                <w:rFonts w:hint="eastAsia"/>
              </w:rPr>
              <w:t>项目</w:t>
            </w:r>
            <w:r>
              <w:t>固体废物</w:t>
            </w:r>
            <w:r>
              <w:rPr>
                <w:rFonts w:hint="eastAsia"/>
              </w:rPr>
              <w:t>参照执行</w:t>
            </w:r>
            <w:r>
              <w:t>《一般工业固体废物</w:t>
            </w:r>
            <w:r>
              <w:rPr>
                <w:rFonts w:hint="eastAsia"/>
              </w:rPr>
              <w:t>贮存和填埋</w:t>
            </w:r>
            <w:r>
              <w:t>污染</w:t>
            </w:r>
            <w:r>
              <w:rPr>
                <w:rFonts w:hint="eastAsia"/>
              </w:rPr>
              <w:t>物</w:t>
            </w:r>
            <w:r>
              <w:t>控制标准》（GB18599-20</w:t>
            </w:r>
            <w:r>
              <w:rPr>
                <w:rFonts w:hint="eastAsia"/>
              </w:rPr>
              <w:t>20</w:t>
            </w:r>
            <w:r>
              <w:t>）中的相关</w:t>
            </w:r>
            <w:r>
              <w:rPr>
                <w:rFonts w:hint="eastAsia"/>
              </w:rPr>
              <w:t>规定，危险废物执行</w:t>
            </w:r>
            <w:r>
              <w:t>《</w:t>
            </w:r>
            <w:r>
              <w:rPr>
                <w:rFonts w:hint="eastAsia"/>
              </w:rPr>
              <w:t>危险废物贮存污染控制标准</w:t>
            </w:r>
            <w:r>
              <w:t>》</w:t>
            </w:r>
            <w:r>
              <w:rPr>
                <w:rFonts w:hint="eastAsia"/>
              </w:rPr>
              <w:t>（GB18597-2023）规定。</w:t>
            </w:r>
          </w:p>
        </w:tc>
      </w:tr>
      <w:tr w14:paraId="2776D1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659" w:type="dxa"/>
            <w:tcBorders>
              <w:top w:val="single" w:color="auto" w:sz="4" w:space="0"/>
              <w:left w:val="single" w:color="auto" w:sz="4" w:space="0"/>
              <w:bottom w:val="single" w:color="auto" w:sz="4" w:space="0"/>
              <w:right w:val="single" w:color="auto" w:sz="4" w:space="0"/>
            </w:tcBorders>
            <w:tcMar>
              <w:left w:w="28" w:type="dxa"/>
              <w:right w:w="28" w:type="dxa"/>
            </w:tcMar>
            <w:vAlign w:val="center"/>
          </w:tcPr>
          <w:p w14:paraId="67F49233">
            <w:pPr>
              <w:adjustRightInd w:val="0"/>
              <w:spacing w:after="0" w:line="440" w:lineRule="exact"/>
              <w:jc w:val="center"/>
              <w:outlineLvl w:val="1"/>
              <w:rPr>
                <w:color w:val="0000FF"/>
              </w:rPr>
            </w:pPr>
            <w:r>
              <w:rPr>
                <w:color w:val="auto"/>
              </w:rPr>
              <w:t>总量控制指标</w:t>
            </w:r>
          </w:p>
        </w:tc>
        <w:tc>
          <w:tcPr>
            <w:tcW w:w="8267" w:type="dxa"/>
            <w:tcBorders>
              <w:top w:val="single" w:color="auto" w:sz="4" w:space="0"/>
              <w:left w:val="single" w:color="auto" w:sz="4" w:space="0"/>
              <w:bottom w:val="single" w:color="auto" w:sz="4" w:space="0"/>
              <w:right w:val="single" w:color="auto" w:sz="4" w:space="0"/>
            </w:tcBorders>
          </w:tcPr>
          <w:p w14:paraId="6DE0252A">
            <w:pPr>
              <w:pStyle w:val="180"/>
              <w:wordWrap/>
              <w:ind w:firstLine="480"/>
              <w:rPr>
                <w:color w:val="auto"/>
              </w:rPr>
            </w:pPr>
            <w:r>
              <w:rPr>
                <w:rFonts w:hint="eastAsia"/>
                <w:color w:val="auto"/>
              </w:rPr>
              <w:t>根据</w:t>
            </w:r>
            <w:r>
              <w:rPr>
                <w:color w:val="auto"/>
              </w:rPr>
              <w:t>《安徽省环保厅关于进一步加强建设项目新增大气污染物总量指标管理工作的通知》（皖环发〔2017〕19号），</w:t>
            </w:r>
            <w:r>
              <w:rPr>
                <w:rFonts w:hint="eastAsia"/>
                <w:color w:val="auto"/>
              </w:rPr>
              <w:t>提出总量控制因子</w:t>
            </w:r>
            <w:r>
              <w:rPr>
                <w:color w:val="auto"/>
              </w:rPr>
              <w:t>为：烟</w:t>
            </w:r>
            <w:r>
              <w:rPr>
                <w:rFonts w:hint="eastAsia"/>
                <w:color w:val="auto"/>
              </w:rPr>
              <w:t>（</w:t>
            </w:r>
            <w:r>
              <w:rPr>
                <w:color w:val="auto"/>
              </w:rPr>
              <w:t>粉</w:t>
            </w:r>
            <w:r>
              <w:rPr>
                <w:rFonts w:hint="eastAsia"/>
                <w:color w:val="auto"/>
              </w:rPr>
              <w:t>）</w:t>
            </w:r>
            <w:r>
              <w:rPr>
                <w:color w:val="auto"/>
              </w:rPr>
              <w:t>尘</w:t>
            </w:r>
            <w:r>
              <w:rPr>
                <w:rFonts w:hint="eastAsia"/>
                <w:color w:val="auto"/>
              </w:rPr>
              <w:t>、VOCs、</w:t>
            </w:r>
            <w:r>
              <w:rPr>
                <w:color w:val="auto"/>
                <w:kern w:val="1"/>
                <w:szCs w:val="21"/>
                <w:lang w:bidi="ar"/>
              </w:rPr>
              <w:t>二氧化硫、氮氧化物</w:t>
            </w:r>
            <w:r>
              <w:rPr>
                <w:rFonts w:hint="eastAsia"/>
                <w:color w:val="auto"/>
              </w:rPr>
              <w:t>、</w:t>
            </w:r>
            <w:r>
              <w:rPr>
                <w:color w:val="auto"/>
              </w:rPr>
              <w:t>CODcr、NH</w:t>
            </w:r>
            <w:r>
              <w:rPr>
                <w:color w:val="auto"/>
                <w:vertAlign w:val="subscript"/>
              </w:rPr>
              <w:t>3</w:t>
            </w:r>
            <w:r>
              <w:rPr>
                <w:color w:val="auto"/>
              </w:rPr>
              <w:t>-N。</w:t>
            </w:r>
          </w:p>
          <w:p w14:paraId="4AFE9E44">
            <w:pPr>
              <w:pStyle w:val="180"/>
              <w:wordWrap/>
              <w:ind w:firstLine="480"/>
              <w:rPr>
                <w:color w:val="auto"/>
              </w:rPr>
            </w:pPr>
            <w:r>
              <w:rPr>
                <w:rFonts w:hint="eastAsia"/>
                <w:color w:val="auto"/>
              </w:rPr>
              <w:t>1、大气</w:t>
            </w:r>
            <w:r>
              <w:rPr>
                <w:color w:val="auto"/>
              </w:rPr>
              <w:t>污染物总量控制指标</w:t>
            </w:r>
          </w:p>
          <w:p w14:paraId="250A60A9">
            <w:pPr>
              <w:pStyle w:val="180"/>
              <w:wordWrap/>
              <w:ind w:firstLine="480"/>
              <w:rPr>
                <w:color w:val="auto"/>
              </w:rPr>
            </w:pPr>
            <w:r>
              <w:rPr>
                <w:rFonts w:hint="eastAsia"/>
                <w:color w:val="auto"/>
                <w:highlight w:val="none"/>
              </w:rPr>
              <w:t>本项目排放的大气污染物为颗粒物，排放方式为无组织排放，</w:t>
            </w:r>
            <w:r>
              <w:rPr>
                <w:rFonts w:hint="eastAsia"/>
                <w:color w:val="auto"/>
                <w:highlight w:val="none"/>
                <w:lang w:eastAsia="zh-CN"/>
              </w:rPr>
              <w:t>排放量为</w:t>
            </w:r>
            <w:r>
              <w:rPr>
                <w:rFonts w:hint="eastAsia"/>
                <w:color w:val="auto"/>
                <w:highlight w:val="none"/>
                <w:lang w:val="en-US" w:eastAsia="zh-CN"/>
              </w:rPr>
              <w:t>0.038t/a</w:t>
            </w:r>
            <w:r>
              <w:rPr>
                <w:rFonts w:hint="eastAsia"/>
                <w:color w:val="auto"/>
                <w:highlight w:val="none"/>
              </w:rPr>
              <w:t>。</w:t>
            </w:r>
          </w:p>
          <w:p w14:paraId="1A2AF196">
            <w:pPr>
              <w:pStyle w:val="180"/>
              <w:wordWrap/>
              <w:ind w:firstLine="480"/>
              <w:rPr>
                <w:color w:val="auto"/>
              </w:rPr>
            </w:pPr>
            <w:r>
              <w:rPr>
                <w:rFonts w:hint="eastAsia"/>
                <w:color w:val="auto"/>
              </w:rPr>
              <w:t>2、</w:t>
            </w:r>
            <w:r>
              <w:rPr>
                <w:color w:val="auto"/>
              </w:rPr>
              <w:t>水污染物总量控制指标</w:t>
            </w:r>
          </w:p>
          <w:p w14:paraId="7C82D830">
            <w:pPr>
              <w:pStyle w:val="180"/>
              <w:wordWrap/>
              <w:ind w:firstLine="480"/>
              <w:rPr>
                <w:color w:val="auto"/>
              </w:rPr>
            </w:pPr>
            <w:r>
              <w:rPr>
                <w:rFonts w:hint="eastAsia"/>
                <w:color w:val="auto"/>
              </w:rPr>
              <w:t>本项目外排废水</w:t>
            </w:r>
            <w:r>
              <w:rPr>
                <w:color w:val="auto"/>
              </w:rPr>
              <w:t>经</w:t>
            </w:r>
            <w:r>
              <w:rPr>
                <w:rFonts w:hint="eastAsia"/>
                <w:color w:val="auto"/>
                <w:lang w:eastAsia="zh-CN"/>
              </w:rPr>
              <w:t>高端装备产业园区污水处理站</w:t>
            </w:r>
            <w:r>
              <w:rPr>
                <w:rFonts w:hint="eastAsia"/>
                <w:color w:val="auto"/>
              </w:rPr>
              <w:t>处理</w:t>
            </w:r>
            <w:r>
              <w:rPr>
                <w:color w:val="auto"/>
              </w:rPr>
              <w:t>达标后</w:t>
            </w:r>
            <w:r>
              <w:rPr>
                <w:rFonts w:hint="eastAsia"/>
                <w:color w:val="auto"/>
              </w:rPr>
              <w:t>纳管排入</w:t>
            </w:r>
            <w:r>
              <w:rPr>
                <w:color w:val="auto"/>
              </w:rPr>
              <w:t>淮南经济技术开发区工业污水处理厂进行</w:t>
            </w:r>
            <w:r>
              <w:rPr>
                <w:rFonts w:hint="eastAsia"/>
                <w:color w:val="auto"/>
              </w:rPr>
              <w:t>深度处理，处理达标的尾水排入淮河（淮南段）；本项目废水</w:t>
            </w:r>
            <w:r>
              <w:rPr>
                <w:color w:val="auto"/>
              </w:rPr>
              <w:t>总量纳入淮南经济技术开发区工业污水处理厂总量控制指标内，故不申请总量替代指标。</w:t>
            </w:r>
          </w:p>
          <w:p w14:paraId="42AC9B54">
            <w:pPr>
              <w:pStyle w:val="180"/>
              <w:wordWrap/>
              <w:ind w:firstLine="480"/>
              <w:rPr>
                <w:color w:val="auto"/>
              </w:rPr>
            </w:pPr>
            <w:r>
              <w:rPr>
                <w:rFonts w:hint="eastAsia"/>
                <w:color w:val="auto"/>
              </w:rPr>
              <w:t>3、</w:t>
            </w:r>
            <w:r>
              <w:rPr>
                <w:color w:val="auto"/>
              </w:rPr>
              <w:t>固体废物总量控制指标</w:t>
            </w:r>
          </w:p>
          <w:p w14:paraId="2BBA8D76">
            <w:pPr>
              <w:adjustRightInd w:val="0"/>
              <w:snapToGrid w:val="0"/>
              <w:spacing w:line="360" w:lineRule="auto"/>
              <w:ind w:firstLine="480" w:firstLineChars="200"/>
              <w:rPr>
                <w:color w:val="0000FF"/>
              </w:rPr>
            </w:pPr>
            <w:r>
              <w:rPr>
                <w:rFonts w:hint="eastAsia"/>
                <w:color w:val="auto"/>
              </w:rPr>
              <w:t>本</w:t>
            </w:r>
            <w:r>
              <w:rPr>
                <w:color w:val="auto"/>
              </w:rPr>
              <w:t>项目固体废物均按照要求进行管理，故不申请总量替代指标。</w:t>
            </w:r>
          </w:p>
        </w:tc>
      </w:tr>
    </w:tbl>
    <w:p w14:paraId="1450D53A">
      <w:pPr>
        <w:widowControl/>
        <w:spacing w:before="120" w:beforeLines="50" w:after="0" w:line="360" w:lineRule="auto"/>
        <w:outlineLvl w:val="0"/>
        <w:rPr>
          <w:color w:val="0000FF"/>
          <w:sz w:val="28"/>
          <w:szCs w:val="28"/>
          <w:lang w:val="zh-CN"/>
        </w:rPr>
        <w:sectPr>
          <w:headerReference r:id="rId14" w:type="default"/>
          <w:pgSz w:w="11907" w:h="16840"/>
          <w:pgMar w:top="1440" w:right="1440" w:bottom="1389" w:left="1440" w:header="851" w:footer="851" w:gutter="0"/>
          <w:pgNumType w:fmt="decimal"/>
          <w:cols w:space="720" w:num="1"/>
          <w:docGrid w:linePitch="326" w:charSpace="0"/>
        </w:sectPr>
      </w:pPr>
      <w:bookmarkStart w:id="28" w:name="_Hlk173944805"/>
      <w:bookmarkStart w:id="29" w:name="_Toc69030996"/>
    </w:p>
    <w:p w14:paraId="7C10D9D9">
      <w:pPr>
        <w:pStyle w:val="5"/>
        <w:bidi w:val="0"/>
        <w:spacing w:after="0" w:line="240" w:lineRule="auto"/>
        <w:rPr>
          <w:color w:val="auto"/>
          <w:szCs w:val="28"/>
          <w:lang w:val="zh-CN"/>
        </w:rPr>
      </w:pPr>
      <w:r>
        <w:rPr>
          <w:lang w:val="zh-CN"/>
        </w:rPr>
        <w:t>四、主要环境影响和保护措施</w:t>
      </w:r>
    </w:p>
    <w:bookmarkEnd w:id="28"/>
    <w:tbl>
      <w:tblPr>
        <w:tblStyle w:val="57"/>
        <w:tblW w:w="916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8736"/>
      </w:tblGrid>
      <w:tr w14:paraId="025D3B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20" w:hRule="atLeast"/>
          <w:jc w:val="center"/>
        </w:trPr>
        <w:tc>
          <w:tcPr>
            <w:tcW w:w="601" w:type="dxa"/>
            <w:tcMar>
              <w:left w:w="28" w:type="dxa"/>
              <w:right w:w="28" w:type="dxa"/>
            </w:tcMar>
            <w:vAlign w:val="center"/>
          </w:tcPr>
          <w:p w14:paraId="2D825A7C">
            <w:pPr>
              <w:adjustRightInd w:val="0"/>
              <w:snapToGrid w:val="0"/>
              <w:spacing w:after="0"/>
              <w:jc w:val="center"/>
              <w:rPr>
                <w:color w:val="auto"/>
              </w:rPr>
            </w:pPr>
            <w:r>
              <w:rPr>
                <w:rFonts w:hint="eastAsia"/>
                <w:color w:val="auto"/>
              </w:rPr>
              <w:t>施工期</w:t>
            </w:r>
            <w:r>
              <w:rPr>
                <w:color w:val="auto"/>
              </w:rPr>
              <w:t>环</w:t>
            </w:r>
          </w:p>
          <w:p w14:paraId="7CD61C3D">
            <w:pPr>
              <w:adjustRightInd w:val="0"/>
              <w:snapToGrid w:val="0"/>
              <w:spacing w:after="0"/>
              <w:jc w:val="center"/>
              <w:rPr>
                <w:color w:val="auto"/>
              </w:rPr>
            </w:pPr>
            <w:r>
              <w:rPr>
                <w:color w:val="auto"/>
              </w:rPr>
              <w:t>境影</w:t>
            </w:r>
          </w:p>
          <w:p w14:paraId="3D063E28">
            <w:pPr>
              <w:adjustRightInd w:val="0"/>
              <w:snapToGrid w:val="0"/>
              <w:spacing w:after="0"/>
              <w:jc w:val="center"/>
              <w:rPr>
                <w:color w:val="auto"/>
              </w:rPr>
            </w:pPr>
            <w:r>
              <w:rPr>
                <w:color w:val="auto"/>
              </w:rPr>
              <w:t>响和</w:t>
            </w:r>
          </w:p>
          <w:p w14:paraId="338B50E2">
            <w:pPr>
              <w:adjustRightInd w:val="0"/>
              <w:snapToGrid w:val="0"/>
              <w:spacing w:after="0"/>
              <w:jc w:val="center"/>
              <w:rPr>
                <w:color w:val="auto"/>
              </w:rPr>
            </w:pPr>
            <w:r>
              <w:rPr>
                <w:color w:val="auto"/>
              </w:rPr>
              <w:t>保护</w:t>
            </w:r>
          </w:p>
          <w:p w14:paraId="02AACB77">
            <w:pPr>
              <w:adjustRightInd w:val="0"/>
              <w:snapToGrid w:val="0"/>
              <w:spacing w:after="0"/>
              <w:jc w:val="center"/>
              <w:rPr>
                <w:rFonts w:cs="宋体"/>
                <w:bCs/>
                <w:color w:val="auto"/>
              </w:rPr>
            </w:pPr>
            <w:r>
              <w:rPr>
                <w:color w:val="auto"/>
              </w:rPr>
              <w:t>措施</w:t>
            </w:r>
          </w:p>
        </w:tc>
        <w:tc>
          <w:tcPr>
            <w:tcW w:w="8562" w:type="dxa"/>
            <w:vAlign w:val="center"/>
          </w:tcPr>
          <w:p w14:paraId="6D4C5424">
            <w:pPr>
              <w:pStyle w:val="598"/>
              <w:rPr>
                <w:color w:val="auto"/>
              </w:rPr>
            </w:pPr>
            <w:r>
              <w:rPr>
                <w:rFonts w:hint="eastAsia"/>
                <w:color w:val="auto"/>
              </w:rPr>
              <w:t>4</w:t>
            </w:r>
            <w:r>
              <w:rPr>
                <w:color w:val="auto"/>
              </w:rPr>
              <w:t>.1</w:t>
            </w:r>
            <w:r>
              <w:rPr>
                <w:rFonts w:hint="eastAsia"/>
                <w:color w:val="auto"/>
              </w:rPr>
              <w:t>施工期</w:t>
            </w:r>
          </w:p>
          <w:p w14:paraId="2444E6F6">
            <w:pPr>
              <w:pStyle w:val="180"/>
              <w:wordWrap/>
              <w:ind w:firstLine="480"/>
              <w:rPr>
                <w:color w:val="auto"/>
              </w:rPr>
            </w:pPr>
            <w:r>
              <w:rPr>
                <w:color w:val="auto"/>
              </w:rPr>
              <w:t>本项目租赁</w:t>
            </w:r>
            <w:r>
              <w:rPr>
                <w:rFonts w:hint="eastAsia"/>
                <w:color w:val="auto"/>
                <w:lang w:eastAsia="zh-CN"/>
              </w:rPr>
              <w:t>淮南经济技术开发区高端装备产业园</w:t>
            </w:r>
            <w:r>
              <w:rPr>
                <w:rFonts w:hint="eastAsia"/>
                <w:color w:val="auto"/>
              </w:rPr>
              <w:t>现有</w:t>
            </w:r>
            <w:r>
              <w:rPr>
                <w:color w:val="auto"/>
              </w:rPr>
              <w:t>厂房生产，</w:t>
            </w:r>
            <w:r>
              <w:rPr>
                <w:rFonts w:hint="eastAsia"/>
                <w:color w:val="auto"/>
              </w:rPr>
              <w:t>施工期仅对生产厂房进行内部改造、装修及设备设施安装，</w:t>
            </w:r>
            <w:r>
              <w:rPr>
                <w:rFonts w:hint="eastAsia"/>
                <w:color w:val="auto"/>
                <w:lang w:eastAsia="zh-CN"/>
              </w:rPr>
              <w:t>基本</w:t>
            </w:r>
            <w:r>
              <w:rPr>
                <w:rFonts w:hint="eastAsia"/>
                <w:color w:val="auto"/>
              </w:rPr>
              <w:t>不涉及土建工程，施工期主要污染物为装修废气、建筑垃圾和噪声。本项目施工活动均在室内进行、施工期短，对环境影响较小，且设备安装噪声将随工程施工的结束而消失，</w:t>
            </w:r>
            <w:r>
              <w:rPr>
                <w:rFonts w:hint="eastAsia"/>
                <w:color w:val="auto"/>
                <w:lang w:eastAsia="zh-CN"/>
              </w:rPr>
              <w:t>故</w:t>
            </w:r>
            <w:r>
              <w:rPr>
                <w:rFonts w:hint="eastAsia"/>
                <w:color w:val="auto"/>
              </w:rPr>
              <w:t>本次评价不对施工期环境影响</w:t>
            </w:r>
            <w:r>
              <w:rPr>
                <w:rFonts w:hint="eastAsia"/>
                <w:color w:val="auto"/>
                <w:lang w:eastAsia="zh-CN"/>
              </w:rPr>
              <w:t>进行</w:t>
            </w:r>
            <w:r>
              <w:rPr>
                <w:rFonts w:hint="eastAsia"/>
                <w:color w:val="auto"/>
              </w:rPr>
              <w:t>分析。</w:t>
            </w:r>
          </w:p>
        </w:tc>
      </w:tr>
      <w:tr w14:paraId="39A450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01" w:type="dxa"/>
            <w:tcMar>
              <w:left w:w="28" w:type="dxa"/>
              <w:right w:w="28" w:type="dxa"/>
            </w:tcMar>
            <w:vAlign w:val="center"/>
          </w:tcPr>
          <w:p w14:paraId="4DD063F6">
            <w:pPr>
              <w:adjustRightInd w:val="0"/>
              <w:snapToGrid w:val="0"/>
              <w:spacing w:after="0"/>
              <w:jc w:val="center"/>
              <w:rPr>
                <w:color w:val="auto"/>
              </w:rPr>
            </w:pPr>
            <w:r>
              <w:rPr>
                <w:color w:val="auto"/>
              </w:rPr>
              <w:t>运营</w:t>
            </w:r>
          </w:p>
          <w:p w14:paraId="4E97BA0C">
            <w:pPr>
              <w:adjustRightInd w:val="0"/>
              <w:snapToGrid w:val="0"/>
              <w:spacing w:after="0"/>
              <w:jc w:val="center"/>
              <w:rPr>
                <w:color w:val="auto"/>
              </w:rPr>
            </w:pPr>
            <w:r>
              <w:rPr>
                <w:color w:val="auto"/>
              </w:rPr>
              <w:t>期环</w:t>
            </w:r>
          </w:p>
          <w:p w14:paraId="2DC93B7F">
            <w:pPr>
              <w:adjustRightInd w:val="0"/>
              <w:snapToGrid w:val="0"/>
              <w:spacing w:after="0"/>
              <w:jc w:val="center"/>
              <w:rPr>
                <w:color w:val="auto"/>
              </w:rPr>
            </w:pPr>
            <w:r>
              <w:rPr>
                <w:color w:val="auto"/>
              </w:rPr>
              <w:t>境影</w:t>
            </w:r>
          </w:p>
          <w:p w14:paraId="1BFC4883">
            <w:pPr>
              <w:adjustRightInd w:val="0"/>
              <w:snapToGrid w:val="0"/>
              <w:spacing w:after="0"/>
              <w:jc w:val="center"/>
              <w:rPr>
                <w:color w:val="auto"/>
              </w:rPr>
            </w:pPr>
            <w:r>
              <w:rPr>
                <w:color w:val="auto"/>
              </w:rPr>
              <w:t>响和</w:t>
            </w:r>
          </w:p>
          <w:p w14:paraId="3876871B">
            <w:pPr>
              <w:adjustRightInd w:val="0"/>
              <w:snapToGrid w:val="0"/>
              <w:spacing w:after="0"/>
              <w:jc w:val="center"/>
              <w:rPr>
                <w:color w:val="auto"/>
              </w:rPr>
            </w:pPr>
            <w:r>
              <w:rPr>
                <w:color w:val="auto"/>
              </w:rPr>
              <w:t>保护</w:t>
            </w:r>
          </w:p>
          <w:p w14:paraId="3629F585">
            <w:pPr>
              <w:adjustRightInd w:val="0"/>
              <w:snapToGrid w:val="0"/>
              <w:spacing w:after="0"/>
              <w:jc w:val="center"/>
              <w:rPr>
                <w:color w:val="0000FF"/>
              </w:rPr>
            </w:pPr>
            <w:r>
              <w:rPr>
                <w:color w:val="auto"/>
              </w:rPr>
              <w:t>措施</w:t>
            </w:r>
          </w:p>
        </w:tc>
        <w:tc>
          <w:tcPr>
            <w:tcW w:w="8562" w:type="dxa"/>
            <w:vAlign w:val="center"/>
          </w:tcPr>
          <w:p w14:paraId="02BCB993">
            <w:pPr>
              <w:pStyle w:val="179"/>
              <w:spacing w:line="360" w:lineRule="auto"/>
              <w:ind w:left="0" w:leftChars="0" w:firstLine="0" w:firstLineChars="0"/>
              <w:rPr>
                <w:rFonts w:hint="eastAsia" w:eastAsia="宋体"/>
                <w:color w:val="auto"/>
                <w:lang w:eastAsia="zh-CN"/>
              </w:rPr>
            </w:pPr>
            <w:r>
              <w:rPr>
                <w:rFonts w:hint="eastAsia"/>
                <w:color w:val="auto"/>
              </w:rPr>
              <w:t>4</w:t>
            </w:r>
            <w:r>
              <w:rPr>
                <w:color w:val="auto"/>
              </w:rPr>
              <w:t>.2</w:t>
            </w:r>
            <w:r>
              <w:rPr>
                <w:rFonts w:hint="eastAsia" w:ascii="宋体" w:hAnsi="宋体" w:cs="宋体"/>
                <w:color w:val="auto"/>
                <w:lang w:eastAsia="zh-CN"/>
              </w:rPr>
              <w:t>大气影响环境分析</w:t>
            </w:r>
          </w:p>
          <w:p w14:paraId="1D27F01B">
            <w:pPr>
              <w:pStyle w:val="179"/>
              <w:spacing w:line="360" w:lineRule="auto"/>
              <w:ind w:firstLine="482"/>
              <w:rPr>
                <w:color w:val="auto"/>
              </w:rPr>
            </w:pPr>
            <w:r>
              <w:rPr>
                <w:rFonts w:hint="eastAsia"/>
                <w:color w:val="auto"/>
              </w:rPr>
              <w:t>4</w:t>
            </w:r>
            <w:r>
              <w:rPr>
                <w:color w:val="auto"/>
              </w:rPr>
              <w:t>.2.1</w:t>
            </w:r>
            <w:r>
              <w:rPr>
                <w:rFonts w:hint="eastAsia"/>
                <w:color w:val="auto"/>
              </w:rPr>
              <w:t>废气污染源强</w:t>
            </w:r>
          </w:p>
          <w:p w14:paraId="2032FC07">
            <w:pPr>
              <w:pStyle w:val="180"/>
              <w:wordWrap/>
              <w:spacing w:line="360" w:lineRule="auto"/>
              <w:ind w:firstLine="480"/>
              <w:rPr>
                <w:color w:val="auto"/>
              </w:rPr>
            </w:pPr>
            <w:r>
              <w:rPr>
                <w:rFonts w:hint="eastAsia"/>
                <w:color w:val="auto"/>
              </w:rPr>
              <w:t>本项目运营时产生的废气主要为</w:t>
            </w:r>
            <w:r>
              <w:rPr>
                <w:rFonts w:hint="eastAsia" w:ascii="Times New Roman" w:hAnsi="Times New Roman" w:cs="Times New Roman"/>
                <w:color w:val="auto"/>
                <w:highlight w:val="none"/>
                <w:lang w:val="en-US" w:eastAsia="zh-CN"/>
              </w:rPr>
              <w:t>面粉</w:t>
            </w:r>
            <w:r>
              <w:rPr>
                <w:rFonts w:hint="eastAsia" w:cs="Times New Roman"/>
                <w:color w:val="auto"/>
                <w:highlight w:val="none"/>
                <w:lang w:val="en-US" w:eastAsia="zh-CN"/>
              </w:rPr>
              <w:t>、米粉</w:t>
            </w:r>
            <w:r>
              <w:rPr>
                <w:rFonts w:hint="eastAsia"/>
                <w:color w:val="auto"/>
                <w:lang w:eastAsia="zh-CN"/>
              </w:rPr>
              <w:t>投料过程中</w:t>
            </w:r>
            <w:r>
              <w:rPr>
                <w:rFonts w:hint="eastAsia"/>
                <w:color w:val="auto"/>
              </w:rPr>
              <w:t>产生的</w:t>
            </w:r>
            <w:r>
              <w:rPr>
                <w:rFonts w:hint="eastAsia"/>
                <w:color w:val="auto"/>
                <w:lang w:eastAsia="zh-CN"/>
              </w:rPr>
              <w:t>投料</w:t>
            </w:r>
            <w:r>
              <w:rPr>
                <w:rFonts w:hint="eastAsia"/>
                <w:color w:val="auto"/>
              </w:rPr>
              <w:t>粉尘</w:t>
            </w:r>
            <w:r>
              <w:rPr>
                <w:rFonts w:hint="eastAsia"/>
                <w:color w:val="auto"/>
                <w:lang w:val="en-US" w:eastAsia="zh-CN"/>
              </w:rPr>
              <w:t>G1</w:t>
            </w:r>
            <w:r>
              <w:rPr>
                <w:rFonts w:hint="eastAsia"/>
                <w:color w:val="auto"/>
              </w:rPr>
              <w:t>，主要污染物为颗粒物。</w:t>
            </w:r>
          </w:p>
          <w:p w14:paraId="4EBF5CF2">
            <w:pPr>
              <w:pStyle w:val="771"/>
              <w:bidi w:val="0"/>
              <w:rPr>
                <w:rFonts w:hint="eastAsia"/>
                <w:lang w:val="en-US" w:eastAsia="zh-CN"/>
              </w:rPr>
            </w:pPr>
            <w:r>
              <w:rPr>
                <w:rFonts w:hint="eastAsia" w:ascii="Times New Roman" w:hAnsi="Times New Roman" w:cs="Times New Roman"/>
                <w:color w:val="auto"/>
                <w:highlight w:val="none"/>
                <w:lang w:val="en-US" w:eastAsia="zh-CN"/>
              </w:rPr>
              <w:t>通过查阅《排污许可证申请与核发技术规范食品制造工业一方便食品、食品及饲料添加剂制造工业》</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HJ1030.3-2019</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和《排放源统计调查产排污核算方法和系数手册-1431-米、面制品制造行业系数手册》，HJ1030.3-2019和系数手册中均未给出面粉投加工序的粉尘产排污系数，为了解投加面粉</w:t>
            </w:r>
            <w:r>
              <w:rPr>
                <w:rFonts w:hint="eastAsia" w:cs="Times New Roman"/>
                <w:color w:val="auto"/>
                <w:highlight w:val="none"/>
                <w:lang w:val="en-US" w:eastAsia="zh-CN"/>
              </w:rPr>
              <w:t>、米粉</w:t>
            </w:r>
            <w:r>
              <w:rPr>
                <w:rFonts w:hint="eastAsia" w:ascii="Times New Roman" w:hAnsi="Times New Roman" w:cs="Times New Roman"/>
                <w:color w:val="auto"/>
                <w:highlight w:val="none"/>
                <w:lang w:val="en-US" w:eastAsia="zh-CN"/>
              </w:rPr>
              <w:t>工序粉尘的产生情况，本次评价收集并参照使用《逸散性工业粉尘控制技术》</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中国环境科学出版社</w:t>
            </w:r>
            <w:r>
              <w:rPr>
                <w:rFonts w:hint="eastAsia" w:cs="Times New Roman"/>
                <w:color w:val="auto"/>
                <w:highlight w:val="none"/>
                <w:lang w:val="en-US" w:eastAsia="zh-CN"/>
              </w:rPr>
              <w:t>）</w:t>
            </w:r>
            <w:r>
              <w:rPr>
                <w:rFonts w:hint="eastAsia" w:ascii="Times New Roman" w:hAnsi="Times New Roman" w:cs="Times New Roman"/>
                <w:color w:val="auto"/>
                <w:highlight w:val="none"/>
                <w:lang w:val="en-US" w:eastAsia="zh-CN"/>
              </w:rPr>
              <w:t>中的逸散性粉尘系数0.</w:t>
            </w:r>
            <w:r>
              <w:rPr>
                <w:rFonts w:hint="eastAsia" w:cs="Times New Roman"/>
                <w:color w:val="auto"/>
                <w:highlight w:val="none"/>
                <w:lang w:val="en-US" w:eastAsia="zh-CN"/>
              </w:rPr>
              <w:t>15</w:t>
            </w:r>
            <w:r>
              <w:rPr>
                <w:rFonts w:hint="eastAsia" w:ascii="Times New Roman" w:hAnsi="Times New Roman" w:cs="Times New Roman"/>
                <w:color w:val="auto"/>
                <w:highlight w:val="none"/>
                <w:lang w:val="en-US" w:eastAsia="zh-CN"/>
              </w:rPr>
              <w:t>kg/t，项目面粉</w:t>
            </w:r>
            <w:r>
              <w:rPr>
                <w:rFonts w:hint="eastAsia" w:cs="Times New Roman"/>
                <w:color w:val="auto"/>
                <w:highlight w:val="none"/>
                <w:lang w:val="en-US" w:eastAsia="zh-CN"/>
              </w:rPr>
              <w:t>、米</w:t>
            </w:r>
            <w:r>
              <w:rPr>
                <w:rFonts w:hint="eastAsia" w:ascii="Times New Roman" w:hAnsi="Times New Roman" w:cs="Times New Roman"/>
                <w:color w:val="auto"/>
                <w:highlight w:val="none"/>
                <w:lang w:val="en-US" w:eastAsia="zh-CN"/>
              </w:rPr>
              <w:t>粉的</w:t>
            </w:r>
            <w:r>
              <w:rPr>
                <w:rFonts w:hint="eastAsia"/>
                <w:lang w:val="en-US" w:eastAsia="zh-CN"/>
              </w:rPr>
              <w:t>总用量为680t/a，则本项目逸散的粉尘量为0.102t/a（0.043kg/h）。</w:t>
            </w:r>
          </w:p>
          <w:p w14:paraId="07FB1B9E">
            <w:pPr>
              <w:pStyle w:val="771"/>
              <w:bidi w:val="0"/>
            </w:pPr>
            <w:r>
              <w:rPr>
                <w:rFonts w:hint="eastAsia"/>
                <w:lang w:val="en-US" w:eastAsia="zh-CN"/>
              </w:rPr>
              <w:t>为降低面粉粉尘对周边环境的影响，建设单位拟在面粉的投料口上方布设集气罩并连通集气管道接入布袋除尘器，经收集除尘后的面粉粉尘在车间内部无组织排放，同时建设单位应加强产尘设备的密闭性及产尘车间的封闭性。</w:t>
            </w:r>
          </w:p>
          <w:p w14:paraId="64F17985">
            <w:pPr>
              <w:pStyle w:val="771"/>
              <w:bidi w:val="0"/>
            </w:pPr>
            <w:r>
              <w:rPr>
                <w:rFonts w:hint="eastAsia"/>
                <w:lang w:val="en-US" w:eastAsia="zh-CN"/>
              </w:rPr>
              <w:t>本项目投料工序产生的粉尘为</w:t>
            </w:r>
            <w:r>
              <w:rPr>
                <w:rFonts w:hint="default"/>
                <w:lang w:val="en-US" w:eastAsia="zh-CN"/>
              </w:rPr>
              <w:t>0.</w:t>
            </w:r>
            <w:r>
              <w:rPr>
                <w:rFonts w:hint="eastAsia"/>
                <w:lang w:val="en-US" w:eastAsia="zh-CN"/>
              </w:rPr>
              <w:t>102</w:t>
            </w:r>
            <w:r>
              <w:rPr>
                <w:rFonts w:hint="default"/>
                <w:lang w:val="en-US" w:eastAsia="zh-CN"/>
              </w:rPr>
              <w:t>t/a</w:t>
            </w:r>
            <w:r>
              <w:rPr>
                <w:rFonts w:hint="eastAsia"/>
                <w:lang w:val="en-US" w:eastAsia="zh-CN"/>
              </w:rPr>
              <w:t>、产生速率为</w:t>
            </w:r>
            <w:r>
              <w:rPr>
                <w:rFonts w:hint="default"/>
                <w:lang w:val="en-US" w:eastAsia="zh-CN"/>
              </w:rPr>
              <w:t>0.04</w:t>
            </w:r>
            <w:r>
              <w:rPr>
                <w:rFonts w:hint="eastAsia"/>
                <w:lang w:val="en-US" w:eastAsia="zh-CN"/>
              </w:rPr>
              <w:t>3</w:t>
            </w:r>
            <w:r>
              <w:rPr>
                <w:rFonts w:hint="default"/>
                <w:lang w:val="en-US" w:eastAsia="zh-CN"/>
              </w:rPr>
              <w:t>kg/h</w:t>
            </w:r>
            <w:r>
              <w:rPr>
                <w:rFonts w:hint="eastAsia"/>
                <w:lang w:val="en-US" w:eastAsia="zh-CN"/>
              </w:rPr>
              <w:t>。建设单位拟在面粉的投料口（9处投料口上均布设）上方布设集气罩（整体收集效率计</w:t>
            </w:r>
            <w:r>
              <w:rPr>
                <w:rFonts w:hint="default"/>
                <w:lang w:val="en-US" w:eastAsia="zh-CN"/>
              </w:rPr>
              <w:t>70%</w:t>
            </w:r>
            <w:r>
              <w:rPr>
                <w:rFonts w:hint="eastAsia"/>
                <w:lang w:val="en-US" w:eastAsia="zh-CN"/>
              </w:rPr>
              <w:t>）并连通集气管道接入布袋除尘器（除尘效率计</w:t>
            </w:r>
            <w:r>
              <w:rPr>
                <w:rFonts w:hint="default"/>
                <w:lang w:val="en-US" w:eastAsia="zh-CN"/>
              </w:rPr>
              <w:t>9</w:t>
            </w:r>
            <w:r>
              <w:rPr>
                <w:rFonts w:hint="eastAsia"/>
                <w:lang w:val="en-US" w:eastAsia="zh-CN"/>
              </w:rPr>
              <w:t>0</w:t>
            </w:r>
            <w:r>
              <w:rPr>
                <w:rFonts w:hint="default"/>
                <w:lang w:val="en-US" w:eastAsia="zh-CN"/>
              </w:rPr>
              <w:t>%</w:t>
            </w:r>
            <w:r>
              <w:rPr>
                <w:rFonts w:hint="eastAsia"/>
                <w:lang w:val="en-US" w:eastAsia="zh-CN"/>
              </w:rPr>
              <w:t>），经收集除尘后的面粉粉尘在车间内部无组织排放，则粉尘无组织排放量为</w:t>
            </w:r>
            <w:r>
              <w:rPr>
                <w:rFonts w:hint="default"/>
                <w:lang w:val="en-US" w:eastAsia="zh-CN"/>
              </w:rPr>
              <w:t>0.03</w:t>
            </w:r>
            <w:r>
              <w:rPr>
                <w:rFonts w:hint="eastAsia"/>
                <w:lang w:val="en-US" w:eastAsia="zh-CN"/>
              </w:rPr>
              <w:t>8</w:t>
            </w:r>
            <w:r>
              <w:rPr>
                <w:rFonts w:hint="default"/>
                <w:lang w:val="en-US" w:eastAsia="zh-CN"/>
              </w:rPr>
              <w:t>t/a</w:t>
            </w:r>
            <w:r>
              <w:rPr>
                <w:rFonts w:hint="eastAsia"/>
                <w:lang w:val="en-US" w:eastAsia="zh-CN"/>
              </w:rPr>
              <w:t>，此部分粉尘将部分沉降在车间地面，经清扫后外售至相关单位作饲料生产，严禁将布袋收集和沉降粉尘收集投入后续加工工艺。</w:t>
            </w:r>
          </w:p>
          <w:p w14:paraId="6C6B3BB1">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4</w:t>
            </w:r>
            <w:r>
              <w:rPr>
                <w:rFonts w:hint="eastAsia"/>
                <w:lang w:eastAsia="zh-CN"/>
              </w:rPr>
              <w:t>-</w:t>
            </w:r>
            <w:r>
              <w:fldChar w:fldCharType="begin"/>
            </w:r>
            <w:r>
              <w:instrText xml:space="preserve"> SEQ 表 \* ARABIC \s 1 </w:instrText>
            </w:r>
            <w:r>
              <w:fldChar w:fldCharType="separate"/>
            </w:r>
            <w:r>
              <w:t>1</w:t>
            </w:r>
            <w:r>
              <w:fldChar w:fldCharType="end"/>
            </w:r>
            <w:r>
              <w:rPr>
                <w:rFonts w:hint="eastAsia"/>
                <w:lang w:val="en-US" w:eastAsia="zh-CN"/>
              </w:rPr>
              <w:t xml:space="preserve"> </w:t>
            </w:r>
            <w:r>
              <w:rPr>
                <w:rFonts w:hint="eastAsia" w:ascii="Times New Roman" w:hAnsi="Times New Roman" w:eastAsia="宋体" w:cs="Times New Roman"/>
                <w:b/>
                <w:bCs/>
                <w:szCs w:val="21"/>
                <w:highlight w:val="none"/>
              </w:rPr>
              <w:t>项目废气无组织排放情况一览表</w:t>
            </w:r>
          </w:p>
          <w:tbl>
            <w:tblPr>
              <w:tblStyle w:val="57"/>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8"/>
              <w:gridCol w:w="961"/>
              <w:gridCol w:w="1132"/>
              <w:gridCol w:w="992"/>
              <w:gridCol w:w="2288"/>
              <w:gridCol w:w="1195"/>
              <w:gridCol w:w="1181"/>
            </w:tblGrid>
            <w:tr w14:paraId="62DCA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jc w:val="center"/>
              </w:trPr>
              <w:tc>
                <w:tcPr>
                  <w:tcW w:w="777" w:type="dxa"/>
                  <w:vMerge w:val="restart"/>
                  <w:noWrap w:val="0"/>
                  <w:vAlign w:val="center"/>
                </w:tcPr>
                <w:p w14:paraId="5B50B781">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污染源</w:t>
                  </w:r>
                </w:p>
              </w:tc>
              <w:tc>
                <w:tcPr>
                  <w:tcW w:w="991" w:type="dxa"/>
                  <w:vMerge w:val="restart"/>
                  <w:noWrap w:val="0"/>
                  <w:vAlign w:val="center"/>
                </w:tcPr>
                <w:p w14:paraId="64975C50">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污染物名称</w:t>
                  </w:r>
                </w:p>
              </w:tc>
              <w:tc>
                <w:tcPr>
                  <w:tcW w:w="2148" w:type="dxa"/>
                  <w:gridSpan w:val="2"/>
                  <w:noWrap w:val="0"/>
                  <w:vAlign w:val="center"/>
                </w:tcPr>
                <w:p w14:paraId="7F009F09">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产生情况</w:t>
                  </w:r>
                </w:p>
              </w:tc>
              <w:tc>
                <w:tcPr>
                  <w:tcW w:w="2388" w:type="dxa"/>
                  <w:vMerge w:val="restart"/>
                  <w:noWrap w:val="0"/>
                  <w:vAlign w:val="center"/>
                </w:tcPr>
                <w:p w14:paraId="119550E1">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主要污染防治措施</w:t>
                  </w:r>
                </w:p>
              </w:tc>
              <w:tc>
                <w:tcPr>
                  <w:tcW w:w="2414" w:type="dxa"/>
                  <w:gridSpan w:val="2"/>
                  <w:noWrap w:val="0"/>
                  <w:vAlign w:val="center"/>
                </w:tcPr>
                <w:p w14:paraId="1ECBA4D0">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排放情况</w:t>
                  </w:r>
                </w:p>
              </w:tc>
            </w:tr>
            <w:tr w14:paraId="22994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77" w:type="dxa"/>
                  <w:vMerge w:val="continue"/>
                  <w:noWrap w:val="0"/>
                  <w:vAlign w:val="center"/>
                </w:tcPr>
                <w:p w14:paraId="75DF1F7F">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p>
              </w:tc>
              <w:tc>
                <w:tcPr>
                  <w:tcW w:w="991" w:type="dxa"/>
                  <w:vMerge w:val="continue"/>
                  <w:noWrap w:val="0"/>
                  <w:vAlign w:val="center"/>
                </w:tcPr>
                <w:p w14:paraId="4B649B2C">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p>
              </w:tc>
              <w:tc>
                <w:tcPr>
                  <w:tcW w:w="1144" w:type="dxa"/>
                  <w:noWrap w:val="0"/>
                  <w:vAlign w:val="center"/>
                </w:tcPr>
                <w:p w14:paraId="3BA90C3A">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排放速率（kg/h）</w:t>
                  </w:r>
                </w:p>
              </w:tc>
              <w:tc>
                <w:tcPr>
                  <w:tcW w:w="1004" w:type="dxa"/>
                  <w:noWrap w:val="0"/>
                  <w:vAlign w:val="center"/>
                </w:tcPr>
                <w:p w14:paraId="5B677BA3">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产生量（t/a）</w:t>
                  </w:r>
                </w:p>
              </w:tc>
              <w:tc>
                <w:tcPr>
                  <w:tcW w:w="2388" w:type="dxa"/>
                  <w:vMerge w:val="continue"/>
                  <w:noWrap w:val="0"/>
                  <w:vAlign w:val="center"/>
                </w:tcPr>
                <w:p w14:paraId="39352EDF">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p>
              </w:tc>
              <w:tc>
                <w:tcPr>
                  <w:tcW w:w="1211" w:type="dxa"/>
                  <w:noWrap w:val="0"/>
                  <w:vAlign w:val="center"/>
                </w:tcPr>
                <w:p w14:paraId="6736F34D">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排放速率（kg/h）</w:t>
                  </w:r>
                </w:p>
              </w:tc>
              <w:tc>
                <w:tcPr>
                  <w:tcW w:w="1203" w:type="dxa"/>
                  <w:noWrap w:val="0"/>
                  <w:vAlign w:val="center"/>
                </w:tcPr>
                <w:p w14:paraId="58596B8E">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排放量（t/a）</w:t>
                  </w:r>
                </w:p>
              </w:tc>
            </w:tr>
            <w:tr w14:paraId="6245A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77" w:type="dxa"/>
                  <w:noWrap w:val="0"/>
                  <w:vAlign w:val="center"/>
                </w:tcPr>
                <w:p w14:paraId="3B463DA7">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投料粉尘</w:t>
                  </w:r>
                </w:p>
              </w:tc>
              <w:tc>
                <w:tcPr>
                  <w:tcW w:w="991" w:type="dxa"/>
                  <w:noWrap w:val="0"/>
                  <w:vAlign w:val="center"/>
                </w:tcPr>
                <w:p w14:paraId="750678B1">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颗粒物</w:t>
                  </w:r>
                </w:p>
              </w:tc>
              <w:tc>
                <w:tcPr>
                  <w:tcW w:w="1144" w:type="dxa"/>
                  <w:noWrap w:val="0"/>
                  <w:vAlign w:val="center"/>
                </w:tcPr>
                <w:p w14:paraId="1D309415">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0.0</w:t>
                  </w:r>
                  <w:r>
                    <w:rPr>
                      <w:rFonts w:hint="eastAsia" w:cs="Times New Roman"/>
                      <w:color w:val="auto"/>
                      <w:sz w:val="18"/>
                      <w:szCs w:val="18"/>
                      <w:highlight w:val="none"/>
                      <w:vertAlign w:val="baseline"/>
                      <w:lang w:val="en-US" w:eastAsia="zh-CN"/>
                    </w:rPr>
                    <w:t>43</w:t>
                  </w:r>
                </w:p>
              </w:tc>
              <w:tc>
                <w:tcPr>
                  <w:tcW w:w="1004" w:type="dxa"/>
                  <w:noWrap w:val="0"/>
                  <w:vAlign w:val="center"/>
                </w:tcPr>
                <w:p w14:paraId="2CA48CA1">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0.1</w:t>
                  </w:r>
                  <w:r>
                    <w:rPr>
                      <w:rFonts w:hint="eastAsia" w:cs="Times New Roman"/>
                      <w:color w:val="auto"/>
                      <w:sz w:val="18"/>
                      <w:szCs w:val="18"/>
                      <w:highlight w:val="none"/>
                      <w:vertAlign w:val="baseline"/>
                      <w:lang w:val="en-US" w:eastAsia="zh-CN"/>
                    </w:rPr>
                    <w:t>02</w:t>
                  </w:r>
                </w:p>
              </w:tc>
              <w:tc>
                <w:tcPr>
                  <w:tcW w:w="2388" w:type="dxa"/>
                  <w:noWrap w:val="0"/>
                  <w:vAlign w:val="center"/>
                </w:tcPr>
                <w:p w14:paraId="64BA22D4">
                  <w:pPr>
                    <w:keepNext w:val="0"/>
                    <w:keepLines w:val="0"/>
                    <w:pageBreakBefore w:val="0"/>
                    <w:widowControl/>
                    <w:suppressLineNumbers w:val="0"/>
                    <w:kinsoku/>
                    <w:wordWrap/>
                    <w:overflowPunct/>
                    <w:topLinePunct w:val="0"/>
                    <w:autoSpaceDE/>
                    <w:autoSpaceDN/>
                    <w:bidi w:val="0"/>
                    <w:adjustRightInd/>
                    <w:snapToGrid/>
                    <w:spacing w:after="0" w:line="240" w:lineRule="auto"/>
                    <w:jc w:val="left"/>
                    <w:textAlignment w:val="auto"/>
                    <w:rPr>
                      <w:rFonts w:hint="eastAsia"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投料口上方布设集气罩并连通集气管道接入布袋除尘器</w:t>
                  </w:r>
                  <w:r>
                    <w:rPr>
                      <w:rFonts w:hint="default" w:ascii="Times New Roman" w:hAnsi="Times New Roman" w:eastAsia="宋体" w:cs="Times New Roman"/>
                      <w:color w:val="auto"/>
                      <w:sz w:val="18"/>
                      <w:szCs w:val="18"/>
                      <w:highlight w:val="none"/>
                      <w:vertAlign w:val="baseline"/>
                      <w:lang w:val="en-US" w:eastAsia="zh-CN"/>
                    </w:rPr>
                    <w:t>+</w:t>
                  </w:r>
                  <w:r>
                    <w:rPr>
                      <w:rFonts w:hint="eastAsia" w:ascii="Times New Roman" w:hAnsi="Times New Roman" w:eastAsia="宋体" w:cs="Times New Roman"/>
                      <w:color w:val="auto"/>
                      <w:sz w:val="18"/>
                      <w:szCs w:val="18"/>
                      <w:highlight w:val="none"/>
                      <w:vertAlign w:val="baseline"/>
                      <w:lang w:val="en-US" w:eastAsia="zh-CN"/>
                    </w:rPr>
                    <w:t>加强设备密闭</w:t>
                  </w:r>
                </w:p>
              </w:tc>
              <w:tc>
                <w:tcPr>
                  <w:tcW w:w="1211" w:type="dxa"/>
                  <w:noWrap w:val="0"/>
                  <w:vAlign w:val="center"/>
                </w:tcPr>
                <w:p w14:paraId="4DF7F951">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0.01</w:t>
                  </w:r>
                  <w:r>
                    <w:rPr>
                      <w:rFonts w:hint="eastAsia" w:cs="Times New Roman"/>
                      <w:color w:val="auto"/>
                      <w:sz w:val="18"/>
                      <w:szCs w:val="18"/>
                      <w:highlight w:val="none"/>
                      <w:vertAlign w:val="baseline"/>
                      <w:lang w:val="en-US" w:eastAsia="zh-CN"/>
                    </w:rPr>
                    <w:t>6</w:t>
                  </w:r>
                </w:p>
              </w:tc>
              <w:tc>
                <w:tcPr>
                  <w:tcW w:w="1203" w:type="dxa"/>
                  <w:noWrap w:val="0"/>
                  <w:vAlign w:val="center"/>
                </w:tcPr>
                <w:p w14:paraId="2ECFF152">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eastAsia" w:ascii="Times New Roman" w:hAnsi="Times New Roman" w:eastAsia="宋体" w:cs="Times New Roman"/>
                      <w:color w:val="auto"/>
                      <w:sz w:val="18"/>
                      <w:szCs w:val="18"/>
                      <w:highlight w:val="none"/>
                      <w:vertAlign w:val="baseline"/>
                      <w:lang w:val="en-US" w:eastAsia="zh-CN"/>
                    </w:rPr>
                    <w:t>0.03</w:t>
                  </w:r>
                  <w:r>
                    <w:rPr>
                      <w:rFonts w:hint="eastAsia" w:cs="Times New Roman"/>
                      <w:color w:val="auto"/>
                      <w:sz w:val="18"/>
                      <w:szCs w:val="18"/>
                      <w:highlight w:val="none"/>
                      <w:vertAlign w:val="baseline"/>
                      <w:lang w:val="en-US" w:eastAsia="zh-CN"/>
                    </w:rPr>
                    <w:t>8</w:t>
                  </w:r>
                </w:p>
              </w:tc>
            </w:tr>
          </w:tbl>
          <w:p w14:paraId="7BE36144">
            <w:pPr>
              <w:keepNext w:val="0"/>
              <w:keepLines w:val="0"/>
              <w:pageBreakBefore w:val="0"/>
              <w:widowControl w:val="0"/>
              <w:kinsoku/>
              <w:wordWrap/>
              <w:overflowPunct/>
              <w:topLinePunct w:val="0"/>
              <w:autoSpaceDE/>
              <w:autoSpaceDN/>
              <w:bidi w:val="0"/>
              <w:adjustRightInd w:val="0"/>
              <w:snapToGrid/>
              <w:spacing w:after="0" w:line="360" w:lineRule="auto"/>
              <w:ind w:left="0" w:leftChars="0" w:right="0" w:rightChars="0" w:firstLine="482" w:firstLineChars="200"/>
              <w:jc w:val="both"/>
              <w:textAlignment w:val="auto"/>
              <w:outlineLvl w:val="9"/>
              <w:rPr>
                <w:rFonts w:hint="eastAsia" w:ascii="Times New Roman" w:hAnsi="Times New Roman" w:eastAsia="宋体" w:cs="Times New Roman"/>
                <w:b/>
                <w:color w:val="auto"/>
                <w:sz w:val="24"/>
                <w:lang w:val="en-US" w:eastAsia="zh-CN" w:bidi="en-US"/>
              </w:rPr>
            </w:pPr>
          </w:p>
          <w:p w14:paraId="71A93D02">
            <w:pPr>
              <w:keepNext w:val="0"/>
              <w:keepLines w:val="0"/>
              <w:pageBreakBefore w:val="0"/>
              <w:widowControl w:val="0"/>
              <w:kinsoku/>
              <w:wordWrap/>
              <w:overflowPunct/>
              <w:topLinePunct w:val="0"/>
              <w:autoSpaceDE/>
              <w:autoSpaceDN/>
              <w:bidi w:val="0"/>
              <w:adjustRightInd w:val="0"/>
              <w:snapToGrid/>
              <w:spacing w:after="0" w:line="360" w:lineRule="auto"/>
              <w:ind w:left="0" w:leftChars="0" w:right="0" w:rightChars="0" w:firstLine="482" w:firstLineChars="200"/>
              <w:jc w:val="both"/>
              <w:textAlignment w:val="auto"/>
              <w:outlineLvl w:val="9"/>
              <w:rPr>
                <w:rFonts w:hint="eastAsia" w:ascii="Times New Roman" w:hAnsi="Times New Roman" w:eastAsia="宋体" w:cs="Times New Roman"/>
                <w:b/>
                <w:color w:val="auto"/>
                <w:sz w:val="24"/>
                <w:lang w:val="en-US" w:eastAsia="zh-CN" w:bidi="en-US"/>
              </w:rPr>
            </w:pPr>
            <w:r>
              <w:rPr>
                <w:rFonts w:hint="eastAsia" w:ascii="Times New Roman" w:hAnsi="Times New Roman" w:eastAsia="宋体" w:cs="Times New Roman"/>
                <w:b/>
                <w:color w:val="auto"/>
                <w:sz w:val="24"/>
                <w:lang w:val="en-US" w:eastAsia="zh-CN" w:bidi="en-US"/>
              </w:rPr>
              <w:t>4.2.2废气排放治理措施可行性分析</w:t>
            </w:r>
          </w:p>
          <w:p w14:paraId="5F791020">
            <w:pPr>
              <w:keepNext w:val="0"/>
              <w:keepLines w:val="0"/>
              <w:pageBreakBefore w:val="0"/>
              <w:widowControl w:val="0"/>
              <w:kinsoku/>
              <w:wordWrap/>
              <w:overflowPunct/>
              <w:topLinePunct w:val="0"/>
              <w:autoSpaceDE/>
              <w:autoSpaceDN/>
              <w:bidi w:val="0"/>
              <w:adjustRightInd w:val="0"/>
              <w:snapToGrid/>
              <w:spacing w:after="0" w:line="360" w:lineRule="auto"/>
              <w:ind w:left="0" w:leftChars="0" w:right="0" w:rightChars="0" w:firstLine="480" w:firstLineChars="200"/>
              <w:jc w:val="both"/>
              <w:textAlignment w:val="auto"/>
              <w:outlineLvl w:val="9"/>
              <w:rPr>
                <w:rFonts w:hint="eastAsia" w:ascii="Times New Roman" w:hAnsi="Times New Roman" w:eastAsia="宋体" w:cs="Times New Roman"/>
                <w:color w:val="auto"/>
                <w:highlight w:val="none"/>
                <w:vertAlign w:val="baseline"/>
                <w:lang w:val="en-US" w:eastAsia="zh-CN"/>
              </w:rPr>
            </w:pPr>
            <w:r>
              <w:rPr>
                <w:rFonts w:hint="eastAsia" w:ascii="Times New Roman" w:hAnsi="Times New Roman" w:eastAsia="宋体" w:cs="Times New Roman"/>
                <w:color w:val="auto"/>
                <w:highlight w:val="none"/>
                <w:lang w:val="en-US" w:eastAsia="zh-CN"/>
              </w:rPr>
              <w:t>通过对照《排污许可证申请与核发技术规范食品制造工业一方便食品、食品及饲料添加剂制造工业》（HJ1030.3-2019），参照其“表3-1方便食品制造工业排污单位废气产污环节、污染控制项目、排放形式及污染防治设施一览表”中原料系统生产单元的相关控制要求，</w:t>
            </w:r>
            <w:r>
              <w:rPr>
                <w:rFonts w:hint="eastAsia" w:ascii="Times New Roman" w:hAnsi="Times New Roman" w:eastAsia="宋体" w:cs="Times New Roman"/>
                <w:color w:val="auto"/>
                <w:highlight w:val="none"/>
                <w:vertAlign w:val="baseline"/>
                <w:lang w:val="en-US" w:eastAsia="zh-CN"/>
              </w:rPr>
              <w:t>本项目所采取的粉尘防治措施以及排放形式均满足相关要求，污染防治措施可行。具体可行性措施对照见下表：</w:t>
            </w:r>
          </w:p>
          <w:p w14:paraId="1BD98D2F">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4</w:t>
            </w:r>
            <w:r>
              <w:rPr>
                <w:rFonts w:hint="eastAsia"/>
                <w:lang w:eastAsia="zh-CN"/>
              </w:rPr>
              <w:t>-</w:t>
            </w:r>
            <w:r>
              <w:fldChar w:fldCharType="begin"/>
            </w:r>
            <w:r>
              <w:instrText xml:space="preserve"> SEQ 表 \* ARABIC \s 1 </w:instrText>
            </w:r>
            <w:r>
              <w:fldChar w:fldCharType="separate"/>
            </w:r>
            <w:r>
              <w:t>2</w:t>
            </w:r>
            <w:r>
              <w:fldChar w:fldCharType="end"/>
            </w:r>
            <w:r>
              <w:rPr>
                <w:rFonts w:hint="eastAsia" w:ascii="Times New Roman" w:hAnsi="Times New Roman" w:eastAsia="宋体" w:cs="Times New Roman"/>
                <w:b/>
                <w:color w:val="auto"/>
                <w:sz w:val="21"/>
                <w:szCs w:val="20"/>
                <w:lang w:val="en-US" w:eastAsia="zh-CN" w:bidi="ar-SA"/>
              </w:rPr>
              <w:t xml:space="preserve"> 废气治理技术可行性对照表</w:t>
            </w:r>
          </w:p>
          <w:tbl>
            <w:tblPr>
              <w:tblStyle w:val="58"/>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9"/>
              <w:gridCol w:w="621"/>
              <w:gridCol w:w="826"/>
              <w:gridCol w:w="662"/>
              <w:gridCol w:w="2871"/>
              <w:gridCol w:w="2122"/>
              <w:gridCol w:w="679"/>
            </w:tblGrid>
            <w:tr w14:paraId="44157B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423" w:type="pct"/>
                  <w:vAlign w:val="center"/>
                </w:tcPr>
                <w:p w14:paraId="0C46C44A">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生产单元</w:t>
                  </w:r>
                </w:p>
              </w:tc>
              <w:tc>
                <w:tcPr>
                  <w:tcW w:w="365" w:type="pct"/>
                  <w:vAlign w:val="center"/>
                </w:tcPr>
                <w:p w14:paraId="45B27407">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生产设施</w:t>
                  </w:r>
                </w:p>
              </w:tc>
              <w:tc>
                <w:tcPr>
                  <w:tcW w:w="486" w:type="pct"/>
                  <w:vAlign w:val="center"/>
                </w:tcPr>
                <w:p w14:paraId="6FBA701A">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废气产污环节</w:t>
                  </w:r>
                </w:p>
              </w:tc>
              <w:tc>
                <w:tcPr>
                  <w:tcW w:w="389" w:type="pct"/>
                  <w:vAlign w:val="center"/>
                </w:tcPr>
                <w:p w14:paraId="42ABA7A1">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排放形式</w:t>
                  </w:r>
                </w:p>
              </w:tc>
              <w:tc>
                <w:tcPr>
                  <w:tcW w:w="1688" w:type="pct"/>
                  <w:vAlign w:val="center"/>
                </w:tcPr>
                <w:p w14:paraId="5C7550A9">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污染防治措施</w:t>
                  </w:r>
                </w:p>
              </w:tc>
              <w:tc>
                <w:tcPr>
                  <w:tcW w:w="1248" w:type="pct"/>
                  <w:vAlign w:val="center"/>
                </w:tcPr>
                <w:p w14:paraId="5C86F36B">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本项目建设情况</w:t>
                  </w:r>
                </w:p>
              </w:tc>
              <w:tc>
                <w:tcPr>
                  <w:tcW w:w="399" w:type="pct"/>
                  <w:vAlign w:val="center"/>
                </w:tcPr>
                <w:p w14:paraId="340D3E2C">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可行性</w:t>
                  </w:r>
                </w:p>
              </w:tc>
            </w:tr>
            <w:tr w14:paraId="101B1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55" w:hRule="atLeast"/>
              </w:trPr>
              <w:tc>
                <w:tcPr>
                  <w:tcW w:w="423" w:type="pct"/>
                  <w:vAlign w:val="center"/>
                </w:tcPr>
                <w:p w14:paraId="12FD2A8D">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原料系统</w:t>
                  </w:r>
                </w:p>
              </w:tc>
              <w:tc>
                <w:tcPr>
                  <w:tcW w:w="365" w:type="pct"/>
                  <w:vAlign w:val="center"/>
                </w:tcPr>
                <w:p w14:paraId="0D2C5078">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装卸料设备</w:t>
                  </w:r>
                </w:p>
              </w:tc>
              <w:tc>
                <w:tcPr>
                  <w:tcW w:w="486" w:type="pct"/>
                  <w:vAlign w:val="center"/>
                </w:tcPr>
                <w:p w14:paraId="713968D1">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装卸料废气</w:t>
                  </w:r>
                </w:p>
              </w:tc>
              <w:tc>
                <w:tcPr>
                  <w:tcW w:w="389" w:type="pct"/>
                  <w:vAlign w:val="center"/>
                </w:tcPr>
                <w:p w14:paraId="59158C9B">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无组织</w:t>
                  </w:r>
                </w:p>
              </w:tc>
              <w:tc>
                <w:tcPr>
                  <w:tcW w:w="1688" w:type="pct"/>
                  <w:vAlign w:val="center"/>
                </w:tcPr>
                <w:p w14:paraId="6F49ED1E">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加强密封或密闭；收集送除尘装置处理（喷淋系统、旋风除尘、袋式除尘、旋风除尘+袋式除尘等）后排放；其他</w:t>
                  </w:r>
                  <w:r>
                    <w:rPr>
                      <w:rFonts w:hint="eastAsia" w:cs="Times New Roman"/>
                      <w:color w:val="auto"/>
                      <w:sz w:val="18"/>
                      <w:szCs w:val="18"/>
                      <w:highlight w:val="none"/>
                      <w:vertAlign w:val="baseline"/>
                      <w:lang w:val="en-US" w:eastAsia="zh-CN"/>
                    </w:rPr>
                    <w:t>。</w:t>
                  </w:r>
                </w:p>
              </w:tc>
              <w:tc>
                <w:tcPr>
                  <w:tcW w:w="1248" w:type="pct"/>
                  <w:vAlign w:val="center"/>
                </w:tcPr>
                <w:p w14:paraId="36E1A6C8">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both"/>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本项目投料口上方布设集气罩并连通集气管道接入布袋除尘器+加强设备密闭</w:t>
                  </w:r>
                  <w:r>
                    <w:rPr>
                      <w:rFonts w:hint="eastAsia" w:cs="Times New Roman"/>
                      <w:color w:val="auto"/>
                      <w:sz w:val="18"/>
                      <w:szCs w:val="18"/>
                      <w:highlight w:val="none"/>
                      <w:vertAlign w:val="baseline"/>
                      <w:lang w:val="en-US" w:eastAsia="zh-CN"/>
                    </w:rPr>
                    <w:t>。</w:t>
                  </w:r>
                </w:p>
              </w:tc>
              <w:tc>
                <w:tcPr>
                  <w:tcW w:w="399" w:type="pct"/>
                  <w:vAlign w:val="center"/>
                </w:tcPr>
                <w:p w14:paraId="27A65062">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val="en-US" w:eastAsia="zh-CN"/>
                    </w:rPr>
                  </w:pPr>
                  <w:r>
                    <w:rPr>
                      <w:rFonts w:hint="default" w:ascii="Times New Roman" w:hAnsi="Times New Roman" w:eastAsia="宋体" w:cs="Times New Roman"/>
                      <w:color w:val="auto"/>
                      <w:sz w:val="18"/>
                      <w:szCs w:val="18"/>
                      <w:highlight w:val="none"/>
                      <w:vertAlign w:val="baseline"/>
                      <w:lang w:val="en-US" w:eastAsia="zh-CN"/>
                    </w:rPr>
                    <w:t>可行</w:t>
                  </w:r>
                </w:p>
              </w:tc>
            </w:tr>
          </w:tbl>
          <w:p w14:paraId="2AD97C93">
            <w:pPr>
              <w:keepNext w:val="0"/>
              <w:keepLines w:val="0"/>
              <w:pageBreakBefore w:val="0"/>
              <w:widowControl/>
              <w:suppressLineNumbers w:val="0"/>
              <w:kinsoku/>
              <w:wordWrap/>
              <w:overflowPunct/>
              <w:topLinePunct w:val="0"/>
              <w:autoSpaceDE/>
              <w:autoSpaceDN/>
              <w:bidi w:val="0"/>
              <w:adjustRightInd w:val="0"/>
              <w:snapToGrid w:val="0"/>
              <w:spacing w:after="0" w:line="360" w:lineRule="auto"/>
              <w:ind w:firstLine="480" w:firstLineChars="200"/>
              <w:jc w:val="left"/>
              <w:textAlignment w:val="auto"/>
              <w:rPr>
                <w:rFonts w:hint="eastAsia" w:ascii="宋体" w:hAnsi="宋体" w:eastAsia="宋体" w:cs="宋体"/>
                <w:color w:val="000000"/>
                <w:kern w:val="0"/>
                <w:sz w:val="24"/>
                <w:szCs w:val="24"/>
                <w:lang w:val="en-US" w:eastAsia="zh-CN" w:bidi="ar"/>
              </w:rPr>
            </w:pPr>
          </w:p>
          <w:p w14:paraId="75EFDF64">
            <w:pPr>
              <w:keepNext w:val="0"/>
              <w:keepLines w:val="0"/>
              <w:pageBreakBefore w:val="0"/>
              <w:widowControl/>
              <w:suppressLineNumbers w:val="0"/>
              <w:kinsoku/>
              <w:wordWrap/>
              <w:overflowPunct/>
              <w:topLinePunct w:val="0"/>
              <w:autoSpaceDE/>
              <w:autoSpaceDN/>
              <w:bidi w:val="0"/>
              <w:adjustRightInd w:val="0"/>
              <w:snapToGrid w:val="0"/>
              <w:spacing w:after="0"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 xml:space="preserve">为了最大程度减小无组织废气对周边环境以及人群健康的影响，本环评提出以下防治控制措施： </w:t>
            </w:r>
          </w:p>
          <w:p w14:paraId="575E7884">
            <w:pPr>
              <w:keepNext w:val="0"/>
              <w:keepLines w:val="0"/>
              <w:pageBreakBefore w:val="0"/>
              <w:widowControl/>
              <w:suppressLineNumbers w:val="0"/>
              <w:kinsoku/>
              <w:wordWrap/>
              <w:overflowPunct/>
              <w:topLinePunct w:val="0"/>
              <w:autoSpaceDE/>
              <w:autoSpaceDN/>
              <w:bidi w:val="0"/>
              <w:adjustRightInd w:val="0"/>
              <w:snapToGrid w:val="0"/>
              <w:spacing w:after="0"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①做好员工防护工作，配备必要的防护装备（如口罩、手套等）；</w:t>
            </w:r>
          </w:p>
          <w:p w14:paraId="63890D2C">
            <w:pPr>
              <w:keepNext w:val="0"/>
              <w:keepLines w:val="0"/>
              <w:pageBreakBefore w:val="0"/>
              <w:widowControl/>
              <w:suppressLineNumbers w:val="0"/>
              <w:kinsoku/>
              <w:wordWrap/>
              <w:overflowPunct/>
              <w:topLinePunct w:val="0"/>
              <w:autoSpaceDE/>
              <w:autoSpaceDN/>
              <w:bidi w:val="0"/>
              <w:adjustRightInd w:val="0"/>
              <w:snapToGrid w:val="0"/>
              <w:spacing w:after="0" w:line="360" w:lineRule="auto"/>
              <w:ind w:firstLine="480" w:firstLineChars="200"/>
              <w:jc w:val="left"/>
              <w:textAlignment w:val="auto"/>
            </w:pPr>
            <w:r>
              <w:rPr>
                <w:rFonts w:hint="eastAsia" w:ascii="宋体" w:hAnsi="宋体" w:eastAsia="宋体" w:cs="宋体"/>
                <w:color w:val="000000"/>
                <w:kern w:val="0"/>
                <w:sz w:val="24"/>
                <w:szCs w:val="24"/>
                <w:lang w:val="en-US" w:eastAsia="zh-CN" w:bidi="ar"/>
              </w:rPr>
              <w:t>②加强生产车间通风和空气流通；</w:t>
            </w:r>
          </w:p>
          <w:p w14:paraId="709D97DD">
            <w:pPr>
              <w:keepNext w:val="0"/>
              <w:keepLines w:val="0"/>
              <w:pageBreakBefore w:val="0"/>
              <w:widowControl/>
              <w:suppressLineNumbers w:val="0"/>
              <w:kinsoku/>
              <w:wordWrap/>
              <w:overflowPunct/>
              <w:topLinePunct w:val="0"/>
              <w:autoSpaceDE/>
              <w:autoSpaceDN/>
              <w:bidi w:val="0"/>
              <w:adjustRightInd w:val="0"/>
              <w:snapToGrid w:val="0"/>
              <w:spacing w:after="0" w:line="360" w:lineRule="auto"/>
              <w:ind w:firstLine="480" w:firstLineChars="200"/>
              <w:jc w:val="left"/>
              <w:textAlignment w:val="auto"/>
              <w:rPr>
                <w:color w:val="auto"/>
              </w:rPr>
            </w:pPr>
            <w:r>
              <w:rPr>
                <w:rFonts w:hint="eastAsia" w:ascii="宋体" w:hAnsi="宋体" w:eastAsia="宋体" w:cs="宋体"/>
                <w:color w:val="000000"/>
                <w:kern w:val="0"/>
                <w:sz w:val="24"/>
                <w:szCs w:val="24"/>
                <w:lang w:val="en-US" w:eastAsia="zh-CN" w:bidi="ar"/>
              </w:rPr>
              <w:t>③定期对设备及工位进行清</w:t>
            </w:r>
            <w:r>
              <w:rPr>
                <w:rFonts w:hint="eastAsia" w:ascii="宋体" w:hAnsi="宋体" w:eastAsia="宋体" w:cs="宋体"/>
                <w:color w:val="auto"/>
                <w:kern w:val="0"/>
                <w:sz w:val="24"/>
                <w:szCs w:val="24"/>
                <w:lang w:val="en-US" w:eastAsia="zh-CN" w:bidi="ar"/>
              </w:rPr>
              <w:t>扫，减少无组织粉尘逸散；</w:t>
            </w:r>
          </w:p>
          <w:p w14:paraId="2A53DE88">
            <w:pPr>
              <w:keepNext w:val="0"/>
              <w:keepLines w:val="0"/>
              <w:pageBreakBefore w:val="0"/>
              <w:widowControl/>
              <w:suppressLineNumbers w:val="0"/>
              <w:kinsoku/>
              <w:wordWrap/>
              <w:overflowPunct/>
              <w:topLinePunct w:val="0"/>
              <w:autoSpaceDE/>
              <w:autoSpaceDN/>
              <w:bidi w:val="0"/>
              <w:adjustRightInd w:val="0"/>
              <w:snapToGrid w:val="0"/>
              <w:spacing w:after="0" w:line="360" w:lineRule="auto"/>
              <w:ind w:firstLine="480" w:firstLineChars="200"/>
              <w:jc w:val="left"/>
              <w:textAlignment w:val="auto"/>
              <w:rPr>
                <w:rFonts w:hint="eastAsia" w:ascii="宋体" w:hAnsi="宋体" w:eastAsia="宋体" w:cs="宋体"/>
                <w:color w:val="auto"/>
                <w:kern w:val="0"/>
                <w:sz w:val="24"/>
                <w:szCs w:val="24"/>
                <w:lang w:val="en-US" w:eastAsia="zh-CN" w:bidi="ar"/>
              </w:rPr>
            </w:pPr>
            <w:r>
              <w:rPr>
                <w:rFonts w:hint="eastAsia" w:ascii="宋体" w:hAnsi="宋体" w:eastAsia="宋体" w:cs="宋体"/>
                <w:color w:val="auto"/>
                <w:kern w:val="0"/>
                <w:sz w:val="24"/>
                <w:szCs w:val="24"/>
                <w:lang w:val="en-US" w:eastAsia="zh-CN" w:bidi="ar"/>
              </w:rPr>
              <w:t>④库房内部进行防腐防渗防潮，同时建设单位需加强原料和产品库房的管理，以减少无组织粉尘逸散。</w:t>
            </w:r>
          </w:p>
          <w:p w14:paraId="2E089A78">
            <w:pPr>
              <w:keepNext w:val="0"/>
              <w:keepLines w:val="0"/>
              <w:pageBreakBefore w:val="0"/>
              <w:widowControl w:val="0"/>
              <w:kinsoku/>
              <w:wordWrap/>
              <w:overflowPunct/>
              <w:topLinePunct w:val="0"/>
              <w:autoSpaceDE/>
              <w:autoSpaceDN/>
              <w:bidi w:val="0"/>
              <w:adjustRightInd w:val="0"/>
              <w:snapToGrid/>
              <w:spacing w:after="0" w:line="360" w:lineRule="auto"/>
              <w:ind w:left="0" w:leftChars="0" w:right="0" w:rightChars="0" w:firstLine="482" w:firstLineChars="200"/>
              <w:jc w:val="both"/>
              <w:textAlignment w:val="auto"/>
              <w:outlineLvl w:val="9"/>
              <w:rPr>
                <w:rFonts w:hint="eastAsia" w:ascii="Times New Roman" w:hAnsi="Times New Roman" w:eastAsia="宋体" w:cs="Times New Roman"/>
                <w:b/>
                <w:color w:val="auto"/>
                <w:sz w:val="24"/>
                <w:lang w:val="en-US" w:eastAsia="zh-CN" w:bidi="en-US"/>
              </w:rPr>
            </w:pPr>
            <w:r>
              <w:rPr>
                <w:rFonts w:hint="eastAsia" w:ascii="Times New Roman" w:hAnsi="Times New Roman" w:eastAsia="宋体" w:cs="Times New Roman"/>
                <w:b/>
                <w:color w:val="auto"/>
                <w:sz w:val="24"/>
                <w:lang w:val="en-US" w:eastAsia="zh-CN" w:bidi="en-US"/>
              </w:rPr>
              <w:t>4.2.3非正常工况</w:t>
            </w:r>
          </w:p>
          <w:p w14:paraId="0AF82611">
            <w:pPr>
              <w:pStyle w:val="771"/>
              <w:bidi w:val="0"/>
              <w:rPr>
                <w:rFonts w:hint="eastAsia"/>
                <w:lang w:val="en-US" w:eastAsia="zh-CN"/>
              </w:rPr>
            </w:pPr>
            <w:r>
              <w:rPr>
                <w:rFonts w:hint="eastAsia"/>
                <w:lang w:val="en-US" w:eastAsia="zh-CN"/>
              </w:rPr>
              <w:t>本项目设备开停机等非正常工况考虑废气环保设施运行不正常的情况，按最不利的情况考虑，即废气收集、处理装置完全失效，处理效率下降至0%，项目非正常工况频次按照每季产生一次计。本项目非正常工况为废气处理装置发生故障。在非正常工况下，污染物排放情况如下表所示。</w:t>
            </w:r>
          </w:p>
          <w:p w14:paraId="7B8C29FA">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4</w:t>
            </w:r>
            <w:r>
              <w:rPr>
                <w:rFonts w:hint="eastAsia"/>
                <w:lang w:eastAsia="zh-CN"/>
              </w:rPr>
              <w:t>-</w:t>
            </w:r>
            <w:r>
              <w:fldChar w:fldCharType="begin"/>
            </w:r>
            <w:r>
              <w:instrText xml:space="preserve"> SEQ 表 \* ARABIC \s 1 </w:instrText>
            </w:r>
            <w:r>
              <w:fldChar w:fldCharType="separate"/>
            </w:r>
            <w:r>
              <w:t>3</w:t>
            </w:r>
            <w:r>
              <w:fldChar w:fldCharType="end"/>
            </w:r>
            <w:r>
              <w:rPr>
                <w:rFonts w:hint="eastAsia"/>
                <w:lang w:val="en-US" w:eastAsia="zh-CN"/>
              </w:rPr>
              <w:t xml:space="preserve"> 本项目非正常工况废气排放情况汇总表</w:t>
            </w:r>
          </w:p>
          <w:tbl>
            <w:tblPr>
              <w:tblStyle w:val="57"/>
              <w:tblW w:w="4997" w:type="pct"/>
              <w:jc w:val="center"/>
              <w:tblLayout w:type="autofit"/>
              <w:tblCellMar>
                <w:top w:w="0" w:type="dxa"/>
                <w:left w:w="10" w:type="dxa"/>
                <w:bottom w:w="0" w:type="dxa"/>
                <w:right w:w="10" w:type="dxa"/>
              </w:tblCellMar>
            </w:tblPr>
            <w:tblGrid>
              <w:gridCol w:w="1039"/>
              <w:gridCol w:w="1241"/>
              <w:gridCol w:w="1636"/>
              <w:gridCol w:w="1131"/>
              <w:gridCol w:w="818"/>
              <w:gridCol w:w="1297"/>
              <w:gridCol w:w="1353"/>
            </w:tblGrid>
            <w:tr w14:paraId="47E6A31C">
              <w:tblPrEx>
                <w:tblCellMar>
                  <w:top w:w="0" w:type="dxa"/>
                  <w:left w:w="10" w:type="dxa"/>
                  <w:bottom w:w="0" w:type="dxa"/>
                  <w:right w:w="10" w:type="dxa"/>
                </w:tblCellMar>
              </w:tblPrEx>
              <w:trPr>
                <w:trHeight w:val="521" w:hRule="exact"/>
                <w:jc w:val="center"/>
              </w:trPr>
              <w:tc>
                <w:tcPr>
                  <w:tcW w:w="610" w:type="pct"/>
                  <w:tcBorders>
                    <w:top w:val="single" w:color="000000" w:sz="4" w:space="0"/>
                    <w:left w:val="single" w:color="000000" w:sz="4" w:space="0"/>
                    <w:bottom w:val="single" w:color="000000" w:sz="4" w:space="0"/>
                    <w:right w:val="single" w:color="000000" w:sz="4" w:space="0"/>
                    <w:tl2br w:val="nil"/>
                  </w:tcBorders>
                  <w:shd w:val="clear" w:color="auto" w:fill="FFFFFF"/>
                  <w:noWrap w:val="0"/>
                  <w:vAlign w:val="center"/>
                </w:tcPr>
                <w:p w14:paraId="7B02A26E">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位置</w:t>
                  </w:r>
                </w:p>
              </w:tc>
              <w:tc>
                <w:tcPr>
                  <w:tcW w:w="728"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5AC8DE00">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污染源</w:t>
                  </w:r>
                </w:p>
              </w:tc>
              <w:tc>
                <w:tcPr>
                  <w:tcW w:w="96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6C48F8D">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污染物</w:t>
                  </w:r>
                </w:p>
              </w:tc>
              <w:tc>
                <w:tcPr>
                  <w:tcW w:w="664"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1F528455">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年排放频次/次</w:t>
                  </w:r>
                </w:p>
              </w:tc>
              <w:tc>
                <w:tcPr>
                  <w:tcW w:w="48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9E6D1DC">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排放速率</w:t>
                  </w:r>
                  <w:r>
                    <w:rPr>
                      <w:rFonts w:hint="eastAsia" w:ascii="Times New Roman" w:hAnsi="Times New Roman" w:eastAsia="宋体" w:cs="Times New Roman"/>
                      <w:b w:val="0"/>
                      <w:color w:val="000000"/>
                      <w:sz w:val="18"/>
                      <w:szCs w:val="18"/>
                      <w:highlight w:val="none"/>
                      <w:vertAlign w:val="baseline"/>
                      <w:lang w:val="en-US" w:eastAsia="en-US"/>
                    </w:rPr>
                    <w:t>kg/h</w:t>
                  </w:r>
                </w:p>
              </w:tc>
              <w:tc>
                <w:tcPr>
                  <w:tcW w:w="761"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62A99CAD">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排放量</w:t>
                  </w:r>
                  <w:r>
                    <w:rPr>
                      <w:rFonts w:hint="eastAsia" w:ascii="Times New Roman" w:hAnsi="Times New Roman" w:eastAsia="宋体" w:cs="Times New Roman"/>
                      <w:b w:val="0"/>
                      <w:color w:val="000000"/>
                      <w:sz w:val="18"/>
                      <w:szCs w:val="18"/>
                      <w:highlight w:val="none"/>
                      <w:vertAlign w:val="baseline"/>
                      <w:lang w:val="en-US" w:eastAsia="en-US"/>
                    </w:rPr>
                    <w:t>kg/</w:t>
                  </w:r>
                  <w:r>
                    <w:rPr>
                      <w:rFonts w:hint="eastAsia" w:ascii="Times New Roman" w:hAnsi="Times New Roman" w:eastAsia="宋体" w:cs="Times New Roman"/>
                      <w:b w:val="0"/>
                      <w:color w:val="000000"/>
                      <w:sz w:val="18"/>
                      <w:szCs w:val="18"/>
                      <w:highlight w:val="none"/>
                      <w:vertAlign w:val="baseline"/>
                      <w:lang w:val="en-US" w:eastAsia="zh-CN"/>
                    </w:rPr>
                    <w:t>次</w:t>
                  </w:r>
                </w:p>
              </w:tc>
              <w:tc>
                <w:tcPr>
                  <w:tcW w:w="794"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3907D6E">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单次持续时间</w:t>
                  </w:r>
                </w:p>
              </w:tc>
            </w:tr>
            <w:tr w14:paraId="2E24BE1F">
              <w:tblPrEx>
                <w:tblCellMar>
                  <w:top w:w="0" w:type="dxa"/>
                  <w:left w:w="10" w:type="dxa"/>
                  <w:bottom w:w="0" w:type="dxa"/>
                  <w:right w:w="10" w:type="dxa"/>
                </w:tblCellMar>
              </w:tblPrEx>
              <w:trPr>
                <w:trHeight w:val="340" w:hRule="exact"/>
                <w:jc w:val="center"/>
              </w:trPr>
              <w:tc>
                <w:tcPr>
                  <w:tcW w:w="61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A885E01">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生产车间</w:t>
                  </w:r>
                </w:p>
              </w:tc>
              <w:tc>
                <w:tcPr>
                  <w:tcW w:w="728"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418B224">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投料粉尘</w:t>
                  </w:r>
                </w:p>
              </w:tc>
              <w:tc>
                <w:tcPr>
                  <w:tcW w:w="96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07051E10">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颗粒物</w:t>
                  </w:r>
                </w:p>
              </w:tc>
              <w:tc>
                <w:tcPr>
                  <w:tcW w:w="664"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2C0C54C2">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eastAsia"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4</w:t>
                  </w:r>
                </w:p>
              </w:tc>
              <w:tc>
                <w:tcPr>
                  <w:tcW w:w="480"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D94FDB8">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0.043</w:t>
                  </w:r>
                </w:p>
              </w:tc>
              <w:tc>
                <w:tcPr>
                  <w:tcW w:w="761"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7C77D3C1">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0.0215</w:t>
                  </w:r>
                </w:p>
              </w:tc>
              <w:tc>
                <w:tcPr>
                  <w:tcW w:w="794" w:type="pct"/>
                  <w:tcBorders>
                    <w:top w:val="single" w:color="000000" w:sz="4" w:space="0"/>
                    <w:left w:val="single" w:color="000000" w:sz="4" w:space="0"/>
                    <w:bottom w:val="single" w:color="000000" w:sz="4" w:space="0"/>
                    <w:right w:val="single" w:color="000000" w:sz="4" w:space="0"/>
                  </w:tcBorders>
                  <w:shd w:val="clear" w:color="auto" w:fill="FFFFFF"/>
                  <w:noWrap w:val="0"/>
                  <w:vAlign w:val="center"/>
                </w:tcPr>
                <w:p w14:paraId="3D37A8ED">
                  <w:pPr>
                    <w:keepNext w:val="0"/>
                    <w:keepLines w:val="0"/>
                    <w:pageBreakBefore w:val="0"/>
                    <w:widowControl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auto"/>
                    <w:outlineLvl w:val="9"/>
                    <w:rPr>
                      <w:rFonts w:hint="default" w:ascii="Times New Roman" w:hAnsi="Times New Roman" w:eastAsia="宋体" w:cs="Times New Roman"/>
                      <w:b w:val="0"/>
                      <w:color w:val="000000"/>
                      <w:sz w:val="18"/>
                      <w:szCs w:val="18"/>
                      <w:highlight w:val="none"/>
                      <w:vertAlign w:val="baseline"/>
                      <w:lang w:val="en-US" w:eastAsia="zh-CN"/>
                    </w:rPr>
                  </w:pPr>
                  <w:r>
                    <w:rPr>
                      <w:rFonts w:hint="eastAsia" w:ascii="Times New Roman" w:hAnsi="Times New Roman" w:eastAsia="宋体" w:cs="Times New Roman"/>
                      <w:b w:val="0"/>
                      <w:color w:val="000000"/>
                      <w:sz w:val="18"/>
                      <w:szCs w:val="18"/>
                      <w:highlight w:val="none"/>
                      <w:vertAlign w:val="baseline"/>
                      <w:lang w:val="en-US" w:eastAsia="zh-CN"/>
                    </w:rPr>
                    <w:t>30min</w:t>
                  </w:r>
                </w:p>
              </w:tc>
            </w:tr>
          </w:tbl>
          <w:p w14:paraId="19B8E1A4">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textAlignment w:val="auto"/>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根据上表可知，在非正常工况下，本项目排放的颗粒物的排放速率也未超出</w:t>
            </w:r>
            <w:r>
              <w:rPr>
                <w:rFonts w:hint="eastAsia" w:ascii="Times New Roman" w:hAnsi="Times New Roman" w:eastAsia="宋体" w:cs="Times New Roman"/>
                <w:sz w:val="24"/>
                <w:lang w:eastAsia="zh-CN"/>
              </w:rPr>
              <w:t>相应限值标准要求</w:t>
            </w:r>
            <w:r>
              <w:rPr>
                <w:rFonts w:hint="eastAsia" w:ascii="Times New Roman" w:hAnsi="Times New Roman" w:eastAsia="宋体" w:cs="Times New Roman"/>
                <w:color w:val="auto"/>
                <w:sz w:val="24"/>
                <w:lang w:val="en-US" w:eastAsia="zh-CN"/>
              </w:rPr>
              <w:t>。</w:t>
            </w:r>
          </w:p>
          <w:p w14:paraId="2A8F9A0E">
            <w:pPr>
              <w:pStyle w:val="179"/>
              <w:ind w:firstLine="482"/>
              <w:rPr>
                <w:color w:val="auto"/>
              </w:rPr>
            </w:pPr>
            <w:r>
              <w:rPr>
                <w:color w:val="auto"/>
              </w:rPr>
              <w:t>4.2.</w:t>
            </w:r>
            <w:r>
              <w:rPr>
                <w:rFonts w:hint="eastAsia" w:eastAsiaTheme="minorEastAsia"/>
                <w:color w:val="auto"/>
                <w:lang w:val="en-US" w:eastAsia="zh-CN"/>
              </w:rPr>
              <w:t>4</w:t>
            </w:r>
            <w:r>
              <w:rPr>
                <w:color w:val="auto"/>
              </w:rPr>
              <w:t xml:space="preserve"> </w:t>
            </w:r>
            <w:r>
              <w:rPr>
                <w:rFonts w:hint="eastAsia"/>
                <w:color w:val="auto"/>
                <w:lang w:eastAsia="zh-CN"/>
              </w:rPr>
              <w:t>废气</w:t>
            </w:r>
            <w:r>
              <w:rPr>
                <w:rFonts w:hint="eastAsia" w:ascii="宋体" w:hAnsi="宋体" w:cs="宋体"/>
                <w:color w:val="auto"/>
              </w:rPr>
              <w:t>监测计划</w:t>
            </w:r>
          </w:p>
          <w:p w14:paraId="2E66BD61">
            <w:pPr>
              <w:pStyle w:val="180"/>
              <w:wordWrap/>
              <w:ind w:firstLine="480"/>
              <w:rPr>
                <w:rFonts w:hint="eastAsia"/>
                <w:color w:val="auto"/>
              </w:rPr>
            </w:pPr>
            <w:r>
              <w:rPr>
                <w:rFonts w:hint="eastAsia"/>
                <w:color w:val="auto"/>
              </w:rPr>
              <w:t>对照《排污许可证申请与核发技术规范食品制造工业一方便食品、食品及饲料添加剂制造工业》(HJ1030.3-2019)中“7.5 监测频次”相关内容以及《排污单位自行监测技术指南食品制造》(HJ1084-2020)中无组织废气排放监测要求，本项目废气监测要求如下表。</w:t>
            </w:r>
          </w:p>
          <w:p w14:paraId="5B9A98CF">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4</w:t>
            </w:r>
            <w:r>
              <w:rPr>
                <w:rFonts w:hint="eastAsia"/>
                <w:lang w:eastAsia="zh-CN"/>
              </w:rPr>
              <w:t>-</w:t>
            </w:r>
            <w:r>
              <w:fldChar w:fldCharType="begin"/>
            </w:r>
            <w:r>
              <w:instrText xml:space="preserve"> SEQ 表 \* ARABIC \s 1 </w:instrText>
            </w:r>
            <w:r>
              <w:fldChar w:fldCharType="separate"/>
            </w:r>
            <w:r>
              <w:t>4</w:t>
            </w:r>
            <w:r>
              <w:fldChar w:fldCharType="end"/>
            </w:r>
            <w:r>
              <w:rPr>
                <w:color w:val="auto"/>
              </w:rPr>
              <w:t xml:space="preserve"> </w:t>
            </w:r>
            <w:r>
              <w:rPr>
                <w:rFonts w:hint="eastAsia"/>
                <w:color w:val="auto"/>
                <w:lang w:eastAsia="zh-CN"/>
              </w:rPr>
              <w:t>项目运营期废气监测计划一览表</w:t>
            </w:r>
          </w:p>
          <w:tbl>
            <w:tblPr>
              <w:tblStyle w:val="57"/>
              <w:tblpPr w:leftFromText="180" w:rightFromText="180" w:vertAnchor="text" w:tblpXSpec="center"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00"/>
              <w:gridCol w:w="1358"/>
              <w:gridCol w:w="944"/>
              <w:gridCol w:w="1715"/>
              <w:gridCol w:w="3990"/>
            </w:tblGrid>
            <w:tr w14:paraId="00414E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4" w:type="pct"/>
                  <w:vAlign w:val="center"/>
                </w:tcPr>
                <w:p w14:paraId="3C6E026E">
                  <w:pPr>
                    <w:pStyle w:val="286"/>
                    <w:framePr w:hSpace="0" w:wrap="auto" w:vAnchor="margin" w:hAnchor="text" w:xAlign="left" w:yAlign="inline"/>
                    <w:rPr>
                      <w:color w:val="auto"/>
                    </w:rPr>
                  </w:pPr>
                  <w:r>
                    <w:rPr>
                      <w:color w:val="auto"/>
                    </w:rPr>
                    <w:t>序号</w:t>
                  </w:r>
                </w:p>
              </w:tc>
              <w:tc>
                <w:tcPr>
                  <w:tcW w:w="798" w:type="pct"/>
                  <w:vAlign w:val="center"/>
                </w:tcPr>
                <w:p w14:paraId="76CF223B">
                  <w:pPr>
                    <w:pStyle w:val="286"/>
                    <w:framePr w:hSpace="0" w:wrap="auto" w:vAnchor="margin" w:hAnchor="text" w:xAlign="left" w:yAlign="inline"/>
                    <w:rPr>
                      <w:color w:val="auto"/>
                    </w:rPr>
                  </w:pPr>
                  <w:r>
                    <w:rPr>
                      <w:color w:val="auto"/>
                    </w:rPr>
                    <w:t>监测点位</w:t>
                  </w:r>
                </w:p>
              </w:tc>
              <w:tc>
                <w:tcPr>
                  <w:tcW w:w="555" w:type="pct"/>
                  <w:vAlign w:val="center"/>
                </w:tcPr>
                <w:p w14:paraId="7F9833C8">
                  <w:pPr>
                    <w:pStyle w:val="286"/>
                    <w:framePr w:hSpace="0" w:wrap="auto" w:vAnchor="margin" w:hAnchor="text" w:xAlign="left" w:yAlign="inline"/>
                    <w:rPr>
                      <w:rFonts w:hint="eastAsia" w:eastAsia="宋体"/>
                      <w:color w:val="auto"/>
                      <w:lang w:eastAsia="zh-CN"/>
                    </w:rPr>
                  </w:pPr>
                  <w:r>
                    <w:rPr>
                      <w:rFonts w:hint="eastAsia"/>
                      <w:color w:val="auto"/>
                      <w:lang w:eastAsia="zh-CN"/>
                    </w:rPr>
                    <w:t>监测指标</w:t>
                  </w:r>
                </w:p>
              </w:tc>
              <w:tc>
                <w:tcPr>
                  <w:tcW w:w="1008" w:type="pct"/>
                  <w:vAlign w:val="center"/>
                </w:tcPr>
                <w:p w14:paraId="421B3864">
                  <w:pPr>
                    <w:pStyle w:val="286"/>
                    <w:framePr w:hSpace="0" w:wrap="auto" w:vAnchor="margin" w:hAnchor="text" w:xAlign="left" w:yAlign="inline"/>
                    <w:rPr>
                      <w:color w:val="auto"/>
                    </w:rPr>
                  </w:pPr>
                  <w:r>
                    <w:rPr>
                      <w:color w:val="auto"/>
                    </w:rPr>
                    <w:t>监测频次</w:t>
                  </w:r>
                </w:p>
              </w:tc>
              <w:tc>
                <w:tcPr>
                  <w:tcW w:w="2344" w:type="pct"/>
                  <w:vAlign w:val="center"/>
                </w:tcPr>
                <w:p w14:paraId="27569EB8">
                  <w:pPr>
                    <w:pStyle w:val="286"/>
                    <w:framePr w:hSpace="0" w:wrap="auto" w:vAnchor="margin" w:hAnchor="text" w:xAlign="left" w:yAlign="inline"/>
                    <w:rPr>
                      <w:color w:val="auto"/>
                    </w:rPr>
                  </w:pPr>
                  <w:r>
                    <w:rPr>
                      <w:color w:val="auto"/>
                    </w:rPr>
                    <w:t>执行标准</w:t>
                  </w:r>
                </w:p>
              </w:tc>
            </w:tr>
            <w:tr w14:paraId="5A3779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trPr>
              <w:tc>
                <w:tcPr>
                  <w:tcW w:w="294" w:type="pct"/>
                  <w:vAlign w:val="center"/>
                </w:tcPr>
                <w:p w14:paraId="56B7AFF4">
                  <w:pPr>
                    <w:pStyle w:val="286"/>
                    <w:framePr w:hSpace="0" w:wrap="auto" w:vAnchor="margin" w:hAnchor="text" w:xAlign="left" w:yAlign="inline"/>
                    <w:rPr>
                      <w:rFonts w:hint="eastAsia" w:eastAsia="宋体"/>
                      <w:color w:val="auto"/>
                      <w:lang w:eastAsia="zh-CN"/>
                    </w:rPr>
                  </w:pPr>
                  <w:r>
                    <w:rPr>
                      <w:rFonts w:hint="eastAsia"/>
                      <w:color w:val="auto"/>
                      <w:lang w:val="en-US" w:eastAsia="zh-CN"/>
                    </w:rPr>
                    <w:t>1</w:t>
                  </w:r>
                </w:p>
              </w:tc>
              <w:tc>
                <w:tcPr>
                  <w:tcW w:w="798" w:type="pct"/>
                  <w:vAlign w:val="center"/>
                </w:tcPr>
                <w:p w14:paraId="4D2E1444">
                  <w:pPr>
                    <w:pStyle w:val="286"/>
                    <w:framePr w:hSpace="0" w:wrap="auto" w:vAnchor="margin" w:hAnchor="text" w:xAlign="left" w:yAlign="inline"/>
                    <w:rPr>
                      <w:color w:val="auto"/>
                    </w:rPr>
                  </w:pPr>
                  <w:r>
                    <w:rPr>
                      <w:color w:val="auto"/>
                    </w:rPr>
                    <w:t>厂界</w:t>
                  </w:r>
                </w:p>
              </w:tc>
              <w:tc>
                <w:tcPr>
                  <w:tcW w:w="555" w:type="pct"/>
                  <w:vAlign w:val="center"/>
                </w:tcPr>
                <w:p w14:paraId="6310F891">
                  <w:pPr>
                    <w:pStyle w:val="286"/>
                    <w:framePr w:hSpace="0" w:wrap="auto" w:vAnchor="margin" w:hAnchor="text" w:xAlign="left" w:yAlign="inline"/>
                    <w:rPr>
                      <w:color w:val="auto"/>
                    </w:rPr>
                  </w:pPr>
                  <w:r>
                    <w:rPr>
                      <w:color w:val="auto"/>
                    </w:rPr>
                    <w:t>颗粒物</w:t>
                  </w:r>
                </w:p>
              </w:tc>
              <w:tc>
                <w:tcPr>
                  <w:tcW w:w="1008" w:type="pct"/>
                  <w:vAlign w:val="center"/>
                </w:tcPr>
                <w:p w14:paraId="659523C2">
                  <w:pPr>
                    <w:pStyle w:val="286"/>
                    <w:framePr w:hSpace="0" w:wrap="auto" w:vAnchor="margin" w:hAnchor="text" w:xAlign="left" w:yAlign="inline"/>
                    <w:rPr>
                      <w:color w:val="auto"/>
                    </w:rPr>
                  </w:pPr>
                  <w:r>
                    <w:rPr>
                      <w:color w:val="auto"/>
                    </w:rPr>
                    <w:t>1次/</w:t>
                  </w:r>
                  <w:r>
                    <w:rPr>
                      <w:rFonts w:hint="eastAsia"/>
                      <w:color w:val="auto"/>
                      <w:lang w:eastAsia="zh-CN"/>
                    </w:rPr>
                    <w:t>半</w:t>
                  </w:r>
                  <w:r>
                    <w:rPr>
                      <w:color w:val="auto"/>
                    </w:rPr>
                    <w:t>年</w:t>
                  </w:r>
                </w:p>
              </w:tc>
              <w:tc>
                <w:tcPr>
                  <w:tcW w:w="2344" w:type="pct"/>
                  <w:vAlign w:val="center"/>
                </w:tcPr>
                <w:p w14:paraId="5D006C86">
                  <w:pPr>
                    <w:pStyle w:val="286"/>
                    <w:framePr w:hSpace="0" w:wrap="auto" w:vAnchor="margin" w:hAnchor="text" w:xAlign="left" w:yAlign="inline"/>
                    <w:rPr>
                      <w:color w:val="auto"/>
                    </w:rPr>
                  </w:pPr>
                  <w:r>
                    <w:rPr>
                      <w:color w:val="auto"/>
                    </w:rPr>
                    <w:t>《大气污染物综合排放标准》（GB16297-1996）</w:t>
                  </w:r>
                </w:p>
              </w:tc>
            </w:tr>
          </w:tbl>
          <w:p w14:paraId="08C461F4">
            <w:pPr>
              <w:spacing w:before="120" w:beforeLines="50" w:after="0" w:line="360" w:lineRule="auto"/>
              <w:rPr>
                <w:b/>
                <w:bCs/>
                <w:color w:val="auto"/>
                <w:kern w:val="2"/>
                <w:szCs w:val="24"/>
              </w:rPr>
            </w:pPr>
            <w:r>
              <w:rPr>
                <w:b/>
                <w:bCs/>
                <w:color w:val="auto"/>
                <w:kern w:val="2"/>
                <w:szCs w:val="24"/>
              </w:rPr>
              <w:t>4.3废水</w:t>
            </w:r>
          </w:p>
          <w:p w14:paraId="34EF5967">
            <w:pPr>
              <w:spacing w:after="0" w:line="360" w:lineRule="auto"/>
              <w:ind w:firstLine="482" w:firstLineChars="200"/>
              <w:rPr>
                <w:b/>
                <w:bCs/>
                <w:color w:val="0000FF"/>
                <w:kern w:val="2"/>
                <w:szCs w:val="24"/>
              </w:rPr>
            </w:pPr>
            <w:r>
              <w:rPr>
                <w:b/>
                <w:bCs/>
                <w:color w:val="auto"/>
                <w:kern w:val="2"/>
                <w:szCs w:val="24"/>
              </w:rPr>
              <w:t>4.3.1</w:t>
            </w:r>
            <w:r>
              <w:rPr>
                <w:rFonts w:hint="eastAsia"/>
                <w:b/>
                <w:bCs/>
                <w:color w:val="auto"/>
                <w:kern w:val="2"/>
                <w:szCs w:val="24"/>
              </w:rPr>
              <w:t>废水污染源强</w:t>
            </w:r>
          </w:p>
          <w:p w14:paraId="46BC84AC">
            <w:pPr>
              <w:spacing w:after="0" w:line="360" w:lineRule="auto"/>
              <w:ind w:firstLine="480" w:firstLineChars="200"/>
              <w:rPr>
                <w:rFonts w:hint="default" w:eastAsia="宋体"/>
                <w:color w:val="auto"/>
                <w:kern w:val="2"/>
                <w:szCs w:val="24"/>
                <w:lang w:val="en-US" w:eastAsia="zh-CN"/>
              </w:rPr>
            </w:pPr>
            <w:r>
              <w:rPr>
                <w:rFonts w:hint="eastAsia"/>
                <w:color w:val="auto"/>
                <w:kern w:val="2"/>
                <w:szCs w:val="24"/>
                <w:lang w:val="en-US" w:eastAsia="zh-CN"/>
              </w:rPr>
              <w:t>1、</w:t>
            </w:r>
            <w:r>
              <w:rPr>
                <w:rFonts w:hint="eastAsia"/>
                <w:color w:val="auto"/>
                <w:kern w:val="2"/>
                <w:szCs w:val="24"/>
              </w:rPr>
              <w:t>生活污水</w:t>
            </w:r>
            <w:r>
              <w:rPr>
                <w:rFonts w:hint="eastAsia"/>
                <w:color w:val="auto"/>
                <w:kern w:val="2"/>
                <w:szCs w:val="24"/>
                <w:lang w:val="en-US" w:eastAsia="zh-CN"/>
              </w:rPr>
              <w:t>W1</w:t>
            </w:r>
          </w:p>
          <w:p w14:paraId="292FD23B">
            <w:pPr>
              <w:spacing w:after="0" w:line="360" w:lineRule="auto"/>
              <w:ind w:firstLine="480" w:firstLineChars="200"/>
              <w:rPr>
                <w:color w:val="0000FF"/>
                <w:kern w:val="2"/>
                <w:szCs w:val="24"/>
              </w:rPr>
            </w:pPr>
            <w:r>
              <w:rPr>
                <w:color w:val="auto"/>
                <w:kern w:val="2"/>
                <w:szCs w:val="24"/>
              </w:rPr>
              <w:t>本项目劳动定员为</w:t>
            </w:r>
            <w:r>
              <w:rPr>
                <w:rFonts w:hint="eastAsia"/>
                <w:color w:val="auto"/>
                <w:kern w:val="2"/>
                <w:szCs w:val="24"/>
                <w:lang w:val="en-US" w:eastAsia="zh-CN"/>
              </w:rPr>
              <w:t>20</w:t>
            </w:r>
            <w:r>
              <w:rPr>
                <w:rFonts w:hint="eastAsia"/>
                <w:color w:val="auto"/>
                <w:kern w:val="2"/>
                <w:szCs w:val="24"/>
              </w:rPr>
              <w:t>名，根据《安徽省行业用水定额》（DB34/T679-2019）中的相关内容，办公用水定额取60L/人·d。则生活用水量大约为</w:t>
            </w:r>
            <w:r>
              <w:rPr>
                <w:rFonts w:hint="eastAsia"/>
                <w:color w:val="auto"/>
                <w:kern w:val="2"/>
                <w:szCs w:val="24"/>
                <w:lang w:val="en-US" w:eastAsia="zh-CN"/>
              </w:rPr>
              <w:t>260</w:t>
            </w:r>
            <w:r>
              <w:rPr>
                <w:rFonts w:hint="eastAsia"/>
                <w:color w:val="auto"/>
                <w:kern w:val="2"/>
                <w:szCs w:val="24"/>
              </w:rPr>
              <w:t>t/a</w:t>
            </w:r>
            <w:r>
              <w:rPr>
                <w:rFonts w:hint="eastAsia"/>
                <w:color w:val="auto"/>
                <w:kern w:val="2"/>
                <w:szCs w:val="24"/>
                <w:lang w:eastAsia="zh-CN"/>
              </w:rPr>
              <w:t>（</w:t>
            </w:r>
            <w:r>
              <w:rPr>
                <w:rFonts w:hint="eastAsia"/>
                <w:color w:val="auto"/>
                <w:kern w:val="2"/>
                <w:szCs w:val="24"/>
                <w:lang w:val="en-US" w:eastAsia="zh-CN"/>
              </w:rPr>
              <w:t>1.2t/d</w:t>
            </w:r>
            <w:r>
              <w:rPr>
                <w:rFonts w:hint="eastAsia"/>
                <w:color w:val="auto"/>
                <w:kern w:val="2"/>
                <w:szCs w:val="24"/>
                <w:lang w:eastAsia="zh-CN"/>
              </w:rPr>
              <w:t>）</w:t>
            </w:r>
            <w:r>
              <w:rPr>
                <w:rFonts w:hint="eastAsia"/>
                <w:color w:val="auto"/>
                <w:kern w:val="2"/>
                <w:szCs w:val="24"/>
              </w:rPr>
              <w:t>；</w:t>
            </w:r>
            <w:r>
              <w:rPr>
                <w:rFonts w:ascii="Times New Roman" w:hAnsi="Times New Roman"/>
                <w:color w:val="auto"/>
                <w:sz w:val="24"/>
                <w:szCs w:val="24"/>
              </w:rPr>
              <w:t>生活污水排污系数《排放源统计调查产排污核算方法和系数手册-生活源产排污核算系数手册》中第一部分城镇生活源水污染物产生系数：人均日生活用水量≤150升/人·天时，</w:t>
            </w:r>
            <w:r>
              <w:rPr>
                <w:rFonts w:hint="eastAsia"/>
                <w:color w:val="auto"/>
                <w:sz w:val="24"/>
                <w:szCs w:val="24"/>
                <w:lang w:val="en-US" w:eastAsia="zh-CN"/>
              </w:rPr>
              <w:t>产</w:t>
            </w:r>
            <w:r>
              <w:rPr>
                <w:rFonts w:ascii="Times New Roman" w:hAnsi="Times New Roman"/>
                <w:color w:val="auto"/>
                <w:sz w:val="24"/>
                <w:szCs w:val="24"/>
              </w:rPr>
              <w:t>污系数取0.8</w:t>
            </w:r>
            <w:r>
              <w:rPr>
                <w:rFonts w:hint="eastAsia"/>
                <w:color w:val="auto"/>
                <w:kern w:val="2"/>
                <w:szCs w:val="24"/>
              </w:rPr>
              <w:t>，则生活污水产生量为</w:t>
            </w:r>
            <w:r>
              <w:rPr>
                <w:rFonts w:hint="eastAsia"/>
                <w:color w:val="auto"/>
                <w:kern w:val="2"/>
                <w:szCs w:val="24"/>
                <w:lang w:val="en-US" w:eastAsia="zh-CN"/>
              </w:rPr>
              <w:t>288</w:t>
            </w:r>
            <w:r>
              <w:rPr>
                <w:rFonts w:hint="eastAsia"/>
                <w:color w:val="auto"/>
                <w:kern w:val="2"/>
                <w:szCs w:val="24"/>
              </w:rPr>
              <w:t>t/a</w:t>
            </w:r>
            <w:r>
              <w:rPr>
                <w:rFonts w:hint="eastAsia"/>
                <w:color w:val="auto"/>
                <w:kern w:val="2"/>
                <w:szCs w:val="24"/>
                <w:lang w:eastAsia="zh-CN"/>
              </w:rPr>
              <w:t>（</w:t>
            </w:r>
            <w:r>
              <w:rPr>
                <w:rFonts w:hint="eastAsia"/>
                <w:color w:val="auto"/>
                <w:kern w:val="2"/>
                <w:szCs w:val="24"/>
                <w:lang w:val="en-US" w:eastAsia="zh-CN"/>
              </w:rPr>
              <w:t>0.96t/d</w:t>
            </w:r>
            <w:r>
              <w:rPr>
                <w:rFonts w:hint="eastAsia"/>
                <w:color w:val="auto"/>
                <w:kern w:val="2"/>
                <w:szCs w:val="24"/>
                <w:lang w:eastAsia="zh-CN"/>
              </w:rPr>
              <w:t>）</w:t>
            </w:r>
            <w:r>
              <w:rPr>
                <w:color w:val="auto"/>
                <w:kern w:val="2"/>
                <w:szCs w:val="24"/>
              </w:rPr>
              <w:t>，</w:t>
            </w:r>
            <w:r>
              <w:rPr>
                <w:color w:val="auto"/>
              </w:rPr>
              <w:t>废水中各污染因子产生浓度为CODcr：340mg/L、SS：200mg/L、NH</w:t>
            </w:r>
            <w:r>
              <w:rPr>
                <w:color w:val="auto"/>
                <w:vertAlign w:val="subscript"/>
              </w:rPr>
              <w:t>3</w:t>
            </w:r>
            <w:r>
              <w:rPr>
                <w:color w:val="auto"/>
              </w:rPr>
              <w:t>-N：</w:t>
            </w:r>
            <w:r>
              <w:rPr>
                <w:rFonts w:hint="eastAsia"/>
                <w:color w:val="auto"/>
                <w:lang w:val="en-US" w:eastAsia="zh-CN"/>
              </w:rPr>
              <w:t>30</w:t>
            </w:r>
            <w:r>
              <w:rPr>
                <w:color w:val="auto"/>
              </w:rPr>
              <w:t>mg/L</w:t>
            </w:r>
            <w:r>
              <w:rPr>
                <w:rFonts w:hint="eastAsia" w:ascii="Times New Roman" w:hAnsi="Times New Roman" w:eastAsia="宋体" w:cs="Times New Roman"/>
                <w:color w:val="auto"/>
                <w:kern w:val="2"/>
                <w:sz w:val="24"/>
                <w:szCs w:val="24"/>
                <w:lang w:val="en-US" w:eastAsia="zh-CN" w:bidi="ar-SA"/>
              </w:rPr>
              <w:t>。则生活污水各污染因子产生量</w:t>
            </w:r>
            <w:r>
              <w:rPr>
                <w:rFonts w:hint="default" w:ascii="Times New Roman" w:hAnsi="Times New Roman" w:eastAsia="宋体" w:cs="Times New Roman"/>
                <w:color w:val="auto"/>
                <w:kern w:val="2"/>
                <w:sz w:val="24"/>
                <w:szCs w:val="24"/>
                <w:lang w:val="en-US" w:eastAsia="zh-CN" w:bidi="ar-SA"/>
              </w:rPr>
              <w:t>COD</w:t>
            </w:r>
            <w:r>
              <w:rPr>
                <w:color w:val="auto"/>
              </w:rPr>
              <w:t>cr</w:t>
            </w:r>
            <w:r>
              <w:rPr>
                <w:rFonts w:hint="eastAsia"/>
                <w:color w:val="auto"/>
                <w:lang w:eastAsia="zh-CN"/>
              </w:rPr>
              <w:t>为</w:t>
            </w:r>
            <w:r>
              <w:rPr>
                <w:rFonts w:hint="eastAsia" w:ascii="Times New Roman" w:hAnsi="Times New Roman" w:eastAsia="宋体" w:cs="Times New Roman"/>
                <w:color w:val="auto"/>
                <w:kern w:val="2"/>
                <w:sz w:val="24"/>
                <w:szCs w:val="24"/>
                <w:lang w:val="en-US" w:eastAsia="zh-CN" w:bidi="ar-SA"/>
              </w:rPr>
              <w:t>0.0979</w:t>
            </w:r>
            <w:r>
              <w:rPr>
                <w:rFonts w:hint="default" w:ascii="Times New Roman" w:hAnsi="Times New Roman" w:eastAsia="宋体" w:cs="Times New Roman"/>
                <w:color w:val="auto"/>
                <w:kern w:val="2"/>
                <w:sz w:val="24"/>
                <w:szCs w:val="24"/>
                <w:lang w:val="en-US" w:eastAsia="zh-CN" w:bidi="ar-SA"/>
              </w:rPr>
              <w:t>t/a</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SS</w:t>
            </w:r>
            <w:r>
              <w:rPr>
                <w:rFonts w:hint="eastAsia"/>
                <w:color w:val="auto"/>
                <w:lang w:eastAsia="zh-CN"/>
              </w:rPr>
              <w:t>为</w:t>
            </w:r>
            <w:r>
              <w:rPr>
                <w:rFonts w:hint="eastAsia" w:ascii="Times New Roman" w:hAnsi="Times New Roman" w:eastAsia="宋体" w:cs="Times New Roman"/>
                <w:color w:val="auto"/>
                <w:kern w:val="2"/>
                <w:sz w:val="24"/>
                <w:szCs w:val="24"/>
                <w:lang w:val="en-US" w:eastAsia="zh-CN" w:bidi="ar-SA"/>
              </w:rPr>
              <w:t>0.0576</w:t>
            </w:r>
            <w:r>
              <w:rPr>
                <w:rFonts w:hint="default" w:ascii="Times New Roman" w:hAnsi="Times New Roman" w:eastAsia="宋体" w:cs="Times New Roman"/>
                <w:color w:val="auto"/>
                <w:kern w:val="2"/>
                <w:sz w:val="24"/>
                <w:szCs w:val="24"/>
                <w:lang w:val="en-US" w:eastAsia="zh-CN" w:bidi="ar-SA"/>
              </w:rPr>
              <w:t>t/a</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NH</w:t>
            </w:r>
            <w:r>
              <w:rPr>
                <w:rFonts w:hint="eastAsia" w:cs="Times New Roman"/>
                <w:color w:val="auto"/>
                <w:kern w:val="2"/>
                <w:sz w:val="24"/>
                <w:szCs w:val="24"/>
                <w:vertAlign w:val="subscript"/>
                <w:lang w:val="en-US" w:eastAsia="zh-CN" w:bidi="ar-SA"/>
              </w:rPr>
              <w:t>3</w:t>
            </w:r>
            <w:r>
              <w:rPr>
                <w:rFonts w:hint="default" w:ascii="Times New Roman" w:hAnsi="Times New Roman" w:eastAsia="宋体" w:cs="Times New Roman"/>
                <w:color w:val="auto"/>
                <w:kern w:val="2"/>
                <w:sz w:val="24"/>
                <w:szCs w:val="24"/>
                <w:lang w:val="en-US" w:eastAsia="zh-CN" w:bidi="ar-SA"/>
              </w:rPr>
              <w:t>-N</w:t>
            </w:r>
            <w:r>
              <w:rPr>
                <w:rFonts w:hint="eastAsia" w:ascii="Times New Roman" w:hAnsi="Times New Roman" w:eastAsia="宋体" w:cs="Times New Roman"/>
                <w:color w:val="auto"/>
                <w:kern w:val="2"/>
                <w:sz w:val="24"/>
                <w:szCs w:val="24"/>
                <w:lang w:val="en-US" w:eastAsia="zh-CN" w:bidi="ar-SA"/>
              </w:rPr>
              <w:t>为0.0086t/a。</w:t>
            </w:r>
            <w:r>
              <w:rPr>
                <w:rFonts w:hint="eastAsia" w:ascii="宋体" w:hAnsi="宋体"/>
                <w:color w:val="auto"/>
              </w:rPr>
              <w:t>生活</w:t>
            </w:r>
            <w:r>
              <w:rPr>
                <w:rFonts w:hint="eastAsia"/>
                <w:color w:val="auto"/>
                <w:kern w:val="2"/>
                <w:szCs w:val="24"/>
              </w:rPr>
              <w:t>污水</w:t>
            </w:r>
            <w:r>
              <w:rPr>
                <w:rFonts w:hint="eastAsia"/>
                <w:color w:val="auto"/>
                <w:kern w:val="2"/>
                <w:szCs w:val="24"/>
                <w:lang w:eastAsia="zh-CN"/>
              </w:rPr>
              <w:t>经园区管网进入高端装备产业园污水处理站处理后</w:t>
            </w:r>
            <w:r>
              <w:rPr>
                <w:rFonts w:hint="eastAsia"/>
                <w:color w:val="auto"/>
                <w:kern w:val="2"/>
                <w:szCs w:val="24"/>
              </w:rPr>
              <w:t>纳管排放至淮南经济技术开发区工业污水处理厂深度处理达标后，尾水排入淮河（淮南段）。</w:t>
            </w:r>
          </w:p>
          <w:p w14:paraId="69530539">
            <w:pPr>
              <w:spacing w:after="0" w:line="360" w:lineRule="auto"/>
              <w:ind w:firstLine="480" w:firstLineChars="200"/>
              <w:rPr>
                <w:color w:val="auto"/>
                <w:kern w:val="2"/>
                <w:szCs w:val="24"/>
              </w:rPr>
            </w:pPr>
            <w:r>
              <w:rPr>
                <w:rFonts w:hint="eastAsia"/>
                <w:color w:val="auto"/>
                <w:kern w:val="2"/>
                <w:szCs w:val="24"/>
                <w:lang w:val="en-US" w:eastAsia="zh-CN"/>
              </w:rPr>
              <w:t>2、</w:t>
            </w:r>
            <w:r>
              <w:rPr>
                <w:color w:val="auto"/>
                <w:kern w:val="2"/>
                <w:szCs w:val="24"/>
              </w:rPr>
              <w:t>生产废水</w:t>
            </w:r>
          </w:p>
          <w:p w14:paraId="5844D6CD">
            <w:pPr>
              <w:pStyle w:val="180"/>
              <w:keepNext w:val="0"/>
              <w:keepLines w:val="0"/>
              <w:pageBreakBefore w:val="0"/>
              <w:widowControl/>
              <w:kinsoku/>
              <w:wordWrap/>
              <w:overflowPunct/>
              <w:topLinePunct w:val="0"/>
              <w:autoSpaceDE/>
              <w:autoSpaceDN/>
              <w:bidi w:val="0"/>
              <w:adjustRightInd w:val="0"/>
              <w:snapToGrid w:val="0"/>
              <w:spacing w:after="0" w:line="360" w:lineRule="auto"/>
              <w:ind w:firstLine="480" w:firstLineChars="200"/>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①洗米废水W2</w:t>
            </w:r>
          </w:p>
          <w:p w14:paraId="0A2289E8">
            <w:pPr>
              <w:keepNext w:val="0"/>
              <w:keepLines w:val="0"/>
              <w:pageBreakBefore w:val="0"/>
              <w:widowControl/>
              <w:suppressLineNumbers w:val="0"/>
              <w:kinsoku/>
              <w:wordWrap/>
              <w:overflowPunct/>
              <w:topLinePunct w:val="0"/>
              <w:autoSpaceDE/>
              <w:autoSpaceDN/>
              <w:bidi w:val="0"/>
              <w:adjustRightInd w:val="0"/>
              <w:snapToGrid w:val="0"/>
              <w:spacing w:after="0"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项目洗米废水产生量为</w:t>
            </w:r>
            <w:r>
              <w:rPr>
                <w:rFonts w:hint="eastAsia" w:cs="Times New Roman"/>
                <w:color w:val="auto"/>
                <w:kern w:val="2"/>
                <w:sz w:val="24"/>
                <w:szCs w:val="24"/>
                <w:lang w:val="en-US" w:eastAsia="zh-CN" w:bidi="ar-SA"/>
              </w:rPr>
              <w:t>313.5</w:t>
            </w:r>
            <w:r>
              <w:rPr>
                <w:rFonts w:hint="default" w:ascii="Times New Roman" w:hAnsi="Times New Roman" w:eastAsia="宋体" w:cs="Times New Roman"/>
                <w:color w:val="auto"/>
                <w:kern w:val="2"/>
                <w:sz w:val="24"/>
                <w:szCs w:val="24"/>
                <w:lang w:val="en-US" w:eastAsia="zh-CN" w:bidi="ar-SA"/>
              </w:rPr>
              <w:t>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/a</w:t>
            </w:r>
            <w:r>
              <w:rPr>
                <w:rFonts w:hint="eastAsia" w:ascii="Times New Roman" w:hAnsi="Times New Roman" w:eastAsia="宋体" w:cs="Times New Roman"/>
                <w:color w:val="auto"/>
                <w:kern w:val="2"/>
                <w:sz w:val="24"/>
                <w:szCs w:val="24"/>
                <w:lang w:val="en-US" w:eastAsia="zh-CN" w:bidi="ar-SA"/>
              </w:rPr>
              <w:t>（</w:t>
            </w:r>
            <w:r>
              <w:rPr>
                <w:rFonts w:hint="eastAsia" w:cs="Times New Roman"/>
                <w:color w:val="auto"/>
                <w:kern w:val="2"/>
                <w:sz w:val="24"/>
                <w:szCs w:val="24"/>
                <w:lang w:val="en-US" w:eastAsia="zh-CN" w:bidi="ar-SA"/>
              </w:rPr>
              <w:t>1.045</w:t>
            </w:r>
            <w:r>
              <w:rPr>
                <w:rFonts w:hint="default" w:ascii="Times New Roman" w:hAnsi="Times New Roman" w:eastAsia="宋体" w:cs="Times New Roman"/>
                <w:color w:val="auto"/>
                <w:kern w:val="2"/>
                <w:sz w:val="24"/>
                <w:szCs w:val="24"/>
                <w:lang w:val="en-US" w:eastAsia="zh-CN" w:bidi="ar-SA"/>
              </w:rPr>
              <w:t>m</w:t>
            </w:r>
            <w:r>
              <w:rPr>
                <w:rFonts w:hint="default" w:ascii="Times New Roman" w:hAnsi="Times New Roman" w:eastAsia="宋体" w:cs="Times New Roman"/>
                <w:color w:val="auto"/>
                <w:kern w:val="2"/>
                <w:sz w:val="24"/>
                <w:szCs w:val="24"/>
                <w:vertAlign w:val="superscript"/>
                <w:lang w:val="en-US" w:eastAsia="zh-CN" w:bidi="ar-SA"/>
              </w:rPr>
              <w:t>3</w:t>
            </w:r>
            <w:r>
              <w:rPr>
                <w:rFonts w:hint="default" w:ascii="Times New Roman" w:hAnsi="Times New Roman" w:eastAsia="宋体" w:cs="Times New Roman"/>
                <w:color w:val="auto"/>
                <w:kern w:val="2"/>
                <w:sz w:val="24"/>
                <w:szCs w:val="24"/>
                <w:lang w:val="en-US" w:eastAsia="zh-CN" w:bidi="ar-SA"/>
              </w:rPr>
              <w:t>/d</w:t>
            </w:r>
            <w:r>
              <w:rPr>
                <w:rFonts w:hint="eastAsia" w:ascii="Times New Roman" w:hAnsi="Times New Roman" w:eastAsia="宋体" w:cs="Times New Roman"/>
                <w:color w:val="auto"/>
                <w:kern w:val="2"/>
                <w:sz w:val="24"/>
                <w:szCs w:val="24"/>
                <w:lang w:val="en-US" w:eastAsia="zh-CN" w:bidi="ar-SA"/>
              </w:rPr>
              <w:t>），废水主要的污染物是</w:t>
            </w:r>
            <w:r>
              <w:rPr>
                <w:rFonts w:hint="default" w:ascii="Times New Roman" w:hAnsi="Times New Roman" w:eastAsia="宋体" w:cs="Times New Roman"/>
                <w:color w:val="auto"/>
                <w:kern w:val="2"/>
                <w:sz w:val="24"/>
                <w:szCs w:val="24"/>
                <w:lang w:val="en-US" w:eastAsia="zh-CN" w:bidi="ar-SA"/>
              </w:rPr>
              <w:t>COD</w:t>
            </w:r>
            <w:r>
              <w:rPr>
                <w:color w:val="auto"/>
              </w:rPr>
              <w:t>cr</w:t>
            </w:r>
            <w:r>
              <w:rPr>
                <w:rFonts w:hint="eastAsia" w:ascii="Times New Roman" w:hAnsi="Times New Roman" w:eastAsia="宋体" w:cs="Times New Roman"/>
                <w:color w:val="auto"/>
                <w:kern w:val="2"/>
                <w:sz w:val="24"/>
                <w:szCs w:val="24"/>
                <w:lang w:val="en-US" w:eastAsia="zh-CN" w:bidi="ar-SA"/>
              </w:rPr>
              <w:t>和</w:t>
            </w:r>
            <w:r>
              <w:rPr>
                <w:rFonts w:hint="default" w:ascii="Times New Roman" w:hAnsi="Times New Roman" w:eastAsia="宋体" w:cs="Times New Roman"/>
                <w:color w:val="auto"/>
                <w:kern w:val="2"/>
                <w:sz w:val="24"/>
                <w:szCs w:val="24"/>
                <w:lang w:val="en-US" w:eastAsia="zh-CN" w:bidi="ar-SA"/>
              </w:rPr>
              <w:t>SS</w:t>
            </w:r>
            <w:r>
              <w:rPr>
                <w:rFonts w:hint="eastAsia" w:ascii="Times New Roman" w:hAnsi="Times New Roman" w:eastAsia="宋体" w:cs="Times New Roman"/>
                <w:color w:val="auto"/>
                <w:kern w:val="2"/>
                <w:sz w:val="24"/>
                <w:szCs w:val="24"/>
                <w:lang w:val="en-US" w:eastAsia="zh-CN" w:bidi="ar-SA"/>
              </w:rPr>
              <w:t>，类比同行业经验数据，洗米废水中</w:t>
            </w:r>
            <w:r>
              <w:rPr>
                <w:rFonts w:hint="default" w:ascii="Times New Roman" w:hAnsi="Times New Roman" w:eastAsia="宋体" w:cs="Times New Roman"/>
                <w:color w:val="auto"/>
                <w:kern w:val="2"/>
                <w:sz w:val="24"/>
                <w:szCs w:val="24"/>
                <w:lang w:val="en-US" w:eastAsia="zh-CN" w:bidi="ar-SA"/>
              </w:rPr>
              <w:t>COD</w:t>
            </w:r>
            <w:r>
              <w:rPr>
                <w:color w:val="auto"/>
              </w:rPr>
              <w:t>cr</w:t>
            </w:r>
            <w:r>
              <w:rPr>
                <w:rFonts w:hint="eastAsia" w:ascii="Times New Roman" w:hAnsi="Times New Roman" w:eastAsia="宋体" w:cs="Times New Roman"/>
                <w:color w:val="auto"/>
                <w:kern w:val="2"/>
                <w:sz w:val="24"/>
                <w:szCs w:val="24"/>
                <w:lang w:val="en-US" w:eastAsia="zh-CN" w:bidi="ar-SA"/>
              </w:rPr>
              <w:t>产生浓度为</w:t>
            </w:r>
            <w:r>
              <w:rPr>
                <w:rFonts w:hint="default" w:ascii="Times New Roman" w:hAnsi="Times New Roman" w:eastAsia="宋体" w:cs="Times New Roman"/>
                <w:color w:val="auto"/>
                <w:kern w:val="2"/>
                <w:sz w:val="24"/>
                <w:szCs w:val="24"/>
                <w:lang w:val="en-US" w:eastAsia="zh-CN" w:bidi="ar-SA"/>
              </w:rPr>
              <w:t>700mg/L</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SS</w:t>
            </w:r>
            <w:r>
              <w:rPr>
                <w:rFonts w:hint="eastAsia" w:ascii="Times New Roman" w:hAnsi="Times New Roman" w:eastAsia="宋体" w:cs="Times New Roman"/>
                <w:color w:val="auto"/>
                <w:kern w:val="2"/>
                <w:sz w:val="24"/>
                <w:szCs w:val="24"/>
                <w:lang w:val="en-US" w:eastAsia="zh-CN" w:bidi="ar-SA"/>
              </w:rPr>
              <w:t>产生浓度为</w:t>
            </w:r>
            <w:r>
              <w:rPr>
                <w:rFonts w:hint="default" w:ascii="Times New Roman" w:hAnsi="Times New Roman" w:eastAsia="宋体" w:cs="Times New Roman"/>
                <w:color w:val="auto"/>
                <w:kern w:val="2"/>
                <w:sz w:val="24"/>
                <w:szCs w:val="24"/>
                <w:lang w:val="en-US" w:eastAsia="zh-CN" w:bidi="ar-SA"/>
              </w:rPr>
              <w:t>350mg/L</w:t>
            </w:r>
            <w:r>
              <w:rPr>
                <w:rFonts w:hint="eastAsia" w:ascii="Times New Roman" w:hAnsi="Times New Roman" w:eastAsia="宋体" w:cs="Times New Roman"/>
                <w:color w:val="auto"/>
                <w:kern w:val="2"/>
                <w:sz w:val="24"/>
                <w:szCs w:val="24"/>
                <w:lang w:val="en-US" w:eastAsia="zh-CN" w:bidi="ar-SA"/>
              </w:rPr>
              <w:t>。则洗米废水</w:t>
            </w:r>
            <w:r>
              <w:rPr>
                <w:rFonts w:hint="default" w:ascii="Times New Roman" w:hAnsi="Times New Roman" w:eastAsia="宋体" w:cs="Times New Roman"/>
                <w:color w:val="auto"/>
                <w:kern w:val="2"/>
                <w:sz w:val="24"/>
                <w:szCs w:val="24"/>
                <w:lang w:val="en-US" w:eastAsia="zh-CN" w:bidi="ar-SA"/>
              </w:rPr>
              <w:t>COD</w:t>
            </w:r>
            <w:r>
              <w:rPr>
                <w:color w:val="auto"/>
              </w:rPr>
              <w:t>cr</w:t>
            </w:r>
            <w:r>
              <w:rPr>
                <w:rFonts w:hint="eastAsia" w:ascii="Times New Roman" w:hAnsi="Times New Roman" w:eastAsia="宋体" w:cs="Times New Roman"/>
                <w:color w:val="auto"/>
                <w:kern w:val="2"/>
                <w:sz w:val="24"/>
                <w:szCs w:val="24"/>
                <w:lang w:val="en-US" w:eastAsia="zh-CN" w:bidi="ar-SA"/>
              </w:rPr>
              <w:t>产生量为0.</w:t>
            </w:r>
            <w:r>
              <w:rPr>
                <w:rFonts w:hint="eastAsia" w:cs="Times New Roman"/>
                <w:color w:val="auto"/>
                <w:kern w:val="2"/>
                <w:sz w:val="24"/>
                <w:szCs w:val="24"/>
                <w:lang w:val="en-US" w:eastAsia="zh-CN" w:bidi="ar-SA"/>
              </w:rPr>
              <w:t>2195</w:t>
            </w:r>
            <w:r>
              <w:rPr>
                <w:rFonts w:hint="default" w:ascii="Times New Roman" w:hAnsi="Times New Roman" w:eastAsia="宋体" w:cs="Times New Roman"/>
                <w:color w:val="auto"/>
                <w:kern w:val="2"/>
                <w:sz w:val="24"/>
                <w:szCs w:val="24"/>
                <w:lang w:val="en-US" w:eastAsia="zh-CN" w:bidi="ar-SA"/>
              </w:rPr>
              <w:t>t/a</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SS</w:t>
            </w:r>
            <w:r>
              <w:rPr>
                <w:rFonts w:hint="eastAsia" w:ascii="Times New Roman" w:hAnsi="Times New Roman" w:eastAsia="宋体" w:cs="Times New Roman"/>
                <w:color w:val="auto"/>
                <w:kern w:val="2"/>
                <w:sz w:val="24"/>
                <w:szCs w:val="24"/>
                <w:lang w:val="en-US" w:eastAsia="zh-CN" w:bidi="ar-SA"/>
              </w:rPr>
              <w:t>产生量为0.</w:t>
            </w:r>
            <w:r>
              <w:rPr>
                <w:rFonts w:hint="eastAsia" w:cs="Times New Roman"/>
                <w:color w:val="auto"/>
                <w:kern w:val="2"/>
                <w:sz w:val="24"/>
                <w:szCs w:val="24"/>
                <w:lang w:val="en-US" w:eastAsia="zh-CN" w:bidi="ar-SA"/>
              </w:rPr>
              <w:t>1097</w:t>
            </w:r>
            <w:r>
              <w:rPr>
                <w:rFonts w:hint="default" w:ascii="Times New Roman" w:hAnsi="Times New Roman" w:eastAsia="宋体" w:cs="Times New Roman"/>
                <w:color w:val="auto"/>
                <w:kern w:val="2"/>
                <w:sz w:val="24"/>
                <w:szCs w:val="24"/>
                <w:lang w:val="en-US" w:eastAsia="zh-CN" w:bidi="ar-SA"/>
              </w:rPr>
              <w:t>t/a</w:t>
            </w:r>
            <w:r>
              <w:rPr>
                <w:rFonts w:hint="eastAsia" w:ascii="Times New Roman" w:hAnsi="Times New Roman" w:eastAsia="宋体" w:cs="Times New Roman"/>
                <w:color w:val="auto"/>
                <w:kern w:val="2"/>
                <w:sz w:val="24"/>
                <w:szCs w:val="24"/>
                <w:lang w:val="en-US" w:eastAsia="zh-CN" w:bidi="ar-SA"/>
              </w:rPr>
              <w:t>。</w:t>
            </w:r>
          </w:p>
          <w:p w14:paraId="4EBC1796">
            <w:pPr>
              <w:keepNext w:val="0"/>
              <w:keepLines w:val="0"/>
              <w:pageBreakBefore w:val="0"/>
              <w:widowControl/>
              <w:suppressLineNumbers w:val="0"/>
              <w:kinsoku/>
              <w:wordWrap/>
              <w:overflowPunct/>
              <w:topLinePunct w:val="0"/>
              <w:autoSpaceDE/>
              <w:autoSpaceDN/>
              <w:bidi w:val="0"/>
              <w:adjustRightInd w:val="0"/>
              <w:snapToGrid w:val="0"/>
              <w:spacing w:after="0" w:line="360" w:lineRule="auto"/>
              <w:ind w:firstLine="480" w:firstLineChars="200"/>
              <w:jc w:val="both"/>
              <w:textAlignment w:val="auto"/>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②设备清洗废水W3</w:t>
            </w:r>
          </w:p>
          <w:p w14:paraId="7C3894B2">
            <w:pPr>
              <w:keepNext w:val="0"/>
              <w:keepLines w:val="0"/>
              <w:pageBreakBefore w:val="0"/>
              <w:widowControl/>
              <w:suppressLineNumbers w:val="0"/>
              <w:kinsoku/>
              <w:wordWrap/>
              <w:overflowPunct/>
              <w:topLinePunct w:val="0"/>
              <w:autoSpaceDE/>
              <w:autoSpaceDN/>
              <w:bidi w:val="0"/>
              <w:adjustRightInd w:val="0"/>
              <w:snapToGrid w:val="0"/>
              <w:spacing w:after="0" w:line="360" w:lineRule="auto"/>
              <w:ind w:firstLine="480" w:firstLineChars="200"/>
              <w:jc w:val="both"/>
              <w:textAlignment w:val="auto"/>
              <w:rPr>
                <w:rFonts w:hint="default"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根据建设单位提供资料，项目仅凉皮生产设备（4台）在每日生产结束后用清水冲洗，每次清洗用水量约为5L/台，其余生湿面制品、年糕、鲜面条等共6台设备</w:t>
            </w:r>
            <w:r>
              <w:rPr>
                <w:rFonts w:hint="eastAsia" w:cs="Times New Roman"/>
                <w:color w:val="auto"/>
                <w:kern w:val="2"/>
                <w:sz w:val="24"/>
                <w:szCs w:val="24"/>
                <w:lang w:val="en-US" w:eastAsia="zh-CN" w:bidi="ar-SA"/>
              </w:rPr>
              <w:t>生产线</w:t>
            </w:r>
            <w:r>
              <w:rPr>
                <w:rFonts w:hint="eastAsia" w:ascii="Times New Roman" w:hAnsi="Times New Roman" w:eastAsia="宋体" w:cs="Times New Roman"/>
                <w:color w:val="auto"/>
                <w:kern w:val="2"/>
                <w:sz w:val="24"/>
                <w:szCs w:val="24"/>
                <w:lang w:val="en-US" w:eastAsia="zh-CN" w:bidi="ar-SA"/>
              </w:rPr>
              <w:t>平均3天采用抹布擦拭清理一次，每次擦拭用水量约为2L</w:t>
            </w:r>
            <w:r>
              <w:rPr>
                <w:rFonts w:hint="default" w:ascii="Times New Roman" w:hAnsi="Times New Roman" w:eastAsia="宋体" w:cs="Times New Roman"/>
                <w:color w:val="auto"/>
                <w:kern w:val="2"/>
                <w:sz w:val="24"/>
                <w:szCs w:val="24"/>
                <w:lang w:val="en-US" w:eastAsia="zh-CN" w:bidi="ar-SA"/>
              </w:rPr>
              <w:t>/</w:t>
            </w:r>
            <w:r>
              <w:rPr>
                <w:rFonts w:hint="eastAsia" w:ascii="Times New Roman" w:hAnsi="Times New Roman" w:eastAsia="宋体" w:cs="Times New Roman"/>
                <w:color w:val="auto"/>
                <w:kern w:val="2"/>
                <w:sz w:val="24"/>
                <w:szCs w:val="24"/>
                <w:lang w:val="en-US" w:eastAsia="zh-CN" w:bidi="ar-SA"/>
              </w:rPr>
              <w:t>台。则设备清洗用水量为7.2t/a，废水产生量按照用水量的80%计，则设备清洗废水产生量为5.76t/a。类比同行业经验数据，该类污染物浓度为</w:t>
            </w:r>
            <w:r>
              <w:rPr>
                <w:rFonts w:hint="default" w:ascii="Times New Roman" w:hAnsi="Times New Roman" w:eastAsia="宋体" w:cs="Times New Roman"/>
                <w:color w:val="auto"/>
                <w:kern w:val="2"/>
                <w:sz w:val="24"/>
                <w:szCs w:val="24"/>
                <w:lang w:val="en-US" w:eastAsia="zh-CN" w:bidi="ar-SA"/>
              </w:rPr>
              <w:t>CODcr</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200mg/L</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SS</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300mg/L</w:t>
            </w:r>
            <w:r>
              <w:rPr>
                <w:rFonts w:hint="eastAsia"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NH</w:t>
            </w:r>
            <w:r>
              <w:rPr>
                <w:rFonts w:hint="eastAsia" w:cs="Times New Roman"/>
                <w:color w:val="auto"/>
                <w:kern w:val="2"/>
                <w:sz w:val="24"/>
                <w:szCs w:val="24"/>
                <w:vertAlign w:val="subscript"/>
                <w:lang w:val="en-US" w:eastAsia="zh-CN" w:bidi="ar-SA"/>
              </w:rPr>
              <w:t>3</w:t>
            </w:r>
            <w:r>
              <w:rPr>
                <w:rFonts w:hint="default" w:ascii="Times New Roman" w:hAnsi="Times New Roman" w:eastAsia="宋体" w:cs="Times New Roman"/>
                <w:color w:val="auto"/>
                <w:kern w:val="2"/>
                <w:sz w:val="24"/>
                <w:szCs w:val="24"/>
                <w:lang w:val="en-US" w:eastAsia="zh-CN" w:bidi="ar-SA"/>
              </w:rPr>
              <w:t>-N</w:t>
            </w:r>
            <w:r>
              <w:rPr>
                <w:rFonts w:hint="eastAsia" w:cs="Times New Roman"/>
                <w:color w:val="auto"/>
                <w:kern w:val="2"/>
                <w:sz w:val="24"/>
                <w:szCs w:val="24"/>
                <w:lang w:val="en-US" w:eastAsia="zh-CN" w:bidi="ar-SA"/>
              </w:rPr>
              <w:t>：20</w:t>
            </w:r>
            <w:r>
              <w:rPr>
                <w:rFonts w:hint="default" w:ascii="Times New Roman" w:hAnsi="Times New Roman" w:eastAsia="宋体" w:cs="Times New Roman"/>
                <w:color w:val="auto"/>
                <w:kern w:val="2"/>
                <w:sz w:val="24"/>
                <w:szCs w:val="24"/>
                <w:lang w:val="en-US" w:eastAsia="zh-CN" w:bidi="ar-SA"/>
              </w:rPr>
              <w:t>mg/L</w:t>
            </w:r>
            <w:r>
              <w:rPr>
                <w:rFonts w:hint="eastAsia" w:cs="Times New Roman"/>
                <w:color w:val="auto"/>
                <w:kern w:val="2"/>
                <w:sz w:val="24"/>
                <w:szCs w:val="24"/>
                <w:lang w:val="en-US" w:eastAsia="zh-CN" w:bidi="ar-SA"/>
              </w:rPr>
              <w:t>、动植物油：50</w:t>
            </w:r>
            <w:r>
              <w:rPr>
                <w:rFonts w:hint="default" w:ascii="Times New Roman" w:hAnsi="Times New Roman" w:eastAsia="宋体" w:cs="Times New Roman"/>
                <w:color w:val="auto"/>
                <w:kern w:val="2"/>
                <w:sz w:val="24"/>
                <w:szCs w:val="24"/>
                <w:lang w:val="en-US" w:eastAsia="zh-CN" w:bidi="ar-SA"/>
              </w:rPr>
              <w:t>mg/L</w:t>
            </w:r>
            <w:r>
              <w:rPr>
                <w:rFonts w:hint="eastAsia" w:ascii="Times New Roman" w:hAnsi="Times New Roman" w:eastAsia="宋体" w:cs="Times New Roman"/>
                <w:color w:val="auto"/>
                <w:kern w:val="2"/>
                <w:sz w:val="24"/>
                <w:szCs w:val="24"/>
                <w:lang w:val="en-US" w:eastAsia="zh-CN" w:bidi="ar-SA"/>
              </w:rPr>
              <w:t>。则设备清洗废水各污染物产生量</w:t>
            </w:r>
            <w:r>
              <w:rPr>
                <w:rFonts w:hint="default" w:ascii="Times New Roman" w:hAnsi="Times New Roman" w:eastAsia="宋体" w:cs="Times New Roman"/>
                <w:color w:val="auto"/>
                <w:kern w:val="2"/>
                <w:sz w:val="24"/>
                <w:szCs w:val="24"/>
                <w:lang w:val="en-US" w:eastAsia="zh-CN" w:bidi="ar-SA"/>
              </w:rPr>
              <w:t>COD</w:t>
            </w:r>
            <w:r>
              <w:rPr>
                <w:color w:val="auto"/>
              </w:rPr>
              <w:t>cr</w:t>
            </w:r>
            <w:r>
              <w:rPr>
                <w:rFonts w:hint="eastAsia"/>
                <w:color w:val="auto"/>
                <w:lang w:eastAsia="zh-CN"/>
              </w:rPr>
              <w:t>为</w:t>
            </w:r>
            <w:r>
              <w:rPr>
                <w:rFonts w:hint="eastAsia" w:ascii="Times New Roman" w:hAnsi="Times New Roman" w:eastAsia="宋体" w:cs="Times New Roman"/>
                <w:color w:val="auto"/>
                <w:kern w:val="2"/>
                <w:sz w:val="24"/>
                <w:szCs w:val="24"/>
                <w:lang w:val="en-US" w:eastAsia="zh-CN" w:bidi="ar-SA"/>
              </w:rPr>
              <w:t>0.0012</w:t>
            </w:r>
            <w:r>
              <w:rPr>
                <w:rFonts w:hint="default" w:ascii="Times New Roman" w:hAnsi="Times New Roman" w:eastAsia="宋体" w:cs="Times New Roman"/>
                <w:color w:val="auto"/>
                <w:kern w:val="2"/>
                <w:sz w:val="24"/>
                <w:szCs w:val="24"/>
                <w:lang w:val="en-US" w:eastAsia="zh-CN" w:bidi="ar-SA"/>
              </w:rPr>
              <w:t>t/a</w:t>
            </w:r>
            <w:r>
              <w:rPr>
                <w:rFonts w:hint="eastAsia" w:ascii="Times New Roman" w:hAnsi="Times New Roman" w:eastAsia="宋体" w:cs="Times New Roman"/>
                <w:color w:val="auto"/>
                <w:kern w:val="2"/>
                <w:sz w:val="24"/>
                <w:szCs w:val="24"/>
                <w:lang w:val="en-US" w:eastAsia="zh-CN" w:bidi="ar-SA"/>
              </w:rPr>
              <w:t>，</w:t>
            </w:r>
            <w:r>
              <w:rPr>
                <w:rFonts w:hint="default" w:ascii="Times New Roman" w:hAnsi="Times New Roman" w:eastAsia="宋体" w:cs="Times New Roman"/>
                <w:color w:val="auto"/>
                <w:kern w:val="2"/>
                <w:sz w:val="24"/>
                <w:szCs w:val="24"/>
                <w:lang w:val="en-US" w:eastAsia="zh-CN" w:bidi="ar-SA"/>
              </w:rPr>
              <w:t>SS</w:t>
            </w:r>
            <w:r>
              <w:rPr>
                <w:rFonts w:hint="eastAsia"/>
                <w:color w:val="auto"/>
                <w:lang w:eastAsia="zh-CN"/>
              </w:rPr>
              <w:t>为</w:t>
            </w:r>
            <w:r>
              <w:rPr>
                <w:rFonts w:hint="eastAsia" w:ascii="Times New Roman" w:hAnsi="Times New Roman" w:eastAsia="宋体" w:cs="Times New Roman"/>
                <w:color w:val="auto"/>
                <w:kern w:val="2"/>
                <w:sz w:val="24"/>
                <w:szCs w:val="24"/>
                <w:lang w:val="en-US" w:eastAsia="zh-CN" w:bidi="ar-SA"/>
              </w:rPr>
              <w:t>0.00</w:t>
            </w:r>
            <w:r>
              <w:rPr>
                <w:rFonts w:hint="eastAsia" w:cs="Times New Roman"/>
                <w:color w:val="auto"/>
                <w:kern w:val="2"/>
                <w:sz w:val="24"/>
                <w:szCs w:val="24"/>
                <w:lang w:val="en-US" w:eastAsia="zh-CN" w:bidi="ar-SA"/>
              </w:rPr>
              <w:t>17</w:t>
            </w:r>
            <w:r>
              <w:rPr>
                <w:rFonts w:hint="default" w:ascii="Times New Roman" w:hAnsi="Times New Roman" w:eastAsia="宋体" w:cs="Times New Roman"/>
                <w:color w:val="auto"/>
                <w:kern w:val="2"/>
                <w:sz w:val="24"/>
                <w:szCs w:val="24"/>
                <w:lang w:val="en-US" w:eastAsia="zh-CN" w:bidi="ar-SA"/>
              </w:rPr>
              <w:t>t/a</w:t>
            </w:r>
            <w:r>
              <w:rPr>
                <w:rFonts w:hint="eastAsia" w:ascii="Times New Roman" w:hAnsi="Times New Roman" w:eastAsia="宋体" w:cs="Times New Roman"/>
                <w:color w:val="auto"/>
                <w:kern w:val="2"/>
                <w:sz w:val="24"/>
                <w:szCs w:val="24"/>
                <w:lang w:val="en-US" w:eastAsia="zh-CN" w:bidi="ar-SA"/>
              </w:rPr>
              <w:t>，NH</w:t>
            </w:r>
            <w:r>
              <w:rPr>
                <w:rFonts w:hint="eastAsia" w:ascii="Times New Roman" w:hAnsi="Times New Roman" w:eastAsia="宋体" w:cs="Times New Roman"/>
                <w:color w:val="auto"/>
                <w:kern w:val="2"/>
                <w:sz w:val="24"/>
                <w:szCs w:val="24"/>
                <w:vertAlign w:val="subscript"/>
                <w:lang w:val="en-US" w:eastAsia="zh-CN" w:bidi="ar-SA"/>
              </w:rPr>
              <w:t>3</w:t>
            </w:r>
            <w:r>
              <w:rPr>
                <w:rFonts w:hint="eastAsia" w:ascii="Times New Roman" w:hAnsi="Times New Roman" w:eastAsia="宋体" w:cs="Times New Roman"/>
                <w:color w:val="auto"/>
                <w:kern w:val="2"/>
                <w:sz w:val="24"/>
                <w:szCs w:val="24"/>
                <w:lang w:val="en-US" w:eastAsia="zh-CN" w:bidi="ar-SA"/>
              </w:rPr>
              <w:t>-N为0.00</w:t>
            </w:r>
            <w:r>
              <w:rPr>
                <w:rFonts w:hint="eastAsia" w:cs="Times New Roman"/>
                <w:color w:val="auto"/>
                <w:kern w:val="2"/>
                <w:sz w:val="24"/>
                <w:szCs w:val="24"/>
                <w:lang w:val="en-US" w:eastAsia="zh-CN" w:bidi="ar-SA"/>
              </w:rPr>
              <w:t>01</w:t>
            </w:r>
            <w:r>
              <w:rPr>
                <w:rFonts w:hint="eastAsia" w:ascii="Times New Roman" w:hAnsi="Times New Roman" w:eastAsia="宋体" w:cs="Times New Roman"/>
                <w:color w:val="auto"/>
                <w:kern w:val="2"/>
                <w:sz w:val="24"/>
                <w:szCs w:val="24"/>
                <w:lang w:val="en-US" w:eastAsia="zh-CN" w:bidi="ar-SA"/>
              </w:rPr>
              <w:t>t/a</w:t>
            </w:r>
            <w:r>
              <w:rPr>
                <w:rFonts w:hint="eastAsia" w:cs="Times New Roman"/>
                <w:color w:val="auto"/>
                <w:kern w:val="2"/>
                <w:sz w:val="24"/>
                <w:szCs w:val="24"/>
                <w:lang w:val="en-US" w:eastAsia="zh-CN" w:bidi="ar-SA"/>
              </w:rPr>
              <w:t>，动</w:t>
            </w:r>
            <w:r>
              <w:rPr>
                <w:rFonts w:hint="eastAsia" w:ascii="Times New Roman" w:hAnsi="Times New Roman" w:eastAsia="宋体" w:cs="Times New Roman"/>
                <w:color w:val="auto"/>
                <w:kern w:val="2"/>
                <w:sz w:val="24"/>
                <w:szCs w:val="24"/>
                <w:lang w:val="en-US" w:eastAsia="zh-CN" w:bidi="ar-SA"/>
              </w:rPr>
              <w:t>植物油为</w:t>
            </w:r>
            <w:r>
              <w:rPr>
                <w:rFonts w:hint="default" w:ascii="Times New Roman" w:hAnsi="Times New Roman" w:eastAsia="宋体" w:cs="Times New Roman"/>
                <w:color w:val="auto"/>
                <w:kern w:val="2"/>
                <w:sz w:val="24"/>
                <w:szCs w:val="24"/>
                <w:lang w:val="en-US" w:eastAsia="zh-CN" w:bidi="ar-SA"/>
              </w:rPr>
              <w:t>0.0003</w:t>
            </w:r>
            <w:r>
              <w:rPr>
                <w:rFonts w:hint="eastAsia" w:ascii="Times New Roman" w:hAnsi="Times New Roman" w:eastAsia="宋体" w:cs="Times New Roman"/>
                <w:color w:val="auto"/>
                <w:kern w:val="2"/>
                <w:sz w:val="24"/>
                <w:szCs w:val="24"/>
                <w:lang w:val="en-US" w:eastAsia="zh-CN" w:bidi="ar-SA"/>
              </w:rPr>
              <w:t>t/a。</w:t>
            </w:r>
          </w:p>
          <w:p w14:paraId="722E130A">
            <w:pPr>
              <w:pStyle w:val="771"/>
              <w:bidi w:val="0"/>
              <w:rPr>
                <w:rFonts w:hint="eastAsia"/>
                <w:lang w:val="en-US" w:eastAsia="zh-CN"/>
              </w:rPr>
            </w:pPr>
            <w:r>
              <w:rPr>
                <w:rFonts w:hint="eastAsia"/>
                <w:lang w:val="en-US" w:eastAsia="zh-CN"/>
              </w:rPr>
              <w:t>③地面保洁废水</w:t>
            </w:r>
          </w:p>
          <w:p w14:paraId="1EC6A5B5">
            <w:pPr>
              <w:pStyle w:val="771"/>
              <w:bidi w:val="0"/>
              <w:rPr>
                <w:rFonts w:hint="eastAsia"/>
                <w:lang w:val="en-US" w:eastAsia="zh-CN"/>
              </w:rPr>
            </w:pPr>
            <w:r>
              <w:rPr>
                <w:rFonts w:hint="eastAsia"/>
                <w:lang w:eastAsia="zh-CN"/>
              </w:rPr>
              <w:t>本项目生产车间地面拖洗用水量约为</w:t>
            </w:r>
            <w:r>
              <w:rPr>
                <w:rFonts w:hint="eastAsia"/>
                <w:lang w:val="en-US" w:eastAsia="zh-CN"/>
              </w:rPr>
              <w:t>435</w:t>
            </w:r>
            <w:r>
              <w:rPr>
                <w:rFonts w:hint="eastAsia"/>
                <w:lang w:eastAsia="zh-CN"/>
              </w:rPr>
              <w:t>t</w:t>
            </w:r>
            <w:r>
              <w:rPr>
                <w:rFonts w:hint="eastAsia"/>
                <w:lang w:val="en-US" w:eastAsia="zh-CN"/>
              </w:rPr>
              <w:t>/a（1.45</w:t>
            </w:r>
            <w:r>
              <w:rPr>
                <w:rFonts w:hint="eastAsia"/>
                <w:lang w:eastAsia="zh-CN"/>
              </w:rPr>
              <w:t>t</w:t>
            </w:r>
            <w:r>
              <w:rPr>
                <w:rFonts w:hint="eastAsia"/>
                <w:lang w:val="en-US" w:eastAsia="zh-CN"/>
              </w:rPr>
              <w:t>/d），</w:t>
            </w:r>
            <w:r>
              <w:rPr>
                <w:rFonts w:hint="eastAsia"/>
                <w:lang w:eastAsia="zh-CN"/>
              </w:rPr>
              <w:t>保洁废水排放系数</w:t>
            </w:r>
            <w:r>
              <w:rPr>
                <w:rFonts w:hint="eastAsia"/>
                <w:lang w:val="en-US" w:eastAsia="zh-CN"/>
              </w:rPr>
              <w:t>以</w:t>
            </w:r>
            <w:r>
              <w:rPr>
                <w:rFonts w:hint="eastAsia"/>
                <w:lang w:eastAsia="zh-CN"/>
              </w:rPr>
              <w:t>0.8</w:t>
            </w:r>
            <w:r>
              <w:rPr>
                <w:rFonts w:hint="eastAsia"/>
                <w:lang w:val="en-US" w:eastAsia="zh-CN"/>
              </w:rPr>
              <w:t>计</w:t>
            </w:r>
            <w:r>
              <w:rPr>
                <w:rFonts w:hint="eastAsia"/>
                <w:lang w:eastAsia="zh-CN"/>
              </w:rPr>
              <w:t>，则保洁废水产生量为</w:t>
            </w:r>
            <w:r>
              <w:rPr>
                <w:rFonts w:hint="eastAsia"/>
                <w:lang w:val="en-US" w:eastAsia="zh-CN"/>
              </w:rPr>
              <w:t>348</w:t>
            </w:r>
            <w:r>
              <w:rPr>
                <w:rFonts w:hint="eastAsia"/>
                <w:lang w:eastAsia="zh-CN"/>
              </w:rPr>
              <w:t>t</w:t>
            </w:r>
            <w:r>
              <w:rPr>
                <w:rFonts w:hint="eastAsia"/>
                <w:lang w:val="en-US" w:eastAsia="zh-CN"/>
              </w:rPr>
              <w:t>/a（1.16</w:t>
            </w:r>
            <w:r>
              <w:rPr>
                <w:rFonts w:hint="eastAsia"/>
                <w:lang w:eastAsia="zh-CN"/>
              </w:rPr>
              <w:t>t/d</w:t>
            </w:r>
            <w:r>
              <w:rPr>
                <w:rFonts w:hint="eastAsia"/>
                <w:lang w:val="en-US" w:eastAsia="zh-CN"/>
              </w:rPr>
              <w:t>）</w:t>
            </w:r>
            <w:r>
              <w:rPr>
                <w:rFonts w:hint="eastAsia"/>
                <w:lang w:eastAsia="zh-CN"/>
              </w:rPr>
              <w:t>。</w:t>
            </w:r>
            <w:r>
              <w:rPr>
                <w:rFonts w:hint="eastAsia"/>
                <w:lang w:val="en-US" w:eastAsia="zh-CN"/>
              </w:rPr>
              <w:t>类比同行业经验数据，该类污染物浓度为</w:t>
            </w:r>
            <w:r>
              <w:rPr>
                <w:rFonts w:hint="default"/>
                <w:lang w:val="en-US" w:eastAsia="zh-CN"/>
              </w:rPr>
              <w:t>CODcr</w:t>
            </w:r>
            <w:r>
              <w:rPr>
                <w:rFonts w:hint="eastAsia"/>
                <w:lang w:val="en-US" w:eastAsia="zh-CN"/>
              </w:rPr>
              <w:t>：</w:t>
            </w:r>
            <w:r>
              <w:rPr>
                <w:rFonts w:hint="default"/>
                <w:lang w:val="en-US" w:eastAsia="zh-CN"/>
              </w:rPr>
              <w:t>200mg/L</w:t>
            </w:r>
            <w:r>
              <w:rPr>
                <w:rFonts w:hint="eastAsia"/>
                <w:lang w:val="en-US" w:eastAsia="zh-CN"/>
              </w:rPr>
              <w:t>、</w:t>
            </w:r>
            <w:r>
              <w:rPr>
                <w:rFonts w:hint="default"/>
                <w:lang w:val="en-US" w:eastAsia="zh-CN"/>
              </w:rPr>
              <w:t>SS</w:t>
            </w:r>
            <w:r>
              <w:rPr>
                <w:rFonts w:hint="eastAsia"/>
                <w:lang w:val="en-US" w:eastAsia="zh-CN"/>
              </w:rPr>
              <w:t>：</w:t>
            </w:r>
            <w:r>
              <w:rPr>
                <w:rFonts w:hint="default"/>
                <w:lang w:val="en-US" w:eastAsia="zh-CN"/>
              </w:rPr>
              <w:t>300mg/L</w:t>
            </w:r>
            <w:r>
              <w:rPr>
                <w:rFonts w:hint="eastAsia"/>
                <w:lang w:val="en-US" w:eastAsia="zh-CN"/>
              </w:rPr>
              <w:t>、</w:t>
            </w:r>
            <w:r>
              <w:rPr>
                <w:rFonts w:hint="default"/>
                <w:lang w:val="en-US" w:eastAsia="zh-CN"/>
              </w:rPr>
              <w:t>NH</w:t>
            </w:r>
            <w:r>
              <w:rPr>
                <w:rFonts w:hint="eastAsia"/>
                <w:lang w:val="en-US" w:eastAsia="zh-CN"/>
              </w:rPr>
              <w:t>3</w:t>
            </w:r>
            <w:r>
              <w:rPr>
                <w:rFonts w:hint="default"/>
                <w:lang w:val="en-US" w:eastAsia="zh-CN"/>
              </w:rPr>
              <w:t>-N</w:t>
            </w:r>
            <w:r>
              <w:rPr>
                <w:rFonts w:hint="eastAsia"/>
                <w:lang w:val="en-US" w:eastAsia="zh-CN"/>
              </w:rPr>
              <w:t>：15</w:t>
            </w:r>
            <w:r>
              <w:rPr>
                <w:rFonts w:hint="default"/>
                <w:lang w:val="en-US" w:eastAsia="zh-CN"/>
              </w:rPr>
              <w:t>mg/L</w:t>
            </w:r>
            <w:r>
              <w:rPr>
                <w:rFonts w:hint="eastAsia"/>
                <w:lang w:val="en-US" w:eastAsia="zh-CN"/>
              </w:rPr>
              <w:t>。则设备清洗废水各污染物产生量</w:t>
            </w:r>
            <w:r>
              <w:rPr>
                <w:rFonts w:hint="default"/>
                <w:lang w:val="en-US" w:eastAsia="zh-CN"/>
              </w:rPr>
              <w:t>COD</w:t>
            </w:r>
            <w:r>
              <w:t>cr</w:t>
            </w:r>
            <w:r>
              <w:rPr>
                <w:rFonts w:hint="eastAsia"/>
                <w:lang w:eastAsia="zh-CN"/>
              </w:rPr>
              <w:t>为</w:t>
            </w:r>
            <w:r>
              <w:rPr>
                <w:rFonts w:hint="eastAsia"/>
                <w:lang w:val="en-US" w:eastAsia="zh-CN"/>
              </w:rPr>
              <w:t>0.0696</w:t>
            </w:r>
            <w:r>
              <w:rPr>
                <w:rFonts w:hint="default"/>
                <w:lang w:val="en-US" w:eastAsia="zh-CN"/>
              </w:rPr>
              <w:t>t/a</w:t>
            </w:r>
            <w:r>
              <w:rPr>
                <w:rFonts w:hint="eastAsia"/>
                <w:lang w:val="en-US" w:eastAsia="zh-CN"/>
              </w:rPr>
              <w:t>，</w:t>
            </w:r>
            <w:r>
              <w:rPr>
                <w:rFonts w:hint="default"/>
                <w:lang w:val="en-US" w:eastAsia="zh-CN"/>
              </w:rPr>
              <w:t>SS</w:t>
            </w:r>
            <w:r>
              <w:rPr>
                <w:rFonts w:hint="eastAsia"/>
                <w:lang w:eastAsia="zh-CN"/>
              </w:rPr>
              <w:t>为</w:t>
            </w:r>
            <w:r>
              <w:rPr>
                <w:rFonts w:hint="eastAsia"/>
                <w:lang w:val="en-US" w:eastAsia="zh-CN"/>
              </w:rPr>
              <w:t>0.1044</w:t>
            </w:r>
            <w:r>
              <w:rPr>
                <w:rFonts w:hint="default"/>
                <w:lang w:val="en-US" w:eastAsia="zh-CN"/>
              </w:rPr>
              <w:t>t/a</w:t>
            </w:r>
            <w:r>
              <w:rPr>
                <w:rFonts w:hint="eastAsia"/>
                <w:lang w:val="en-US" w:eastAsia="zh-CN"/>
              </w:rPr>
              <w:t>，</w:t>
            </w:r>
            <w:r>
              <w:rPr>
                <w:rFonts w:hint="default"/>
                <w:lang w:val="en-US" w:eastAsia="zh-CN"/>
              </w:rPr>
              <w:t>NH</w:t>
            </w:r>
            <w:r>
              <w:rPr>
                <w:rFonts w:hint="eastAsia"/>
                <w:lang w:val="en-US" w:eastAsia="zh-CN"/>
              </w:rPr>
              <w:t>3</w:t>
            </w:r>
            <w:r>
              <w:rPr>
                <w:rFonts w:hint="default"/>
                <w:lang w:val="en-US" w:eastAsia="zh-CN"/>
              </w:rPr>
              <w:t>-N</w:t>
            </w:r>
            <w:r>
              <w:rPr>
                <w:rFonts w:hint="eastAsia"/>
                <w:lang w:val="en-US" w:eastAsia="zh-CN"/>
              </w:rPr>
              <w:t>为0.0052t/a。</w:t>
            </w:r>
          </w:p>
          <w:p w14:paraId="0B224607">
            <w:pPr>
              <w:pStyle w:val="771"/>
              <w:bidi w:val="0"/>
              <w:rPr>
                <w:rFonts w:hint="eastAsia"/>
                <w:lang w:val="en-US" w:eastAsia="zh-CN"/>
              </w:rPr>
            </w:pPr>
            <w:r>
              <w:rPr>
                <w:rFonts w:hint="eastAsia"/>
                <w:lang w:val="en-US" w:eastAsia="zh-CN"/>
              </w:rPr>
              <w:t>④检验废水</w:t>
            </w:r>
          </w:p>
          <w:p w14:paraId="30B1BE72">
            <w:pPr>
              <w:pStyle w:val="771"/>
              <w:bidi w:val="0"/>
              <w:rPr>
                <w:rFonts w:hint="eastAsia"/>
                <w:lang w:val="en-US" w:eastAsia="zh-CN"/>
              </w:rPr>
            </w:pPr>
            <w:r>
              <w:rPr>
                <w:rFonts w:hint="eastAsia"/>
                <w:lang w:eastAsia="zh-CN"/>
              </w:rPr>
              <w:t>本项目</w:t>
            </w:r>
            <w:r>
              <w:rPr>
                <w:rFonts w:hint="eastAsia"/>
                <w:lang w:val="en-US" w:eastAsia="zh-CN"/>
              </w:rPr>
              <w:t>仅对原料及产品含水率、盐分进行抽样检验，检验过程不涉及化学试剂以及化学反应，项目检验废水产生量为2.4t/a（0.008t/d），污染物浓度为</w:t>
            </w:r>
            <w:r>
              <w:rPr>
                <w:rFonts w:hint="default"/>
                <w:lang w:val="en-US" w:eastAsia="zh-CN"/>
              </w:rPr>
              <w:t>CODcr</w:t>
            </w:r>
            <w:r>
              <w:rPr>
                <w:rFonts w:hint="eastAsia"/>
                <w:lang w:val="en-US" w:eastAsia="zh-CN"/>
              </w:rPr>
              <w:t>：5</w:t>
            </w:r>
            <w:r>
              <w:rPr>
                <w:rFonts w:hint="default"/>
                <w:lang w:val="en-US" w:eastAsia="zh-CN"/>
              </w:rPr>
              <w:t>00mg/L</w:t>
            </w:r>
            <w:r>
              <w:rPr>
                <w:rFonts w:hint="eastAsia"/>
                <w:lang w:val="en-US" w:eastAsia="zh-CN"/>
              </w:rPr>
              <w:t>、</w:t>
            </w:r>
            <w:r>
              <w:rPr>
                <w:rFonts w:hint="default"/>
                <w:lang w:val="en-US" w:eastAsia="zh-CN"/>
              </w:rPr>
              <w:t>SS</w:t>
            </w:r>
            <w:r>
              <w:rPr>
                <w:rFonts w:hint="eastAsia"/>
                <w:lang w:val="en-US" w:eastAsia="zh-CN"/>
              </w:rPr>
              <w:t>：2</w:t>
            </w:r>
            <w:r>
              <w:rPr>
                <w:rFonts w:hint="default"/>
                <w:lang w:val="en-US" w:eastAsia="zh-CN"/>
              </w:rPr>
              <w:t>00mg/L</w:t>
            </w:r>
            <w:r>
              <w:rPr>
                <w:rFonts w:hint="eastAsia"/>
                <w:lang w:val="en-US" w:eastAsia="zh-CN"/>
              </w:rPr>
              <w:t>。则设备清洗废水各污染物产生量</w:t>
            </w:r>
            <w:r>
              <w:rPr>
                <w:rFonts w:hint="default"/>
                <w:lang w:val="en-US" w:eastAsia="zh-CN"/>
              </w:rPr>
              <w:t>COD</w:t>
            </w:r>
            <w:r>
              <w:t>cr</w:t>
            </w:r>
            <w:r>
              <w:rPr>
                <w:rFonts w:hint="eastAsia"/>
                <w:lang w:eastAsia="zh-CN"/>
              </w:rPr>
              <w:t>为</w:t>
            </w:r>
            <w:r>
              <w:rPr>
                <w:rFonts w:hint="eastAsia"/>
                <w:lang w:val="en-US" w:eastAsia="zh-CN"/>
              </w:rPr>
              <w:t>0.0012</w:t>
            </w:r>
            <w:r>
              <w:rPr>
                <w:rFonts w:hint="default"/>
                <w:lang w:val="en-US" w:eastAsia="zh-CN"/>
              </w:rPr>
              <w:t>t/a</w:t>
            </w:r>
            <w:r>
              <w:rPr>
                <w:rFonts w:hint="eastAsia"/>
                <w:lang w:val="en-US" w:eastAsia="zh-CN"/>
              </w:rPr>
              <w:t>，</w:t>
            </w:r>
            <w:r>
              <w:rPr>
                <w:rFonts w:hint="default"/>
                <w:lang w:val="en-US" w:eastAsia="zh-CN"/>
              </w:rPr>
              <w:t>SS</w:t>
            </w:r>
            <w:r>
              <w:rPr>
                <w:rFonts w:hint="eastAsia"/>
                <w:lang w:eastAsia="zh-CN"/>
              </w:rPr>
              <w:t>为</w:t>
            </w:r>
            <w:r>
              <w:rPr>
                <w:rFonts w:hint="eastAsia"/>
                <w:lang w:val="en-US" w:eastAsia="zh-CN"/>
              </w:rPr>
              <w:t>0.0005</w:t>
            </w:r>
            <w:r>
              <w:rPr>
                <w:rFonts w:hint="default"/>
                <w:lang w:val="en-US" w:eastAsia="zh-CN"/>
              </w:rPr>
              <w:t>t/a</w:t>
            </w:r>
            <w:r>
              <w:rPr>
                <w:rFonts w:hint="eastAsia"/>
                <w:lang w:val="en-US" w:eastAsia="zh-CN"/>
              </w:rPr>
              <w:t>。</w:t>
            </w:r>
          </w:p>
          <w:p w14:paraId="21FC695C">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表 </w:t>
            </w:r>
            <w:r>
              <w:rPr>
                <w:rFonts w:hint="eastAsia"/>
                <w:lang w:val="en-US" w:eastAsia="zh-CN"/>
              </w:rPr>
              <w:t>4</w:t>
            </w:r>
            <w:r>
              <w:rPr>
                <w:rFonts w:hint="eastAsia"/>
                <w:lang w:eastAsia="zh-CN"/>
              </w:rPr>
              <w:t>-</w:t>
            </w:r>
            <w:r>
              <w:fldChar w:fldCharType="begin"/>
            </w:r>
            <w:r>
              <w:instrText xml:space="preserve"> SEQ 表 \* ARABIC \s 1 </w:instrText>
            </w:r>
            <w:r>
              <w:fldChar w:fldCharType="separate"/>
            </w:r>
            <w:r>
              <w:t>5</w:t>
            </w:r>
            <w:r>
              <w:fldChar w:fldCharType="end"/>
            </w:r>
            <w:r>
              <w:rPr>
                <w:rFonts w:hint="eastAsia"/>
                <w:lang w:val="en-US" w:eastAsia="zh-CN"/>
              </w:rPr>
              <w:t xml:space="preserve"> </w:t>
            </w:r>
            <w:r>
              <w:rPr>
                <w:rFonts w:hint="eastAsia" w:cs="Times New Roman"/>
                <w:color w:val="auto"/>
                <w:lang w:eastAsia="zh-CN"/>
              </w:rPr>
              <w:t>项目</w:t>
            </w:r>
            <w:r>
              <w:rPr>
                <w:rFonts w:cs="Times New Roman"/>
                <w:color w:val="auto"/>
              </w:rPr>
              <w:t>废水污染物产生及处理情况一览表</w:t>
            </w:r>
          </w:p>
          <w:tbl>
            <w:tblPr>
              <w:tblStyle w:val="57"/>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450"/>
              <w:gridCol w:w="1222"/>
              <w:gridCol w:w="1021"/>
              <w:gridCol w:w="1091"/>
              <w:gridCol w:w="900"/>
              <w:gridCol w:w="734"/>
              <w:gridCol w:w="1155"/>
              <w:gridCol w:w="944"/>
            </w:tblGrid>
            <w:tr w14:paraId="5DF4B85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241" w:hRule="atLeast"/>
                <w:jc w:val="center"/>
              </w:trPr>
              <w:tc>
                <w:tcPr>
                  <w:tcW w:w="851" w:type="pct"/>
                  <w:vMerge w:val="restart"/>
                  <w:tcBorders>
                    <w:top w:val="single" w:color="000000" w:sz="4" w:space="0"/>
                    <w:left w:val="single" w:color="000000" w:sz="4" w:space="0"/>
                    <w:right w:val="single" w:color="000000" w:sz="4" w:space="0"/>
                  </w:tcBorders>
                  <w:shd w:val="clear" w:color="auto" w:fill="auto"/>
                  <w:vAlign w:val="center"/>
                </w:tcPr>
                <w:p w14:paraId="7D568CEE">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废水类别</w:t>
                  </w:r>
                </w:p>
              </w:tc>
              <w:tc>
                <w:tcPr>
                  <w:tcW w:w="717" w:type="pct"/>
                  <w:vMerge w:val="restart"/>
                  <w:tcBorders>
                    <w:top w:val="single" w:color="000000" w:sz="4" w:space="0"/>
                    <w:left w:val="single" w:color="000000" w:sz="4" w:space="0"/>
                    <w:right w:val="single" w:color="000000" w:sz="4" w:space="0"/>
                  </w:tcBorders>
                  <w:shd w:val="clear" w:color="auto" w:fill="auto"/>
                  <w:vAlign w:val="center"/>
                </w:tcPr>
                <w:p w14:paraId="54B94F86">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主要污染物</w:t>
                  </w:r>
                </w:p>
              </w:tc>
              <w:tc>
                <w:tcPr>
                  <w:tcW w:w="1239" w:type="pct"/>
                  <w:gridSpan w:val="2"/>
                  <w:tcBorders>
                    <w:top w:val="single" w:color="000000" w:sz="4" w:space="0"/>
                    <w:left w:val="single" w:color="000000" w:sz="4" w:space="0"/>
                    <w:bottom w:val="single" w:color="auto" w:sz="4" w:space="0"/>
                    <w:right w:val="single" w:color="000000" w:sz="4" w:space="0"/>
                  </w:tcBorders>
                  <w:shd w:val="clear" w:color="auto" w:fill="auto"/>
                  <w:vAlign w:val="center"/>
                </w:tcPr>
                <w:p w14:paraId="2C62424B">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eastAsia" w:ascii="Times New Roman" w:hAnsi="Times New Roman" w:eastAsia="宋体" w:cs="Times New Roman"/>
                      <w:b w:val="0"/>
                      <w:bCs w:val="0"/>
                      <w:i w:val="0"/>
                      <w:iCs w:val="0"/>
                      <w:color w:val="000000"/>
                      <w:sz w:val="18"/>
                      <w:szCs w:val="18"/>
                      <w:u w:val="none"/>
                      <w:lang w:eastAsia="zh-CN"/>
                    </w:rPr>
                  </w:pPr>
                  <w:r>
                    <w:rPr>
                      <w:rFonts w:hint="eastAsia" w:cs="Times New Roman"/>
                      <w:b w:val="0"/>
                      <w:bCs w:val="0"/>
                      <w:i w:val="0"/>
                      <w:iCs w:val="0"/>
                      <w:color w:val="000000"/>
                      <w:sz w:val="18"/>
                      <w:szCs w:val="18"/>
                      <w:u w:val="none"/>
                      <w:lang w:eastAsia="zh-CN"/>
                    </w:rPr>
                    <w:t>产生情况</w:t>
                  </w:r>
                </w:p>
              </w:tc>
              <w:tc>
                <w:tcPr>
                  <w:tcW w:w="959" w:type="pct"/>
                  <w:gridSpan w:val="2"/>
                  <w:tcBorders>
                    <w:top w:val="single" w:color="000000" w:sz="4" w:space="0"/>
                    <w:left w:val="single" w:color="000000" w:sz="4" w:space="0"/>
                    <w:bottom w:val="single" w:color="auto" w:sz="4" w:space="0"/>
                    <w:right w:val="single" w:color="000000" w:sz="4" w:space="0"/>
                  </w:tcBorders>
                  <w:shd w:val="clear" w:color="auto" w:fill="auto"/>
                  <w:vAlign w:val="center"/>
                </w:tcPr>
                <w:p w14:paraId="558FCF96">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b w:val="0"/>
                      <w:bCs w:val="0"/>
                      <w:i w:val="0"/>
                      <w:iCs w:val="0"/>
                      <w:color w:val="000000"/>
                      <w:sz w:val="18"/>
                      <w:szCs w:val="18"/>
                      <w:u w:val="none"/>
                    </w:rPr>
                  </w:pPr>
                  <w:r>
                    <w:rPr>
                      <w:rFonts w:hint="default" w:ascii="Times New Roman" w:hAnsi="Times New Roman" w:eastAsia="宋体" w:cs="Times New Roman"/>
                      <w:b w:val="0"/>
                      <w:bCs w:val="0"/>
                      <w:i w:val="0"/>
                      <w:iCs w:val="0"/>
                      <w:color w:val="000000"/>
                      <w:kern w:val="0"/>
                      <w:sz w:val="18"/>
                      <w:szCs w:val="18"/>
                      <w:u w:val="none"/>
                      <w:lang w:val="en-US" w:eastAsia="zh-CN" w:bidi="ar"/>
                    </w:rPr>
                    <w:t>处理措施</w:t>
                  </w:r>
                </w:p>
              </w:tc>
              <w:tc>
                <w:tcPr>
                  <w:tcW w:w="1232" w:type="pct"/>
                  <w:gridSpan w:val="2"/>
                  <w:tcBorders>
                    <w:top w:val="single" w:color="000000" w:sz="4" w:space="0"/>
                    <w:left w:val="single" w:color="000000" w:sz="4" w:space="0"/>
                    <w:bottom w:val="single" w:color="auto" w:sz="4" w:space="0"/>
                    <w:right w:val="single" w:color="000000" w:sz="4" w:space="0"/>
                  </w:tcBorders>
                  <w:shd w:val="clear" w:color="auto" w:fill="auto"/>
                  <w:vAlign w:val="center"/>
                </w:tcPr>
                <w:p w14:paraId="3808CFF7">
                  <w:pPr>
                    <w:pStyle w:val="75"/>
                    <w:bidi w:val="0"/>
                    <w:rPr>
                      <w:rFonts w:hint="default" w:ascii="Times New Roman" w:hAnsi="Times New Roman" w:eastAsia="宋体" w:cs="Times New Roman"/>
                      <w:b w:val="0"/>
                      <w:bCs w:val="0"/>
                      <w:i w:val="0"/>
                      <w:iCs w:val="0"/>
                      <w:color w:val="000000"/>
                      <w:kern w:val="0"/>
                      <w:sz w:val="18"/>
                      <w:szCs w:val="18"/>
                      <w:u w:val="none"/>
                      <w:lang w:val="en-US" w:eastAsia="zh-CN" w:bidi="ar"/>
                    </w:rPr>
                  </w:pPr>
                  <w:r>
                    <w:rPr>
                      <w:b w:val="0"/>
                      <w:bCs w:val="0"/>
                    </w:rPr>
                    <w:t>排放情况</w:t>
                  </w:r>
                </w:p>
              </w:tc>
            </w:tr>
            <w:tr w14:paraId="53F969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09" w:hRule="atLeast"/>
                <w:jc w:val="center"/>
              </w:trPr>
              <w:tc>
                <w:tcPr>
                  <w:tcW w:w="851" w:type="pct"/>
                  <w:vMerge w:val="continue"/>
                  <w:tcBorders>
                    <w:left w:val="single" w:color="000000" w:sz="4" w:space="0"/>
                    <w:bottom w:val="single" w:color="000000" w:sz="4" w:space="0"/>
                    <w:right w:val="single" w:color="000000" w:sz="4" w:space="0"/>
                  </w:tcBorders>
                  <w:shd w:val="clear" w:color="auto" w:fill="auto"/>
                  <w:vAlign w:val="center"/>
                </w:tcPr>
                <w:p w14:paraId="2BBDAB7A">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p>
              </w:tc>
              <w:tc>
                <w:tcPr>
                  <w:tcW w:w="717" w:type="pct"/>
                  <w:vMerge w:val="continue"/>
                  <w:tcBorders>
                    <w:left w:val="single" w:color="000000" w:sz="4" w:space="0"/>
                    <w:bottom w:val="single" w:color="000000" w:sz="4" w:space="0"/>
                    <w:right w:val="single" w:color="000000" w:sz="4" w:space="0"/>
                  </w:tcBorders>
                  <w:shd w:val="clear" w:color="auto" w:fill="auto"/>
                  <w:vAlign w:val="center"/>
                </w:tcPr>
                <w:p w14:paraId="3C240204">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p>
              </w:tc>
              <w:tc>
                <w:tcPr>
                  <w:tcW w:w="599" w:type="pct"/>
                  <w:tcBorders>
                    <w:top w:val="single" w:color="auto" w:sz="4" w:space="0"/>
                    <w:left w:val="single" w:color="000000" w:sz="4" w:space="0"/>
                    <w:bottom w:val="single" w:color="000000" w:sz="4" w:space="0"/>
                    <w:right w:val="single" w:color="000000" w:sz="4" w:space="0"/>
                  </w:tcBorders>
                  <w:shd w:val="clear" w:color="auto" w:fill="auto"/>
                  <w:vAlign w:val="center"/>
                </w:tcPr>
                <w:p w14:paraId="58257709">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b w:val="0"/>
                      <w:bCs w:val="0"/>
                      <w:sz w:val="21"/>
                      <w:lang w:val="en-US" w:eastAsia="zh-CN" w:bidi="ar-SA"/>
                    </w:rPr>
                  </w:pPr>
                  <w:r>
                    <w:rPr>
                      <w:rFonts w:hint="default" w:ascii="Times New Roman" w:hAnsi="Times New Roman" w:eastAsia="宋体" w:cs="Times New Roman"/>
                      <w:b w:val="0"/>
                      <w:bCs w:val="0"/>
                      <w:sz w:val="21"/>
                      <w:lang w:val="en-US" w:eastAsia="zh-CN" w:bidi="ar-SA"/>
                    </w:rPr>
                    <w:t>产生浓度mg/L</w:t>
                  </w:r>
                </w:p>
              </w:tc>
              <w:tc>
                <w:tcPr>
                  <w:tcW w:w="640" w:type="pct"/>
                  <w:tcBorders>
                    <w:top w:val="single" w:color="auto" w:sz="4" w:space="0"/>
                    <w:left w:val="single" w:color="000000" w:sz="4" w:space="0"/>
                    <w:bottom w:val="single" w:color="000000" w:sz="4" w:space="0"/>
                    <w:right w:val="single" w:color="000000" w:sz="4" w:space="0"/>
                  </w:tcBorders>
                  <w:shd w:val="clear" w:color="auto" w:fill="auto"/>
                  <w:vAlign w:val="center"/>
                </w:tcPr>
                <w:p w14:paraId="6B7C1DA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b w:val="0"/>
                      <w:bCs w:val="0"/>
                      <w:sz w:val="21"/>
                      <w:lang w:val="en-US" w:eastAsia="zh-CN" w:bidi="ar-SA"/>
                    </w:rPr>
                  </w:pPr>
                  <w:r>
                    <w:rPr>
                      <w:rFonts w:hint="default" w:ascii="Times New Roman" w:hAnsi="Times New Roman" w:eastAsia="宋体" w:cs="Times New Roman"/>
                      <w:b w:val="0"/>
                      <w:bCs w:val="0"/>
                      <w:sz w:val="21"/>
                      <w:lang w:val="en-US" w:eastAsia="zh-CN" w:bidi="ar-SA"/>
                    </w:rPr>
                    <w:t>产生量t/a</w:t>
                  </w:r>
                </w:p>
              </w:tc>
              <w:tc>
                <w:tcPr>
                  <w:tcW w:w="528" w:type="pct"/>
                  <w:tcBorders>
                    <w:top w:val="single" w:color="auto" w:sz="4" w:space="0"/>
                    <w:left w:val="single" w:color="000000" w:sz="4" w:space="0"/>
                    <w:bottom w:val="single" w:color="000000" w:sz="4" w:space="0"/>
                    <w:right w:val="single" w:color="auto" w:sz="4" w:space="0"/>
                  </w:tcBorders>
                  <w:shd w:val="clear" w:color="auto" w:fill="auto"/>
                  <w:vAlign w:val="center"/>
                </w:tcPr>
                <w:p w14:paraId="2CC2282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r>
                    <w:rPr>
                      <w:rFonts w:hint="eastAsia" w:cs="Times New Roman"/>
                      <w:b w:val="0"/>
                      <w:bCs w:val="0"/>
                      <w:i w:val="0"/>
                      <w:iCs w:val="0"/>
                      <w:color w:val="000000"/>
                      <w:kern w:val="0"/>
                      <w:sz w:val="18"/>
                      <w:szCs w:val="18"/>
                      <w:u w:val="none"/>
                      <w:lang w:val="en-US" w:eastAsia="zh-CN" w:bidi="ar"/>
                    </w:rPr>
                    <w:t>处理工艺</w:t>
                  </w:r>
                </w:p>
              </w:tc>
              <w:tc>
                <w:tcPr>
                  <w:tcW w:w="430" w:type="pct"/>
                  <w:tcBorders>
                    <w:top w:val="single" w:color="auto" w:sz="4" w:space="0"/>
                    <w:left w:val="single" w:color="auto" w:sz="4" w:space="0"/>
                    <w:bottom w:val="single" w:color="auto" w:sz="4" w:space="0"/>
                    <w:right w:val="single" w:color="000000" w:sz="4" w:space="0"/>
                  </w:tcBorders>
                  <w:shd w:val="clear" w:color="auto" w:fill="auto"/>
                  <w:vAlign w:val="center"/>
                </w:tcPr>
                <w:p w14:paraId="5D51A2A0">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b w:val="0"/>
                      <w:bCs w:val="0"/>
                      <w:i w:val="0"/>
                      <w:iCs w:val="0"/>
                      <w:color w:val="000000"/>
                      <w:kern w:val="0"/>
                      <w:sz w:val="18"/>
                      <w:szCs w:val="18"/>
                      <w:u w:val="none"/>
                      <w:lang w:val="en-US" w:eastAsia="zh-CN" w:bidi="ar"/>
                    </w:rPr>
                  </w:pPr>
                  <w:r>
                    <w:rPr>
                      <w:rFonts w:hint="eastAsia" w:cs="Times New Roman"/>
                      <w:b w:val="0"/>
                      <w:bCs w:val="0"/>
                      <w:i w:val="0"/>
                      <w:iCs w:val="0"/>
                      <w:color w:val="000000"/>
                      <w:kern w:val="0"/>
                      <w:sz w:val="18"/>
                      <w:szCs w:val="18"/>
                      <w:u w:val="none"/>
                      <w:lang w:val="en-US" w:eastAsia="zh-CN" w:bidi="ar"/>
                    </w:rPr>
                    <w:t>处理效率</w:t>
                  </w:r>
                </w:p>
              </w:tc>
              <w:tc>
                <w:tcPr>
                  <w:tcW w:w="678" w:type="pct"/>
                  <w:tcBorders>
                    <w:top w:val="single" w:color="auto" w:sz="4" w:space="0"/>
                    <w:left w:val="single" w:color="000000" w:sz="4" w:space="0"/>
                    <w:bottom w:val="single" w:color="auto" w:sz="4" w:space="0"/>
                    <w:right w:val="single" w:color="auto" w:sz="4" w:space="0"/>
                  </w:tcBorders>
                  <w:shd w:val="clear" w:color="auto" w:fill="auto"/>
                  <w:vAlign w:val="center"/>
                </w:tcPr>
                <w:p w14:paraId="18FA7EC6">
                  <w:pPr>
                    <w:pStyle w:val="75"/>
                    <w:bidi w:val="0"/>
                    <w:rPr>
                      <w:rFonts w:hint="eastAsia" w:ascii="Times New Roman" w:hAnsi="Times New Roman" w:eastAsia="宋体" w:cs="Times New Roman"/>
                      <w:b w:val="0"/>
                      <w:bCs w:val="0"/>
                      <w:i w:val="0"/>
                      <w:iCs w:val="0"/>
                      <w:color w:val="000000"/>
                      <w:kern w:val="0"/>
                      <w:sz w:val="18"/>
                      <w:szCs w:val="18"/>
                      <w:u w:val="none"/>
                      <w:lang w:val="en-US" w:eastAsia="zh-CN" w:bidi="ar"/>
                    </w:rPr>
                  </w:pPr>
                  <w:r>
                    <w:rPr>
                      <w:b w:val="0"/>
                      <w:bCs w:val="0"/>
                    </w:rPr>
                    <w:t>排放浓度</w:t>
                  </w:r>
                  <w:r>
                    <w:rPr>
                      <w:rFonts w:hint="default" w:ascii="Times New Roman" w:hAnsi="Times New Roman" w:cs="Times New Roman"/>
                      <w:b w:val="0"/>
                      <w:bCs w:val="0"/>
                    </w:rPr>
                    <w:t>mg/m</w:t>
                  </w:r>
                  <w:r>
                    <w:rPr>
                      <w:rFonts w:hint="default" w:ascii="Times New Roman" w:hAnsi="Times New Roman" w:cs="Times New Roman"/>
                      <w:b w:val="0"/>
                      <w:bCs w:val="0"/>
                      <w:vertAlign w:val="superscript"/>
                      <w:lang w:val="en-US" w:eastAsia="zh-CN"/>
                    </w:rPr>
                    <w:t>3</w:t>
                  </w:r>
                </w:p>
              </w:tc>
              <w:tc>
                <w:tcPr>
                  <w:tcW w:w="554" w:type="pct"/>
                  <w:tcBorders>
                    <w:top w:val="single" w:color="auto" w:sz="4" w:space="0"/>
                    <w:left w:val="single" w:color="auto" w:sz="4" w:space="0"/>
                    <w:bottom w:val="single" w:color="auto" w:sz="4" w:space="0"/>
                    <w:right w:val="single" w:color="000000" w:sz="4" w:space="0"/>
                  </w:tcBorders>
                  <w:shd w:val="clear" w:color="auto" w:fill="auto"/>
                  <w:vAlign w:val="center"/>
                </w:tcPr>
                <w:p w14:paraId="41F866E2">
                  <w:pPr>
                    <w:pStyle w:val="75"/>
                    <w:bidi w:val="0"/>
                    <w:rPr>
                      <w:rFonts w:hint="default" w:ascii="Times New Roman" w:hAnsi="Times New Roman" w:eastAsia="宋体" w:cs="Times New Roman"/>
                      <w:b w:val="0"/>
                      <w:bCs w:val="0"/>
                      <w:i w:val="0"/>
                      <w:iCs w:val="0"/>
                      <w:color w:val="000000"/>
                      <w:kern w:val="0"/>
                      <w:sz w:val="18"/>
                      <w:szCs w:val="18"/>
                      <w:u w:val="none"/>
                      <w:lang w:val="en-US" w:eastAsia="zh-CN" w:bidi="ar"/>
                    </w:rPr>
                  </w:pPr>
                  <w:r>
                    <w:rPr>
                      <w:b w:val="0"/>
                      <w:bCs w:val="0"/>
                    </w:rPr>
                    <w:t>排放量</w:t>
                  </w:r>
                  <w:r>
                    <w:rPr>
                      <w:rFonts w:hint="default" w:ascii="Times New Roman" w:hAnsi="Times New Roman" w:cs="Times New Roman"/>
                      <w:b w:val="0"/>
                      <w:bCs w:val="0"/>
                    </w:rPr>
                    <w:t>t/a</w:t>
                  </w:r>
                </w:p>
              </w:tc>
            </w:tr>
            <w:tr w14:paraId="5EB927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5146B7B0">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生活污水</w:t>
                  </w:r>
                  <w:r>
                    <w:rPr>
                      <w:rFonts w:hint="eastAsia" w:cs="Times New Roman"/>
                      <w:i w:val="0"/>
                      <w:iCs w:val="0"/>
                      <w:color w:val="000000"/>
                      <w:kern w:val="0"/>
                      <w:sz w:val="18"/>
                      <w:szCs w:val="18"/>
                      <w:u w:val="none"/>
                      <w:lang w:val="en-US" w:eastAsia="zh-CN" w:bidi="ar"/>
                    </w:rPr>
                    <w:t>（</w:t>
                  </w:r>
                  <w:r>
                    <w:rPr>
                      <w:rFonts w:hint="default" w:ascii="Times New Roman" w:hAnsi="Times New Roman" w:eastAsia="宋体" w:cs="Times New Roman"/>
                      <w:i w:val="0"/>
                      <w:iCs w:val="0"/>
                      <w:color w:val="000000"/>
                      <w:kern w:val="0"/>
                      <w:sz w:val="18"/>
                      <w:szCs w:val="18"/>
                      <w:u w:val="none"/>
                      <w:lang w:val="en-US" w:eastAsia="zh-CN" w:bidi="ar"/>
                    </w:rPr>
                    <w:t>288.00m³/a</w:t>
                  </w:r>
                  <w:r>
                    <w:rPr>
                      <w:rFonts w:hint="eastAsia" w:cs="Times New Roman"/>
                      <w:i w:val="0"/>
                      <w:iCs w:val="0"/>
                      <w:color w:val="000000"/>
                      <w:kern w:val="0"/>
                      <w:sz w:val="18"/>
                      <w:szCs w:val="18"/>
                      <w:u w:val="none"/>
                      <w:lang w:val="en-US" w:eastAsia="zh-CN" w:bidi="ar"/>
                    </w:rPr>
                    <w:t>）</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6AE6B51">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CODcr</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15B238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340</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C58C7">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0.0979</w:t>
                  </w:r>
                </w:p>
              </w:tc>
              <w:tc>
                <w:tcPr>
                  <w:tcW w:w="528" w:type="pct"/>
                  <w:vMerge w:val="restart"/>
                  <w:tcBorders>
                    <w:top w:val="single" w:color="000000" w:sz="4" w:space="0"/>
                    <w:left w:val="single" w:color="000000" w:sz="4" w:space="0"/>
                    <w:right w:val="single" w:color="auto" w:sz="4" w:space="0"/>
                  </w:tcBorders>
                  <w:shd w:val="clear" w:color="auto" w:fill="auto"/>
                  <w:vAlign w:val="center"/>
                </w:tcPr>
                <w:p w14:paraId="695C1FA2">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eastAsia" w:ascii="Times New Roman" w:hAnsi="Times New Roman" w:eastAsia="宋体" w:cs="Times New Roman"/>
                      <w:i w:val="0"/>
                      <w:iCs w:val="0"/>
                      <w:color w:val="000000"/>
                      <w:sz w:val="18"/>
                      <w:szCs w:val="18"/>
                      <w:u w:val="none"/>
                      <w:lang w:eastAsia="zh-CN"/>
                    </w:rPr>
                  </w:pPr>
                  <w:r>
                    <w:rPr>
                      <w:rFonts w:hint="eastAsia" w:cs="Times New Roman"/>
                      <w:i w:val="0"/>
                      <w:iCs w:val="0"/>
                      <w:color w:val="000000"/>
                      <w:sz w:val="18"/>
                      <w:szCs w:val="18"/>
                      <w:u w:val="none"/>
                      <w:lang w:eastAsia="zh-CN"/>
                    </w:rPr>
                    <w:t>依托园区化粪池</w:t>
                  </w: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4D23212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cs="Times New Roman"/>
                      <w:i w:val="0"/>
                      <w:iCs w:val="0"/>
                      <w:color w:val="000000"/>
                      <w:sz w:val="18"/>
                      <w:szCs w:val="18"/>
                      <w:u w:val="none"/>
                      <w:lang w:val="en-US" w:eastAsia="zh-CN"/>
                    </w:rPr>
                  </w:pPr>
                  <w:r>
                    <w:rPr>
                      <w:rFonts w:hint="eastAsia" w:cs="Times New Roman"/>
                      <w:i w:val="0"/>
                      <w:iCs w:val="0"/>
                      <w:color w:val="000000"/>
                      <w:sz w:val="18"/>
                      <w:szCs w:val="18"/>
                      <w:u w:val="none"/>
                      <w:lang w:val="en-US" w:eastAsia="zh-CN"/>
                    </w:rPr>
                    <w:t>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556BD8C0">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sz w:val="18"/>
                      <w:szCs w:val="18"/>
                      <w:u w:val="none"/>
                      <w:lang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340 </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6B4C5FCF">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0.0979 </w:t>
                  </w:r>
                </w:p>
              </w:tc>
            </w:tr>
            <w:tr w14:paraId="52CAE8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00F02973">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5E30424">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SS</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760052D">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B99FDB4">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0.0576</w:t>
                  </w:r>
                </w:p>
              </w:tc>
              <w:tc>
                <w:tcPr>
                  <w:tcW w:w="528" w:type="pct"/>
                  <w:vMerge w:val="continue"/>
                  <w:tcBorders>
                    <w:left w:val="single" w:color="000000" w:sz="4" w:space="0"/>
                    <w:right w:val="single" w:color="auto" w:sz="4" w:space="0"/>
                  </w:tcBorders>
                  <w:shd w:val="clear" w:color="auto" w:fill="auto"/>
                  <w:vAlign w:val="center"/>
                </w:tcPr>
                <w:p w14:paraId="18F3E2D8">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3C62A3FE">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lang w:val="en-US" w:eastAsia="zh-CN"/>
                    </w:rPr>
                  </w:pPr>
                  <w:r>
                    <w:rPr>
                      <w:rFonts w:hint="eastAsia" w:cs="Times New Roman"/>
                      <w:i w:val="0"/>
                      <w:iCs w:val="0"/>
                      <w:color w:val="000000"/>
                      <w:sz w:val="18"/>
                      <w:szCs w:val="18"/>
                      <w:u w:val="none"/>
                      <w:lang w:val="en-US" w:eastAsia="zh-CN"/>
                    </w:rPr>
                    <w:t>50%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406D562C">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100 </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4C9CB929">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0.0288 </w:t>
                  </w:r>
                </w:p>
              </w:tc>
            </w:tr>
            <w:tr w14:paraId="39BD321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4CB8FE30">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B9D8A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color w:val="auto"/>
                      <w:kern w:val="2"/>
                      <w:sz w:val="18"/>
                      <w:szCs w:val="18"/>
                      <w:lang w:val="en-US" w:eastAsia="zh-CN" w:bidi="ar-SA"/>
                    </w:rPr>
                    <w:t>NH</w:t>
                  </w:r>
                  <w:r>
                    <w:rPr>
                      <w:rFonts w:hint="eastAsia" w:cs="Times New Roman"/>
                      <w:color w:val="auto"/>
                      <w:kern w:val="2"/>
                      <w:sz w:val="18"/>
                      <w:szCs w:val="18"/>
                      <w:vertAlign w:val="subscript"/>
                      <w:lang w:val="en-US" w:eastAsia="zh-CN" w:bidi="ar-SA"/>
                    </w:rPr>
                    <w:t>3</w:t>
                  </w:r>
                  <w:r>
                    <w:rPr>
                      <w:rFonts w:hint="default" w:ascii="Times New Roman" w:hAnsi="Times New Roman" w:eastAsia="宋体" w:cs="Times New Roman"/>
                      <w:color w:val="auto"/>
                      <w:kern w:val="2"/>
                      <w:sz w:val="18"/>
                      <w:szCs w:val="18"/>
                      <w:lang w:val="en-US" w:eastAsia="zh-CN" w:bidi="ar-SA"/>
                    </w:rPr>
                    <w:t>-N</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5602CB3">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EF9B00">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0.0086</w:t>
                  </w:r>
                </w:p>
              </w:tc>
              <w:tc>
                <w:tcPr>
                  <w:tcW w:w="528" w:type="pct"/>
                  <w:vMerge w:val="continue"/>
                  <w:tcBorders>
                    <w:left w:val="single" w:color="000000" w:sz="4" w:space="0"/>
                    <w:bottom w:val="single" w:color="auto" w:sz="4" w:space="0"/>
                    <w:right w:val="single" w:color="auto" w:sz="4" w:space="0"/>
                  </w:tcBorders>
                  <w:shd w:val="clear" w:color="auto" w:fill="auto"/>
                  <w:vAlign w:val="center"/>
                </w:tcPr>
                <w:p w14:paraId="7D8983DE">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03A48A30">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eastAsia" w:ascii="Times New Roman" w:hAnsi="Times New Roman" w:eastAsia="宋体" w:cs="Times New Roman"/>
                      <w:i w:val="0"/>
                      <w:iCs w:val="0"/>
                      <w:color w:val="000000"/>
                      <w:sz w:val="18"/>
                      <w:szCs w:val="18"/>
                      <w:u w:val="none"/>
                      <w:lang w:val="en-US" w:eastAsia="zh-CN"/>
                    </w:rPr>
                  </w:pPr>
                  <w:r>
                    <w:rPr>
                      <w:rFonts w:hint="eastAsia" w:cs="Times New Roman"/>
                      <w:i w:val="0"/>
                      <w:iCs w:val="0"/>
                      <w:color w:val="000000"/>
                      <w:sz w:val="18"/>
                      <w:szCs w:val="18"/>
                      <w:u w:val="none"/>
                      <w:lang w:val="en-US" w:eastAsia="zh-CN"/>
                    </w:rPr>
                    <w:t>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4C2E94AB">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30 </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13CC4A72">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0.0086 </w:t>
                  </w:r>
                </w:p>
              </w:tc>
            </w:tr>
            <w:tr w14:paraId="0B1716D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6703F8DC">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洗米废水</w:t>
                  </w:r>
                  <w:r>
                    <w:rPr>
                      <w:rFonts w:hint="eastAsia" w:cs="Times New Roman"/>
                      <w:i w:val="0"/>
                      <w:iCs w:val="0"/>
                      <w:color w:val="000000"/>
                      <w:kern w:val="0"/>
                      <w:sz w:val="18"/>
                      <w:szCs w:val="18"/>
                      <w:u w:val="none"/>
                      <w:lang w:val="en-US" w:eastAsia="zh-CN" w:bidi="ar"/>
                    </w:rPr>
                    <w:t>（313.5</w:t>
                  </w:r>
                  <w:r>
                    <w:rPr>
                      <w:rFonts w:hint="default" w:ascii="Times New Roman" w:hAnsi="Times New Roman" w:eastAsia="宋体" w:cs="Times New Roman"/>
                      <w:i w:val="0"/>
                      <w:iCs w:val="0"/>
                      <w:color w:val="000000"/>
                      <w:kern w:val="0"/>
                      <w:sz w:val="18"/>
                      <w:szCs w:val="18"/>
                      <w:u w:val="none"/>
                      <w:lang w:val="en-US" w:eastAsia="zh-CN" w:bidi="ar"/>
                    </w:rPr>
                    <w:t>m³/a</w:t>
                  </w:r>
                  <w:r>
                    <w:rPr>
                      <w:rFonts w:hint="eastAsia" w:cs="Times New Roman"/>
                      <w:i w:val="0"/>
                      <w:iCs w:val="0"/>
                      <w:color w:val="000000"/>
                      <w:kern w:val="0"/>
                      <w:sz w:val="18"/>
                      <w:szCs w:val="18"/>
                      <w:u w:val="none"/>
                      <w:lang w:val="en-US" w:eastAsia="zh-CN" w:bidi="ar"/>
                    </w:rPr>
                    <w:t>）</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E7C584B">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CODcr</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D54B81">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700</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68542BC">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0.0069</w:t>
                  </w:r>
                </w:p>
              </w:tc>
              <w:tc>
                <w:tcPr>
                  <w:tcW w:w="528" w:type="pct"/>
                  <w:vMerge w:val="restart"/>
                  <w:tcBorders>
                    <w:top w:val="single" w:color="auto" w:sz="4" w:space="0"/>
                    <w:left w:val="single" w:color="000000" w:sz="4" w:space="0"/>
                    <w:right w:val="single" w:color="auto" w:sz="4" w:space="0"/>
                  </w:tcBorders>
                  <w:shd w:val="clear" w:color="auto" w:fill="auto"/>
                  <w:vAlign w:val="center"/>
                </w:tcPr>
                <w:p w14:paraId="4D86E43B">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eastAsia" w:ascii="Times New Roman" w:hAnsi="Times New Roman" w:eastAsia="宋体" w:cs="Times New Roman"/>
                      <w:i w:val="0"/>
                      <w:iCs w:val="0"/>
                      <w:color w:val="000000"/>
                      <w:sz w:val="18"/>
                      <w:szCs w:val="18"/>
                      <w:u w:val="none"/>
                      <w:lang w:eastAsia="zh-CN"/>
                    </w:rPr>
                  </w:pPr>
                  <w:r>
                    <w:rPr>
                      <w:rFonts w:hint="eastAsia" w:cs="Times New Roman"/>
                      <w:i w:val="0"/>
                      <w:iCs w:val="0"/>
                      <w:color w:val="000000"/>
                      <w:sz w:val="18"/>
                      <w:szCs w:val="18"/>
                      <w:u w:val="none"/>
                      <w:lang w:eastAsia="zh-CN"/>
                    </w:rPr>
                    <w:t>油水分离池和沉淀池</w:t>
                  </w: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59725E2F">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sz w:val="18"/>
                      <w:szCs w:val="18"/>
                      <w:u w:val="none"/>
                      <w:lang w:eastAsia="zh-CN"/>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0855467D">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sz w:val="18"/>
                      <w:szCs w:val="18"/>
                      <w:u w:val="none"/>
                      <w:lang w:eastAsia="zh-CN"/>
                    </w:rPr>
                  </w:pPr>
                  <w:r>
                    <w:rPr>
                      <w:rFonts w:hint="default" w:ascii="Times New Roman" w:hAnsi="Times New Roman" w:eastAsia="宋体" w:cs="Times New Roman"/>
                      <w:i w:val="0"/>
                      <w:iCs w:val="0"/>
                      <w:color w:val="000000"/>
                      <w:kern w:val="0"/>
                      <w:sz w:val="18"/>
                      <w:szCs w:val="18"/>
                      <w:u w:val="none"/>
                      <w:lang w:val="en-US" w:eastAsia="zh-CN" w:bidi="ar"/>
                    </w:rPr>
                    <w:t xml:space="preserve">560 </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40150C2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0.0055 </w:t>
                  </w:r>
                </w:p>
              </w:tc>
            </w:tr>
            <w:tr w14:paraId="56120A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277BA88A">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D73A57F">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SS</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24E5F9">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350</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D485E01">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0.0035</w:t>
                  </w:r>
                </w:p>
              </w:tc>
              <w:tc>
                <w:tcPr>
                  <w:tcW w:w="528" w:type="pct"/>
                  <w:vMerge w:val="continue"/>
                  <w:tcBorders>
                    <w:left w:val="single" w:color="000000" w:sz="4" w:space="0"/>
                    <w:right w:val="single" w:color="auto" w:sz="4" w:space="0"/>
                  </w:tcBorders>
                  <w:shd w:val="clear" w:color="auto" w:fill="auto"/>
                  <w:vAlign w:val="center"/>
                </w:tcPr>
                <w:p w14:paraId="2D6E4244">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673943C9">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60B8C132">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175 </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0B5B2249">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0.0017 </w:t>
                  </w:r>
                </w:p>
              </w:tc>
            </w:tr>
            <w:tr w14:paraId="6FE76D6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073AB64B">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设备清洗废水</w:t>
                  </w:r>
                  <w:r>
                    <w:rPr>
                      <w:rFonts w:hint="eastAsia" w:cs="Times New Roman"/>
                      <w:i w:val="0"/>
                      <w:iCs w:val="0"/>
                      <w:color w:val="000000"/>
                      <w:kern w:val="0"/>
                      <w:sz w:val="18"/>
                      <w:szCs w:val="18"/>
                      <w:u w:val="none"/>
                      <w:lang w:val="en-US" w:eastAsia="zh-CN" w:bidi="ar"/>
                    </w:rPr>
                    <w:t>（5.76</w:t>
                  </w:r>
                  <w:r>
                    <w:rPr>
                      <w:rFonts w:hint="default" w:ascii="Times New Roman" w:hAnsi="Times New Roman" w:eastAsia="宋体" w:cs="Times New Roman"/>
                      <w:i w:val="0"/>
                      <w:iCs w:val="0"/>
                      <w:color w:val="000000"/>
                      <w:kern w:val="0"/>
                      <w:sz w:val="18"/>
                      <w:szCs w:val="18"/>
                      <w:u w:val="none"/>
                      <w:lang w:val="en-US" w:eastAsia="zh-CN" w:bidi="ar"/>
                    </w:rPr>
                    <w:t>m³/a</w:t>
                  </w:r>
                  <w:r>
                    <w:rPr>
                      <w:rFonts w:hint="eastAsia" w:cs="Times New Roman"/>
                      <w:i w:val="0"/>
                      <w:iCs w:val="0"/>
                      <w:color w:val="000000"/>
                      <w:kern w:val="0"/>
                      <w:sz w:val="18"/>
                      <w:szCs w:val="18"/>
                      <w:u w:val="none"/>
                      <w:lang w:val="en-US" w:eastAsia="zh-CN" w:bidi="ar"/>
                    </w:rPr>
                    <w:t>）</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4D3E2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CODcr</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FF2525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ACF217">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0.0012</w:t>
                  </w:r>
                </w:p>
              </w:tc>
              <w:tc>
                <w:tcPr>
                  <w:tcW w:w="528" w:type="pct"/>
                  <w:vMerge w:val="continue"/>
                  <w:tcBorders>
                    <w:left w:val="single" w:color="000000" w:sz="4" w:space="0"/>
                    <w:right w:val="single" w:color="auto" w:sz="4" w:space="0"/>
                  </w:tcBorders>
                  <w:shd w:val="clear" w:color="auto" w:fill="auto"/>
                  <w:vAlign w:val="center"/>
                </w:tcPr>
                <w:p w14:paraId="75AA9A9D">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36AA9928">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5CD6C600">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160 </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1EB52D1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0.0009 </w:t>
                  </w:r>
                </w:p>
              </w:tc>
            </w:tr>
            <w:tr w14:paraId="360221A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562905A5">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8656901">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SS</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5E21B14">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B7692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0.0017</w:t>
                  </w:r>
                </w:p>
              </w:tc>
              <w:tc>
                <w:tcPr>
                  <w:tcW w:w="528" w:type="pct"/>
                  <w:vMerge w:val="continue"/>
                  <w:tcBorders>
                    <w:left w:val="single" w:color="000000" w:sz="4" w:space="0"/>
                    <w:right w:val="single" w:color="auto" w:sz="4" w:space="0"/>
                  </w:tcBorders>
                  <w:shd w:val="clear" w:color="auto" w:fill="auto"/>
                  <w:vAlign w:val="center"/>
                </w:tcPr>
                <w:p w14:paraId="0848B726">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2DF640CA">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68B3706C">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150 </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4636887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0.0009 </w:t>
                  </w:r>
                </w:p>
              </w:tc>
            </w:tr>
            <w:tr w14:paraId="641A29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8D9363B">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3D312D3">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color w:val="auto"/>
                      <w:kern w:val="2"/>
                      <w:sz w:val="18"/>
                      <w:szCs w:val="18"/>
                      <w:lang w:val="en-US" w:eastAsia="zh-CN" w:bidi="ar-SA"/>
                    </w:rPr>
                    <w:t>NH</w:t>
                  </w:r>
                  <w:r>
                    <w:rPr>
                      <w:rFonts w:hint="eastAsia" w:cs="Times New Roman"/>
                      <w:color w:val="auto"/>
                      <w:kern w:val="2"/>
                      <w:sz w:val="18"/>
                      <w:szCs w:val="18"/>
                      <w:vertAlign w:val="subscript"/>
                      <w:lang w:val="en-US" w:eastAsia="zh-CN" w:bidi="ar-SA"/>
                    </w:rPr>
                    <w:t>3</w:t>
                  </w:r>
                  <w:r>
                    <w:rPr>
                      <w:rFonts w:hint="default" w:ascii="Times New Roman" w:hAnsi="Times New Roman" w:eastAsia="宋体" w:cs="Times New Roman"/>
                      <w:color w:val="auto"/>
                      <w:kern w:val="2"/>
                      <w:sz w:val="18"/>
                      <w:szCs w:val="18"/>
                      <w:lang w:val="en-US" w:eastAsia="zh-CN" w:bidi="ar-SA"/>
                    </w:rPr>
                    <w:t>-N</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086776A">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630094D">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0.0001</w:t>
                  </w:r>
                </w:p>
              </w:tc>
              <w:tc>
                <w:tcPr>
                  <w:tcW w:w="528" w:type="pct"/>
                  <w:vMerge w:val="continue"/>
                  <w:tcBorders>
                    <w:left w:val="single" w:color="000000" w:sz="4" w:space="0"/>
                    <w:right w:val="single" w:color="auto" w:sz="4" w:space="0"/>
                  </w:tcBorders>
                  <w:shd w:val="clear" w:color="auto" w:fill="auto"/>
                  <w:vAlign w:val="center"/>
                </w:tcPr>
                <w:p w14:paraId="5D014F7E">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504C99E7">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11F8792A">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20 </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41650D06">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0.0001 </w:t>
                  </w:r>
                </w:p>
              </w:tc>
            </w:tr>
            <w:tr w14:paraId="48B89F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3D469C7D">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1600E3F">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动植物油</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D362A5D">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50</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71EA8C39">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0.0003</w:t>
                  </w:r>
                </w:p>
              </w:tc>
              <w:tc>
                <w:tcPr>
                  <w:tcW w:w="528" w:type="pct"/>
                  <w:vMerge w:val="continue"/>
                  <w:tcBorders>
                    <w:left w:val="single" w:color="000000" w:sz="4" w:space="0"/>
                    <w:right w:val="single" w:color="auto" w:sz="4" w:space="0"/>
                  </w:tcBorders>
                  <w:shd w:val="clear" w:color="auto" w:fill="auto"/>
                  <w:vAlign w:val="center"/>
                </w:tcPr>
                <w:p w14:paraId="6D998909">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583CDE1C">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eastAsia" w:cs="Times New Roman"/>
                      <w:i w:val="0"/>
                      <w:iCs w:val="0"/>
                      <w:color w:val="000000"/>
                      <w:kern w:val="0"/>
                      <w:sz w:val="18"/>
                      <w:szCs w:val="18"/>
                      <w:u w:val="none"/>
                      <w:lang w:val="en-US" w:eastAsia="zh-CN" w:bidi="ar"/>
                    </w:rPr>
                    <w:t>5</w:t>
                  </w:r>
                  <w:r>
                    <w:rPr>
                      <w:rFonts w:hint="default" w:ascii="Times New Roman" w:hAnsi="Times New Roman" w:eastAsia="宋体" w:cs="Times New Roman"/>
                      <w:i w:val="0"/>
                      <w:iCs w:val="0"/>
                      <w:color w:val="000000"/>
                      <w:kern w:val="0"/>
                      <w:sz w:val="18"/>
                      <w:szCs w:val="18"/>
                      <w:u w:val="none"/>
                      <w:lang w:val="en-US" w:eastAsia="zh-CN" w:bidi="ar"/>
                    </w:rPr>
                    <w:t>%</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3C60F063">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sz w:val="18"/>
                      <w:szCs w:val="18"/>
                      <w:u w:val="none"/>
                      <w:lang w:val="en-US"/>
                    </w:rPr>
                  </w:pPr>
                  <w:r>
                    <w:rPr>
                      <w:rFonts w:hint="eastAsia" w:cs="Times New Roman"/>
                      <w:i w:val="0"/>
                      <w:iCs w:val="0"/>
                      <w:color w:val="000000"/>
                      <w:kern w:val="0"/>
                      <w:sz w:val="18"/>
                      <w:szCs w:val="18"/>
                      <w:u w:val="none"/>
                      <w:lang w:val="en-US" w:eastAsia="zh-CN" w:bidi="ar"/>
                    </w:rPr>
                    <w:t>48</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54660041">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0.0003 </w:t>
                  </w:r>
                </w:p>
              </w:tc>
            </w:tr>
            <w:tr w14:paraId="5142E6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restart"/>
                  <w:tcBorders>
                    <w:top w:val="single" w:color="000000" w:sz="4" w:space="0"/>
                    <w:left w:val="single" w:color="000000" w:sz="4" w:space="0"/>
                    <w:bottom w:val="single" w:color="000000" w:sz="4" w:space="0"/>
                    <w:right w:val="single" w:color="000000" w:sz="4" w:space="0"/>
                  </w:tcBorders>
                  <w:shd w:val="clear" w:color="auto" w:fill="auto"/>
                  <w:vAlign w:val="center"/>
                </w:tcPr>
                <w:p w14:paraId="2180C0A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地面保洁废水</w:t>
                  </w:r>
                  <w:r>
                    <w:rPr>
                      <w:rFonts w:hint="eastAsia" w:cs="Times New Roman"/>
                      <w:i w:val="0"/>
                      <w:iCs w:val="0"/>
                      <w:color w:val="000000"/>
                      <w:kern w:val="0"/>
                      <w:sz w:val="18"/>
                      <w:szCs w:val="18"/>
                      <w:u w:val="none"/>
                      <w:lang w:val="en-US" w:eastAsia="zh-CN" w:bidi="ar"/>
                    </w:rPr>
                    <w:t>（348.12</w:t>
                  </w:r>
                  <w:r>
                    <w:rPr>
                      <w:rFonts w:hint="default" w:ascii="Times New Roman" w:hAnsi="Times New Roman" w:eastAsia="宋体" w:cs="Times New Roman"/>
                      <w:i w:val="0"/>
                      <w:iCs w:val="0"/>
                      <w:color w:val="000000"/>
                      <w:kern w:val="0"/>
                      <w:sz w:val="18"/>
                      <w:szCs w:val="18"/>
                      <w:u w:val="none"/>
                      <w:lang w:val="en-US" w:eastAsia="zh-CN" w:bidi="ar"/>
                    </w:rPr>
                    <w:t>m³/a</w:t>
                  </w:r>
                  <w:r>
                    <w:rPr>
                      <w:rFonts w:hint="eastAsia" w:cs="Times New Roman"/>
                      <w:i w:val="0"/>
                      <w:iCs w:val="0"/>
                      <w:color w:val="000000"/>
                      <w:kern w:val="0"/>
                      <w:sz w:val="18"/>
                      <w:szCs w:val="18"/>
                      <w:u w:val="none"/>
                      <w:lang w:val="en-US" w:eastAsia="zh-CN" w:bidi="ar"/>
                    </w:rPr>
                    <w:t>）</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BC60F75">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CODcr</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8850E7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200</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9AE995">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0.0696</w:t>
                  </w:r>
                </w:p>
              </w:tc>
              <w:tc>
                <w:tcPr>
                  <w:tcW w:w="528" w:type="pct"/>
                  <w:vMerge w:val="continue"/>
                  <w:tcBorders>
                    <w:left w:val="single" w:color="000000" w:sz="4" w:space="0"/>
                    <w:right w:val="single" w:color="auto" w:sz="4" w:space="0"/>
                  </w:tcBorders>
                  <w:shd w:val="clear" w:color="auto" w:fill="auto"/>
                  <w:vAlign w:val="center"/>
                </w:tcPr>
                <w:p w14:paraId="2996DDF3">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57650E9D">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42FA41D5">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160 </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749F3F2C">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0.0557 </w:t>
                  </w:r>
                </w:p>
              </w:tc>
            </w:tr>
            <w:tr w14:paraId="5EC430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7297752B">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A903233">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SS</w:t>
                  </w:r>
                </w:p>
              </w:tc>
              <w:tc>
                <w:tcPr>
                  <w:tcW w:w="5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7D8044">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300</w:t>
                  </w:r>
                </w:p>
              </w:tc>
              <w:tc>
                <w:tcPr>
                  <w:tcW w:w="64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331A69">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0.1044</w:t>
                  </w:r>
                </w:p>
              </w:tc>
              <w:tc>
                <w:tcPr>
                  <w:tcW w:w="528" w:type="pct"/>
                  <w:vMerge w:val="continue"/>
                  <w:tcBorders>
                    <w:left w:val="single" w:color="000000" w:sz="4" w:space="0"/>
                    <w:right w:val="single" w:color="auto" w:sz="4" w:space="0"/>
                  </w:tcBorders>
                  <w:shd w:val="clear" w:color="auto" w:fill="auto"/>
                  <w:vAlign w:val="center"/>
                </w:tcPr>
                <w:p w14:paraId="7DA4A806">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18E2760C">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50%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4A3639D8">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 xml:space="preserve">150 </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21F63578">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0.0522 </w:t>
                  </w:r>
                </w:p>
              </w:tc>
            </w:tr>
            <w:tr w14:paraId="0BE8C8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continue"/>
                  <w:tcBorders>
                    <w:top w:val="single" w:color="000000" w:sz="4" w:space="0"/>
                    <w:left w:val="single" w:color="000000" w:sz="4" w:space="0"/>
                    <w:bottom w:val="single" w:color="000000" w:sz="4" w:space="0"/>
                    <w:right w:val="single" w:color="000000" w:sz="4" w:space="0"/>
                  </w:tcBorders>
                  <w:shd w:val="clear" w:color="auto" w:fill="auto"/>
                  <w:vAlign w:val="center"/>
                </w:tcPr>
                <w:p w14:paraId="6E55E634">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453FFA">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NH₃-N</w:t>
                  </w:r>
                </w:p>
              </w:tc>
              <w:tc>
                <w:tcPr>
                  <w:tcW w:w="5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CB9FACE">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15</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8415BC3">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0.0052</w:t>
                  </w:r>
                </w:p>
              </w:tc>
              <w:tc>
                <w:tcPr>
                  <w:tcW w:w="528" w:type="pct"/>
                  <w:vMerge w:val="continue"/>
                  <w:tcBorders>
                    <w:left w:val="single" w:color="000000" w:sz="4" w:space="0"/>
                    <w:right w:val="single" w:color="auto" w:sz="4" w:space="0"/>
                  </w:tcBorders>
                  <w:shd w:val="clear" w:color="auto" w:fill="auto"/>
                  <w:vAlign w:val="center"/>
                </w:tcPr>
                <w:p w14:paraId="7CDE5901">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lang w:val="en-US" w:eastAsia="zh-CN" w:bidi="ar-SA"/>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3E9E884E">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sz w:val="18"/>
                      <w:szCs w:val="18"/>
                      <w:u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2BACB9D3">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sz w:val="18"/>
                      <w:szCs w:val="18"/>
                      <w:u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 xml:space="preserve">15 </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7ABED137">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0.0052 </w:t>
                  </w:r>
                </w:p>
              </w:tc>
            </w:tr>
            <w:tr w14:paraId="61AA0A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restart"/>
                  <w:tcBorders>
                    <w:top w:val="single" w:color="000000" w:sz="4" w:space="0"/>
                    <w:left w:val="single" w:color="000000" w:sz="4" w:space="0"/>
                    <w:right w:val="single" w:color="000000" w:sz="4" w:space="0"/>
                  </w:tcBorders>
                  <w:shd w:val="clear" w:color="auto" w:fill="auto"/>
                  <w:vAlign w:val="center"/>
                </w:tcPr>
                <w:p w14:paraId="18D7E605">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eastAsia" w:ascii="Times New Roman" w:hAnsi="Times New Roman" w:eastAsia="宋体" w:cs="Times New Roman"/>
                      <w:i w:val="0"/>
                      <w:iCs w:val="0"/>
                      <w:color w:val="000000"/>
                      <w:sz w:val="18"/>
                      <w:szCs w:val="18"/>
                      <w:u w:val="none"/>
                      <w:lang w:eastAsia="zh-CN"/>
                    </w:rPr>
                  </w:pPr>
                  <w:r>
                    <w:rPr>
                      <w:rFonts w:hint="eastAsia" w:cs="Times New Roman"/>
                      <w:i w:val="0"/>
                      <w:iCs w:val="0"/>
                      <w:color w:val="000000"/>
                      <w:sz w:val="18"/>
                      <w:szCs w:val="18"/>
                      <w:u w:val="none"/>
                      <w:lang w:eastAsia="zh-CN"/>
                    </w:rPr>
                    <w:t>检验废水（</w:t>
                  </w:r>
                  <w:r>
                    <w:rPr>
                      <w:rFonts w:hint="eastAsia" w:cs="Times New Roman"/>
                      <w:i w:val="0"/>
                      <w:iCs w:val="0"/>
                      <w:color w:val="000000"/>
                      <w:sz w:val="18"/>
                      <w:szCs w:val="18"/>
                      <w:u w:val="none"/>
                      <w:lang w:val="en-US" w:eastAsia="zh-CN"/>
                    </w:rPr>
                    <w:t>2.4m</w:t>
                  </w:r>
                  <w:r>
                    <w:rPr>
                      <w:rFonts w:hint="eastAsia" w:cs="Times New Roman"/>
                      <w:i w:val="0"/>
                      <w:iCs w:val="0"/>
                      <w:color w:val="000000"/>
                      <w:sz w:val="18"/>
                      <w:szCs w:val="18"/>
                      <w:u w:val="none"/>
                      <w:vertAlign w:val="superscript"/>
                      <w:lang w:val="en-US" w:eastAsia="zh-CN"/>
                    </w:rPr>
                    <w:t>3</w:t>
                  </w:r>
                  <w:r>
                    <w:rPr>
                      <w:rFonts w:hint="eastAsia" w:cs="Times New Roman"/>
                      <w:i w:val="0"/>
                      <w:iCs w:val="0"/>
                      <w:color w:val="000000"/>
                      <w:sz w:val="18"/>
                      <w:szCs w:val="18"/>
                      <w:u w:val="none"/>
                      <w:lang w:val="en-US" w:eastAsia="zh-CN"/>
                    </w:rPr>
                    <w:t>/a</w:t>
                  </w:r>
                  <w:r>
                    <w:rPr>
                      <w:rFonts w:hint="eastAsia" w:cs="Times New Roman"/>
                      <w:i w:val="0"/>
                      <w:iCs w:val="0"/>
                      <w:color w:val="000000"/>
                      <w:sz w:val="18"/>
                      <w:szCs w:val="18"/>
                      <w:u w:val="none"/>
                      <w:lang w:eastAsia="zh-CN"/>
                    </w:rPr>
                    <w:t>）</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5B10B01">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CODcr</w:t>
                  </w:r>
                </w:p>
              </w:tc>
              <w:tc>
                <w:tcPr>
                  <w:tcW w:w="5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594BF2BD">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lang w:val="en-US" w:eastAsia="zh-CN"/>
                    </w:rPr>
                  </w:pPr>
                  <w:r>
                    <w:rPr>
                      <w:rFonts w:hint="eastAsia" w:cs="Times New Roman"/>
                      <w:i w:val="0"/>
                      <w:iCs w:val="0"/>
                      <w:color w:val="000000"/>
                      <w:sz w:val="18"/>
                      <w:szCs w:val="18"/>
                      <w:u w:val="none"/>
                      <w:lang w:val="en-US" w:eastAsia="zh-CN"/>
                    </w:rPr>
                    <w:t>500</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7F10914">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lang w:val="en-US" w:eastAsia="zh-CN"/>
                    </w:rPr>
                  </w:pPr>
                  <w:r>
                    <w:rPr>
                      <w:rFonts w:hint="eastAsia" w:cs="Times New Roman"/>
                      <w:i w:val="0"/>
                      <w:iCs w:val="0"/>
                      <w:color w:val="000000"/>
                      <w:sz w:val="18"/>
                      <w:szCs w:val="18"/>
                      <w:u w:val="none"/>
                      <w:lang w:val="en-US" w:eastAsia="zh-CN"/>
                    </w:rPr>
                    <w:t>0.0012</w:t>
                  </w:r>
                </w:p>
              </w:tc>
              <w:tc>
                <w:tcPr>
                  <w:tcW w:w="528" w:type="pct"/>
                  <w:vMerge w:val="continue"/>
                  <w:tcBorders>
                    <w:left w:val="single" w:color="000000" w:sz="4" w:space="0"/>
                    <w:right w:val="single" w:color="auto" w:sz="4" w:space="0"/>
                  </w:tcBorders>
                  <w:shd w:val="clear" w:color="auto" w:fill="auto"/>
                  <w:vAlign w:val="center"/>
                </w:tcPr>
                <w:p w14:paraId="1B9235FC">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45877B24">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sz w:val="18"/>
                      <w:szCs w:val="18"/>
                      <w:u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1155" w:type="dxa"/>
                  <w:tcBorders>
                    <w:top w:val="single" w:color="auto" w:sz="4" w:space="0"/>
                    <w:left w:val="single" w:color="auto" w:sz="4" w:space="0"/>
                    <w:bottom w:val="single" w:color="auto" w:sz="4" w:space="0"/>
                    <w:right w:val="single" w:color="auto" w:sz="4" w:space="0"/>
                  </w:tcBorders>
                  <w:shd w:val="clear" w:color="auto" w:fill="auto"/>
                  <w:vAlign w:val="center"/>
                </w:tcPr>
                <w:p w14:paraId="0AB44E68">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400 </w:t>
                  </w:r>
                </w:p>
              </w:tc>
              <w:tc>
                <w:tcPr>
                  <w:tcW w:w="944" w:type="dxa"/>
                  <w:tcBorders>
                    <w:top w:val="single" w:color="auto" w:sz="4" w:space="0"/>
                    <w:left w:val="single" w:color="auto" w:sz="4" w:space="0"/>
                    <w:bottom w:val="single" w:color="auto" w:sz="4" w:space="0"/>
                    <w:right w:val="single" w:color="auto" w:sz="4" w:space="0"/>
                  </w:tcBorders>
                  <w:shd w:val="clear" w:color="auto" w:fill="auto"/>
                  <w:vAlign w:val="center"/>
                </w:tcPr>
                <w:p w14:paraId="78D09AF2">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0.0010 </w:t>
                  </w:r>
                </w:p>
              </w:tc>
            </w:tr>
            <w:tr w14:paraId="44B1CAD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continue"/>
                  <w:tcBorders>
                    <w:left w:val="single" w:color="000000" w:sz="4" w:space="0"/>
                    <w:bottom w:val="single" w:color="000000" w:sz="4" w:space="0"/>
                    <w:right w:val="single" w:color="000000" w:sz="4" w:space="0"/>
                  </w:tcBorders>
                  <w:shd w:val="clear" w:color="auto" w:fill="auto"/>
                  <w:vAlign w:val="center"/>
                </w:tcPr>
                <w:p w14:paraId="24F2D670">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0EFFFF9">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SS</w:t>
                  </w:r>
                </w:p>
              </w:tc>
              <w:tc>
                <w:tcPr>
                  <w:tcW w:w="5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DA5A0B7">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lang w:val="en-US" w:eastAsia="zh-CN"/>
                    </w:rPr>
                  </w:pPr>
                  <w:r>
                    <w:rPr>
                      <w:rFonts w:hint="eastAsia" w:cs="Times New Roman"/>
                      <w:i w:val="0"/>
                      <w:iCs w:val="0"/>
                      <w:color w:val="000000"/>
                      <w:sz w:val="18"/>
                      <w:szCs w:val="18"/>
                      <w:u w:val="none"/>
                      <w:lang w:val="en-US" w:eastAsia="zh-CN"/>
                    </w:rPr>
                    <w:t>200</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4D16DB9">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sz w:val="18"/>
                      <w:szCs w:val="18"/>
                      <w:u w:val="none"/>
                      <w:lang w:val="en-US" w:eastAsia="zh-CN"/>
                    </w:rPr>
                  </w:pPr>
                  <w:r>
                    <w:rPr>
                      <w:rFonts w:hint="eastAsia" w:cs="Times New Roman"/>
                      <w:i w:val="0"/>
                      <w:iCs w:val="0"/>
                      <w:color w:val="000000"/>
                      <w:sz w:val="18"/>
                      <w:szCs w:val="18"/>
                      <w:u w:val="none"/>
                      <w:lang w:val="en-US" w:eastAsia="zh-CN"/>
                    </w:rPr>
                    <w:t>0.0005</w:t>
                  </w:r>
                </w:p>
              </w:tc>
              <w:tc>
                <w:tcPr>
                  <w:tcW w:w="528" w:type="pct"/>
                  <w:vMerge w:val="continue"/>
                  <w:tcBorders>
                    <w:left w:val="single" w:color="000000" w:sz="4" w:space="0"/>
                    <w:right w:val="single" w:color="auto" w:sz="4" w:space="0"/>
                  </w:tcBorders>
                  <w:shd w:val="clear" w:color="auto" w:fill="auto"/>
                  <w:vAlign w:val="center"/>
                </w:tcPr>
                <w:p w14:paraId="3F495700">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sz w:val="18"/>
                      <w:szCs w:val="18"/>
                      <w:u w:val="none"/>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13CF19DC">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sz w:val="18"/>
                      <w:szCs w:val="18"/>
                      <w:u w:val="none"/>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50%</w:t>
                  </w:r>
                </w:p>
              </w:tc>
              <w:tc>
                <w:tcPr>
                  <w:tcW w:w="1155" w:type="dxa"/>
                  <w:tcBorders>
                    <w:top w:val="single" w:color="auto" w:sz="4" w:space="0"/>
                    <w:left w:val="single" w:color="auto" w:sz="4" w:space="0"/>
                    <w:bottom w:val="single" w:color="auto" w:sz="4" w:space="0"/>
                    <w:right w:val="single" w:color="auto" w:sz="4" w:space="0"/>
                  </w:tcBorders>
                  <w:shd w:val="clear" w:color="auto" w:fill="auto"/>
                  <w:vAlign w:val="center"/>
                </w:tcPr>
                <w:p w14:paraId="34AF1BF4">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100 </w:t>
                  </w:r>
                </w:p>
              </w:tc>
              <w:tc>
                <w:tcPr>
                  <w:tcW w:w="944" w:type="dxa"/>
                  <w:tcBorders>
                    <w:top w:val="single" w:color="auto" w:sz="4" w:space="0"/>
                    <w:left w:val="single" w:color="auto" w:sz="4" w:space="0"/>
                    <w:bottom w:val="single" w:color="auto" w:sz="4" w:space="0"/>
                    <w:right w:val="single" w:color="auto" w:sz="4" w:space="0"/>
                  </w:tcBorders>
                  <w:shd w:val="clear" w:color="auto" w:fill="auto"/>
                  <w:vAlign w:val="center"/>
                </w:tcPr>
                <w:p w14:paraId="3417190E">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 xml:space="preserve">0.0002 </w:t>
                  </w:r>
                </w:p>
              </w:tc>
            </w:tr>
            <w:tr w14:paraId="4318F3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restart"/>
                  <w:tcBorders>
                    <w:top w:val="single" w:color="000000" w:sz="4" w:space="0"/>
                    <w:left w:val="single" w:color="000000" w:sz="4" w:space="0"/>
                    <w:right w:val="single" w:color="000000" w:sz="4" w:space="0"/>
                  </w:tcBorders>
                  <w:shd w:val="clear" w:color="auto" w:fill="auto"/>
                  <w:vAlign w:val="center"/>
                </w:tcPr>
                <w:p w14:paraId="1A56D3E7">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综合废水</w:t>
                  </w:r>
                  <w:r>
                    <w:rPr>
                      <w:rFonts w:hint="eastAsia" w:cs="Times New Roman"/>
                      <w:i w:val="0"/>
                      <w:iCs w:val="0"/>
                      <w:color w:val="000000"/>
                      <w:kern w:val="0"/>
                      <w:sz w:val="18"/>
                      <w:szCs w:val="18"/>
                      <w:u w:val="none"/>
                      <w:lang w:val="en-US" w:eastAsia="zh-CN" w:bidi="ar"/>
                    </w:rPr>
                    <w:t>（957.78</w:t>
                  </w:r>
                  <w:r>
                    <w:rPr>
                      <w:rFonts w:hint="default" w:ascii="Times New Roman" w:hAnsi="Times New Roman" w:eastAsia="宋体" w:cs="Times New Roman"/>
                      <w:i w:val="0"/>
                      <w:iCs w:val="0"/>
                      <w:color w:val="000000"/>
                      <w:kern w:val="0"/>
                      <w:sz w:val="18"/>
                      <w:szCs w:val="18"/>
                      <w:u w:val="none"/>
                      <w:lang w:val="en-US" w:eastAsia="zh-CN" w:bidi="ar"/>
                    </w:rPr>
                    <w:t>m³/a</w:t>
                  </w:r>
                  <w:r>
                    <w:rPr>
                      <w:rFonts w:hint="eastAsia" w:cs="Times New Roman"/>
                      <w:i w:val="0"/>
                      <w:iCs w:val="0"/>
                      <w:color w:val="000000"/>
                      <w:kern w:val="0"/>
                      <w:sz w:val="18"/>
                      <w:szCs w:val="18"/>
                      <w:u w:val="none"/>
                      <w:lang w:val="en-US" w:eastAsia="zh-CN" w:bidi="ar"/>
                    </w:rPr>
                    <w:t>）</w:t>
                  </w: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BD6E9A1">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CODcr</w:t>
                  </w:r>
                </w:p>
              </w:tc>
              <w:tc>
                <w:tcPr>
                  <w:tcW w:w="5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D733909">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B837C63">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28" w:type="pct"/>
                  <w:vMerge w:val="continue"/>
                  <w:tcBorders>
                    <w:left w:val="single" w:color="000000" w:sz="4" w:space="0"/>
                    <w:right w:val="single" w:color="auto" w:sz="4" w:space="0"/>
                  </w:tcBorders>
                  <w:shd w:val="clear" w:color="auto" w:fill="auto"/>
                  <w:vAlign w:val="center"/>
                </w:tcPr>
                <w:p w14:paraId="3FB37004">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kern w:val="0"/>
                      <w:sz w:val="18"/>
                      <w:szCs w:val="18"/>
                      <w:u w:val="none"/>
                      <w:lang w:val="en-US" w:eastAsia="zh-CN" w:bidi="ar"/>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0C89C8DE">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1892A1D9">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345.654</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0AC7BDF6">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0.3311</w:t>
                  </w:r>
                </w:p>
              </w:tc>
            </w:tr>
            <w:tr w14:paraId="6456CA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continue"/>
                  <w:tcBorders>
                    <w:left w:val="single" w:color="000000" w:sz="4" w:space="0"/>
                    <w:right w:val="single" w:color="000000" w:sz="4" w:space="0"/>
                  </w:tcBorders>
                  <w:shd w:val="clear" w:color="auto" w:fill="auto"/>
                  <w:vAlign w:val="center"/>
                </w:tcPr>
                <w:p w14:paraId="0E6784D2">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kern w:val="0"/>
                      <w:sz w:val="18"/>
                      <w:szCs w:val="18"/>
                      <w:u w:val="none"/>
                      <w:lang w:val="en-US" w:eastAsia="zh-CN" w:bidi="ar"/>
                    </w:rPr>
                  </w:pP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3DDB3E9">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SS</w:t>
                  </w:r>
                </w:p>
              </w:tc>
              <w:tc>
                <w:tcPr>
                  <w:tcW w:w="5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3F5D610E">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0892C557">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28" w:type="pct"/>
                  <w:vMerge w:val="continue"/>
                  <w:tcBorders>
                    <w:left w:val="single" w:color="000000" w:sz="4" w:space="0"/>
                    <w:right w:val="single" w:color="auto" w:sz="4" w:space="0"/>
                  </w:tcBorders>
                  <w:shd w:val="clear" w:color="auto" w:fill="auto"/>
                  <w:vAlign w:val="center"/>
                </w:tcPr>
                <w:p w14:paraId="1D777FCB">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kern w:val="0"/>
                      <w:sz w:val="18"/>
                      <w:szCs w:val="18"/>
                      <w:u w:val="none"/>
                      <w:lang w:val="en-US" w:eastAsia="zh-CN" w:bidi="ar"/>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0EC7CD1B">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50%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42327A9C">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143.023</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634D0D13">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0.1370</w:t>
                  </w:r>
                  <w:r>
                    <w:rPr>
                      <w:rFonts w:hint="eastAsia" w:ascii="Times New Roman" w:hAnsi="Times New Roman" w:eastAsia="宋体" w:cs="Times New Roman"/>
                      <w:i w:val="0"/>
                      <w:iCs w:val="0"/>
                      <w:color w:val="000000"/>
                      <w:kern w:val="0"/>
                      <w:sz w:val="18"/>
                      <w:szCs w:val="18"/>
                      <w:u w:val="none"/>
                      <w:lang w:val="en-US" w:eastAsia="zh-CN" w:bidi="ar"/>
                    </w:rPr>
                    <w:t xml:space="preserve"> </w:t>
                  </w:r>
                </w:p>
              </w:tc>
            </w:tr>
            <w:tr w14:paraId="1F6335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continue"/>
                  <w:tcBorders>
                    <w:left w:val="single" w:color="000000" w:sz="4" w:space="0"/>
                    <w:right w:val="single" w:color="000000" w:sz="4" w:space="0"/>
                  </w:tcBorders>
                  <w:shd w:val="clear" w:color="auto" w:fill="auto"/>
                  <w:vAlign w:val="center"/>
                </w:tcPr>
                <w:p w14:paraId="2092F0E5">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kern w:val="0"/>
                      <w:sz w:val="18"/>
                      <w:szCs w:val="18"/>
                      <w:u w:val="none"/>
                      <w:lang w:val="en-US" w:eastAsia="zh-CN" w:bidi="ar"/>
                    </w:rPr>
                  </w:pP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A536EDC">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NH₃-N</w:t>
                  </w:r>
                </w:p>
              </w:tc>
              <w:tc>
                <w:tcPr>
                  <w:tcW w:w="5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195B3976">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44C329D7">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28" w:type="pct"/>
                  <w:vMerge w:val="continue"/>
                  <w:tcBorders>
                    <w:left w:val="single" w:color="000000" w:sz="4" w:space="0"/>
                    <w:right w:val="single" w:color="auto" w:sz="4" w:space="0"/>
                  </w:tcBorders>
                  <w:shd w:val="clear" w:color="auto" w:fill="auto"/>
                  <w:vAlign w:val="center"/>
                </w:tcPr>
                <w:p w14:paraId="025F587D">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kern w:val="0"/>
                      <w:sz w:val="18"/>
                      <w:szCs w:val="18"/>
                      <w:u w:val="none"/>
                      <w:lang w:val="en-US" w:eastAsia="zh-CN" w:bidi="ar"/>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30CF93AD">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20%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73E20DB9">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14.593</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0C7D2A34">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 xml:space="preserve">0.0140 </w:t>
                  </w:r>
                </w:p>
              </w:tc>
            </w:tr>
            <w:tr w14:paraId="5070B02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40" w:hRule="atLeast"/>
                <w:jc w:val="center"/>
              </w:trPr>
              <w:tc>
                <w:tcPr>
                  <w:tcW w:w="851" w:type="pct"/>
                  <w:vMerge w:val="continue"/>
                  <w:tcBorders>
                    <w:left w:val="single" w:color="000000" w:sz="4" w:space="0"/>
                    <w:bottom w:val="single" w:color="000000" w:sz="4" w:space="0"/>
                    <w:right w:val="single" w:color="000000" w:sz="4" w:space="0"/>
                  </w:tcBorders>
                  <w:shd w:val="clear" w:color="auto" w:fill="auto"/>
                  <w:vAlign w:val="center"/>
                </w:tcPr>
                <w:p w14:paraId="25DB6EC9">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kern w:val="0"/>
                      <w:sz w:val="18"/>
                      <w:szCs w:val="18"/>
                      <w:u w:val="none"/>
                      <w:lang w:val="en-US" w:eastAsia="zh-CN" w:bidi="ar"/>
                    </w:rPr>
                  </w:pPr>
                </w:p>
              </w:tc>
              <w:tc>
                <w:tcPr>
                  <w:tcW w:w="7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43BF683">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动植物油</w:t>
                  </w:r>
                </w:p>
              </w:tc>
              <w:tc>
                <w:tcPr>
                  <w:tcW w:w="59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768C32FE">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4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14:paraId="6667545D">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28" w:type="pct"/>
                  <w:vMerge w:val="continue"/>
                  <w:tcBorders>
                    <w:left w:val="single" w:color="000000" w:sz="4" w:space="0"/>
                    <w:bottom w:val="single" w:color="auto" w:sz="4" w:space="0"/>
                    <w:right w:val="single" w:color="auto" w:sz="4" w:space="0"/>
                  </w:tcBorders>
                  <w:shd w:val="clear" w:color="auto" w:fill="auto"/>
                  <w:vAlign w:val="center"/>
                </w:tcPr>
                <w:p w14:paraId="7386CBA8">
                  <w:pPr>
                    <w:keepNext w:val="0"/>
                    <w:keepLines w:val="0"/>
                    <w:pageBreakBefore w:val="0"/>
                    <w:widowControl/>
                    <w:kinsoku/>
                    <w:wordWrap/>
                    <w:overflowPunct/>
                    <w:topLinePunct w:val="0"/>
                    <w:autoSpaceDE/>
                    <w:autoSpaceDN/>
                    <w:bidi w:val="0"/>
                    <w:adjustRightInd w:val="0"/>
                    <w:snapToGrid w:val="0"/>
                    <w:spacing w:after="0" w:line="240" w:lineRule="auto"/>
                    <w:ind w:left="0" w:leftChars="0" w:right="0" w:rightChars="0" w:firstLine="0" w:firstLineChars="0"/>
                    <w:jc w:val="center"/>
                    <w:rPr>
                      <w:rFonts w:hint="default" w:ascii="Times New Roman" w:hAnsi="Times New Roman" w:eastAsia="宋体" w:cs="Times New Roman"/>
                      <w:i w:val="0"/>
                      <w:iCs w:val="0"/>
                      <w:color w:val="000000"/>
                      <w:kern w:val="0"/>
                      <w:sz w:val="18"/>
                      <w:szCs w:val="18"/>
                      <w:u w:val="none"/>
                      <w:lang w:val="en-US" w:eastAsia="zh-CN" w:bidi="ar"/>
                    </w:rPr>
                  </w:pPr>
                </w:p>
              </w:tc>
              <w:tc>
                <w:tcPr>
                  <w:tcW w:w="430" w:type="pct"/>
                  <w:tcBorders>
                    <w:top w:val="single" w:color="auto" w:sz="4" w:space="0"/>
                    <w:left w:val="single" w:color="auto" w:sz="4" w:space="0"/>
                    <w:bottom w:val="single" w:color="auto" w:sz="4" w:space="0"/>
                    <w:right w:val="single" w:color="auto" w:sz="4" w:space="0"/>
                  </w:tcBorders>
                  <w:shd w:val="clear" w:color="auto" w:fill="auto"/>
                  <w:vAlign w:val="center"/>
                </w:tcPr>
                <w:p w14:paraId="20E92D1F">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50%</w:t>
                  </w:r>
                </w:p>
              </w:tc>
              <w:tc>
                <w:tcPr>
                  <w:tcW w:w="678" w:type="pct"/>
                  <w:tcBorders>
                    <w:top w:val="single" w:color="auto" w:sz="4" w:space="0"/>
                    <w:left w:val="single" w:color="auto" w:sz="4" w:space="0"/>
                    <w:bottom w:val="single" w:color="auto" w:sz="4" w:space="0"/>
                    <w:right w:val="single" w:color="auto" w:sz="4" w:space="0"/>
                  </w:tcBorders>
                  <w:shd w:val="clear" w:color="auto" w:fill="auto"/>
                  <w:vAlign w:val="center"/>
                </w:tcPr>
                <w:p w14:paraId="584393B7">
                  <w:pPr>
                    <w:keepNext w:val="0"/>
                    <w:keepLines w:val="0"/>
                    <w:pageBreakBefore w:val="0"/>
                    <w:widowControl/>
                    <w:suppressLineNumbers w:val="0"/>
                    <w:kinsoku/>
                    <w:wordWrap/>
                    <w:overflowPunct/>
                    <w:topLinePunct w:val="0"/>
                    <w:autoSpaceDE/>
                    <w:autoSpaceDN/>
                    <w:bidi w:val="0"/>
                    <w:adjustRightInd/>
                    <w:snapToGrid/>
                    <w:spacing w:after="0" w:line="240" w:lineRule="auto"/>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0.286</w:t>
                  </w:r>
                </w:p>
              </w:tc>
              <w:tc>
                <w:tcPr>
                  <w:tcW w:w="554" w:type="pct"/>
                  <w:tcBorders>
                    <w:top w:val="single" w:color="auto" w:sz="4" w:space="0"/>
                    <w:left w:val="single" w:color="auto" w:sz="4" w:space="0"/>
                    <w:bottom w:val="single" w:color="auto" w:sz="4" w:space="0"/>
                    <w:right w:val="single" w:color="auto" w:sz="4" w:space="0"/>
                  </w:tcBorders>
                  <w:shd w:val="clear" w:color="auto" w:fill="auto"/>
                  <w:vAlign w:val="center"/>
                </w:tcPr>
                <w:p w14:paraId="006E6884">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 xml:space="preserve">0.0003 </w:t>
                  </w:r>
                </w:p>
              </w:tc>
            </w:tr>
          </w:tbl>
          <w:p w14:paraId="60A507B1">
            <w:pPr>
              <w:pStyle w:val="179"/>
              <w:keepNext w:val="0"/>
              <w:keepLines w:val="0"/>
              <w:pageBreakBefore w:val="0"/>
              <w:kinsoku/>
              <w:wordWrap/>
              <w:overflowPunct/>
              <w:topLinePunct w:val="0"/>
              <w:autoSpaceDE/>
              <w:autoSpaceDN/>
              <w:bidi w:val="0"/>
              <w:adjustRightInd w:val="0"/>
              <w:snapToGrid w:val="0"/>
              <w:spacing w:after="0" w:line="360" w:lineRule="auto"/>
              <w:ind w:firstLine="482"/>
              <w:textAlignment w:val="auto"/>
              <w:rPr>
                <w:rFonts w:hint="default" w:ascii="Times New Roman" w:hAnsi="Times New Roman" w:eastAsia="宋体" w:cs="Times New Roman"/>
                <w:color w:val="auto"/>
                <w:sz w:val="24"/>
                <w:szCs w:val="24"/>
              </w:rPr>
            </w:pPr>
          </w:p>
          <w:p w14:paraId="41328F6A">
            <w:pPr>
              <w:pStyle w:val="179"/>
              <w:keepNext w:val="0"/>
              <w:keepLines w:val="0"/>
              <w:pageBreakBefore w:val="0"/>
              <w:kinsoku/>
              <w:wordWrap/>
              <w:overflowPunct/>
              <w:topLinePunct w:val="0"/>
              <w:autoSpaceDE/>
              <w:autoSpaceDN/>
              <w:bidi w:val="0"/>
              <w:adjustRightInd w:val="0"/>
              <w:snapToGrid w:val="0"/>
              <w:spacing w:after="0" w:line="360" w:lineRule="auto"/>
              <w:ind w:firstLine="482"/>
              <w:textAlignment w:val="auto"/>
              <w:rPr>
                <w:rFonts w:hint="eastAsia" w:ascii="Times New Roman" w:hAnsi="Times New Roman" w:eastAsia="宋体" w:cs="Times New Roman"/>
                <w:color w:val="auto"/>
                <w:sz w:val="24"/>
                <w:szCs w:val="24"/>
                <w:lang w:eastAsia="zh-CN"/>
              </w:rPr>
            </w:pPr>
            <w:r>
              <w:rPr>
                <w:rFonts w:hint="default" w:ascii="Times New Roman" w:hAnsi="Times New Roman" w:eastAsia="宋体" w:cs="Times New Roman"/>
                <w:color w:val="auto"/>
                <w:sz w:val="24"/>
                <w:szCs w:val="24"/>
              </w:rPr>
              <w:t>4.3.</w:t>
            </w:r>
            <w:r>
              <w:rPr>
                <w:rFonts w:hint="default" w:ascii="Times New Roman" w:hAnsi="Times New Roman" w:eastAsia="宋体" w:cs="Times New Roman"/>
                <w:color w:val="auto"/>
                <w:sz w:val="24"/>
                <w:szCs w:val="24"/>
                <w:lang w:val="en-US" w:eastAsia="zh-CN"/>
              </w:rPr>
              <w:t>2</w:t>
            </w:r>
            <w:r>
              <w:rPr>
                <w:rFonts w:hint="eastAsia" w:cs="Times New Roman"/>
                <w:color w:val="auto"/>
                <w:sz w:val="24"/>
                <w:szCs w:val="24"/>
                <w:lang w:eastAsia="zh-CN"/>
              </w:rPr>
              <w:t>废水排放去向</w:t>
            </w:r>
          </w:p>
          <w:p w14:paraId="4E6B5BCC">
            <w:pPr>
              <w:pStyle w:val="771"/>
              <w:bidi w:val="0"/>
              <w:rPr>
                <w:rFonts w:hint="default" w:ascii="Times New Roman" w:hAnsi="Times New Roman" w:eastAsia="宋体" w:cs="Times New Roman"/>
                <w:color w:val="auto"/>
                <w:szCs w:val="24"/>
                <w:lang w:val="en-US" w:eastAsia="zh-CN"/>
              </w:rPr>
            </w:pPr>
            <w:r>
              <w:rPr>
                <w:rFonts w:hint="default"/>
                <w:lang w:val="en-US" w:eastAsia="zh-CN"/>
              </w:rPr>
              <w:t>本</w:t>
            </w:r>
            <w:r>
              <w:rPr>
                <w:rFonts w:hint="default"/>
              </w:rPr>
              <w:t>项目废水主要为</w:t>
            </w:r>
            <w:r>
              <w:rPr>
                <w:rFonts w:hint="default"/>
                <w:lang w:eastAsia="zh-CN"/>
              </w:rPr>
              <w:t>生活污水和生产废水</w:t>
            </w:r>
            <w:r>
              <w:rPr>
                <w:rFonts w:hint="default"/>
              </w:rPr>
              <w:t>，废水总排放量为</w:t>
            </w:r>
            <w:r>
              <w:rPr>
                <w:rFonts w:hint="eastAsia"/>
                <w:lang w:val="en-US" w:eastAsia="zh-CN"/>
              </w:rPr>
              <w:t>9</w:t>
            </w:r>
            <w:r>
              <w:rPr>
                <w:rFonts w:hint="default"/>
                <w:lang w:val="en-US" w:eastAsia="zh-CN"/>
              </w:rPr>
              <w:t>5</w:t>
            </w:r>
            <w:r>
              <w:rPr>
                <w:rFonts w:hint="eastAsia"/>
                <w:lang w:val="en-US" w:eastAsia="zh-CN"/>
              </w:rPr>
              <w:t>7</w:t>
            </w:r>
            <w:r>
              <w:rPr>
                <w:rFonts w:hint="default"/>
                <w:lang w:val="en-US" w:eastAsia="zh-CN"/>
              </w:rPr>
              <w:t>.78</w:t>
            </w:r>
            <w:r>
              <w:rPr>
                <w:rFonts w:hint="default"/>
              </w:rPr>
              <w:t>t/a</w:t>
            </w:r>
            <w:r>
              <w:rPr>
                <w:rFonts w:hint="default"/>
                <w:lang w:eastAsia="zh-CN"/>
              </w:rPr>
              <w:t>（</w:t>
            </w:r>
            <w:r>
              <w:rPr>
                <w:rFonts w:hint="eastAsia"/>
                <w:lang w:val="en-US" w:eastAsia="zh-CN"/>
              </w:rPr>
              <w:t>3.19</w:t>
            </w:r>
            <w:r>
              <w:rPr>
                <w:rFonts w:hint="default"/>
                <w:lang w:val="en-US" w:eastAsia="zh-CN"/>
              </w:rPr>
              <w:t>t/d</w:t>
            </w:r>
            <w:r>
              <w:rPr>
                <w:rFonts w:hint="default"/>
                <w:lang w:eastAsia="zh-CN"/>
              </w:rPr>
              <w:t>）</w:t>
            </w:r>
            <w:r>
              <w:rPr>
                <w:rFonts w:hint="default"/>
              </w:rPr>
              <w:t>，</w:t>
            </w:r>
            <w:r>
              <w:rPr>
                <w:rFonts w:hint="eastAsia"/>
                <w:lang w:eastAsia="zh-CN"/>
              </w:rPr>
              <w:t>生活污水依托园区化粪池预处理，生产废水经油水分离池和沉淀池处理达标后汇同生活污水经园区污水管网接入市政污水管网，纳管至</w:t>
            </w:r>
            <w:r>
              <w:rPr>
                <w:rFonts w:hint="default"/>
                <w:lang w:eastAsia="zh-CN"/>
              </w:rPr>
              <w:t>淮南经济技术开发区</w:t>
            </w:r>
            <w:r>
              <w:rPr>
                <w:rFonts w:hint="eastAsia"/>
                <w:lang w:eastAsia="zh-CN"/>
              </w:rPr>
              <w:t>工业</w:t>
            </w:r>
            <w:r>
              <w:rPr>
                <w:rFonts w:hint="default"/>
              </w:rPr>
              <w:t>污水处理厂集中处理，尾水处理达标后排入淮河（淮南段）；</w:t>
            </w:r>
            <w:r>
              <w:rPr>
                <w:rFonts w:hint="eastAsia"/>
                <w:lang w:eastAsia="zh-CN"/>
              </w:rPr>
              <w:t>项目综合废水排放</w:t>
            </w:r>
            <w:r>
              <w:rPr>
                <w:rFonts w:hint="eastAsia"/>
              </w:rPr>
              <w:t>从严</w:t>
            </w:r>
            <w:r>
              <w:rPr>
                <w:rFonts w:hint="eastAsia"/>
                <w:lang w:eastAsia="zh-CN"/>
              </w:rPr>
              <w:t>执行</w:t>
            </w:r>
            <w:r>
              <w:t>《污水综合排放标准》（GB8978-1996）中三级标准和淮南经开区工业污水处理厂接管标准</w:t>
            </w:r>
            <w:r>
              <w:rPr>
                <w:rFonts w:hint="eastAsia"/>
              </w:rPr>
              <w:t>。</w:t>
            </w:r>
            <w:r>
              <w:rPr>
                <w:rFonts w:hint="default"/>
                <w:lang w:eastAsia="zh-CN"/>
              </w:rPr>
              <w:t>淮南经济技术开发区</w:t>
            </w:r>
            <w:r>
              <w:rPr>
                <w:rFonts w:hint="eastAsia"/>
                <w:lang w:val="en-US" w:eastAsia="zh-CN"/>
              </w:rPr>
              <w:t>工业</w:t>
            </w:r>
            <w:r>
              <w:rPr>
                <w:rFonts w:hint="default"/>
              </w:rPr>
              <w:t>污水处理厂尾水出水水质执行《城镇污水处理厂污染物排放标准》（GB18918-2002）一级A标准。</w:t>
            </w:r>
          </w:p>
          <w:p w14:paraId="6417C12D">
            <w:pPr>
              <w:pStyle w:val="771"/>
              <w:bidi w:val="0"/>
              <w:rPr>
                <w:rFonts w:hint="default"/>
                <w:b/>
                <w:bCs/>
                <w:lang w:val="en-US" w:eastAsia="zh-CN"/>
              </w:rPr>
            </w:pPr>
            <w:r>
              <w:rPr>
                <w:rFonts w:hint="eastAsia"/>
                <w:b/>
                <w:bCs/>
                <w:lang w:val="en-US" w:eastAsia="zh-CN"/>
              </w:rPr>
              <w:t>4.3.3</w:t>
            </w:r>
            <w:r>
              <w:rPr>
                <w:b/>
                <w:bCs/>
              </w:rPr>
              <w:t>废水治理设施技术可行性分析</w:t>
            </w:r>
          </w:p>
          <w:p w14:paraId="5ED53A70">
            <w:pPr>
              <w:pStyle w:val="771"/>
              <w:bidi w:val="0"/>
              <w:rPr>
                <w:rFonts w:hint="eastAsia"/>
                <w:lang w:eastAsia="zh-CN"/>
              </w:rPr>
            </w:pPr>
            <w:r>
              <w:rPr>
                <w:rFonts w:hint="eastAsia"/>
                <w:lang w:eastAsia="zh-CN"/>
              </w:rPr>
              <w:t>淮南经济技术开发区高端装备产业园区在每栋标准化厂房下均设置了一个化粪池，本项目生活污水依托园区化粪池进行预处理，设置油水分离池和沉淀池处理生产废水。本项目污水处理设施可行性分析如下。</w:t>
            </w:r>
          </w:p>
          <w:p w14:paraId="59DF4D76">
            <w:pPr>
              <w:pStyle w:val="771"/>
              <w:bidi w:val="0"/>
              <w:rPr>
                <w:rFonts w:hint="eastAsia"/>
                <w:lang w:eastAsia="zh-CN"/>
              </w:rPr>
            </w:pPr>
            <w:r>
              <w:rPr>
                <w:rFonts w:hint="eastAsia"/>
                <w:lang w:val="en-US" w:eastAsia="zh-CN"/>
              </w:rPr>
              <w:t>1、污水处理厂概况</w:t>
            </w:r>
          </w:p>
          <w:p w14:paraId="367B03BF">
            <w:pPr>
              <w:pStyle w:val="771"/>
              <w:bidi w:val="0"/>
              <w:rPr>
                <w:highlight w:val="none"/>
              </w:rPr>
            </w:pPr>
            <w:r>
              <w:rPr>
                <w:rFonts w:hint="eastAsia"/>
                <w:lang w:eastAsia="zh-CN"/>
              </w:rPr>
              <w:t>淮南经济技术开发区</w:t>
            </w:r>
            <w:r>
              <w:t>污水处理厂位于</w:t>
            </w:r>
            <w:r>
              <w:rPr>
                <w:rFonts w:hint="eastAsia"/>
                <w:lang w:eastAsia="zh-CN"/>
              </w:rPr>
              <w:t>淮南经济技术开发区</w:t>
            </w:r>
            <w:r>
              <w:t>华兴路东侧，收水范围主要为</w:t>
            </w:r>
            <w:r>
              <w:rPr>
                <w:rFonts w:hint="eastAsia"/>
                <w:lang w:eastAsia="zh-CN"/>
              </w:rPr>
              <w:t>淮南经济技术开发区</w:t>
            </w:r>
            <w:r>
              <w:t>的工业废水和开发区工业企业员工的生活污水及大通区的工业废水和企业人员的生活污水。2018年5月28日，</w:t>
            </w:r>
            <w:r>
              <w:rPr>
                <w:rFonts w:hint="eastAsia"/>
                <w:lang w:eastAsia="zh-CN"/>
              </w:rPr>
              <w:t>淮南经济技术开发区</w:t>
            </w:r>
            <w:r>
              <w:t>污水处理厂工程取得原淮南市环境保护局批复（淮环复〔2018〕36号），于2020年4月完成竣工环保“三同时”自主验收。</w:t>
            </w:r>
          </w:p>
          <w:p w14:paraId="25495586">
            <w:pPr>
              <w:pStyle w:val="771"/>
              <w:bidi w:val="0"/>
              <w:rPr>
                <w:rFonts w:cs="Times New Roman"/>
                <w:color w:val="0000FF"/>
              </w:rPr>
            </w:pPr>
            <w:r>
              <w:rPr>
                <w:rFonts w:hint="eastAsia"/>
                <w:highlight w:val="none"/>
                <w:lang w:eastAsia="zh-CN"/>
              </w:rPr>
              <w:t>淮南经济技术开发区</w:t>
            </w:r>
            <w:r>
              <w:rPr>
                <w:highlight w:val="none"/>
              </w:rPr>
              <w:t>污水处理厂工艺流程见</w:t>
            </w:r>
            <w:r>
              <w:rPr>
                <w:rFonts w:hint="eastAsia"/>
                <w:highlight w:val="none"/>
                <w:lang w:eastAsia="zh-CN"/>
              </w:rPr>
              <w:t>下图</w:t>
            </w:r>
            <w:r>
              <w:rPr>
                <w:highlight w:val="none"/>
              </w:rPr>
              <w:t>。</w:t>
            </w:r>
          </w:p>
          <w:p w14:paraId="6BD8C90D">
            <w:pPr>
              <w:widowControl/>
              <w:adjustRightInd/>
              <w:snapToGrid/>
              <w:spacing w:line="240" w:lineRule="auto"/>
              <w:ind w:firstLine="0" w:firstLineChars="0"/>
              <w:jc w:val="left"/>
              <w:rPr>
                <w:rFonts w:cs="Times New Roman"/>
                <w:color w:val="0000FF"/>
                <w:kern w:val="0"/>
                <w:szCs w:val="24"/>
              </w:rPr>
            </w:pPr>
            <w:r>
              <w:rPr>
                <w:rFonts w:cs="Times New Roman"/>
                <w:color w:val="0000FF"/>
                <w:kern w:val="0"/>
                <w:szCs w:val="24"/>
              </w:rPr>
              <w:drawing>
                <wp:inline distT="0" distB="0" distL="114300" distR="114300">
                  <wp:extent cx="5407025" cy="2200910"/>
                  <wp:effectExtent l="0" t="0" r="3175" b="8890"/>
                  <wp:docPr id="38" name="图片 4" descr="C:\Users\Administrator\AppData\Roaming\Tencent\Users\1225364660\QQ\WinTemp\RichOle\C3T)G9{R4QAG9RS7W@}X28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 descr="C:\Users\Administrator\AppData\Roaming\Tencent\Users\1225364660\QQ\WinTemp\RichOle\C3T)G9{R4QAG9RS7W@}X28I.png"/>
                          <pic:cNvPicPr>
                            <a:picLocks noChangeAspect="1"/>
                          </pic:cNvPicPr>
                        </pic:nvPicPr>
                        <pic:blipFill>
                          <a:blip r:embed="rId43"/>
                          <a:stretch>
                            <a:fillRect/>
                          </a:stretch>
                        </pic:blipFill>
                        <pic:spPr>
                          <a:xfrm>
                            <a:off x="0" y="0"/>
                            <a:ext cx="5407025" cy="2200910"/>
                          </a:xfrm>
                          <a:prstGeom prst="rect">
                            <a:avLst/>
                          </a:prstGeom>
                          <a:noFill/>
                          <a:ln>
                            <a:noFill/>
                          </a:ln>
                        </pic:spPr>
                      </pic:pic>
                    </a:graphicData>
                  </a:graphic>
                </wp:inline>
              </w:drawing>
            </w:r>
          </w:p>
          <w:p w14:paraId="779F637C">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图 </w:t>
            </w:r>
            <w:r>
              <w:rPr>
                <w:rFonts w:hint="eastAsia"/>
                <w:lang w:val="en-US" w:eastAsia="zh-CN"/>
              </w:rPr>
              <w:t>4</w:t>
            </w:r>
            <w:r>
              <w:rPr>
                <w:rFonts w:hint="eastAsia"/>
                <w:lang w:eastAsia="zh-CN"/>
              </w:rPr>
              <w:t>-</w:t>
            </w:r>
            <w:r>
              <w:fldChar w:fldCharType="begin"/>
            </w:r>
            <w:r>
              <w:instrText xml:space="preserve"> SEQ 图 \* ARABIC \s 1 </w:instrText>
            </w:r>
            <w:r>
              <w:fldChar w:fldCharType="separate"/>
            </w:r>
            <w:r>
              <w:t>1</w:t>
            </w:r>
            <w:r>
              <w:fldChar w:fldCharType="end"/>
            </w:r>
            <w:r>
              <w:rPr>
                <w:rFonts w:hint="eastAsia"/>
                <w:lang w:val="en-US" w:eastAsia="zh-CN"/>
              </w:rPr>
              <w:t xml:space="preserve"> </w:t>
            </w:r>
            <w:r>
              <w:rPr>
                <w:rFonts w:hint="eastAsia" w:cs="Times New Roman"/>
                <w:color w:val="auto"/>
                <w:lang w:eastAsia="zh-CN"/>
              </w:rPr>
              <w:t>淮南经济技术开发区</w:t>
            </w:r>
            <w:r>
              <w:rPr>
                <w:rFonts w:cs="Times New Roman"/>
                <w:color w:val="auto"/>
              </w:rPr>
              <w:t>污水处理厂工艺流程图</w:t>
            </w:r>
          </w:p>
          <w:p w14:paraId="6CE695FF">
            <w:pPr>
              <w:pStyle w:val="771"/>
              <w:bidi w:val="0"/>
            </w:pPr>
            <w:r>
              <w:rPr>
                <w:rFonts w:hint="eastAsia"/>
                <w:lang w:val="en-US" w:eastAsia="zh-CN"/>
              </w:rPr>
              <w:t>2、</w:t>
            </w:r>
            <w:r>
              <w:t>接管可行性分析</w:t>
            </w:r>
          </w:p>
          <w:p w14:paraId="74B75DA7">
            <w:pPr>
              <w:pStyle w:val="771"/>
              <w:bidi w:val="0"/>
            </w:pPr>
            <w:r>
              <w:rPr>
                <w:rFonts w:hint="eastAsia"/>
                <w:lang w:eastAsia="zh-CN"/>
              </w:rPr>
              <w:t>（</w:t>
            </w:r>
            <w:r>
              <w:rPr>
                <w:rFonts w:hint="eastAsia"/>
                <w:lang w:val="en-US" w:eastAsia="zh-CN"/>
              </w:rPr>
              <w:t>1</w:t>
            </w:r>
            <w:r>
              <w:rPr>
                <w:rFonts w:hint="eastAsia"/>
                <w:lang w:eastAsia="zh-CN"/>
              </w:rPr>
              <w:t>）</w:t>
            </w:r>
            <w:r>
              <w:rPr>
                <w:rFonts w:hint="eastAsia"/>
                <w:lang w:val="en-US" w:eastAsia="zh-CN"/>
              </w:rPr>
              <w:t>处理规模的可行性</w:t>
            </w:r>
          </w:p>
          <w:p w14:paraId="51EADEDE">
            <w:pPr>
              <w:pStyle w:val="771"/>
              <w:bidi w:val="0"/>
              <w:rPr>
                <w:rFonts w:cs="Times New Roman"/>
                <w:color w:val="0000FF"/>
              </w:rPr>
            </w:pPr>
            <w:r>
              <w:t>目前集中区内污水处理厂（即</w:t>
            </w:r>
            <w:r>
              <w:rPr>
                <w:rFonts w:hint="eastAsia"/>
                <w:lang w:eastAsia="zh-CN"/>
              </w:rPr>
              <w:t>淮南经济技术开发区</w:t>
            </w:r>
            <w:r>
              <w:t>污水处理厂）一期工程（</w:t>
            </w:r>
            <w:r>
              <w:rPr>
                <w:rFonts w:hint="eastAsia"/>
                <w:lang w:val="en-US" w:eastAsia="zh-CN"/>
              </w:rPr>
              <w:t>3</w:t>
            </w:r>
            <w:r>
              <w:t>万m</w:t>
            </w:r>
            <w:r>
              <w:rPr>
                <w:vertAlign w:val="superscript"/>
              </w:rPr>
              <w:t>3</w:t>
            </w:r>
            <w:r>
              <w:t>/d）已建成投入运行，区内污水管网</w:t>
            </w:r>
            <w:r>
              <w:rPr>
                <w:rFonts w:hint="eastAsia"/>
              </w:rPr>
              <w:t>已</w:t>
            </w:r>
            <w:r>
              <w:t>铺设到位，</w:t>
            </w:r>
            <w:r>
              <w:rPr>
                <w:rFonts w:hint="eastAsia"/>
                <w:lang w:eastAsia="zh-CN"/>
              </w:rPr>
              <w:t>项目</w:t>
            </w:r>
            <w:r>
              <w:t>实际排放水量为</w:t>
            </w:r>
            <w:r>
              <w:rPr>
                <w:rFonts w:hint="eastAsia"/>
                <w:lang w:val="en-US" w:eastAsia="zh-CN"/>
              </w:rPr>
              <w:t>957.78</w:t>
            </w:r>
            <w:r>
              <w:rPr>
                <w:rFonts w:hint="eastAsia"/>
                <w:lang w:eastAsia="zh-CN"/>
              </w:rPr>
              <w:t>（</w:t>
            </w:r>
            <w:r>
              <w:rPr>
                <w:rFonts w:hint="eastAsia"/>
                <w:lang w:val="en-US" w:eastAsia="zh-CN"/>
              </w:rPr>
              <w:t>3.19t/d</w:t>
            </w:r>
            <w:r>
              <w:rPr>
                <w:rFonts w:hint="eastAsia"/>
                <w:lang w:eastAsia="zh-CN"/>
              </w:rPr>
              <w:t>）</w:t>
            </w:r>
            <w:r>
              <w:t>，目前污水处理厂实际接管水量为</w:t>
            </w:r>
            <w:r>
              <w:rPr>
                <w:rFonts w:hint="eastAsia"/>
                <w:lang w:val="en-US" w:eastAsia="zh-CN"/>
              </w:rPr>
              <w:t>2</w:t>
            </w:r>
            <w:r>
              <w:rPr>
                <w:rFonts w:hint="eastAsia"/>
              </w:rPr>
              <w:t>万</w:t>
            </w:r>
            <w:r>
              <w:t>t/d，尚有余量</w:t>
            </w:r>
            <w:r>
              <w:rPr>
                <w:rFonts w:hint="eastAsia"/>
                <w:lang w:val="en-US" w:eastAsia="zh-CN"/>
              </w:rPr>
              <w:t>1万</w:t>
            </w:r>
            <w:r>
              <w:t>t/d，</w:t>
            </w:r>
            <w:r>
              <w:rPr>
                <w:rFonts w:hint="eastAsia"/>
              </w:rPr>
              <w:t>占</w:t>
            </w:r>
            <w:r>
              <w:t>污水处理厂</w:t>
            </w:r>
            <w:r>
              <w:rPr>
                <w:rFonts w:hint="eastAsia"/>
              </w:rPr>
              <w:t>余量</w:t>
            </w:r>
            <w:r>
              <w:t>的</w:t>
            </w:r>
            <w:r>
              <w:rPr>
                <w:rFonts w:hint="eastAsia"/>
                <w:lang w:val="en-US" w:eastAsia="zh-CN"/>
              </w:rPr>
              <w:t>0.03</w:t>
            </w:r>
            <w:r>
              <w:t>%，因此</w:t>
            </w:r>
            <w:r>
              <w:rPr>
                <w:rFonts w:hint="eastAsia"/>
                <w:lang w:eastAsia="zh-CN"/>
              </w:rPr>
              <w:t>项目</w:t>
            </w:r>
            <w:r>
              <w:t>接管污水处理厂是可行的。</w:t>
            </w:r>
          </w:p>
          <w:p w14:paraId="2D79368D">
            <w:pPr>
              <w:pStyle w:val="771"/>
              <w:bidi w:val="0"/>
              <w:rPr>
                <w:rFonts w:hint="eastAsia"/>
                <w:lang w:eastAsia="zh-CN"/>
              </w:rPr>
            </w:pPr>
            <w:r>
              <w:rPr>
                <w:rFonts w:hint="eastAsia"/>
                <w:lang w:eastAsia="zh-CN"/>
              </w:rPr>
              <w:t>（</w:t>
            </w:r>
            <w:r>
              <w:rPr>
                <w:rFonts w:hint="eastAsia"/>
                <w:lang w:val="en-US" w:eastAsia="zh-CN"/>
              </w:rPr>
              <w:t>2</w:t>
            </w:r>
            <w:r>
              <w:rPr>
                <w:rFonts w:hint="eastAsia"/>
                <w:lang w:eastAsia="zh-CN"/>
              </w:rPr>
              <w:t>）</w:t>
            </w:r>
            <w:r>
              <w:rPr>
                <w:rFonts w:hint="eastAsia"/>
                <w:lang w:val="en-US" w:eastAsia="zh-CN"/>
              </w:rPr>
              <w:t>工艺及接管标准上的可行性分析</w:t>
            </w:r>
          </w:p>
          <w:p w14:paraId="2B0DB6E4">
            <w:pPr>
              <w:pStyle w:val="771"/>
              <w:bidi w:val="0"/>
            </w:pPr>
            <w:r>
              <w:t>建设项目产生的</w:t>
            </w:r>
            <w:r>
              <w:rPr>
                <w:rFonts w:hint="eastAsia"/>
                <w:lang w:eastAsia="zh-CN"/>
              </w:rPr>
              <w:t>综合</w:t>
            </w:r>
            <w:r>
              <w:rPr>
                <w:rFonts w:hint="eastAsia"/>
              </w:rPr>
              <w:t>废水</w:t>
            </w:r>
            <w:r>
              <w:t>浓度满足淮南</w:t>
            </w:r>
            <w:r>
              <w:rPr>
                <w:rFonts w:hint="eastAsia"/>
              </w:rPr>
              <w:t>经济</w:t>
            </w:r>
            <w:r>
              <w:t>技术开发区接管标准：《关于发布淮南经开区企业生产废水排放限值的通知》（</w:t>
            </w:r>
            <w:r>
              <w:rPr>
                <w:rFonts w:hint="eastAsia"/>
              </w:rPr>
              <w:t>2</w:t>
            </w:r>
            <w:r>
              <w:t>021年</w:t>
            </w:r>
            <w:r>
              <w:rPr>
                <w:rFonts w:hint="eastAsia"/>
              </w:rPr>
              <w:t>1月</w:t>
            </w:r>
            <w:r>
              <w:t>19日）和</w:t>
            </w:r>
            <w:r>
              <w:rPr>
                <w:rFonts w:hint="eastAsia"/>
              </w:rPr>
              <w:t>《污水综合排放标准》（GB8978-1996）三级标准</w:t>
            </w:r>
            <w:r>
              <w:t>，污水中不含有对污水处理工艺造成不良影响的污染物，不会对淮南经济技术开发区工业污水处理厂的处理造成冲击</w:t>
            </w:r>
            <w:r>
              <w:rPr>
                <w:rFonts w:hint="eastAsia"/>
              </w:rPr>
              <w:t>。</w:t>
            </w:r>
          </w:p>
          <w:p w14:paraId="60B694A8">
            <w:pPr>
              <w:pStyle w:val="771"/>
              <w:bidi w:val="0"/>
              <w:rPr>
                <w:color w:val="0000FF"/>
              </w:rPr>
            </w:pPr>
            <w:r>
              <w:t>因此，项目废水接管排入淮南经济技术开发区工业污水处理厂处理可行。</w:t>
            </w:r>
          </w:p>
          <w:p w14:paraId="5C2FCE0B">
            <w:pPr>
              <w:pStyle w:val="771"/>
              <w:bidi w:val="0"/>
              <w:rPr>
                <w:b/>
                <w:bCs/>
              </w:rPr>
            </w:pPr>
            <w:r>
              <w:rPr>
                <w:b/>
                <w:bCs/>
              </w:rPr>
              <w:t xml:space="preserve">4.3.5 </w:t>
            </w:r>
            <w:r>
              <w:rPr>
                <w:rFonts w:hint="eastAsia"/>
                <w:b/>
                <w:bCs/>
              </w:rPr>
              <w:t>废水污染物自行监测计划</w:t>
            </w:r>
          </w:p>
          <w:p w14:paraId="2F3E5830">
            <w:pPr>
              <w:pStyle w:val="771"/>
              <w:bidi w:val="0"/>
              <w:rPr>
                <w:bCs/>
                <w:color w:val="0000FF"/>
                <w:szCs w:val="21"/>
              </w:rPr>
            </w:pPr>
            <w:r>
              <w:rPr>
                <w:rFonts w:hint="eastAsia"/>
              </w:rPr>
              <w:t>根据《排污许可证申请与核发技术规范食品制造工业-方便食品、食品及饲料添加剂制造工业》(HJ1030.3-2019)，中规定的监测分析方法对污染源进行日常例行监测，设置环境保护图形标志牌，本项目有关废水污染源监测点、监测项目及监测频次见下表。</w:t>
            </w:r>
          </w:p>
          <w:p w14:paraId="77B01CA1">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4</w:t>
            </w:r>
            <w:r>
              <w:rPr>
                <w:rFonts w:hint="eastAsia"/>
                <w:lang w:eastAsia="zh-CN"/>
              </w:rPr>
              <w:t>-</w:t>
            </w:r>
            <w:r>
              <w:fldChar w:fldCharType="begin"/>
            </w:r>
            <w:r>
              <w:instrText xml:space="preserve"> SEQ 表 \* ARABIC \s 1 </w:instrText>
            </w:r>
            <w:r>
              <w:fldChar w:fldCharType="separate"/>
            </w:r>
            <w:r>
              <w:t>6</w:t>
            </w:r>
            <w:r>
              <w:fldChar w:fldCharType="end"/>
            </w:r>
            <w:r>
              <w:rPr>
                <w:rFonts w:hint="eastAsia"/>
                <w:color w:val="auto"/>
              </w:rPr>
              <w:t xml:space="preserve"> 本项目</w:t>
            </w:r>
            <w:r>
              <w:rPr>
                <w:color w:val="auto"/>
              </w:rPr>
              <w:t>监测计划一览表</w:t>
            </w:r>
          </w:p>
          <w:tbl>
            <w:tblPr>
              <w:tblStyle w:val="57"/>
              <w:tblpPr w:leftFromText="180" w:rightFromText="180" w:vertAnchor="text" w:tblpXSpec="center" w:tblpY="1"/>
              <w:tblOverlap w:val="never"/>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040"/>
              <w:gridCol w:w="990"/>
              <w:gridCol w:w="4376"/>
              <w:gridCol w:w="942"/>
              <w:gridCol w:w="1162"/>
            </w:tblGrid>
            <w:tr w14:paraId="1851D0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52" w:hRule="atLeast"/>
              </w:trPr>
              <w:tc>
                <w:tcPr>
                  <w:tcW w:w="1965" w:type="dxa"/>
                  <w:gridSpan w:val="2"/>
                  <w:tcBorders>
                    <w:tl2br w:val="nil"/>
                    <w:tr2bl w:val="nil"/>
                  </w:tcBorders>
                  <w:vAlign w:val="center"/>
                </w:tcPr>
                <w:p w14:paraId="25C3A7CF">
                  <w:pPr>
                    <w:widowControl/>
                    <w:tabs>
                      <w:tab w:val="left" w:pos="560"/>
                    </w:tabs>
                    <w:snapToGrid w:val="0"/>
                    <w:spacing w:after="0"/>
                    <w:jc w:val="center"/>
                    <w:rPr>
                      <w:color w:val="auto"/>
                      <w:kern w:val="2"/>
                      <w:sz w:val="21"/>
                      <w:szCs w:val="21"/>
                    </w:rPr>
                  </w:pPr>
                  <w:r>
                    <w:rPr>
                      <w:color w:val="auto"/>
                      <w:kern w:val="2"/>
                      <w:sz w:val="21"/>
                      <w:szCs w:val="21"/>
                    </w:rPr>
                    <w:t>监测点位</w:t>
                  </w:r>
                </w:p>
              </w:tc>
              <w:tc>
                <w:tcPr>
                  <w:tcW w:w="4236" w:type="dxa"/>
                  <w:tcBorders>
                    <w:tl2br w:val="nil"/>
                    <w:tr2bl w:val="nil"/>
                  </w:tcBorders>
                  <w:vAlign w:val="center"/>
                </w:tcPr>
                <w:p w14:paraId="398E9EB7">
                  <w:pPr>
                    <w:widowControl/>
                    <w:tabs>
                      <w:tab w:val="left" w:pos="560"/>
                    </w:tabs>
                    <w:snapToGrid w:val="0"/>
                    <w:spacing w:after="0"/>
                    <w:jc w:val="center"/>
                    <w:rPr>
                      <w:color w:val="auto"/>
                      <w:kern w:val="2"/>
                      <w:sz w:val="21"/>
                      <w:szCs w:val="21"/>
                    </w:rPr>
                  </w:pPr>
                  <w:r>
                    <w:rPr>
                      <w:color w:val="auto"/>
                      <w:kern w:val="2"/>
                      <w:sz w:val="21"/>
                      <w:szCs w:val="21"/>
                    </w:rPr>
                    <w:t>监测因子</w:t>
                  </w:r>
                </w:p>
              </w:tc>
              <w:tc>
                <w:tcPr>
                  <w:tcW w:w="912" w:type="dxa"/>
                  <w:tcBorders>
                    <w:tl2br w:val="nil"/>
                    <w:tr2bl w:val="nil"/>
                  </w:tcBorders>
                  <w:vAlign w:val="center"/>
                </w:tcPr>
                <w:p w14:paraId="3B706CB0">
                  <w:pPr>
                    <w:widowControl/>
                    <w:tabs>
                      <w:tab w:val="left" w:pos="560"/>
                    </w:tabs>
                    <w:snapToGrid w:val="0"/>
                    <w:spacing w:after="0"/>
                    <w:jc w:val="center"/>
                    <w:rPr>
                      <w:color w:val="auto"/>
                      <w:kern w:val="2"/>
                      <w:sz w:val="21"/>
                      <w:szCs w:val="21"/>
                    </w:rPr>
                  </w:pPr>
                  <w:r>
                    <w:rPr>
                      <w:color w:val="auto"/>
                      <w:kern w:val="2"/>
                      <w:sz w:val="21"/>
                      <w:szCs w:val="21"/>
                    </w:rPr>
                    <w:t>监测频率</w:t>
                  </w:r>
                </w:p>
              </w:tc>
              <w:tc>
                <w:tcPr>
                  <w:tcW w:w="1124" w:type="dxa"/>
                  <w:tcBorders>
                    <w:tl2br w:val="nil"/>
                    <w:tr2bl w:val="nil"/>
                  </w:tcBorders>
                  <w:vAlign w:val="center"/>
                </w:tcPr>
                <w:p w14:paraId="1F8264DD">
                  <w:pPr>
                    <w:widowControl/>
                    <w:tabs>
                      <w:tab w:val="left" w:pos="560"/>
                    </w:tabs>
                    <w:snapToGrid w:val="0"/>
                    <w:spacing w:after="0"/>
                    <w:jc w:val="center"/>
                    <w:rPr>
                      <w:color w:val="auto"/>
                      <w:kern w:val="2"/>
                      <w:sz w:val="21"/>
                      <w:szCs w:val="21"/>
                    </w:rPr>
                  </w:pPr>
                  <w:r>
                    <w:rPr>
                      <w:color w:val="auto"/>
                      <w:kern w:val="2"/>
                      <w:sz w:val="21"/>
                      <w:szCs w:val="21"/>
                    </w:rPr>
                    <w:t>监测点</w:t>
                  </w:r>
                </w:p>
              </w:tc>
            </w:tr>
            <w:tr w14:paraId="55B1F58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70" w:hRule="atLeast"/>
              </w:trPr>
              <w:tc>
                <w:tcPr>
                  <w:tcW w:w="1007" w:type="dxa"/>
                  <w:tcBorders>
                    <w:tl2br w:val="nil"/>
                    <w:tr2bl w:val="nil"/>
                  </w:tcBorders>
                  <w:vAlign w:val="center"/>
                </w:tcPr>
                <w:p w14:paraId="43A18FA7">
                  <w:pPr>
                    <w:widowControl/>
                    <w:tabs>
                      <w:tab w:val="left" w:pos="560"/>
                    </w:tabs>
                    <w:snapToGrid w:val="0"/>
                    <w:spacing w:after="0"/>
                    <w:jc w:val="center"/>
                    <w:rPr>
                      <w:color w:val="auto"/>
                      <w:kern w:val="2"/>
                      <w:sz w:val="21"/>
                      <w:szCs w:val="21"/>
                    </w:rPr>
                  </w:pPr>
                  <w:r>
                    <w:rPr>
                      <w:rFonts w:hint="eastAsia"/>
                      <w:color w:val="auto"/>
                      <w:kern w:val="2"/>
                      <w:sz w:val="21"/>
                      <w:szCs w:val="21"/>
                    </w:rPr>
                    <w:t>废水</w:t>
                  </w:r>
                  <w:r>
                    <w:rPr>
                      <w:rFonts w:hint="eastAsia"/>
                      <w:color w:val="auto"/>
                      <w:kern w:val="2"/>
                      <w:sz w:val="21"/>
                      <w:szCs w:val="21"/>
                      <w:lang w:eastAsia="zh-CN"/>
                    </w:rPr>
                    <w:t>总</w:t>
                  </w:r>
                  <w:r>
                    <w:rPr>
                      <w:rFonts w:hint="eastAsia"/>
                      <w:color w:val="auto"/>
                      <w:kern w:val="2"/>
                      <w:sz w:val="21"/>
                      <w:szCs w:val="21"/>
                    </w:rPr>
                    <w:t>排口</w:t>
                  </w:r>
                </w:p>
              </w:tc>
              <w:tc>
                <w:tcPr>
                  <w:tcW w:w="958" w:type="dxa"/>
                  <w:tcBorders>
                    <w:tl2br w:val="nil"/>
                    <w:tr2bl w:val="nil"/>
                  </w:tcBorders>
                  <w:vAlign w:val="center"/>
                </w:tcPr>
                <w:p w14:paraId="55807A2F">
                  <w:pPr>
                    <w:widowControl/>
                    <w:tabs>
                      <w:tab w:val="left" w:pos="560"/>
                    </w:tabs>
                    <w:snapToGrid w:val="0"/>
                    <w:spacing w:after="0"/>
                    <w:jc w:val="center"/>
                    <w:rPr>
                      <w:color w:val="auto"/>
                      <w:kern w:val="2"/>
                      <w:sz w:val="21"/>
                      <w:szCs w:val="21"/>
                    </w:rPr>
                  </w:pPr>
                  <w:r>
                    <w:rPr>
                      <w:rFonts w:hint="eastAsia"/>
                      <w:color w:val="auto"/>
                      <w:kern w:val="2"/>
                      <w:sz w:val="21"/>
                      <w:szCs w:val="21"/>
                    </w:rPr>
                    <w:t>DW001</w:t>
                  </w:r>
                </w:p>
              </w:tc>
              <w:tc>
                <w:tcPr>
                  <w:tcW w:w="4236" w:type="dxa"/>
                  <w:tcBorders>
                    <w:tl2br w:val="nil"/>
                    <w:tr2bl w:val="nil"/>
                  </w:tcBorders>
                  <w:vAlign w:val="center"/>
                </w:tcPr>
                <w:p w14:paraId="050A4E8D">
                  <w:pPr>
                    <w:adjustRightInd w:val="0"/>
                    <w:spacing w:after="0"/>
                    <w:jc w:val="center"/>
                    <w:textAlignment w:val="baseline"/>
                    <w:rPr>
                      <w:color w:val="auto"/>
                      <w:kern w:val="2"/>
                      <w:sz w:val="21"/>
                      <w:szCs w:val="21"/>
                    </w:rPr>
                  </w:pPr>
                  <w:r>
                    <w:rPr>
                      <w:rFonts w:hint="eastAsia"/>
                      <w:bCs/>
                      <w:color w:val="auto"/>
                      <w:sz w:val="21"/>
                      <w:szCs w:val="21"/>
                    </w:rPr>
                    <w:t>pH值、COD</w:t>
                  </w:r>
                  <w:r>
                    <w:rPr>
                      <w:rFonts w:hint="eastAsia"/>
                      <w:bCs/>
                      <w:color w:val="auto"/>
                      <w:sz w:val="21"/>
                      <w:szCs w:val="21"/>
                    </w:rPr>
                    <w:tab/>
                  </w:r>
                  <w:r>
                    <w:rPr>
                      <w:rFonts w:hint="eastAsia"/>
                      <w:bCs/>
                      <w:color w:val="auto"/>
                      <w:sz w:val="21"/>
                      <w:szCs w:val="21"/>
                    </w:rPr>
                    <w:t>、SS、</w:t>
                  </w:r>
                  <w:r>
                    <w:rPr>
                      <w:rFonts w:hint="eastAsia"/>
                      <w:bCs/>
                      <w:color w:val="auto"/>
                      <w:sz w:val="21"/>
                      <w:szCs w:val="21"/>
                    </w:rPr>
                    <w:tab/>
                  </w:r>
                  <w:r>
                    <w:rPr>
                      <w:rFonts w:hint="eastAsia"/>
                      <w:bCs/>
                      <w:color w:val="auto"/>
                      <w:sz w:val="21"/>
                      <w:szCs w:val="21"/>
                    </w:rPr>
                    <w:t>氨氮、</w:t>
                  </w:r>
                  <w:r>
                    <w:rPr>
                      <w:rFonts w:hint="eastAsia"/>
                      <w:bCs/>
                      <w:color w:val="auto"/>
                      <w:sz w:val="21"/>
                      <w:szCs w:val="21"/>
                    </w:rPr>
                    <w:tab/>
                  </w:r>
                  <w:r>
                    <w:rPr>
                      <w:rFonts w:hint="eastAsia"/>
                      <w:bCs/>
                      <w:color w:val="auto"/>
                      <w:sz w:val="21"/>
                      <w:szCs w:val="21"/>
                    </w:rPr>
                    <w:t>总磷</w:t>
                  </w:r>
                  <w:r>
                    <w:rPr>
                      <w:rFonts w:hint="eastAsia"/>
                      <w:bCs/>
                      <w:color w:val="auto"/>
                      <w:sz w:val="21"/>
                      <w:szCs w:val="21"/>
                    </w:rPr>
                    <w:tab/>
                  </w:r>
                  <w:r>
                    <w:rPr>
                      <w:rFonts w:hint="eastAsia"/>
                      <w:bCs/>
                      <w:color w:val="auto"/>
                      <w:sz w:val="21"/>
                      <w:szCs w:val="21"/>
                    </w:rPr>
                    <w:t>、动植物油</w:t>
                  </w:r>
                </w:p>
              </w:tc>
              <w:tc>
                <w:tcPr>
                  <w:tcW w:w="912" w:type="dxa"/>
                  <w:tcBorders>
                    <w:tl2br w:val="nil"/>
                    <w:tr2bl w:val="nil"/>
                  </w:tcBorders>
                  <w:vAlign w:val="center"/>
                </w:tcPr>
                <w:p w14:paraId="1BCB244C">
                  <w:pPr>
                    <w:widowControl/>
                    <w:tabs>
                      <w:tab w:val="left" w:pos="560"/>
                    </w:tabs>
                    <w:snapToGrid w:val="0"/>
                    <w:spacing w:after="0"/>
                    <w:jc w:val="center"/>
                    <w:rPr>
                      <w:color w:val="auto"/>
                      <w:kern w:val="2"/>
                      <w:sz w:val="21"/>
                      <w:szCs w:val="21"/>
                    </w:rPr>
                  </w:pPr>
                  <w:r>
                    <w:rPr>
                      <w:rFonts w:hint="eastAsia"/>
                      <w:color w:val="auto"/>
                      <w:kern w:val="2"/>
                      <w:sz w:val="21"/>
                      <w:szCs w:val="21"/>
                    </w:rPr>
                    <w:t>1次/</w:t>
                  </w:r>
                  <w:r>
                    <w:rPr>
                      <w:rFonts w:hint="eastAsia"/>
                      <w:color w:val="auto"/>
                      <w:kern w:val="2"/>
                      <w:sz w:val="21"/>
                      <w:szCs w:val="21"/>
                      <w:lang w:eastAsia="zh-CN"/>
                    </w:rPr>
                    <w:t>半</w:t>
                  </w:r>
                  <w:r>
                    <w:rPr>
                      <w:rFonts w:hint="eastAsia"/>
                      <w:color w:val="auto"/>
                      <w:kern w:val="2"/>
                      <w:sz w:val="21"/>
                      <w:szCs w:val="21"/>
                    </w:rPr>
                    <w:t>年</w:t>
                  </w:r>
                </w:p>
              </w:tc>
              <w:tc>
                <w:tcPr>
                  <w:tcW w:w="1124" w:type="dxa"/>
                  <w:tcBorders>
                    <w:tl2br w:val="nil"/>
                    <w:tr2bl w:val="nil"/>
                  </w:tcBorders>
                  <w:vAlign w:val="center"/>
                </w:tcPr>
                <w:p w14:paraId="51352CAE">
                  <w:pPr>
                    <w:widowControl/>
                    <w:tabs>
                      <w:tab w:val="left" w:pos="560"/>
                    </w:tabs>
                    <w:snapToGrid w:val="0"/>
                    <w:spacing w:after="0"/>
                    <w:jc w:val="center"/>
                    <w:rPr>
                      <w:color w:val="auto"/>
                      <w:kern w:val="2"/>
                      <w:sz w:val="21"/>
                      <w:szCs w:val="21"/>
                    </w:rPr>
                  </w:pPr>
                  <w:r>
                    <w:rPr>
                      <w:rFonts w:hint="eastAsia"/>
                      <w:color w:val="auto"/>
                      <w:kern w:val="2"/>
                      <w:sz w:val="21"/>
                      <w:szCs w:val="21"/>
                    </w:rPr>
                    <w:t>废水排放口</w:t>
                  </w:r>
                </w:p>
              </w:tc>
            </w:tr>
          </w:tbl>
          <w:p w14:paraId="0897910D">
            <w:pPr>
              <w:pStyle w:val="180"/>
              <w:wordWrap/>
              <w:ind w:firstLine="480"/>
              <w:rPr>
                <w:color w:val="0000FF"/>
              </w:rPr>
            </w:pPr>
          </w:p>
        </w:tc>
      </w:tr>
    </w:tbl>
    <w:p w14:paraId="1D80A435">
      <w:pPr>
        <w:spacing w:after="0"/>
        <w:rPr>
          <w:color w:val="0000FF"/>
        </w:rPr>
        <w:sectPr>
          <w:headerReference r:id="rId15" w:type="default"/>
          <w:pgSz w:w="11907" w:h="16840"/>
          <w:pgMar w:top="1440" w:right="1440" w:bottom="1389" w:left="1440" w:header="851" w:footer="851" w:gutter="0"/>
          <w:pgNumType w:fmt="decimal"/>
          <w:cols w:space="720" w:num="1"/>
          <w:docGrid w:linePitch="326" w:charSpace="0"/>
        </w:sectPr>
      </w:pPr>
    </w:p>
    <w:tbl>
      <w:tblPr>
        <w:tblStyle w:val="57"/>
        <w:tblW w:w="502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75"/>
        <w:gridCol w:w="14346"/>
      </w:tblGrid>
      <w:tr w14:paraId="5857FA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08" w:hRule="atLeast"/>
          <w:jc w:val="center"/>
        </w:trPr>
        <w:tc>
          <w:tcPr>
            <w:tcW w:w="470" w:type="dxa"/>
            <w:tcMar>
              <w:left w:w="28" w:type="dxa"/>
              <w:right w:w="28" w:type="dxa"/>
            </w:tcMar>
            <w:vAlign w:val="center"/>
          </w:tcPr>
          <w:p w14:paraId="6B284CE2">
            <w:pPr>
              <w:adjustRightInd w:val="0"/>
              <w:snapToGrid w:val="0"/>
              <w:spacing w:after="0"/>
              <w:jc w:val="center"/>
              <w:rPr>
                <w:rFonts w:ascii="Calibri" w:hAnsi="Calibri"/>
                <w:color w:val="0000FF"/>
                <w:kern w:val="2"/>
                <w:sz w:val="21"/>
                <w:szCs w:val="21"/>
              </w:rPr>
            </w:pPr>
            <w:r>
              <w:rPr>
                <w:rFonts w:ascii="Calibri" w:hAnsi="Calibri"/>
                <w:color w:val="auto"/>
                <w:kern w:val="2"/>
                <w:sz w:val="21"/>
                <w:szCs w:val="21"/>
              </w:rPr>
              <w:t>运营期环境影响和保护措施</w:t>
            </w:r>
          </w:p>
        </w:tc>
        <w:tc>
          <w:tcPr>
            <w:tcW w:w="14194" w:type="dxa"/>
          </w:tcPr>
          <w:p w14:paraId="041A6CD2">
            <w:pPr>
              <w:pStyle w:val="598"/>
              <w:rPr>
                <w:color w:val="auto"/>
              </w:rPr>
            </w:pPr>
            <w:r>
              <w:rPr>
                <w:color w:val="auto"/>
              </w:rPr>
              <w:t>4.4</w:t>
            </w:r>
            <w:r>
              <w:rPr>
                <w:rFonts w:hint="eastAsia"/>
                <w:bCs/>
                <w:color w:val="auto"/>
              </w:rPr>
              <w:t>营运期噪声治理措施和环境影响分析</w:t>
            </w:r>
          </w:p>
          <w:p w14:paraId="04CD6B5E">
            <w:pPr>
              <w:pStyle w:val="179"/>
              <w:ind w:firstLine="482"/>
              <w:rPr>
                <w:color w:val="auto"/>
              </w:rPr>
            </w:pPr>
            <w:r>
              <w:rPr>
                <w:color w:val="auto"/>
              </w:rPr>
              <w:t>4.4.1 噪声污染源强情况</w:t>
            </w:r>
            <w:r>
              <w:rPr>
                <w:rFonts w:hint="eastAsia"/>
                <w:color w:val="auto"/>
              </w:rPr>
              <w:t>及降噪措施</w:t>
            </w:r>
          </w:p>
          <w:p w14:paraId="579C95AB">
            <w:pPr>
              <w:pStyle w:val="180"/>
              <w:ind w:firstLine="480"/>
              <w:rPr>
                <w:color w:val="auto"/>
              </w:rPr>
            </w:pPr>
            <w:r>
              <w:rPr>
                <w:rFonts w:hint="eastAsia"/>
                <w:color w:val="auto"/>
              </w:rPr>
              <w:t>本项目营运期噪声主要为</w:t>
            </w:r>
            <w:r>
              <w:rPr>
                <w:rFonts w:hint="eastAsia"/>
                <w:color w:val="auto"/>
                <w:lang w:eastAsia="zh-CN"/>
              </w:rPr>
              <w:t>生湿面制品、凉皮、年糕、鲜面条、饼丝、扯面、豆饼</w:t>
            </w:r>
            <w:r>
              <w:rPr>
                <w:rFonts w:hint="eastAsia"/>
                <w:color w:val="auto"/>
              </w:rPr>
              <w:t>等</w:t>
            </w:r>
            <w:r>
              <w:rPr>
                <w:rFonts w:hint="eastAsia"/>
                <w:color w:val="auto"/>
                <w:lang w:eastAsia="zh-CN"/>
              </w:rPr>
              <w:t>生产设备在自动化生产线上</w:t>
            </w:r>
            <w:r>
              <w:rPr>
                <w:rFonts w:hint="eastAsia"/>
                <w:color w:val="auto"/>
              </w:rPr>
              <w:t>运行噪声，噪声值为</w:t>
            </w:r>
            <w:r>
              <w:rPr>
                <w:color w:val="auto"/>
              </w:rPr>
              <w:t>70</w:t>
            </w:r>
            <w:r>
              <w:rPr>
                <w:rFonts w:hint="eastAsia"/>
                <w:color w:val="auto"/>
              </w:rPr>
              <w:t>～</w:t>
            </w:r>
            <w:r>
              <w:rPr>
                <w:color w:val="auto"/>
              </w:rPr>
              <w:t>85dB</w:t>
            </w:r>
            <w:r>
              <w:rPr>
                <w:rFonts w:hint="eastAsia"/>
                <w:color w:val="auto"/>
                <w:lang w:eastAsia="zh-CN"/>
              </w:rPr>
              <w:t>（</w:t>
            </w:r>
            <w:r>
              <w:rPr>
                <w:color w:val="auto"/>
              </w:rPr>
              <w:t>A</w:t>
            </w:r>
            <w:r>
              <w:rPr>
                <w:rFonts w:hint="eastAsia"/>
                <w:color w:val="auto"/>
                <w:lang w:eastAsia="zh-CN"/>
              </w:rPr>
              <w:t>）</w:t>
            </w:r>
            <w:r>
              <w:rPr>
                <w:rFonts w:hint="eastAsia"/>
                <w:color w:val="auto"/>
              </w:rPr>
              <w:t>。</w:t>
            </w:r>
          </w:p>
          <w:p w14:paraId="2D269485">
            <w:pPr>
              <w:pStyle w:val="180"/>
              <w:wordWrap/>
              <w:ind w:firstLine="480"/>
              <w:rPr>
                <w:color w:val="auto"/>
              </w:rPr>
            </w:pPr>
            <w:r>
              <w:rPr>
                <w:color w:val="auto"/>
              </w:rPr>
              <w:t>本项目采取降噪措施如下：</w:t>
            </w:r>
            <w:r>
              <w:rPr>
                <w:rFonts w:hint="eastAsia" w:ascii="宋体" w:hAnsi="宋体" w:cs="宋体"/>
                <w:color w:val="auto"/>
              </w:rPr>
              <w:t>①</w:t>
            </w:r>
            <w:r>
              <w:rPr>
                <w:color w:val="auto"/>
              </w:rPr>
              <w:t>在设备选型时采用低噪声设备；</w:t>
            </w:r>
            <w:r>
              <w:rPr>
                <w:rFonts w:hint="eastAsia" w:ascii="宋体" w:hAnsi="宋体" w:cs="宋体"/>
                <w:color w:val="auto"/>
              </w:rPr>
              <w:t>②</w:t>
            </w:r>
            <w:r>
              <w:rPr>
                <w:color w:val="auto"/>
              </w:rPr>
              <w:t>合理布局，基础减振；</w:t>
            </w:r>
            <w:r>
              <w:rPr>
                <w:rFonts w:hint="eastAsia" w:ascii="宋体" w:hAnsi="宋体" w:cs="宋体"/>
                <w:color w:val="auto"/>
              </w:rPr>
              <w:t>③</w:t>
            </w:r>
            <w:r>
              <w:rPr>
                <w:color w:val="auto"/>
              </w:rPr>
              <w:t>所有高噪声设备均安置在室内进行隔声处理，同时加强设备的维护保养，并定期检修。</w:t>
            </w:r>
          </w:p>
          <w:p w14:paraId="3C1C6C29">
            <w:pPr>
              <w:pStyle w:val="180"/>
              <w:wordWrap/>
              <w:ind w:firstLine="480"/>
              <w:rPr>
                <w:color w:val="auto"/>
              </w:rPr>
            </w:pPr>
            <w:r>
              <w:rPr>
                <w:rFonts w:eastAsiaTheme="minorEastAsia"/>
                <w:color w:val="auto"/>
                <w:szCs w:val="24"/>
              </w:rPr>
              <w:t>项目产生噪声的噪声源强调查清单见</w:t>
            </w:r>
            <w:r>
              <w:rPr>
                <w:rFonts w:hint="eastAsia" w:eastAsiaTheme="minorEastAsia"/>
                <w:color w:val="auto"/>
                <w:szCs w:val="24"/>
                <w:lang w:eastAsia="zh-CN"/>
              </w:rPr>
              <w:t>下表</w:t>
            </w:r>
            <w:r>
              <w:rPr>
                <w:rFonts w:eastAsiaTheme="minorEastAsia"/>
                <w:color w:val="auto"/>
                <w:szCs w:val="24"/>
              </w:rPr>
              <w:t>。</w:t>
            </w:r>
            <w:r>
              <w:rPr>
                <w:rFonts w:hint="eastAsia" w:eastAsiaTheme="minorEastAsia"/>
                <w:color w:val="auto"/>
                <w:szCs w:val="24"/>
              </w:rPr>
              <w:t xml:space="preserve"> </w:t>
            </w:r>
          </w:p>
          <w:p w14:paraId="06BC26F3">
            <w:pPr>
              <w:pStyle w:val="17"/>
              <w:keepNext w:val="0"/>
              <w:keepLines w:val="0"/>
              <w:pageBreakBefore w:val="0"/>
              <w:kinsoku/>
              <w:wordWrap/>
              <w:overflowPunct/>
              <w:topLinePunct w:val="0"/>
              <w:autoSpaceDE/>
              <w:autoSpaceDN/>
              <w:bidi w:val="0"/>
              <w:adjustRightInd w:val="0"/>
              <w:snapToGrid w:val="0"/>
              <w:spacing w:after="0" w:line="240" w:lineRule="auto"/>
              <w:textAlignment w:val="auto"/>
            </w:pPr>
            <w:bookmarkStart w:id="30" w:name="PT_6"/>
            <w:r>
              <w:t xml:space="preserve">表 </w:t>
            </w:r>
            <w:r>
              <w:rPr>
                <w:rFonts w:hint="eastAsia"/>
                <w:lang w:val="en-US" w:eastAsia="zh-CN"/>
              </w:rPr>
              <w:t>4</w:t>
            </w:r>
            <w:r>
              <w:rPr>
                <w:rFonts w:hint="eastAsia"/>
                <w:lang w:eastAsia="zh-CN"/>
              </w:rPr>
              <w:t>-</w:t>
            </w:r>
            <w:r>
              <w:fldChar w:fldCharType="begin"/>
            </w:r>
            <w:r>
              <w:instrText xml:space="preserve"> SEQ 表 \* ARABIC \s 1 </w:instrText>
            </w:r>
            <w:r>
              <w:fldChar w:fldCharType="separate"/>
            </w:r>
            <w:r>
              <w:t>7</w:t>
            </w:r>
            <w:r>
              <w:fldChar w:fldCharType="end"/>
            </w:r>
            <w:r>
              <w:rPr>
                <w:color w:val="auto"/>
              </w:rPr>
              <w:t xml:space="preserve"> 项目工业企业噪声源强调查清单</w:t>
            </w:r>
          </w:p>
          <w:tbl>
            <w:tblPr>
              <w:tblStyle w:val="57"/>
              <w:tblW w:w="1412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398"/>
              <w:gridCol w:w="542"/>
              <w:gridCol w:w="888"/>
              <w:gridCol w:w="762"/>
              <w:gridCol w:w="484"/>
              <w:gridCol w:w="329"/>
              <w:gridCol w:w="629"/>
              <w:gridCol w:w="630"/>
              <w:gridCol w:w="523"/>
              <w:gridCol w:w="523"/>
              <w:gridCol w:w="523"/>
              <w:gridCol w:w="524"/>
              <w:gridCol w:w="517"/>
              <w:gridCol w:w="517"/>
              <w:gridCol w:w="517"/>
              <w:gridCol w:w="518"/>
              <w:gridCol w:w="449"/>
              <w:gridCol w:w="498"/>
              <w:gridCol w:w="498"/>
              <w:gridCol w:w="498"/>
              <w:gridCol w:w="498"/>
              <w:gridCol w:w="531"/>
              <w:gridCol w:w="531"/>
              <w:gridCol w:w="531"/>
              <w:gridCol w:w="532"/>
              <w:gridCol w:w="733"/>
            </w:tblGrid>
            <w:tr w14:paraId="26DE38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398" w:type="dxa"/>
                  <w:vMerge w:val="restart"/>
                  <w:vAlign w:val="center"/>
                </w:tcPr>
                <w:p w14:paraId="061D80F9">
                  <w:pPr>
                    <w:pStyle w:val="286"/>
                    <w:framePr w:hSpace="0" w:wrap="auto" w:vAnchor="margin" w:hAnchor="text" w:xAlign="left" w:yAlign="inline"/>
                    <w:rPr>
                      <w:color w:val="auto"/>
                    </w:rPr>
                  </w:pPr>
                  <w:r>
                    <w:rPr>
                      <w:color w:val="auto"/>
                    </w:rPr>
                    <w:t>序号</w:t>
                  </w:r>
                </w:p>
              </w:tc>
              <w:tc>
                <w:tcPr>
                  <w:tcW w:w="542" w:type="dxa"/>
                  <w:vMerge w:val="restart"/>
                  <w:vAlign w:val="center"/>
                </w:tcPr>
                <w:p w14:paraId="34E971CD">
                  <w:pPr>
                    <w:pStyle w:val="286"/>
                    <w:framePr w:hSpace="0" w:wrap="auto" w:vAnchor="margin" w:hAnchor="text" w:xAlign="left" w:yAlign="inline"/>
                    <w:rPr>
                      <w:color w:val="auto"/>
                    </w:rPr>
                  </w:pPr>
                  <w:r>
                    <w:rPr>
                      <w:color w:val="auto"/>
                    </w:rPr>
                    <w:t>建筑物名称</w:t>
                  </w:r>
                </w:p>
              </w:tc>
              <w:tc>
                <w:tcPr>
                  <w:tcW w:w="888" w:type="dxa"/>
                  <w:vMerge w:val="restart"/>
                  <w:vAlign w:val="center"/>
                </w:tcPr>
                <w:p w14:paraId="7ABF98CA">
                  <w:pPr>
                    <w:pStyle w:val="286"/>
                    <w:framePr w:hSpace="0" w:wrap="auto" w:vAnchor="margin" w:hAnchor="text" w:xAlign="left" w:yAlign="inline"/>
                    <w:rPr>
                      <w:color w:val="auto"/>
                    </w:rPr>
                  </w:pPr>
                  <w:r>
                    <w:rPr>
                      <w:color w:val="auto"/>
                    </w:rPr>
                    <w:t>声源</w:t>
                  </w:r>
                </w:p>
                <w:p w14:paraId="23557CFD">
                  <w:pPr>
                    <w:pStyle w:val="286"/>
                    <w:framePr w:hSpace="0" w:wrap="auto" w:vAnchor="margin" w:hAnchor="text" w:xAlign="left" w:yAlign="inline"/>
                    <w:rPr>
                      <w:color w:val="auto"/>
                    </w:rPr>
                  </w:pPr>
                  <w:r>
                    <w:rPr>
                      <w:color w:val="auto"/>
                    </w:rPr>
                    <w:t>名称</w:t>
                  </w:r>
                </w:p>
              </w:tc>
              <w:tc>
                <w:tcPr>
                  <w:tcW w:w="762" w:type="dxa"/>
                  <w:vMerge w:val="restart"/>
                  <w:vAlign w:val="center"/>
                </w:tcPr>
                <w:p w14:paraId="617ABEAD">
                  <w:pPr>
                    <w:pStyle w:val="286"/>
                    <w:framePr w:hSpace="0" w:wrap="auto" w:vAnchor="margin" w:hAnchor="text" w:xAlign="left" w:yAlign="inline"/>
                    <w:rPr>
                      <w:rFonts w:hint="eastAsia" w:eastAsia="宋体"/>
                      <w:color w:val="auto"/>
                      <w:lang w:eastAsia="zh-CN"/>
                    </w:rPr>
                  </w:pPr>
                  <w:r>
                    <w:rPr>
                      <w:color w:val="auto"/>
                    </w:rPr>
                    <w:t>声功率级/dB</w:t>
                  </w:r>
                  <w:r>
                    <w:rPr>
                      <w:rFonts w:hint="eastAsia"/>
                      <w:color w:val="auto"/>
                      <w:lang w:eastAsia="zh-CN"/>
                    </w:rPr>
                    <w:t>（</w:t>
                  </w:r>
                  <w:r>
                    <w:rPr>
                      <w:color w:val="auto"/>
                    </w:rPr>
                    <w:t>A</w:t>
                  </w:r>
                  <w:r>
                    <w:rPr>
                      <w:rFonts w:hint="eastAsia"/>
                      <w:color w:val="auto"/>
                      <w:lang w:eastAsia="zh-CN"/>
                    </w:rPr>
                    <w:t>）</w:t>
                  </w:r>
                </w:p>
              </w:tc>
              <w:tc>
                <w:tcPr>
                  <w:tcW w:w="484" w:type="dxa"/>
                  <w:vMerge w:val="restart"/>
                  <w:vAlign w:val="center"/>
                </w:tcPr>
                <w:p w14:paraId="60657664">
                  <w:pPr>
                    <w:pStyle w:val="286"/>
                    <w:framePr w:hSpace="0" w:wrap="auto" w:vAnchor="margin" w:hAnchor="text" w:xAlign="left" w:yAlign="inline"/>
                    <w:rPr>
                      <w:color w:val="auto"/>
                    </w:rPr>
                  </w:pPr>
                  <w:r>
                    <w:rPr>
                      <w:color w:val="auto"/>
                    </w:rPr>
                    <w:t>声源控制措施</w:t>
                  </w:r>
                </w:p>
              </w:tc>
              <w:tc>
                <w:tcPr>
                  <w:tcW w:w="1588" w:type="dxa"/>
                  <w:gridSpan w:val="3"/>
                  <w:vAlign w:val="center"/>
                </w:tcPr>
                <w:p w14:paraId="2F7BC7CD">
                  <w:pPr>
                    <w:pStyle w:val="286"/>
                    <w:framePr w:hSpace="0" w:wrap="auto" w:vAnchor="margin" w:hAnchor="text" w:xAlign="left" w:yAlign="inline"/>
                    <w:rPr>
                      <w:color w:val="auto"/>
                    </w:rPr>
                  </w:pPr>
                  <w:r>
                    <w:rPr>
                      <w:color w:val="auto"/>
                    </w:rPr>
                    <w:t>空间相对位置/m</w:t>
                  </w:r>
                </w:p>
              </w:tc>
              <w:tc>
                <w:tcPr>
                  <w:tcW w:w="2093" w:type="dxa"/>
                  <w:gridSpan w:val="4"/>
                  <w:vAlign w:val="center"/>
                </w:tcPr>
                <w:p w14:paraId="3AACC569">
                  <w:pPr>
                    <w:pStyle w:val="286"/>
                    <w:framePr w:hSpace="0" w:wrap="auto" w:vAnchor="margin" w:hAnchor="text" w:xAlign="left" w:yAlign="inline"/>
                    <w:rPr>
                      <w:color w:val="auto"/>
                    </w:rPr>
                  </w:pPr>
                  <w:r>
                    <w:rPr>
                      <w:color w:val="auto"/>
                    </w:rPr>
                    <w:t>距室内边界距离/m</w:t>
                  </w:r>
                </w:p>
              </w:tc>
              <w:tc>
                <w:tcPr>
                  <w:tcW w:w="2069" w:type="dxa"/>
                  <w:gridSpan w:val="4"/>
                  <w:vAlign w:val="center"/>
                </w:tcPr>
                <w:p w14:paraId="111E20FE">
                  <w:pPr>
                    <w:pStyle w:val="286"/>
                    <w:framePr w:hSpace="0" w:wrap="auto" w:vAnchor="margin" w:hAnchor="text" w:xAlign="left" w:yAlign="inline"/>
                    <w:rPr>
                      <w:rFonts w:hint="eastAsia" w:eastAsia="宋体"/>
                      <w:color w:val="auto"/>
                      <w:lang w:eastAsia="zh-CN"/>
                    </w:rPr>
                  </w:pPr>
                  <w:r>
                    <w:rPr>
                      <w:color w:val="auto"/>
                    </w:rPr>
                    <w:t>室内边界声级/dB</w:t>
                  </w:r>
                  <w:r>
                    <w:rPr>
                      <w:rFonts w:hint="eastAsia"/>
                      <w:color w:val="auto"/>
                      <w:lang w:eastAsia="zh-CN"/>
                    </w:rPr>
                    <w:t>（</w:t>
                  </w:r>
                  <w:r>
                    <w:rPr>
                      <w:color w:val="auto"/>
                    </w:rPr>
                    <w:t>A</w:t>
                  </w:r>
                  <w:r>
                    <w:rPr>
                      <w:rFonts w:hint="eastAsia"/>
                      <w:color w:val="auto"/>
                      <w:lang w:eastAsia="zh-CN"/>
                    </w:rPr>
                    <w:t>）</w:t>
                  </w:r>
                </w:p>
              </w:tc>
              <w:tc>
                <w:tcPr>
                  <w:tcW w:w="449" w:type="dxa"/>
                  <w:vMerge w:val="restart"/>
                  <w:vAlign w:val="center"/>
                </w:tcPr>
                <w:p w14:paraId="4BE46D90">
                  <w:pPr>
                    <w:pStyle w:val="286"/>
                    <w:framePr w:hSpace="0" w:wrap="auto" w:vAnchor="margin" w:hAnchor="text" w:xAlign="left" w:yAlign="inline"/>
                    <w:rPr>
                      <w:color w:val="auto"/>
                    </w:rPr>
                  </w:pPr>
                  <w:r>
                    <w:rPr>
                      <w:color w:val="auto"/>
                    </w:rPr>
                    <w:t>运行时段</w:t>
                  </w:r>
                </w:p>
              </w:tc>
              <w:tc>
                <w:tcPr>
                  <w:tcW w:w="1992" w:type="dxa"/>
                  <w:gridSpan w:val="4"/>
                  <w:vAlign w:val="center"/>
                </w:tcPr>
                <w:p w14:paraId="154C1D7C">
                  <w:pPr>
                    <w:pStyle w:val="286"/>
                    <w:framePr w:hSpace="0" w:wrap="auto" w:vAnchor="margin" w:hAnchor="text" w:xAlign="left" w:yAlign="inline"/>
                    <w:rPr>
                      <w:rFonts w:hint="eastAsia" w:eastAsia="宋体"/>
                      <w:color w:val="auto"/>
                      <w:lang w:eastAsia="zh-CN"/>
                    </w:rPr>
                  </w:pPr>
                  <w:r>
                    <w:rPr>
                      <w:color w:val="auto"/>
                    </w:rPr>
                    <w:t>建筑物插入损失 / dB</w:t>
                  </w:r>
                  <w:r>
                    <w:rPr>
                      <w:rFonts w:hint="eastAsia"/>
                      <w:color w:val="auto"/>
                      <w:lang w:eastAsia="zh-CN"/>
                    </w:rPr>
                    <w:t>（</w:t>
                  </w:r>
                  <w:r>
                    <w:rPr>
                      <w:color w:val="auto"/>
                    </w:rPr>
                    <w:t>A</w:t>
                  </w:r>
                  <w:bookmarkStart w:id="31" w:name="PT_10"/>
                  <w:bookmarkEnd w:id="31"/>
                  <w:r>
                    <w:rPr>
                      <w:rFonts w:hint="eastAsia"/>
                      <w:color w:val="auto"/>
                      <w:lang w:eastAsia="zh-CN"/>
                    </w:rPr>
                    <w:t>）</w:t>
                  </w:r>
                </w:p>
              </w:tc>
              <w:tc>
                <w:tcPr>
                  <w:tcW w:w="2858" w:type="dxa"/>
                  <w:gridSpan w:val="5"/>
                  <w:vAlign w:val="center"/>
                </w:tcPr>
                <w:p w14:paraId="2413CE4D">
                  <w:pPr>
                    <w:pStyle w:val="286"/>
                    <w:framePr w:hSpace="0" w:wrap="auto" w:vAnchor="margin" w:hAnchor="text" w:xAlign="left" w:yAlign="inline"/>
                    <w:rPr>
                      <w:rFonts w:hint="eastAsia" w:eastAsia="宋体"/>
                      <w:color w:val="auto"/>
                      <w:lang w:eastAsia="zh-CN"/>
                    </w:rPr>
                  </w:pPr>
                  <w:r>
                    <w:rPr>
                      <w:color w:val="auto"/>
                    </w:rPr>
                    <w:t>建筑物外噪声声压级/dB</w:t>
                  </w:r>
                  <w:r>
                    <w:rPr>
                      <w:rFonts w:hint="eastAsia"/>
                      <w:color w:val="auto"/>
                      <w:lang w:eastAsia="zh-CN"/>
                    </w:rPr>
                    <w:t>（</w:t>
                  </w:r>
                  <w:r>
                    <w:rPr>
                      <w:color w:val="auto"/>
                    </w:rPr>
                    <w:t>A</w:t>
                  </w:r>
                  <w:r>
                    <w:rPr>
                      <w:rFonts w:hint="eastAsia"/>
                      <w:color w:val="auto"/>
                      <w:lang w:eastAsia="zh-CN"/>
                    </w:rPr>
                    <w:t>）</w:t>
                  </w:r>
                </w:p>
              </w:tc>
            </w:tr>
            <w:tr w14:paraId="2F4EDE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vMerge w:val="continue"/>
                  <w:shd w:val="clear" w:color="auto" w:fill="FFFFFF"/>
                  <w:tcMar>
                    <w:top w:w="0" w:type="dxa"/>
                    <w:left w:w="0" w:type="dxa"/>
                    <w:bottom w:w="0" w:type="dxa"/>
                    <w:right w:w="0" w:type="dxa"/>
                  </w:tcMar>
                  <w:vAlign w:val="center"/>
                </w:tcPr>
                <w:p w14:paraId="363A33CA">
                  <w:pPr>
                    <w:pStyle w:val="286"/>
                    <w:framePr w:hSpace="0" w:wrap="auto" w:vAnchor="margin" w:hAnchor="text" w:xAlign="left" w:yAlign="inline"/>
                    <w:rPr>
                      <w:color w:val="auto"/>
                    </w:rPr>
                  </w:pPr>
                </w:p>
              </w:tc>
              <w:tc>
                <w:tcPr>
                  <w:tcW w:w="542" w:type="dxa"/>
                  <w:vMerge w:val="continue"/>
                  <w:shd w:val="clear" w:color="auto" w:fill="FFFFFF"/>
                  <w:tcMar>
                    <w:top w:w="0" w:type="dxa"/>
                    <w:left w:w="0" w:type="dxa"/>
                    <w:bottom w:w="0" w:type="dxa"/>
                    <w:right w:w="0" w:type="dxa"/>
                  </w:tcMar>
                  <w:vAlign w:val="center"/>
                </w:tcPr>
                <w:p w14:paraId="71E18A7F">
                  <w:pPr>
                    <w:pStyle w:val="286"/>
                    <w:framePr w:hSpace="0" w:wrap="auto" w:vAnchor="margin" w:hAnchor="text" w:xAlign="left" w:yAlign="inline"/>
                    <w:rPr>
                      <w:color w:val="auto"/>
                    </w:rPr>
                  </w:pPr>
                </w:p>
              </w:tc>
              <w:tc>
                <w:tcPr>
                  <w:tcW w:w="888" w:type="dxa"/>
                  <w:vMerge w:val="continue"/>
                  <w:shd w:val="clear" w:color="auto" w:fill="FFFFFF"/>
                  <w:tcMar>
                    <w:top w:w="0" w:type="dxa"/>
                    <w:left w:w="0" w:type="dxa"/>
                    <w:bottom w:w="0" w:type="dxa"/>
                    <w:right w:w="0" w:type="dxa"/>
                  </w:tcMar>
                  <w:vAlign w:val="center"/>
                </w:tcPr>
                <w:p w14:paraId="748B1A3A">
                  <w:pPr>
                    <w:pStyle w:val="286"/>
                    <w:framePr w:hSpace="0" w:wrap="auto" w:vAnchor="margin" w:hAnchor="text" w:xAlign="left" w:yAlign="inline"/>
                    <w:rPr>
                      <w:color w:val="auto"/>
                    </w:rPr>
                  </w:pPr>
                </w:p>
              </w:tc>
              <w:tc>
                <w:tcPr>
                  <w:tcW w:w="762" w:type="dxa"/>
                  <w:vMerge w:val="continue"/>
                  <w:shd w:val="clear" w:color="auto" w:fill="FFFFFF"/>
                  <w:tcMar>
                    <w:top w:w="0" w:type="dxa"/>
                    <w:left w:w="0" w:type="dxa"/>
                    <w:bottom w:w="0" w:type="dxa"/>
                    <w:right w:w="0" w:type="dxa"/>
                  </w:tcMar>
                  <w:vAlign w:val="center"/>
                </w:tcPr>
                <w:p w14:paraId="177A1916">
                  <w:pPr>
                    <w:pStyle w:val="286"/>
                    <w:framePr w:hSpace="0" w:wrap="auto" w:vAnchor="margin" w:hAnchor="text" w:xAlign="left" w:yAlign="inline"/>
                    <w:rPr>
                      <w:rFonts w:hint="eastAsia" w:eastAsia="宋体"/>
                      <w:color w:val="auto"/>
                      <w:lang w:eastAsia="zh-CN"/>
                    </w:rPr>
                  </w:pPr>
                </w:p>
              </w:tc>
              <w:tc>
                <w:tcPr>
                  <w:tcW w:w="484" w:type="dxa"/>
                  <w:vMerge w:val="continue"/>
                  <w:shd w:val="clear" w:color="auto" w:fill="FFFFFF"/>
                  <w:tcMar>
                    <w:top w:w="0" w:type="dxa"/>
                    <w:left w:w="0" w:type="dxa"/>
                    <w:bottom w:w="0" w:type="dxa"/>
                    <w:right w:w="0" w:type="dxa"/>
                  </w:tcMar>
                  <w:vAlign w:val="center"/>
                </w:tcPr>
                <w:p w14:paraId="422117C4">
                  <w:pPr>
                    <w:pStyle w:val="286"/>
                    <w:framePr w:hSpace="0" w:wrap="auto" w:vAnchor="margin" w:hAnchor="text" w:xAlign="left" w:yAlign="inline"/>
                    <w:rPr>
                      <w:color w:val="auto"/>
                    </w:rPr>
                  </w:pPr>
                </w:p>
              </w:tc>
              <w:tc>
                <w:tcPr>
                  <w:tcW w:w="329" w:type="dxa"/>
                  <w:shd w:val="clear" w:color="auto" w:fill="FFFFFF"/>
                  <w:tcMar>
                    <w:top w:w="0" w:type="dxa"/>
                    <w:left w:w="0" w:type="dxa"/>
                    <w:bottom w:w="0" w:type="dxa"/>
                    <w:right w:w="0" w:type="dxa"/>
                  </w:tcMar>
                  <w:vAlign w:val="center"/>
                </w:tcPr>
                <w:p w14:paraId="0A998B94">
                  <w:pPr>
                    <w:pStyle w:val="286"/>
                    <w:framePr w:hSpace="0" w:wrap="auto" w:vAnchor="margin" w:hAnchor="text" w:xAlign="left" w:yAlign="inline"/>
                    <w:rPr>
                      <w:color w:val="auto"/>
                    </w:rPr>
                  </w:pPr>
                  <w:r>
                    <w:rPr>
                      <w:color w:val="auto"/>
                    </w:rPr>
                    <w:t>X</w:t>
                  </w:r>
                </w:p>
              </w:tc>
              <w:tc>
                <w:tcPr>
                  <w:tcW w:w="629" w:type="dxa"/>
                  <w:shd w:val="clear" w:color="auto" w:fill="FFFFFF"/>
                  <w:tcMar>
                    <w:top w:w="0" w:type="dxa"/>
                    <w:left w:w="0" w:type="dxa"/>
                    <w:bottom w:w="0" w:type="dxa"/>
                    <w:right w:w="0" w:type="dxa"/>
                  </w:tcMar>
                  <w:vAlign w:val="center"/>
                </w:tcPr>
                <w:p w14:paraId="3F8C6A48">
                  <w:pPr>
                    <w:pStyle w:val="286"/>
                    <w:framePr w:hSpace="0" w:wrap="auto" w:vAnchor="margin" w:hAnchor="text" w:xAlign="left" w:yAlign="inline"/>
                    <w:rPr>
                      <w:color w:val="auto"/>
                    </w:rPr>
                  </w:pPr>
                  <w:r>
                    <w:rPr>
                      <w:color w:val="auto"/>
                    </w:rPr>
                    <w:t>Y</w:t>
                  </w:r>
                </w:p>
              </w:tc>
              <w:tc>
                <w:tcPr>
                  <w:tcW w:w="630" w:type="dxa"/>
                  <w:shd w:val="clear" w:color="auto" w:fill="FFFFFF"/>
                  <w:tcMar>
                    <w:top w:w="0" w:type="dxa"/>
                    <w:left w:w="0" w:type="dxa"/>
                    <w:bottom w:w="0" w:type="dxa"/>
                    <w:right w:w="0" w:type="dxa"/>
                  </w:tcMar>
                  <w:vAlign w:val="center"/>
                </w:tcPr>
                <w:p w14:paraId="08D62ADF">
                  <w:pPr>
                    <w:pStyle w:val="286"/>
                    <w:framePr w:hSpace="0" w:wrap="auto" w:vAnchor="margin" w:hAnchor="text" w:xAlign="left" w:yAlign="inline"/>
                    <w:rPr>
                      <w:color w:val="auto"/>
                    </w:rPr>
                  </w:pPr>
                  <w:r>
                    <w:rPr>
                      <w:color w:val="auto"/>
                    </w:rPr>
                    <w:t>Z</w:t>
                  </w:r>
                </w:p>
              </w:tc>
              <w:tc>
                <w:tcPr>
                  <w:tcW w:w="523" w:type="dxa"/>
                  <w:shd w:val="clear" w:color="auto" w:fill="FFFFFF"/>
                  <w:tcMar>
                    <w:top w:w="0" w:type="dxa"/>
                    <w:left w:w="0" w:type="dxa"/>
                    <w:bottom w:w="0" w:type="dxa"/>
                    <w:right w:w="0" w:type="dxa"/>
                  </w:tcMar>
                  <w:vAlign w:val="center"/>
                </w:tcPr>
                <w:p w14:paraId="1B3750E8">
                  <w:pPr>
                    <w:pStyle w:val="286"/>
                    <w:framePr w:hSpace="0" w:wrap="auto" w:vAnchor="margin" w:hAnchor="text" w:xAlign="left" w:yAlign="inline"/>
                    <w:rPr>
                      <w:color w:val="auto"/>
                    </w:rPr>
                  </w:pPr>
                  <w:r>
                    <w:rPr>
                      <w:rFonts w:hint="eastAsia"/>
                      <w:color w:val="auto"/>
                    </w:rPr>
                    <w:t>东</w:t>
                  </w:r>
                </w:p>
              </w:tc>
              <w:tc>
                <w:tcPr>
                  <w:tcW w:w="523" w:type="dxa"/>
                  <w:shd w:val="clear" w:color="auto" w:fill="FFFFFF"/>
                  <w:tcMar>
                    <w:top w:w="0" w:type="dxa"/>
                    <w:left w:w="0" w:type="dxa"/>
                    <w:bottom w:w="0" w:type="dxa"/>
                    <w:right w:w="0" w:type="dxa"/>
                  </w:tcMar>
                  <w:vAlign w:val="center"/>
                </w:tcPr>
                <w:p w14:paraId="342787FC">
                  <w:pPr>
                    <w:pStyle w:val="286"/>
                    <w:framePr w:hSpace="0" w:wrap="auto" w:vAnchor="margin" w:hAnchor="text" w:xAlign="left" w:yAlign="inline"/>
                    <w:rPr>
                      <w:color w:val="auto"/>
                    </w:rPr>
                  </w:pPr>
                  <w:r>
                    <w:rPr>
                      <w:rFonts w:hint="eastAsia"/>
                      <w:color w:val="auto"/>
                    </w:rPr>
                    <w:t>南</w:t>
                  </w:r>
                </w:p>
              </w:tc>
              <w:tc>
                <w:tcPr>
                  <w:tcW w:w="523" w:type="dxa"/>
                  <w:shd w:val="clear" w:color="auto" w:fill="FFFFFF"/>
                  <w:tcMar>
                    <w:top w:w="0" w:type="dxa"/>
                    <w:left w:w="0" w:type="dxa"/>
                    <w:bottom w:w="0" w:type="dxa"/>
                    <w:right w:w="0" w:type="dxa"/>
                  </w:tcMar>
                  <w:vAlign w:val="center"/>
                </w:tcPr>
                <w:p w14:paraId="6B988EC2">
                  <w:pPr>
                    <w:pStyle w:val="286"/>
                    <w:framePr w:hSpace="0" w:wrap="auto" w:vAnchor="margin" w:hAnchor="text" w:xAlign="left" w:yAlign="inline"/>
                    <w:rPr>
                      <w:color w:val="auto"/>
                    </w:rPr>
                  </w:pPr>
                  <w:r>
                    <w:rPr>
                      <w:rFonts w:hint="eastAsia"/>
                      <w:color w:val="auto"/>
                    </w:rPr>
                    <w:t>西</w:t>
                  </w:r>
                </w:p>
              </w:tc>
              <w:tc>
                <w:tcPr>
                  <w:tcW w:w="524" w:type="dxa"/>
                  <w:shd w:val="clear" w:color="auto" w:fill="FFFFFF"/>
                  <w:tcMar>
                    <w:top w:w="0" w:type="dxa"/>
                    <w:left w:w="0" w:type="dxa"/>
                    <w:bottom w:w="0" w:type="dxa"/>
                    <w:right w:w="0" w:type="dxa"/>
                  </w:tcMar>
                  <w:vAlign w:val="center"/>
                </w:tcPr>
                <w:p w14:paraId="56A99BDD">
                  <w:pPr>
                    <w:pStyle w:val="286"/>
                    <w:framePr w:hSpace="0" w:wrap="auto" w:vAnchor="margin" w:hAnchor="text" w:xAlign="left" w:yAlign="inline"/>
                    <w:rPr>
                      <w:color w:val="auto"/>
                    </w:rPr>
                  </w:pPr>
                  <w:r>
                    <w:rPr>
                      <w:rFonts w:hint="eastAsia"/>
                      <w:color w:val="auto"/>
                    </w:rPr>
                    <w:t>北</w:t>
                  </w:r>
                </w:p>
              </w:tc>
              <w:tc>
                <w:tcPr>
                  <w:tcW w:w="517" w:type="dxa"/>
                  <w:shd w:val="clear" w:color="auto" w:fill="FFFFFF"/>
                  <w:tcMar>
                    <w:top w:w="0" w:type="dxa"/>
                    <w:left w:w="0" w:type="dxa"/>
                    <w:bottom w:w="0" w:type="dxa"/>
                    <w:right w:w="0" w:type="dxa"/>
                  </w:tcMar>
                  <w:vAlign w:val="center"/>
                </w:tcPr>
                <w:p w14:paraId="43CD62FF">
                  <w:pPr>
                    <w:pStyle w:val="286"/>
                    <w:framePr w:hSpace="0" w:wrap="auto" w:vAnchor="margin" w:hAnchor="text" w:xAlign="left" w:yAlign="inline"/>
                    <w:rPr>
                      <w:color w:val="auto"/>
                    </w:rPr>
                  </w:pPr>
                  <w:r>
                    <w:rPr>
                      <w:rFonts w:hint="eastAsia"/>
                      <w:color w:val="auto"/>
                    </w:rPr>
                    <w:t>东</w:t>
                  </w:r>
                </w:p>
              </w:tc>
              <w:tc>
                <w:tcPr>
                  <w:tcW w:w="517" w:type="dxa"/>
                  <w:shd w:val="clear" w:color="auto" w:fill="FFFFFF"/>
                  <w:tcMar>
                    <w:top w:w="0" w:type="dxa"/>
                    <w:left w:w="0" w:type="dxa"/>
                    <w:bottom w:w="0" w:type="dxa"/>
                    <w:right w:w="0" w:type="dxa"/>
                  </w:tcMar>
                  <w:vAlign w:val="center"/>
                </w:tcPr>
                <w:p w14:paraId="395BB830">
                  <w:pPr>
                    <w:pStyle w:val="286"/>
                    <w:framePr w:hSpace="0" w:wrap="auto" w:vAnchor="margin" w:hAnchor="text" w:xAlign="left" w:yAlign="inline"/>
                    <w:rPr>
                      <w:color w:val="auto"/>
                    </w:rPr>
                  </w:pPr>
                  <w:r>
                    <w:rPr>
                      <w:rFonts w:hint="eastAsia"/>
                      <w:color w:val="auto"/>
                    </w:rPr>
                    <w:t>南</w:t>
                  </w:r>
                </w:p>
              </w:tc>
              <w:tc>
                <w:tcPr>
                  <w:tcW w:w="517" w:type="dxa"/>
                  <w:shd w:val="clear" w:color="auto" w:fill="FFFFFF"/>
                  <w:tcMar>
                    <w:top w:w="0" w:type="dxa"/>
                    <w:left w:w="0" w:type="dxa"/>
                    <w:bottom w:w="0" w:type="dxa"/>
                    <w:right w:w="0" w:type="dxa"/>
                  </w:tcMar>
                  <w:vAlign w:val="center"/>
                </w:tcPr>
                <w:p w14:paraId="0EB5E454">
                  <w:pPr>
                    <w:pStyle w:val="286"/>
                    <w:framePr w:hSpace="0" w:wrap="auto" w:vAnchor="margin" w:hAnchor="text" w:xAlign="left" w:yAlign="inline"/>
                    <w:rPr>
                      <w:color w:val="auto"/>
                    </w:rPr>
                  </w:pPr>
                  <w:r>
                    <w:rPr>
                      <w:rFonts w:hint="eastAsia"/>
                      <w:color w:val="auto"/>
                    </w:rPr>
                    <w:t>西</w:t>
                  </w:r>
                </w:p>
              </w:tc>
              <w:tc>
                <w:tcPr>
                  <w:tcW w:w="518" w:type="dxa"/>
                  <w:shd w:val="clear" w:color="auto" w:fill="FFFFFF"/>
                  <w:tcMar>
                    <w:top w:w="0" w:type="dxa"/>
                    <w:left w:w="0" w:type="dxa"/>
                    <w:bottom w:w="0" w:type="dxa"/>
                    <w:right w:w="0" w:type="dxa"/>
                  </w:tcMar>
                  <w:vAlign w:val="center"/>
                </w:tcPr>
                <w:p w14:paraId="73052AA7">
                  <w:pPr>
                    <w:pStyle w:val="286"/>
                    <w:framePr w:hSpace="0" w:wrap="auto" w:vAnchor="margin" w:hAnchor="text" w:xAlign="left" w:yAlign="inline"/>
                    <w:rPr>
                      <w:color w:val="auto"/>
                    </w:rPr>
                  </w:pPr>
                  <w:r>
                    <w:rPr>
                      <w:rFonts w:hint="eastAsia"/>
                      <w:color w:val="auto"/>
                    </w:rPr>
                    <w:t>北</w:t>
                  </w:r>
                </w:p>
              </w:tc>
              <w:tc>
                <w:tcPr>
                  <w:tcW w:w="449" w:type="dxa"/>
                  <w:vMerge w:val="continue"/>
                  <w:shd w:val="clear" w:color="auto" w:fill="FFFFFF"/>
                  <w:tcMar>
                    <w:top w:w="0" w:type="dxa"/>
                    <w:left w:w="0" w:type="dxa"/>
                    <w:bottom w:w="0" w:type="dxa"/>
                    <w:right w:w="0" w:type="dxa"/>
                  </w:tcMar>
                  <w:vAlign w:val="center"/>
                </w:tcPr>
                <w:p w14:paraId="28423517">
                  <w:pPr>
                    <w:pStyle w:val="286"/>
                    <w:framePr w:hSpace="0" w:wrap="auto" w:vAnchor="margin" w:hAnchor="text" w:xAlign="left" w:yAlign="inline"/>
                    <w:rPr>
                      <w:color w:val="auto"/>
                    </w:rPr>
                  </w:pPr>
                </w:p>
              </w:tc>
              <w:tc>
                <w:tcPr>
                  <w:tcW w:w="498" w:type="dxa"/>
                  <w:shd w:val="clear" w:color="auto" w:fill="FFFFFF"/>
                  <w:tcMar>
                    <w:top w:w="0" w:type="dxa"/>
                    <w:left w:w="0" w:type="dxa"/>
                    <w:bottom w:w="0" w:type="dxa"/>
                    <w:right w:w="0" w:type="dxa"/>
                  </w:tcMar>
                  <w:vAlign w:val="center"/>
                </w:tcPr>
                <w:p w14:paraId="0EFB86E7">
                  <w:pPr>
                    <w:pStyle w:val="286"/>
                    <w:framePr w:hSpace="0" w:wrap="auto" w:vAnchor="margin" w:hAnchor="text" w:xAlign="left" w:yAlign="inline"/>
                    <w:rPr>
                      <w:color w:val="auto"/>
                    </w:rPr>
                  </w:pPr>
                  <w:r>
                    <w:rPr>
                      <w:rFonts w:hint="eastAsia"/>
                      <w:color w:val="auto"/>
                    </w:rPr>
                    <w:t>东</w:t>
                  </w:r>
                </w:p>
              </w:tc>
              <w:tc>
                <w:tcPr>
                  <w:tcW w:w="498" w:type="dxa"/>
                  <w:shd w:val="clear" w:color="auto" w:fill="FFFFFF"/>
                  <w:tcMar>
                    <w:top w:w="0" w:type="dxa"/>
                    <w:left w:w="0" w:type="dxa"/>
                    <w:bottom w:w="0" w:type="dxa"/>
                    <w:right w:w="0" w:type="dxa"/>
                  </w:tcMar>
                  <w:vAlign w:val="center"/>
                </w:tcPr>
                <w:p w14:paraId="627313B3">
                  <w:pPr>
                    <w:pStyle w:val="286"/>
                    <w:framePr w:hSpace="0" w:wrap="auto" w:vAnchor="margin" w:hAnchor="text" w:xAlign="left" w:yAlign="inline"/>
                    <w:rPr>
                      <w:color w:val="auto"/>
                    </w:rPr>
                  </w:pPr>
                  <w:r>
                    <w:rPr>
                      <w:rFonts w:hint="eastAsia"/>
                      <w:color w:val="auto"/>
                    </w:rPr>
                    <w:t>南</w:t>
                  </w:r>
                </w:p>
              </w:tc>
              <w:tc>
                <w:tcPr>
                  <w:tcW w:w="498" w:type="dxa"/>
                  <w:shd w:val="clear" w:color="auto" w:fill="FFFFFF"/>
                  <w:tcMar>
                    <w:top w:w="0" w:type="dxa"/>
                    <w:left w:w="0" w:type="dxa"/>
                    <w:bottom w:w="0" w:type="dxa"/>
                    <w:right w:w="0" w:type="dxa"/>
                  </w:tcMar>
                  <w:vAlign w:val="center"/>
                </w:tcPr>
                <w:p w14:paraId="73C79450">
                  <w:pPr>
                    <w:pStyle w:val="286"/>
                    <w:framePr w:hSpace="0" w:wrap="auto" w:vAnchor="margin" w:hAnchor="text" w:xAlign="left" w:yAlign="inline"/>
                    <w:rPr>
                      <w:color w:val="auto"/>
                    </w:rPr>
                  </w:pPr>
                  <w:r>
                    <w:rPr>
                      <w:rFonts w:hint="eastAsia"/>
                      <w:color w:val="auto"/>
                    </w:rPr>
                    <w:t>西</w:t>
                  </w:r>
                </w:p>
              </w:tc>
              <w:tc>
                <w:tcPr>
                  <w:tcW w:w="498" w:type="dxa"/>
                  <w:shd w:val="clear" w:color="auto" w:fill="FFFFFF"/>
                  <w:tcMar>
                    <w:top w:w="0" w:type="dxa"/>
                    <w:left w:w="0" w:type="dxa"/>
                    <w:bottom w:w="0" w:type="dxa"/>
                    <w:right w:w="0" w:type="dxa"/>
                  </w:tcMar>
                  <w:vAlign w:val="center"/>
                </w:tcPr>
                <w:p w14:paraId="4A91BC8B">
                  <w:pPr>
                    <w:pStyle w:val="286"/>
                    <w:framePr w:hSpace="0" w:wrap="auto" w:vAnchor="margin" w:hAnchor="text" w:xAlign="left" w:yAlign="inline"/>
                    <w:rPr>
                      <w:color w:val="auto"/>
                    </w:rPr>
                  </w:pPr>
                  <w:r>
                    <w:rPr>
                      <w:rFonts w:hint="eastAsia"/>
                      <w:color w:val="auto"/>
                    </w:rPr>
                    <w:t>北</w:t>
                  </w:r>
                </w:p>
              </w:tc>
              <w:tc>
                <w:tcPr>
                  <w:tcW w:w="531" w:type="dxa"/>
                  <w:shd w:val="clear" w:color="auto" w:fill="FFFFFF"/>
                  <w:tcMar>
                    <w:top w:w="0" w:type="dxa"/>
                    <w:left w:w="0" w:type="dxa"/>
                    <w:bottom w:w="0" w:type="dxa"/>
                    <w:right w:w="0" w:type="dxa"/>
                  </w:tcMar>
                  <w:vAlign w:val="center"/>
                </w:tcPr>
                <w:p w14:paraId="53FB0786">
                  <w:pPr>
                    <w:pStyle w:val="286"/>
                    <w:framePr w:hSpace="0" w:wrap="auto" w:vAnchor="margin" w:hAnchor="text" w:xAlign="left" w:yAlign="inline"/>
                    <w:rPr>
                      <w:color w:val="auto"/>
                    </w:rPr>
                  </w:pPr>
                  <w:r>
                    <w:rPr>
                      <w:rFonts w:hint="eastAsia"/>
                      <w:color w:val="auto"/>
                    </w:rPr>
                    <w:t>东</w:t>
                  </w:r>
                </w:p>
              </w:tc>
              <w:tc>
                <w:tcPr>
                  <w:tcW w:w="531" w:type="dxa"/>
                  <w:shd w:val="clear" w:color="auto" w:fill="FFFFFF"/>
                  <w:tcMar>
                    <w:top w:w="0" w:type="dxa"/>
                    <w:left w:w="0" w:type="dxa"/>
                    <w:bottom w:w="0" w:type="dxa"/>
                    <w:right w:w="0" w:type="dxa"/>
                  </w:tcMar>
                  <w:vAlign w:val="center"/>
                </w:tcPr>
                <w:p w14:paraId="605C7027">
                  <w:pPr>
                    <w:pStyle w:val="286"/>
                    <w:framePr w:hSpace="0" w:wrap="auto" w:vAnchor="margin" w:hAnchor="text" w:xAlign="left" w:yAlign="inline"/>
                    <w:rPr>
                      <w:color w:val="auto"/>
                    </w:rPr>
                  </w:pPr>
                  <w:r>
                    <w:rPr>
                      <w:rFonts w:hint="eastAsia"/>
                      <w:color w:val="auto"/>
                    </w:rPr>
                    <w:t>南</w:t>
                  </w:r>
                </w:p>
              </w:tc>
              <w:tc>
                <w:tcPr>
                  <w:tcW w:w="531" w:type="dxa"/>
                  <w:shd w:val="clear" w:color="auto" w:fill="FFFFFF"/>
                  <w:tcMar>
                    <w:top w:w="0" w:type="dxa"/>
                    <w:left w:w="0" w:type="dxa"/>
                    <w:bottom w:w="0" w:type="dxa"/>
                    <w:right w:w="0" w:type="dxa"/>
                  </w:tcMar>
                  <w:vAlign w:val="center"/>
                </w:tcPr>
                <w:p w14:paraId="55476527">
                  <w:pPr>
                    <w:pStyle w:val="286"/>
                    <w:framePr w:hSpace="0" w:wrap="auto" w:vAnchor="margin" w:hAnchor="text" w:xAlign="left" w:yAlign="inline"/>
                    <w:rPr>
                      <w:color w:val="auto"/>
                    </w:rPr>
                  </w:pPr>
                  <w:r>
                    <w:rPr>
                      <w:rFonts w:hint="eastAsia"/>
                      <w:color w:val="auto"/>
                    </w:rPr>
                    <w:t>西</w:t>
                  </w:r>
                </w:p>
              </w:tc>
              <w:tc>
                <w:tcPr>
                  <w:tcW w:w="532" w:type="dxa"/>
                  <w:shd w:val="clear" w:color="auto" w:fill="FFFFFF"/>
                  <w:tcMar>
                    <w:top w:w="0" w:type="dxa"/>
                    <w:left w:w="0" w:type="dxa"/>
                    <w:bottom w:w="0" w:type="dxa"/>
                    <w:right w:w="0" w:type="dxa"/>
                  </w:tcMar>
                  <w:vAlign w:val="center"/>
                </w:tcPr>
                <w:p w14:paraId="2F0072F8">
                  <w:pPr>
                    <w:pStyle w:val="286"/>
                    <w:framePr w:hSpace="0" w:wrap="auto" w:vAnchor="margin" w:hAnchor="text" w:xAlign="left" w:yAlign="inline"/>
                    <w:rPr>
                      <w:color w:val="auto"/>
                    </w:rPr>
                  </w:pPr>
                  <w:r>
                    <w:rPr>
                      <w:rFonts w:hint="eastAsia"/>
                      <w:color w:val="auto"/>
                    </w:rPr>
                    <w:t>北</w:t>
                  </w:r>
                </w:p>
              </w:tc>
              <w:tc>
                <w:tcPr>
                  <w:tcW w:w="733" w:type="dxa"/>
                  <w:shd w:val="clear" w:color="auto" w:fill="FFFFFF"/>
                  <w:tcMar>
                    <w:top w:w="0" w:type="dxa"/>
                    <w:left w:w="0" w:type="dxa"/>
                    <w:bottom w:w="0" w:type="dxa"/>
                    <w:right w:w="0" w:type="dxa"/>
                  </w:tcMar>
                  <w:vAlign w:val="center"/>
                </w:tcPr>
                <w:p w14:paraId="3F4759DA">
                  <w:pPr>
                    <w:pStyle w:val="286"/>
                    <w:framePr w:hSpace="0" w:wrap="auto" w:vAnchor="margin" w:hAnchor="text" w:xAlign="left" w:yAlign="inline"/>
                    <w:rPr>
                      <w:color w:val="auto"/>
                    </w:rPr>
                  </w:pPr>
                  <w:r>
                    <w:rPr>
                      <w:color w:val="auto"/>
                    </w:rPr>
                    <w:t>建筑物外距离</w:t>
                  </w:r>
                </w:p>
              </w:tc>
            </w:tr>
            <w:tr w14:paraId="44627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7FAD75D3">
                  <w:pPr>
                    <w:pStyle w:val="286"/>
                    <w:framePr w:hSpace="0" w:wrap="auto" w:vAnchor="margin" w:hAnchor="text" w:xAlign="left" w:yAlign="inline"/>
                    <w:rPr>
                      <w:color w:val="auto"/>
                    </w:rPr>
                  </w:pPr>
                  <w:r>
                    <w:rPr>
                      <w:color w:val="auto"/>
                    </w:rPr>
                    <w:t>1</w:t>
                  </w:r>
                </w:p>
              </w:tc>
              <w:tc>
                <w:tcPr>
                  <w:tcW w:w="542" w:type="dxa"/>
                  <w:vMerge w:val="restart"/>
                  <w:shd w:val="clear" w:color="auto" w:fill="FFFFFF"/>
                  <w:tcMar>
                    <w:top w:w="0" w:type="dxa"/>
                    <w:left w:w="0" w:type="dxa"/>
                    <w:bottom w:w="0" w:type="dxa"/>
                    <w:right w:w="0" w:type="dxa"/>
                  </w:tcMar>
                  <w:vAlign w:val="center"/>
                </w:tcPr>
                <w:p w14:paraId="48B6FC33">
                  <w:pPr>
                    <w:pStyle w:val="286"/>
                    <w:framePr w:hSpace="0" w:wrap="auto" w:vAnchor="margin" w:hAnchor="text" w:xAlign="left" w:yAlign="inline"/>
                    <w:rPr>
                      <w:color w:val="auto"/>
                    </w:rPr>
                  </w:pPr>
                  <w:r>
                    <w:rPr>
                      <w:color w:val="auto"/>
                    </w:rPr>
                    <w:t>生产</w:t>
                  </w:r>
                </w:p>
                <w:p w14:paraId="011569E5">
                  <w:pPr>
                    <w:pStyle w:val="286"/>
                    <w:framePr w:hSpace="0" w:wrap="auto" w:vAnchor="margin" w:hAnchor="text" w:xAlign="left" w:yAlign="inline"/>
                    <w:rPr>
                      <w:color w:val="auto"/>
                    </w:rPr>
                  </w:pPr>
                  <w:r>
                    <w:rPr>
                      <w:color w:val="auto"/>
                    </w:rPr>
                    <w:t>车间</w:t>
                  </w:r>
                </w:p>
              </w:tc>
              <w:tc>
                <w:tcPr>
                  <w:tcW w:w="888" w:type="dxa"/>
                  <w:shd w:val="clear" w:color="auto" w:fill="FFFFFF"/>
                  <w:tcMar>
                    <w:top w:w="0" w:type="dxa"/>
                    <w:left w:w="0" w:type="dxa"/>
                    <w:bottom w:w="0" w:type="dxa"/>
                    <w:right w:w="0" w:type="dxa"/>
                  </w:tcMar>
                  <w:vAlign w:val="center"/>
                </w:tcPr>
                <w:p w14:paraId="1A90CB32">
                  <w:pPr>
                    <w:pStyle w:val="286"/>
                    <w:framePr w:hSpace="0" w:wrap="auto" w:vAnchor="margin" w:hAnchor="text" w:xAlign="left" w:yAlign="inline"/>
                    <w:rPr>
                      <w:rFonts w:hint="default" w:eastAsia="宋体"/>
                      <w:color w:val="auto"/>
                      <w:lang w:val="en-US" w:eastAsia="zh-CN"/>
                    </w:rPr>
                  </w:pPr>
                  <w:r>
                    <w:rPr>
                      <w:rFonts w:hint="eastAsia"/>
                      <w:color w:val="auto"/>
                      <w:lang w:eastAsia="zh-CN"/>
                    </w:rPr>
                    <w:t>生湿面制品生产线</w:t>
                  </w:r>
                  <w:r>
                    <w:rPr>
                      <w:rFonts w:hint="eastAsia"/>
                      <w:color w:val="auto"/>
                      <w:lang w:val="en-US" w:eastAsia="zh-CN"/>
                    </w:rPr>
                    <w:t>1</w:t>
                  </w:r>
                </w:p>
              </w:tc>
              <w:tc>
                <w:tcPr>
                  <w:tcW w:w="762" w:type="dxa"/>
                  <w:shd w:val="clear" w:color="auto" w:fill="FFFFFF"/>
                  <w:tcMar>
                    <w:top w:w="0" w:type="dxa"/>
                    <w:left w:w="0" w:type="dxa"/>
                    <w:bottom w:w="0" w:type="dxa"/>
                    <w:right w:w="0" w:type="dxa"/>
                  </w:tcMar>
                  <w:vAlign w:val="center"/>
                </w:tcPr>
                <w:p w14:paraId="3FCFEB9F">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85</w:t>
                  </w:r>
                </w:p>
              </w:tc>
              <w:tc>
                <w:tcPr>
                  <w:tcW w:w="484" w:type="dxa"/>
                  <w:vMerge w:val="restart"/>
                  <w:shd w:val="clear" w:color="auto" w:fill="FFFFFF"/>
                  <w:tcMar>
                    <w:top w:w="0" w:type="dxa"/>
                    <w:left w:w="0" w:type="dxa"/>
                    <w:bottom w:w="0" w:type="dxa"/>
                    <w:right w:w="0" w:type="dxa"/>
                  </w:tcMar>
                  <w:vAlign w:val="center"/>
                </w:tcPr>
                <w:p w14:paraId="268EFDEB">
                  <w:pPr>
                    <w:keepNext w:val="0"/>
                    <w:keepLines w:val="0"/>
                    <w:widowControl/>
                    <w:suppressLineNumbers w:val="0"/>
                    <w:jc w:val="left"/>
                    <w:rPr>
                      <w:rFonts w:hint="eastAsia" w:eastAsia="宋体"/>
                      <w:color w:val="0000FF"/>
                      <w:lang w:eastAsia="zh-CN"/>
                    </w:rPr>
                  </w:pPr>
                  <w:r>
                    <w:rPr>
                      <w:rFonts w:hint="eastAsia" w:ascii="宋体" w:hAnsi="宋体" w:eastAsia="宋体" w:cs="宋体"/>
                      <w:color w:val="000000"/>
                      <w:kern w:val="0"/>
                      <w:sz w:val="20"/>
                      <w:szCs w:val="20"/>
                      <w:lang w:val="en-US" w:eastAsia="zh-CN" w:bidi="ar"/>
                    </w:rPr>
                    <w:t>采用低噪声设备，安装减震基座</w:t>
                  </w:r>
                </w:p>
              </w:tc>
              <w:tc>
                <w:tcPr>
                  <w:tcW w:w="329" w:type="dxa"/>
                  <w:shd w:val="clear" w:color="auto" w:fill="FFFFFF"/>
                  <w:tcMar>
                    <w:top w:w="0" w:type="dxa"/>
                    <w:left w:w="0" w:type="dxa"/>
                    <w:bottom w:w="0" w:type="dxa"/>
                    <w:right w:w="0" w:type="dxa"/>
                  </w:tcMar>
                  <w:vAlign w:val="center"/>
                </w:tcPr>
                <w:p w14:paraId="56AFDAF7">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0</w:t>
                  </w:r>
                </w:p>
              </w:tc>
              <w:tc>
                <w:tcPr>
                  <w:tcW w:w="629" w:type="dxa"/>
                  <w:shd w:val="clear" w:color="auto" w:fill="FFFFFF"/>
                  <w:tcMar>
                    <w:top w:w="0" w:type="dxa"/>
                    <w:left w:w="0" w:type="dxa"/>
                    <w:bottom w:w="0" w:type="dxa"/>
                    <w:right w:w="0" w:type="dxa"/>
                  </w:tcMar>
                  <w:vAlign w:val="center"/>
                </w:tcPr>
                <w:p w14:paraId="33701138">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-10</w:t>
                  </w:r>
                </w:p>
              </w:tc>
              <w:tc>
                <w:tcPr>
                  <w:tcW w:w="630" w:type="dxa"/>
                  <w:shd w:val="clear" w:color="auto" w:fill="FFFFFF"/>
                  <w:tcMar>
                    <w:top w:w="0" w:type="dxa"/>
                    <w:left w:w="0" w:type="dxa"/>
                    <w:bottom w:w="0" w:type="dxa"/>
                    <w:right w:w="0" w:type="dxa"/>
                  </w:tcMar>
                  <w:vAlign w:val="center"/>
                </w:tcPr>
                <w:p w14:paraId="6D5162DD">
                  <w:pPr>
                    <w:pStyle w:val="286"/>
                    <w:framePr w:hSpace="0" w:wrap="auto" w:vAnchor="margin" w:hAnchor="text" w:xAlign="left" w:yAlign="inline"/>
                    <w:rPr>
                      <w:color w:val="auto"/>
                    </w:rPr>
                  </w:pPr>
                  <w:r>
                    <w:rPr>
                      <w:color w:val="auto"/>
                    </w:rPr>
                    <w:t>1.2</w:t>
                  </w:r>
                </w:p>
              </w:tc>
              <w:tc>
                <w:tcPr>
                  <w:tcW w:w="523" w:type="dxa"/>
                  <w:shd w:val="clear" w:color="auto" w:fill="FFFFFF"/>
                  <w:tcMar>
                    <w:top w:w="0" w:type="dxa"/>
                    <w:left w:w="0" w:type="dxa"/>
                    <w:bottom w:w="0" w:type="dxa"/>
                    <w:right w:w="0" w:type="dxa"/>
                  </w:tcMar>
                  <w:vAlign w:val="center"/>
                </w:tcPr>
                <w:p w14:paraId="664AAA19">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4.4</w:t>
                  </w:r>
                </w:p>
              </w:tc>
              <w:tc>
                <w:tcPr>
                  <w:tcW w:w="523" w:type="dxa"/>
                  <w:shd w:val="clear" w:color="auto" w:fill="FFFFFF"/>
                  <w:tcMar>
                    <w:top w:w="0" w:type="dxa"/>
                    <w:left w:w="0" w:type="dxa"/>
                    <w:bottom w:w="0" w:type="dxa"/>
                    <w:right w:w="0" w:type="dxa"/>
                  </w:tcMar>
                  <w:vAlign w:val="center"/>
                </w:tcPr>
                <w:p w14:paraId="596C7DF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12.9</w:t>
                  </w:r>
                </w:p>
              </w:tc>
              <w:tc>
                <w:tcPr>
                  <w:tcW w:w="523" w:type="dxa"/>
                  <w:shd w:val="clear" w:color="auto" w:fill="FFFFFF"/>
                  <w:tcMar>
                    <w:top w:w="0" w:type="dxa"/>
                    <w:left w:w="0" w:type="dxa"/>
                    <w:bottom w:w="0" w:type="dxa"/>
                    <w:right w:w="0" w:type="dxa"/>
                  </w:tcMar>
                  <w:vAlign w:val="center"/>
                </w:tcPr>
                <w:p w14:paraId="322A24E2">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2.5</w:t>
                  </w:r>
                </w:p>
              </w:tc>
              <w:tc>
                <w:tcPr>
                  <w:tcW w:w="524" w:type="dxa"/>
                  <w:shd w:val="clear" w:color="auto" w:fill="FFFFFF"/>
                  <w:tcMar>
                    <w:top w:w="0" w:type="dxa"/>
                    <w:left w:w="0" w:type="dxa"/>
                    <w:bottom w:w="0" w:type="dxa"/>
                    <w:right w:w="0" w:type="dxa"/>
                  </w:tcMar>
                  <w:vAlign w:val="center"/>
                </w:tcPr>
                <w:p w14:paraId="15D5C101">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10.7</w:t>
                  </w:r>
                </w:p>
              </w:tc>
              <w:tc>
                <w:tcPr>
                  <w:tcW w:w="517" w:type="dxa"/>
                  <w:shd w:val="clear" w:color="auto" w:fill="FFFFFF"/>
                  <w:tcMar>
                    <w:top w:w="0" w:type="dxa"/>
                    <w:left w:w="0" w:type="dxa"/>
                    <w:bottom w:w="0" w:type="dxa"/>
                    <w:right w:w="0" w:type="dxa"/>
                  </w:tcMar>
                  <w:vAlign w:val="center"/>
                </w:tcPr>
                <w:p w14:paraId="445A011B">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57.2</w:t>
                  </w:r>
                </w:p>
              </w:tc>
              <w:tc>
                <w:tcPr>
                  <w:tcW w:w="517" w:type="dxa"/>
                  <w:shd w:val="clear" w:color="auto" w:fill="FFFFFF"/>
                  <w:tcMar>
                    <w:top w:w="0" w:type="dxa"/>
                    <w:left w:w="0" w:type="dxa"/>
                    <w:bottom w:w="0" w:type="dxa"/>
                    <w:right w:w="0" w:type="dxa"/>
                  </w:tcMar>
                  <w:vAlign w:val="center"/>
                </w:tcPr>
                <w:p w14:paraId="4BE9360F">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57.1</w:t>
                  </w:r>
                </w:p>
              </w:tc>
              <w:tc>
                <w:tcPr>
                  <w:tcW w:w="517" w:type="dxa"/>
                  <w:shd w:val="clear" w:color="auto" w:fill="FFFFFF"/>
                  <w:tcMar>
                    <w:top w:w="0" w:type="dxa"/>
                    <w:left w:w="0" w:type="dxa"/>
                    <w:bottom w:w="0" w:type="dxa"/>
                    <w:right w:w="0" w:type="dxa"/>
                  </w:tcMar>
                  <w:vAlign w:val="center"/>
                </w:tcPr>
                <w:p w14:paraId="4CCBC1B4">
                  <w:pPr>
                    <w:pStyle w:val="286"/>
                    <w:framePr w:hSpace="0" w:wrap="auto" w:vAnchor="margin" w:hAnchor="text" w:xAlign="left" w:yAlign="inline"/>
                    <w:rPr>
                      <w:color w:val="auto"/>
                    </w:rPr>
                  </w:pPr>
                  <w:r>
                    <w:rPr>
                      <w:rFonts w:hint="eastAsia"/>
                      <w:color w:val="auto"/>
                      <w:lang w:val="en-US" w:eastAsia="zh-CN"/>
                    </w:rPr>
                    <w:t>57.2</w:t>
                  </w:r>
                </w:p>
              </w:tc>
              <w:tc>
                <w:tcPr>
                  <w:tcW w:w="518" w:type="dxa"/>
                  <w:shd w:val="clear" w:color="auto" w:fill="FFFFFF"/>
                  <w:tcMar>
                    <w:top w:w="0" w:type="dxa"/>
                    <w:left w:w="0" w:type="dxa"/>
                    <w:bottom w:w="0" w:type="dxa"/>
                    <w:right w:w="0" w:type="dxa"/>
                  </w:tcMar>
                  <w:vAlign w:val="center"/>
                </w:tcPr>
                <w:p w14:paraId="3FD2F194">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57.1</w:t>
                  </w:r>
                </w:p>
              </w:tc>
              <w:tc>
                <w:tcPr>
                  <w:tcW w:w="449" w:type="dxa"/>
                  <w:vMerge w:val="restart"/>
                  <w:shd w:val="clear" w:color="auto" w:fill="FFFFFF"/>
                  <w:tcMar>
                    <w:top w:w="0" w:type="dxa"/>
                    <w:left w:w="0" w:type="dxa"/>
                    <w:bottom w:w="0" w:type="dxa"/>
                    <w:right w:w="0" w:type="dxa"/>
                  </w:tcMar>
                  <w:vAlign w:val="center"/>
                </w:tcPr>
                <w:p w14:paraId="32A0A132">
                  <w:pPr>
                    <w:pStyle w:val="286"/>
                    <w:framePr w:hSpace="0" w:wrap="auto" w:vAnchor="margin" w:hAnchor="text" w:xAlign="left" w:yAlign="inline"/>
                    <w:rPr>
                      <w:rFonts w:hint="default"/>
                      <w:color w:val="auto"/>
                      <w:lang w:val="en-US"/>
                    </w:rPr>
                  </w:pPr>
                  <w:r>
                    <w:rPr>
                      <w:rFonts w:hint="eastAsia" w:ascii="Times New Roman" w:hAnsi="Times New Roman" w:eastAsia="宋体" w:cs="宋体"/>
                      <w:color w:val="auto"/>
                      <w:lang w:val="en-US" w:eastAsia="zh-CN"/>
                    </w:rPr>
                    <w:t>持续8小时</w:t>
                  </w:r>
                </w:p>
              </w:tc>
              <w:tc>
                <w:tcPr>
                  <w:tcW w:w="498" w:type="dxa"/>
                  <w:shd w:val="clear" w:color="auto" w:fill="FFFFFF"/>
                  <w:tcMar>
                    <w:top w:w="0" w:type="dxa"/>
                    <w:left w:w="0" w:type="dxa"/>
                    <w:bottom w:w="0" w:type="dxa"/>
                    <w:right w:w="0" w:type="dxa"/>
                  </w:tcMar>
                  <w:vAlign w:val="center"/>
                </w:tcPr>
                <w:p w14:paraId="51C72C3B">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60F8A867">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3E615082">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365A63F1">
                  <w:pPr>
                    <w:pStyle w:val="286"/>
                    <w:framePr w:hSpace="0" w:wrap="auto" w:vAnchor="margin" w:hAnchor="text" w:xAlign="left" w:yAlign="inline"/>
                    <w:rPr>
                      <w:color w:val="auto"/>
                    </w:rPr>
                  </w:pPr>
                  <w:r>
                    <w:rPr>
                      <w:color w:val="auto"/>
                    </w:rPr>
                    <w:t>26.0</w:t>
                  </w:r>
                </w:p>
              </w:tc>
              <w:tc>
                <w:tcPr>
                  <w:tcW w:w="531" w:type="dxa"/>
                  <w:shd w:val="clear" w:color="auto" w:fill="FFFFFF"/>
                  <w:tcMar>
                    <w:top w:w="0" w:type="dxa"/>
                    <w:left w:w="0" w:type="dxa"/>
                    <w:bottom w:w="0" w:type="dxa"/>
                    <w:right w:w="0" w:type="dxa"/>
                  </w:tcMar>
                  <w:vAlign w:val="center"/>
                </w:tcPr>
                <w:p w14:paraId="44B8F0CA">
                  <w:pPr>
                    <w:pStyle w:val="286"/>
                    <w:framePr w:hSpace="0" w:wrap="auto" w:vAnchor="margin" w:hAnchor="text" w:xAlign="left" w:yAlign="inline"/>
                    <w:rPr>
                      <w:rFonts w:hint="eastAsia"/>
                      <w:color w:val="auto"/>
                      <w:lang w:val="en-US" w:eastAsia="zh-CN"/>
                    </w:rPr>
                  </w:pPr>
                  <w:r>
                    <w:rPr>
                      <w:rFonts w:hint="eastAsia"/>
                      <w:color w:val="auto"/>
                      <w:lang w:val="en-US" w:eastAsia="zh-CN"/>
                    </w:rPr>
                    <w:t>31.2</w:t>
                  </w:r>
                </w:p>
              </w:tc>
              <w:tc>
                <w:tcPr>
                  <w:tcW w:w="531" w:type="dxa"/>
                  <w:shd w:val="clear" w:color="auto" w:fill="FFFFFF"/>
                  <w:tcMar>
                    <w:top w:w="0" w:type="dxa"/>
                    <w:left w:w="0" w:type="dxa"/>
                    <w:bottom w:w="0" w:type="dxa"/>
                    <w:right w:w="0" w:type="dxa"/>
                  </w:tcMar>
                  <w:vAlign w:val="center"/>
                </w:tcPr>
                <w:p w14:paraId="05FA3FDE">
                  <w:pPr>
                    <w:pStyle w:val="286"/>
                    <w:framePr w:hSpace="0" w:wrap="auto" w:vAnchor="margin" w:hAnchor="text" w:xAlign="left" w:yAlign="inline"/>
                    <w:rPr>
                      <w:rFonts w:hint="eastAsia"/>
                      <w:color w:val="auto"/>
                      <w:lang w:val="en-US" w:eastAsia="zh-CN"/>
                    </w:rPr>
                  </w:pPr>
                  <w:r>
                    <w:rPr>
                      <w:rFonts w:hint="eastAsia"/>
                      <w:color w:val="auto"/>
                      <w:lang w:val="en-US" w:eastAsia="zh-CN"/>
                    </w:rPr>
                    <w:t>31.1</w:t>
                  </w:r>
                </w:p>
              </w:tc>
              <w:tc>
                <w:tcPr>
                  <w:tcW w:w="531" w:type="dxa"/>
                  <w:shd w:val="clear" w:color="auto" w:fill="FFFFFF"/>
                  <w:tcMar>
                    <w:top w:w="0" w:type="dxa"/>
                    <w:left w:w="0" w:type="dxa"/>
                    <w:bottom w:w="0" w:type="dxa"/>
                    <w:right w:w="0" w:type="dxa"/>
                  </w:tcMar>
                  <w:vAlign w:val="center"/>
                </w:tcPr>
                <w:p w14:paraId="6C70C9E3">
                  <w:pPr>
                    <w:pStyle w:val="286"/>
                    <w:framePr w:hSpace="0" w:wrap="auto" w:vAnchor="margin" w:hAnchor="text" w:xAlign="left" w:yAlign="inline"/>
                    <w:rPr>
                      <w:rFonts w:hint="eastAsia"/>
                      <w:color w:val="auto"/>
                      <w:lang w:val="en-US" w:eastAsia="zh-CN"/>
                    </w:rPr>
                  </w:pPr>
                  <w:r>
                    <w:rPr>
                      <w:rFonts w:hint="eastAsia"/>
                      <w:color w:val="auto"/>
                      <w:lang w:val="en-US" w:eastAsia="zh-CN"/>
                    </w:rPr>
                    <w:t>31.2</w:t>
                  </w:r>
                </w:p>
              </w:tc>
              <w:tc>
                <w:tcPr>
                  <w:tcW w:w="532" w:type="dxa"/>
                  <w:shd w:val="clear" w:color="auto" w:fill="FFFFFF"/>
                  <w:tcMar>
                    <w:top w:w="0" w:type="dxa"/>
                    <w:left w:w="0" w:type="dxa"/>
                    <w:bottom w:w="0" w:type="dxa"/>
                    <w:right w:w="0" w:type="dxa"/>
                  </w:tcMar>
                  <w:vAlign w:val="center"/>
                </w:tcPr>
                <w:p w14:paraId="3DFE0A0B">
                  <w:pPr>
                    <w:pStyle w:val="286"/>
                    <w:framePr w:hSpace="0" w:wrap="auto" w:vAnchor="margin" w:hAnchor="text" w:xAlign="left" w:yAlign="inline"/>
                    <w:rPr>
                      <w:rFonts w:hint="eastAsia"/>
                      <w:color w:val="auto"/>
                      <w:lang w:val="en-US" w:eastAsia="zh-CN"/>
                    </w:rPr>
                  </w:pPr>
                  <w:r>
                    <w:rPr>
                      <w:rFonts w:hint="eastAsia"/>
                      <w:color w:val="auto"/>
                      <w:lang w:val="en-US" w:eastAsia="zh-CN"/>
                    </w:rPr>
                    <w:t>31.1</w:t>
                  </w:r>
                </w:p>
              </w:tc>
              <w:tc>
                <w:tcPr>
                  <w:tcW w:w="733" w:type="dxa"/>
                  <w:shd w:val="clear" w:color="auto" w:fill="FFFFFF"/>
                  <w:tcMar>
                    <w:top w:w="0" w:type="dxa"/>
                    <w:left w:w="0" w:type="dxa"/>
                    <w:bottom w:w="0" w:type="dxa"/>
                    <w:right w:w="0" w:type="dxa"/>
                  </w:tcMar>
                  <w:vAlign w:val="center"/>
                </w:tcPr>
                <w:p w14:paraId="55D41625">
                  <w:pPr>
                    <w:pStyle w:val="286"/>
                    <w:framePr w:hSpace="0" w:wrap="auto" w:vAnchor="margin" w:hAnchor="text" w:xAlign="left" w:yAlign="inline"/>
                    <w:rPr>
                      <w:color w:val="auto"/>
                    </w:rPr>
                  </w:pPr>
                  <w:r>
                    <w:rPr>
                      <w:color w:val="auto"/>
                    </w:rPr>
                    <w:t>1</w:t>
                  </w:r>
                </w:p>
              </w:tc>
            </w:tr>
            <w:tr w14:paraId="6CC879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101F94F5">
                  <w:pPr>
                    <w:pStyle w:val="286"/>
                    <w:framePr w:hSpace="0" w:wrap="auto" w:vAnchor="margin" w:hAnchor="text" w:xAlign="left" w:yAlign="inline"/>
                    <w:rPr>
                      <w:color w:val="auto"/>
                    </w:rPr>
                  </w:pPr>
                  <w:r>
                    <w:rPr>
                      <w:color w:val="auto"/>
                    </w:rPr>
                    <w:t>2</w:t>
                  </w:r>
                </w:p>
              </w:tc>
              <w:tc>
                <w:tcPr>
                  <w:tcW w:w="542" w:type="dxa"/>
                  <w:vMerge w:val="continue"/>
                  <w:shd w:val="clear" w:color="auto" w:fill="FFFFFF"/>
                  <w:tcMar>
                    <w:top w:w="0" w:type="dxa"/>
                    <w:left w:w="0" w:type="dxa"/>
                    <w:bottom w:w="0" w:type="dxa"/>
                    <w:right w:w="0" w:type="dxa"/>
                  </w:tcMar>
                  <w:vAlign w:val="center"/>
                </w:tcPr>
                <w:p w14:paraId="37DDCAD9">
                  <w:pPr>
                    <w:pStyle w:val="286"/>
                    <w:framePr w:hSpace="0" w:wrap="auto" w:vAnchor="margin" w:hAnchor="text" w:xAlign="left" w:yAlign="inline"/>
                    <w:rPr>
                      <w:color w:val="auto"/>
                    </w:rPr>
                  </w:pPr>
                </w:p>
              </w:tc>
              <w:tc>
                <w:tcPr>
                  <w:tcW w:w="888" w:type="dxa"/>
                  <w:shd w:val="clear" w:color="auto" w:fill="FFFFFF"/>
                  <w:tcMar>
                    <w:top w:w="0" w:type="dxa"/>
                    <w:left w:w="0" w:type="dxa"/>
                    <w:bottom w:w="0" w:type="dxa"/>
                    <w:right w:w="0" w:type="dxa"/>
                  </w:tcMar>
                  <w:vAlign w:val="center"/>
                </w:tcPr>
                <w:p w14:paraId="52BBAAB7">
                  <w:pPr>
                    <w:pStyle w:val="286"/>
                    <w:framePr w:hSpace="0" w:wrap="auto" w:vAnchor="margin" w:hAnchor="text" w:xAlign="left" w:yAlign="inline"/>
                    <w:rPr>
                      <w:rFonts w:hint="default" w:eastAsia="宋体"/>
                      <w:color w:val="auto"/>
                      <w:lang w:val="en-US" w:eastAsia="zh-CN"/>
                    </w:rPr>
                  </w:pPr>
                  <w:r>
                    <w:rPr>
                      <w:rFonts w:hint="eastAsia"/>
                      <w:color w:val="auto"/>
                      <w:lang w:eastAsia="zh-CN"/>
                    </w:rPr>
                    <w:t>凉皮设备生产线</w:t>
                  </w:r>
                  <w:r>
                    <w:rPr>
                      <w:rFonts w:hint="eastAsia"/>
                      <w:color w:val="auto"/>
                      <w:lang w:val="en-US" w:eastAsia="zh-CN"/>
                    </w:rPr>
                    <w:t>1</w:t>
                  </w:r>
                </w:p>
              </w:tc>
              <w:tc>
                <w:tcPr>
                  <w:tcW w:w="762" w:type="dxa"/>
                  <w:shd w:val="clear" w:color="auto" w:fill="FFFFFF"/>
                  <w:tcMar>
                    <w:top w:w="0" w:type="dxa"/>
                    <w:left w:w="0" w:type="dxa"/>
                    <w:bottom w:w="0" w:type="dxa"/>
                    <w:right w:w="0" w:type="dxa"/>
                  </w:tcMar>
                  <w:vAlign w:val="center"/>
                </w:tcPr>
                <w:p w14:paraId="04911E0D">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80</w:t>
                  </w:r>
                </w:p>
              </w:tc>
              <w:tc>
                <w:tcPr>
                  <w:tcW w:w="484" w:type="dxa"/>
                  <w:vMerge w:val="continue"/>
                  <w:shd w:val="clear" w:color="auto" w:fill="FFFFFF"/>
                  <w:tcMar>
                    <w:top w:w="0" w:type="dxa"/>
                    <w:left w:w="0" w:type="dxa"/>
                    <w:bottom w:w="0" w:type="dxa"/>
                    <w:right w:w="0" w:type="dxa"/>
                  </w:tcMar>
                  <w:vAlign w:val="center"/>
                </w:tcPr>
                <w:p w14:paraId="4E3A9DF5">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39CA938D">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0</w:t>
                  </w:r>
                </w:p>
              </w:tc>
              <w:tc>
                <w:tcPr>
                  <w:tcW w:w="629" w:type="dxa"/>
                  <w:shd w:val="clear" w:color="auto" w:fill="FFFFFF"/>
                  <w:tcMar>
                    <w:top w:w="0" w:type="dxa"/>
                    <w:left w:w="0" w:type="dxa"/>
                    <w:bottom w:w="0" w:type="dxa"/>
                    <w:right w:w="0" w:type="dxa"/>
                  </w:tcMar>
                  <w:vAlign w:val="center"/>
                </w:tcPr>
                <w:p w14:paraId="2B8B5001">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3</w:t>
                  </w:r>
                </w:p>
              </w:tc>
              <w:tc>
                <w:tcPr>
                  <w:tcW w:w="630" w:type="dxa"/>
                  <w:shd w:val="clear" w:color="auto" w:fill="FFFFFF"/>
                  <w:tcMar>
                    <w:top w:w="0" w:type="dxa"/>
                    <w:left w:w="0" w:type="dxa"/>
                    <w:bottom w:w="0" w:type="dxa"/>
                    <w:right w:w="0" w:type="dxa"/>
                  </w:tcMar>
                  <w:vAlign w:val="center"/>
                </w:tcPr>
                <w:p w14:paraId="1A8910A8">
                  <w:pPr>
                    <w:pStyle w:val="286"/>
                    <w:framePr w:hSpace="0" w:wrap="auto" w:vAnchor="margin" w:hAnchor="text" w:xAlign="left" w:yAlign="inline"/>
                    <w:rPr>
                      <w:color w:val="auto"/>
                    </w:rPr>
                  </w:pPr>
                  <w:r>
                    <w:rPr>
                      <w:color w:val="auto"/>
                    </w:rPr>
                    <w:t>1.2</w:t>
                  </w:r>
                </w:p>
              </w:tc>
              <w:tc>
                <w:tcPr>
                  <w:tcW w:w="523" w:type="dxa"/>
                  <w:shd w:val="clear" w:color="auto" w:fill="FFFFFF"/>
                  <w:tcMar>
                    <w:top w:w="0" w:type="dxa"/>
                    <w:left w:w="0" w:type="dxa"/>
                    <w:bottom w:w="0" w:type="dxa"/>
                    <w:right w:w="0" w:type="dxa"/>
                  </w:tcMar>
                  <w:vAlign w:val="center"/>
                </w:tcPr>
                <w:p w14:paraId="1750ABCA">
                  <w:pPr>
                    <w:pStyle w:val="286"/>
                    <w:framePr w:hSpace="0" w:wrap="auto" w:vAnchor="margin" w:hAnchor="text" w:xAlign="left" w:yAlign="inline"/>
                    <w:rPr>
                      <w:rFonts w:hint="default" w:ascii="Times New Roman" w:hAnsi="Times New Roman" w:eastAsia="宋体" w:cs="宋体"/>
                      <w:color w:val="auto"/>
                      <w:lang w:val="en-US" w:eastAsia="zh-CN"/>
                    </w:rPr>
                  </w:pPr>
                  <w:r>
                    <w:rPr>
                      <w:rFonts w:hint="eastAsia" w:ascii="Times New Roman" w:hAnsi="Times New Roman" w:eastAsia="宋体" w:cs="宋体"/>
                      <w:color w:val="auto"/>
                      <w:lang w:val="en-US" w:eastAsia="zh-CN"/>
                    </w:rPr>
                    <w:t>26.9</w:t>
                  </w:r>
                </w:p>
              </w:tc>
              <w:tc>
                <w:tcPr>
                  <w:tcW w:w="523" w:type="dxa"/>
                  <w:shd w:val="clear" w:color="auto" w:fill="FFFFFF"/>
                  <w:tcMar>
                    <w:top w:w="0" w:type="dxa"/>
                    <w:left w:w="0" w:type="dxa"/>
                    <w:bottom w:w="0" w:type="dxa"/>
                    <w:right w:w="0" w:type="dxa"/>
                  </w:tcMar>
                  <w:vAlign w:val="center"/>
                </w:tcPr>
                <w:p w14:paraId="0CDB250D">
                  <w:pPr>
                    <w:pStyle w:val="286"/>
                    <w:framePr w:hSpace="0" w:wrap="auto" w:vAnchor="margin" w:hAnchor="text" w:xAlign="left" w:yAlign="inline"/>
                    <w:rPr>
                      <w:rFonts w:hint="default" w:ascii="Times New Roman" w:hAnsi="Times New Roman" w:eastAsia="宋体" w:cs="宋体"/>
                      <w:color w:val="auto"/>
                      <w:lang w:val="en-US" w:eastAsia="zh-CN"/>
                    </w:rPr>
                  </w:pPr>
                  <w:r>
                    <w:rPr>
                      <w:rFonts w:hint="eastAsia" w:ascii="Times New Roman" w:hAnsi="Times New Roman" w:eastAsia="宋体" w:cs="宋体"/>
                      <w:color w:val="auto"/>
                      <w:lang w:val="en-US" w:eastAsia="zh-CN"/>
                    </w:rPr>
                    <w:t>28.3</w:t>
                  </w:r>
                </w:p>
              </w:tc>
              <w:tc>
                <w:tcPr>
                  <w:tcW w:w="523" w:type="dxa"/>
                  <w:shd w:val="clear" w:color="auto" w:fill="FFFFFF"/>
                  <w:tcMar>
                    <w:top w:w="0" w:type="dxa"/>
                    <w:left w:w="0" w:type="dxa"/>
                    <w:bottom w:w="0" w:type="dxa"/>
                    <w:right w:w="0" w:type="dxa"/>
                  </w:tcMar>
                  <w:vAlign w:val="center"/>
                </w:tcPr>
                <w:p w14:paraId="4E290DD5">
                  <w:pPr>
                    <w:pStyle w:val="286"/>
                    <w:framePr w:hSpace="0" w:wrap="auto" w:vAnchor="margin" w:hAnchor="text" w:xAlign="left" w:yAlign="inline"/>
                    <w:rPr>
                      <w:rFonts w:hint="default" w:ascii="Times New Roman" w:hAnsi="Times New Roman" w:eastAsia="宋体" w:cs="宋体"/>
                      <w:color w:val="auto"/>
                      <w:lang w:val="en-US" w:eastAsia="zh-CN"/>
                    </w:rPr>
                  </w:pPr>
                  <w:r>
                    <w:rPr>
                      <w:rFonts w:hint="eastAsia" w:ascii="Times New Roman" w:hAnsi="Times New Roman" w:eastAsia="宋体" w:cs="宋体"/>
                      <w:color w:val="auto"/>
                      <w:lang w:val="en-US" w:eastAsia="zh-CN"/>
                    </w:rPr>
                    <w:t>30.7</w:t>
                  </w:r>
                </w:p>
              </w:tc>
              <w:tc>
                <w:tcPr>
                  <w:tcW w:w="524" w:type="dxa"/>
                  <w:shd w:val="clear" w:color="auto" w:fill="FFFFFF"/>
                  <w:tcMar>
                    <w:top w:w="0" w:type="dxa"/>
                    <w:left w:w="0" w:type="dxa"/>
                    <w:bottom w:w="0" w:type="dxa"/>
                    <w:right w:w="0" w:type="dxa"/>
                  </w:tcMar>
                  <w:vAlign w:val="center"/>
                </w:tcPr>
                <w:p w14:paraId="1804815E">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1.2</w:t>
                  </w:r>
                </w:p>
              </w:tc>
              <w:tc>
                <w:tcPr>
                  <w:tcW w:w="517" w:type="dxa"/>
                  <w:shd w:val="clear" w:color="auto" w:fill="FFFFFF"/>
                  <w:tcMar>
                    <w:top w:w="0" w:type="dxa"/>
                    <w:left w:w="0" w:type="dxa"/>
                    <w:bottom w:w="0" w:type="dxa"/>
                    <w:right w:w="0" w:type="dxa"/>
                  </w:tcMar>
                  <w:vAlign w:val="center"/>
                </w:tcPr>
                <w:p w14:paraId="7FE3B695">
                  <w:pPr>
                    <w:pStyle w:val="286"/>
                    <w:framePr w:hSpace="0" w:wrap="auto" w:vAnchor="margin" w:hAnchor="text" w:xAlign="left" w:yAlign="inline"/>
                    <w:rPr>
                      <w:color w:val="auto"/>
                    </w:rPr>
                  </w:pPr>
                  <w:r>
                    <w:rPr>
                      <w:color w:val="auto"/>
                    </w:rPr>
                    <w:t>54.5</w:t>
                  </w:r>
                </w:p>
              </w:tc>
              <w:tc>
                <w:tcPr>
                  <w:tcW w:w="517" w:type="dxa"/>
                  <w:shd w:val="clear" w:color="auto" w:fill="FFFFFF"/>
                  <w:tcMar>
                    <w:top w:w="0" w:type="dxa"/>
                    <w:left w:w="0" w:type="dxa"/>
                    <w:bottom w:w="0" w:type="dxa"/>
                    <w:right w:w="0" w:type="dxa"/>
                  </w:tcMar>
                  <w:vAlign w:val="center"/>
                </w:tcPr>
                <w:p w14:paraId="5DE05E40">
                  <w:pPr>
                    <w:pStyle w:val="286"/>
                    <w:framePr w:hSpace="0" w:wrap="auto" w:vAnchor="margin" w:hAnchor="text" w:xAlign="left" w:yAlign="inline"/>
                    <w:rPr>
                      <w:color w:val="auto"/>
                    </w:rPr>
                  </w:pPr>
                  <w:r>
                    <w:rPr>
                      <w:color w:val="auto"/>
                    </w:rPr>
                    <w:t>54.4</w:t>
                  </w:r>
                </w:p>
              </w:tc>
              <w:tc>
                <w:tcPr>
                  <w:tcW w:w="517" w:type="dxa"/>
                  <w:shd w:val="clear" w:color="auto" w:fill="FFFFFF"/>
                  <w:tcMar>
                    <w:top w:w="0" w:type="dxa"/>
                    <w:left w:w="0" w:type="dxa"/>
                    <w:bottom w:w="0" w:type="dxa"/>
                    <w:right w:w="0" w:type="dxa"/>
                  </w:tcMar>
                  <w:vAlign w:val="center"/>
                </w:tcPr>
                <w:p w14:paraId="038C9B4A">
                  <w:pPr>
                    <w:pStyle w:val="286"/>
                    <w:framePr w:hSpace="0" w:wrap="auto" w:vAnchor="margin" w:hAnchor="text" w:xAlign="left" w:yAlign="inline"/>
                    <w:rPr>
                      <w:color w:val="auto"/>
                    </w:rPr>
                  </w:pPr>
                  <w:r>
                    <w:rPr>
                      <w:color w:val="auto"/>
                    </w:rPr>
                    <w:t>54.4</w:t>
                  </w:r>
                </w:p>
              </w:tc>
              <w:tc>
                <w:tcPr>
                  <w:tcW w:w="518" w:type="dxa"/>
                  <w:shd w:val="clear" w:color="auto" w:fill="FFFFFF"/>
                  <w:tcMar>
                    <w:top w:w="0" w:type="dxa"/>
                    <w:left w:w="0" w:type="dxa"/>
                    <w:bottom w:w="0" w:type="dxa"/>
                    <w:right w:w="0" w:type="dxa"/>
                  </w:tcMar>
                  <w:vAlign w:val="center"/>
                </w:tcPr>
                <w:p w14:paraId="442E17C9">
                  <w:pPr>
                    <w:pStyle w:val="286"/>
                    <w:framePr w:hSpace="0" w:wrap="auto" w:vAnchor="margin" w:hAnchor="text" w:xAlign="left" w:yAlign="inline"/>
                    <w:rPr>
                      <w:color w:val="auto"/>
                    </w:rPr>
                  </w:pPr>
                  <w:r>
                    <w:rPr>
                      <w:color w:val="auto"/>
                    </w:rPr>
                    <w:t>54.4</w:t>
                  </w:r>
                </w:p>
              </w:tc>
              <w:tc>
                <w:tcPr>
                  <w:tcW w:w="449" w:type="dxa"/>
                  <w:vMerge w:val="continue"/>
                  <w:shd w:val="clear" w:color="auto" w:fill="FFFFFF"/>
                  <w:tcMar>
                    <w:top w:w="0" w:type="dxa"/>
                    <w:left w:w="0" w:type="dxa"/>
                    <w:bottom w:w="0" w:type="dxa"/>
                    <w:right w:w="0" w:type="dxa"/>
                  </w:tcMar>
                  <w:vAlign w:val="center"/>
                </w:tcPr>
                <w:p w14:paraId="375352CF">
                  <w:pPr>
                    <w:rPr>
                      <w:color w:val="auto"/>
                    </w:rPr>
                  </w:pPr>
                </w:p>
              </w:tc>
              <w:tc>
                <w:tcPr>
                  <w:tcW w:w="498" w:type="dxa"/>
                  <w:shd w:val="clear" w:color="auto" w:fill="FFFFFF"/>
                  <w:tcMar>
                    <w:top w:w="0" w:type="dxa"/>
                    <w:left w:w="0" w:type="dxa"/>
                    <w:bottom w:w="0" w:type="dxa"/>
                    <w:right w:w="0" w:type="dxa"/>
                  </w:tcMar>
                  <w:vAlign w:val="center"/>
                </w:tcPr>
                <w:p w14:paraId="129CB268">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20750624">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44795C0F">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7ECD8223">
                  <w:pPr>
                    <w:pStyle w:val="286"/>
                    <w:framePr w:hSpace="0" w:wrap="auto" w:vAnchor="margin" w:hAnchor="text" w:xAlign="left" w:yAlign="inline"/>
                    <w:rPr>
                      <w:color w:val="auto"/>
                    </w:rPr>
                  </w:pPr>
                  <w:r>
                    <w:rPr>
                      <w:color w:val="auto"/>
                    </w:rPr>
                    <w:t>26.0</w:t>
                  </w:r>
                </w:p>
              </w:tc>
              <w:tc>
                <w:tcPr>
                  <w:tcW w:w="531" w:type="dxa"/>
                  <w:shd w:val="clear" w:color="auto" w:fill="FFFFFF"/>
                  <w:tcMar>
                    <w:top w:w="0" w:type="dxa"/>
                    <w:left w:w="0" w:type="dxa"/>
                    <w:bottom w:w="0" w:type="dxa"/>
                    <w:right w:w="0" w:type="dxa"/>
                  </w:tcMar>
                  <w:vAlign w:val="center"/>
                </w:tcPr>
                <w:p w14:paraId="2D067EFD">
                  <w:pPr>
                    <w:pStyle w:val="286"/>
                    <w:framePr w:hSpace="0" w:wrap="auto" w:vAnchor="margin" w:hAnchor="text" w:xAlign="left" w:yAlign="inline"/>
                    <w:rPr>
                      <w:rFonts w:hint="eastAsia"/>
                      <w:color w:val="auto"/>
                      <w:lang w:val="en-US" w:eastAsia="zh-CN"/>
                    </w:rPr>
                  </w:pPr>
                  <w:r>
                    <w:rPr>
                      <w:rFonts w:hint="eastAsia"/>
                      <w:color w:val="auto"/>
                      <w:lang w:val="en-US" w:eastAsia="zh-CN"/>
                    </w:rPr>
                    <w:t>28.5</w:t>
                  </w:r>
                </w:p>
              </w:tc>
              <w:tc>
                <w:tcPr>
                  <w:tcW w:w="531" w:type="dxa"/>
                  <w:shd w:val="clear" w:color="auto" w:fill="FFFFFF"/>
                  <w:tcMar>
                    <w:top w:w="0" w:type="dxa"/>
                    <w:left w:w="0" w:type="dxa"/>
                    <w:bottom w:w="0" w:type="dxa"/>
                    <w:right w:w="0" w:type="dxa"/>
                  </w:tcMar>
                  <w:vAlign w:val="center"/>
                </w:tcPr>
                <w:p w14:paraId="6D427691">
                  <w:pPr>
                    <w:pStyle w:val="286"/>
                    <w:framePr w:hSpace="0" w:wrap="auto" w:vAnchor="margin" w:hAnchor="text" w:xAlign="left" w:yAlign="inline"/>
                    <w:rPr>
                      <w:rFonts w:hint="eastAsia"/>
                      <w:color w:val="auto"/>
                      <w:lang w:val="en-US" w:eastAsia="zh-CN"/>
                    </w:rPr>
                  </w:pPr>
                  <w:r>
                    <w:rPr>
                      <w:rFonts w:hint="eastAsia"/>
                      <w:color w:val="auto"/>
                      <w:lang w:val="en-US" w:eastAsia="zh-CN"/>
                    </w:rPr>
                    <w:t>28.4</w:t>
                  </w:r>
                </w:p>
              </w:tc>
              <w:tc>
                <w:tcPr>
                  <w:tcW w:w="531" w:type="dxa"/>
                  <w:shd w:val="clear" w:color="auto" w:fill="FFFFFF"/>
                  <w:tcMar>
                    <w:top w:w="0" w:type="dxa"/>
                    <w:left w:w="0" w:type="dxa"/>
                    <w:bottom w:w="0" w:type="dxa"/>
                    <w:right w:w="0" w:type="dxa"/>
                  </w:tcMar>
                  <w:vAlign w:val="center"/>
                </w:tcPr>
                <w:p w14:paraId="29CB7D88">
                  <w:pPr>
                    <w:pStyle w:val="286"/>
                    <w:framePr w:hSpace="0" w:wrap="auto" w:vAnchor="margin" w:hAnchor="text" w:xAlign="left" w:yAlign="inline"/>
                    <w:rPr>
                      <w:rFonts w:hint="eastAsia"/>
                      <w:color w:val="auto"/>
                      <w:lang w:val="en-US" w:eastAsia="zh-CN"/>
                    </w:rPr>
                  </w:pPr>
                  <w:r>
                    <w:rPr>
                      <w:rFonts w:hint="eastAsia"/>
                      <w:color w:val="auto"/>
                      <w:lang w:val="en-US" w:eastAsia="zh-CN"/>
                    </w:rPr>
                    <w:t>28.4</w:t>
                  </w:r>
                </w:p>
              </w:tc>
              <w:tc>
                <w:tcPr>
                  <w:tcW w:w="532" w:type="dxa"/>
                  <w:shd w:val="clear" w:color="auto" w:fill="FFFFFF"/>
                  <w:tcMar>
                    <w:top w:w="0" w:type="dxa"/>
                    <w:left w:w="0" w:type="dxa"/>
                    <w:bottom w:w="0" w:type="dxa"/>
                    <w:right w:w="0" w:type="dxa"/>
                  </w:tcMar>
                  <w:vAlign w:val="center"/>
                </w:tcPr>
                <w:p w14:paraId="7E9B90C3">
                  <w:pPr>
                    <w:pStyle w:val="286"/>
                    <w:framePr w:hSpace="0" w:wrap="auto" w:vAnchor="margin" w:hAnchor="text" w:xAlign="left" w:yAlign="inline"/>
                    <w:rPr>
                      <w:rFonts w:hint="eastAsia"/>
                      <w:color w:val="auto"/>
                      <w:lang w:val="en-US" w:eastAsia="zh-CN"/>
                    </w:rPr>
                  </w:pPr>
                  <w:r>
                    <w:rPr>
                      <w:rFonts w:hint="eastAsia"/>
                      <w:color w:val="auto"/>
                      <w:lang w:val="en-US" w:eastAsia="zh-CN"/>
                    </w:rPr>
                    <w:t>28.4</w:t>
                  </w:r>
                </w:p>
              </w:tc>
              <w:tc>
                <w:tcPr>
                  <w:tcW w:w="733" w:type="dxa"/>
                  <w:shd w:val="clear" w:color="auto" w:fill="FFFFFF"/>
                  <w:tcMar>
                    <w:top w:w="0" w:type="dxa"/>
                    <w:left w:w="0" w:type="dxa"/>
                    <w:bottom w:w="0" w:type="dxa"/>
                    <w:right w:w="0" w:type="dxa"/>
                  </w:tcMar>
                  <w:vAlign w:val="center"/>
                </w:tcPr>
                <w:p w14:paraId="310D782F">
                  <w:pPr>
                    <w:pStyle w:val="286"/>
                    <w:framePr w:hSpace="0" w:wrap="auto" w:vAnchor="margin" w:hAnchor="text" w:xAlign="left" w:yAlign="inline"/>
                    <w:rPr>
                      <w:color w:val="auto"/>
                    </w:rPr>
                  </w:pPr>
                  <w:r>
                    <w:rPr>
                      <w:color w:val="auto"/>
                    </w:rPr>
                    <w:t>1</w:t>
                  </w:r>
                </w:p>
              </w:tc>
            </w:tr>
            <w:tr w14:paraId="6CE81A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5A7B4CBC">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3</w:t>
                  </w:r>
                </w:p>
              </w:tc>
              <w:tc>
                <w:tcPr>
                  <w:tcW w:w="542" w:type="dxa"/>
                  <w:vMerge w:val="continue"/>
                  <w:shd w:val="clear" w:color="auto" w:fill="FFFFFF"/>
                  <w:tcMar>
                    <w:top w:w="0" w:type="dxa"/>
                    <w:left w:w="0" w:type="dxa"/>
                    <w:bottom w:w="0" w:type="dxa"/>
                    <w:right w:w="0" w:type="dxa"/>
                  </w:tcMar>
                  <w:vAlign w:val="center"/>
                </w:tcPr>
                <w:p w14:paraId="18019F4A">
                  <w:pPr>
                    <w:pStyle w:val="286"/>
                    <w:framePr w:hSpace="0" w:wrap="auto" w:vAnchor="margin" w:hAnchor="text" w:xAlign="left" w:yAlign="inline"/>
                    <w:rPr>
                      <w:rFonts w:ascii="Times New Roman" w:hAnsi="Times New Roman" w:eastAsia="宋体" w:cs="宋体"/>
                      <w:color w:val="auto"/>
                      <w:kern w:val="2"/>
                      <w:sz w:val="18"/>
                      <w:szCs w:val="22"/>
                      <w:lang w:val="zh-CN" w:eastAsia="zh-CN" w:bidi="ar-SA"/>
                    </w:rPr>
                  </w:pPr>
                </w:p>
              </w:tc>
              <w:tc>
                <w:tcPr>
                  <w:tcW w:w="888" w:type="dxa"/>
                  <w:shd w:val="clear" w:color="auto" w:fill="FFFFFF"/>
                  <w:tcMar>
                    <w:top w:w="0" w:type="dxa"/>
                    <w:left w:w="0" w:type="dxa"/>
                    <w:bottom w:w="0" w:type="dxa"/>
                    <w:right w:w="0" w:type="dxa"/>
                  </w:tcMar>
                  <w:vAlign w:val="center"/>
                </w:tcPr>
                <w:p w14:paraId="5E80CECA">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eastAsia="zh-CN"/>
                    </w:rPr>
                    <w:t>凉皮设备生产线</w:t>
                  </w:r>
                  <w:r>
                    <w:rPr>
                      <w:rFonts w:hint="eastAsia"/>
                      <w:color w:val="auto"/>
                      <w:lang w:val="en-US" w:eastAsia="zh-CN"/>
                    </w:rPr>
                    <w:t>2</w:t>
                  </w:r>
                </w:p>
              </w:tc>
              <w:tc>
                <w:tcPr>
                  <w:tcW w:w="762" w:type="dxa"/>
                  <w:shd w:val="clear" w:color="auto" w:fill="FFFFFF"/>
                  <w:tcMar>
                    <w:top w:w="0" w:type="dxa"/>
                    <w:left w:w="0" w:type="dxa"/>
                    <w:bottom w:w="0" w:type="dxa"/>
                    <w:right w:w="0" w:type="dxa"/>
                  </w:tcMar>
                  <w:vAlign w:val="center"/>
                </w:tcPr>
                <w:p w14:paraId="5E06DCF8">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80</w:t>
                  </w:r>
                </w:p>
              </w:tc>
              <w:tc>
                <w:tcPr>
                  <w:tcW w:w="484" w:type="dxa"/>
                  <w:vMerge w:val="continue"/>
                  <w:shd w:val="clear" w:color="auto" w:fill="FFFFFF"/>
                  <w:tcMar>
                    <w:top w:w="0" w:type="dxa"/>
                    <w:left w:w="0" w:type="dxa"/>
                    <w:bottom w:w="0" w:type="dxa"/>
                    <w:right w:w="0" w:type="dxa"/>
                  </w:tcMar>
                  <w:vAlign w:val="center"/>
                </w:tcPr>
                <w:p w14:paraId="29E8F7B4">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2E9D75C8">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0</w:t>
                  </w:r>
                </w:p>
              </w:tc>
              <w:tc>
                <w:tcPr>
                  <w:tcW w:w="629" w:type="dxa"/>
                  <w:shd w:val="clear" w:color="auto" w:fill="FFFFFF"/>
                  <w:tcMar>
                    <w:top w:w="0" w:type="dxa"/>
                    <w:left w:w="0" w:type="dxa"/>
                    <w:bottom w:w="0" w:type="dxa"/>
                    <w:right w:w="0" w:type="dxa"/>
                  </w:tcMar>
                  <w:vAlign w:val="center"/>
                </w:tcPr>
                <w:p w14:paraId="07B6CC9A">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1</w:t>
                  </w:r>
                </w:p>
              </w:tc>
              <w:tc>
                <w:tcPr>
                  <w:tcW w:w="630" w:type="dxa"/>
                  <w:shd w:val="clear" w:color="auto" w:fill="FFFFFF"/>
                  <w:tcMar>
                    <w:top w:w="0" w:type="dxa"/>
                    <w:left w:w="0" w:type="dxa"/>
                    <w:bottom w:w="0" w:type="dxa"/>
                    <w:right w:w="0" w:type="dxa"/>
                  </w:tcMar>
                  <w:vAlign w:val="center"/>
                </w:tcPr>
                <w:p w14:paraId="48A28A1C">
                  <w:pPr>
                    <w:pStyle w:val="286"/>
                    <w:framePr w:hSpace="0" w:wrap="auto" w:vAnchor="margin" w:hAnchor="text" w:xAlign="left" w:yAlign="inline"/>
                    <w:rPr>
                      <w:color w:val="auto"/>
                    </w:rPr>
                  </w:pPr>
                  <w:r>
                    <w:rPr>
                      <w:color w:val="auto"/>
                    </w:rPr>
                    <w:t>1.2</w:t>
                  </w:r>
                </w:p>
              </w:tc>
              <w:tc>
                <w:tcPr>
                  <w:tcW w:w="523" w:type="dxa"/>
                  <w:shd w:val="clear" w:color="auto" w:fill="FFFFFF"/>
                  <w:tcMar>
                    <w:top w:w="0" w:type="dxa"/>
                    <w:left w:w="0" w:type="dxa"/>
                    <w:bottom w:w="0" w:type="dxa"/>
                    <w:right w:w="0" w:type="dxa"/>
                  </w:tcMar>
                  <w:vAlign w:val="center"/>
                </w:tcPr>
                <w:p w14:paraId="2250DFB7">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26.9</w:t>
                  </w:r>
                </w:p>
              </w:tc>
              <w:tc>
                <w:tcPr>
                  <w:tcW w:w="523" w:type="dxa"/>
                  <w:shd w:val="clear" w:color="auto" w:fill="FFFFFF"/>
                  <w:tcMar>
                    <w:top w:w="0" w:type="dxa"/>
                    <w:left w:w="0" w:type="dxa"/>
                    <w:bottom w:w="0" w:type="dxa"/>
                    <w:right w:w="0" w:type="dxa"/>
                  </w:tcMar>
                  <w:vAlign w:val="center"/>
                </w:tcPr>
                <w:p w14:paraId="6ED62394">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26.3</w:t>
                  </w:r>
                </w:p>
              </w:tc>
              <w:tc>
                <w:tcPr>
                  <w:tcW w:w="523" w:type="dxa"/>
                  <w:shd w:val="clear" w:color="auto" w:fill="FFFFFF"/>
                  <w:tcMar>
                    <w:top w:w="0" w:type="dxa"/>
                    <w:left w:w="0" w:type="dxa"/>
                    <w:bottom w:w="0" w:type="dxa"/>
                    <w:right w:w="0" w:type="dxa"/>
                  </w:tcMar>
                  <w:vAlign w:val="center"/>
                </w:tcPr>
                <w:p w14:paraId="66C8CAB7">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30.7</w:t>
                  </w:r>
                </w:p>
              </w:tc>
              <w:tc>
                <w:tcPr>
                  <w:tcW w:w="524" w:type="dxa"/>
                  <w:shd w:val="clear" w:color="auto" w:fill="FFFFFF"/>
                  <w:tcMar>
                    <w:top w:w="0" w:type="dxa"/>
                    <w:left w:w="0" w:type="dxa"/>
                    <w:bottom w:w="0" w:type="dxa"/>
                    <w:right w:w="0" w:type="dxa"/>
                  </w:tcMar>
                  <w:vAlign w:val="center"/>
                </w:tcPr>
                <w:p w14:paraId="19016B8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3.2</w:t>
                  </w:r>
                </w:p>
              </w:tc>
              <w:tc>
                <w:tcPr>
                  <w:tcW w:w="517" w:type="dxa"/>
                  <w:shd w:val="clear" w:color="auto" w:fill="FFFFFF"/>
                  <w:tcMar>
                    <w:top w:w="0" w:type="dxa"/>
                    <w:left w:w="0" w:type="dxa"/>
                    <w:bottom w:w="0" w:type="dxa"/>
                    <w:right w:w="0" w:type="dxa"/>
                  </w:tcMar>
                  <w:vAlign w:val="center"/>
                </w:tcPr>
                <w:p w14:paraId="166411EE">
                  <w:pPr>
                    <w:pStyle w:val="286"/>
                    <w:framePr w:hSpace="0" w:wrap="auto" w:vAnchor="margin" w:hAnchor="text" w:xAlign="left" w:yAlign="inline"/>
                    <w:rPr>
                      <w:color w:val="auto"/>
                    </w:rPr>
                  </w:pPr>
                  <w:r>
                    <w:rPr>
                      <w:color w:val="auto"/>
                    </w:rPr>
                    <w:t>54.5</w:t>
                  </w:r>
                </w:p>
              </w:tc>
              <w:tc>
                <w:tcPr>
                  <w:tcW w:w="517" w:type="dxa"/>
                  <w:shd w:val="clear" w:color="auto" w:fill="FFFFFF"/>
                  <w:tcMar>
                    <w:top w:w="0" w:type="dxa"/>
                    <w:left w:w="0" w:type="dxa"/>
                    <w:bottom w:w="0" w:type="dxa"/>
                    <w:right w:w="0" w:type="dxa"/>
                  </w:tcMar>
                  <w:vAlign w:val="center"/>
                </w:tcPr>
                <w:p w14:paraId="433FDBEB">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54.5</w:t>
                  </w:r>
                </w:p>
              </w:tc>
              <w:tc>
                <w:tcPr>
                  <w:tcW w:w="517" w:type="dxa"/>
                  <w:shd w:val="clear" w:color="auto" w:fill="FFFFFF"/>
                  <w:tcMar>
                    <w:top w:w="0" w:type="dxa"/>
                    <w:left w:w="0" w:type="dxa"/>
                    <w:bottom w:w="0" w:type="dxa"/>
                    <w:right w:w="0" w:type="dxa"/>
                  </w:tcMar>
                  <w:vAlign w:val="center"/>
                </w:tcPr>
                <w:p w14:paraId="5185E420">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54.4</w:t>
                  </w:r>
                </w:p>
              </w:tc>
              <w:tc>
                <w:tcPr>
                  <w:tcW w:w="518" w:type="dxa"/>
                  <w:shd w:val="clear" w:color="auto" w:fill="FFFFFF"/>
                  <w:tcMar>
                    <w:top w:w="0" w:type="dxa"/>
                    <w:left w:w="0" w:type="dxa"/>
                    <w:bottom w:w="0" w:type="dxa"/>
                    <w:right w:w="0" w:type="dxa"/>
                  </w:tcMar>
                  <w:vAlign w:val="center"/>
                </w:tcPr>
                <w:p w14:paraId="5E77B682">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54.5</w:t>
                  </w:r>
                </w:p>
              </w:tc>
              <w:tc>
                <w:tcPr>
                  <w:tcW w:w="449" w:type="dxa"/>
                  <w:vMerge w:val="continue"/>
                  <w:shd w:val="clear" w:color="auto" w:fill="FFFFFF"/>
                  <w:tcMar>
                    <w:top w:w="0" w:type="dxa"/>
                    <w:left w:w="0" w:type="dxa"/>
                    <w:bottom w:w="0" w:type="dxa"/>
                    <w:right w:w="0" w:type="dxa"/>
                  </w:tcMar>
                  <w:vAlign w:val="center"/>
                </w:tcPr>
                <w:p w14:paraId="35A0E6F5">
                  <w:pPr>
                    <w:rPr>
                      <w:rFonts w:hint="default" w:eastAsia="宋体"/>
                      <w:color w:val="auto"/>
                      <w:lang w:val="en-US" w:eastAsia="zh-CN"/>
                    </w:rPr>
                  </w:pPr>
                </w:p>
              </w:tc>
              <w:tc>
                <w:tcPr>
                  <w:tcW w:w="498" w:type="dxa"/>
                  <w:shd w:val="clear" w:color="auto" w:fill="FFFFFF"/>
                  <w:tcMar>
                    <w:top w:w="0" w:type="dxa"/>
                    <w:left w:w="0" w:type="dxa"/>
                    <w:bottom w:w="0" w:type="dxa"/>
                    <w:right w:w="0" w:type="dxa"/>
                  </w:tcMar>
                  <w:vAlign w:val="center"/>
                </w:tcPr>
                <w:p w14:paraId="01628E4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color w:val="auto"/>
                      <w:sz w:val="18"/>
                      <w:szCs w:val="18"/>
                    </w:rPr>
                  </w:pPr>
                  <w:r>
                    <w:rPr>
                      <w:color w:val="auto"/>
                      <w:sz w:val="18"/>
                      <w:szCs w:val="18"/>
                    </w:rPr>
                    <w:t>26.0</w:t>
                  </w:r>
                </w:p>
              </w:tc>
              <w:tc>
                <w:tcPr>
                  <w:tcW w:w="498" w:type="dxa"/>
                  <w:shd w:val="clear" w:color="auto" w:fill="FFFFFF"/>
                  <w:tcMar>
                    <w:top w:w="0" w:type="dxa"/>
                    <w:left w:w="0" w:type="dxa"/>
                    <w:bottom w:w="0" w:type="dxa"/>
                    <w:right w:w="0" w:type="dxa"/>
                  </w:tcMar>
                  <w:vAlign w:val="center"/>
                </w:tcPr>
                <w:p w14:paraId="333D83F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color w:val="auto"/>
                      <w:sz w:val="18"/>
                      <w:szCs w:val="18"/>
                    </w:rPr>
                  </w:pPr>
                  <w:r>
                    <w:rPr>
                      <w:color w:val="auto"/>
                      <w:sz w:val="18"/>
                      <w:szCs w:val="18"/>
                    </w:rPr>
                    <w:t>26.0</w:t>
                  </w:r>
                </w:p>
              </w:tc>
              <w:tc>
                <w:tcPr>
                  <w:tcW w:w="498" w:type="dxa"/>
                  <w:shd w:val="clear" w:color="auto" w:fill="FFFFFF"/>
                  <w:tcMar>
                    <w:top w:w="0" w:type="dxa"/>
                    <w:left w:w="0" w:type="dxa"/>
                    <w:bottom w:w="0" w:type="dxa"/>
                    <w:right w:w="0" w:type="dxa"/>
                  </w:tcMar>
                  <w:vAlign w:val="center"/>
                </w:tcPr>
                <w:p w14:paraId="187AA1A2">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color w:val="auto"/>
                      <w:sz w:val="18"/>
                      <w:szCs w:val="18"/>
                    </w:rPr>
                  </w:pPr>
                  <w:r>
                    <w:rPr>
                      <w:color w:val="auto"/>
                      <w:sz w:val="18"/>
                      <w:szCs w:val="18"/>
                    </w:rPr>
                    <w:t>26.0</w:t>
                  </w:r>
                </w:p>
              </w:tc>
              <w:tc>
                <w:tcPr>
                  <w:tcW w:w="498" w:type="dxa"/>
                  <w:shd w:val="clear" w:color="auto" w:fill="FFFFFF"/>
                  <w:tcMar>
                    <w:top w:w="0" w:type="dxa"/>
                    <w:left w:w="0" w:type="dxa"/>
                    <w:bottom w:w="0" w:type="dxa"/>
                    <w:right w:w="0" w:type="dxa"/>
                  </w:tcMar>
                  <w:vAlign w:val="center"/>
                </w:tcPr>
                <w:p w14:paraId="5B6C2587">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color w:val="auto"/>
                      <w:sz w:val="18"/>
                      <w:szCs w:val="18"/>
                    </w:rPr>
                  </w:pPr>
                  <w:r>
                    <w:rPr>
                      <w:color w:val="auto"/>
                      <w:sz w:val="18"/>
                      <w:szCs w:val="18"/>
                    </w:rPr>
                    <w:t>26.0</w:t>
                  </w:r>
                </w:p>
              </w:tc>
              <w:tc>
                <w:tcPr>
                  <w:tcW w:w="531" w:type="dxa"/>
                  <w:shd w:val="clear" w:color="auto" w:fill="FFFFFF"/>
                  <w:tcMar>
                    <w:top w:w="0" w:type="dxa"/>
                    <w:left w:w="0" w:type="dxa"/>
                    <w:bottom w:w="0" w:type="dxa"/>
                    <w:right w:w="0" w:type="dxa"/>
                  </w:tcMar>
                  <w:vAlign w:val="center"/>
                </w:tcPr>
                <w:p w14:paraId="7CEA3146">
                  <w:pPr>
                    <w:pStyle w:val="286"/>
                    <w:framePr w:hSpace="0" w:wrap="auto" w:vAnchor="margin" w:hAnchor="text" w:xAlign="left" w:yAlign="inline"/>
                    <w:rPr>
                      <w:rFonts w:hint="eastAsia"/>
                      <w:color w:val="auto"/>
                      <w:lang w:val="en-US" w:eastAsia="zh-CN"/>
                    </w:rPr>
                  </w:pPr>
                  <w:r>
                    <w:rPr>
                      <w:rFonts w:hint="eastAsia"/>
                      <w:color w:val="auto"/>
                      <w:lang w:val="en-US" w:eastAsia="zh-CN"/>
                    </w:rPr>
                    <w:t>28.5</w:t>
                  </w:r>
                </w:p>
              </w:tc>
              <w:tc>
                <w:tcPr>
                  <w:tcW w:w="531" w:type="dxa"/>
                  <w:shd w:val="clear" w:color="auto" w:fill="FFFFFF"/>
                  <w:tcMar>
                    <w:top w:w="0" w:type="dxa"/>
                    <w:left w:w="0" w:type="dxa"/>
                    <w:bottom w:w="0" w:type="dxa"/>
                    <w:right w:w="0" w:type="dxa"/>
                  </w:tcMar>
                  <w:vAlign w:val="center"/>
                </w:tcPr>
                <w:p w14:paraId="5E784CF7">
                  <w:pPr>
                    <w:pStyle w:val="286"/>
                    <w:framePr w:hSpace="0" w:wrap="auto" w:vAnchor="margin" w:hAnchor="text" w:xAlign="left" w:yAlign="inline"/>
                    <w:rPr>
                      <w:rFonts w:hint="eastAsia"/>
                      <w:color w:val="auto"/>
                      <w:lang w:val="en-US" w:eastAsia="zh-CN"/>
                    </w:rPr>
                  </w:pPr>
                  <w:r>
                    <w:rPr>
                      <w:rFonts w:hint="eastAsia"/>
                      <w:color w:val="auto"/>
                      <w:lang w:val="en-US" w:eastAsia="zh-CN"/>
                    </w:rPr>
                    <w:t>28.5</w:t>
                  </w:r>
                </w:p>
              </w:tc>
              <w:tc>
                <w:tcPr>
                  <w:tcW w:w="531" w:type="dxa"/>
                  <w:shd w:val="clear" w:color="auto" w:fill="FFFFFF"/>
                  <w:tcMar>
                    <w:top w:w="0" w:type="dxa"/>
                    <w:left w:w="0" w:type="dxa"/>
                    <w:bottom w:w="0" w:type="dxa"/>
                    <w:right w:w="0" w:type="dxa"/>
                  </w:tcMar>
                  <w:vAlign w:val="center"/>
                </w:tcPr>
                <w:p w14:paraId="692291A1">
                  <w:pPr>
                    <w:pStyle w:val="286"/>
                    <w:framePr w:hSpace="0" w:wrap="auto" w:vAnchor="margin" w:hAnchor="text" w:xAlign="left" w:yAlign="inline"/>
                    <w:rPr>
                      <w:rFonts w:hint="eastAsia"/>
                      <w:color w:val="auto"/>
                      <w:lang w:val="en-US" w:eastAsia="zh-CN"/>
                    </w:rPr>
                  </w:pPr>
                  <w:r>
                    <w:rPr>
                      <w:rFonts w:hint="eastAsia"/>
                      <w:color w:val="auto"/>
                      <w:lang w:val="en-US" w:eastAsia="zh-CN"/>
                    </w:rPr>
                    <w:t>28.4</w:t>
                  </w:r>
                </w:p>
              </w:tc>
              <w:tc>
                <w:tcPr>
                  <w:tcW w:w="532" w:type="dxa"/>
                  <w:shd w:val="clear" w:color="auto" w:fill="FFFFFF"/>
                  <w:tcMar>
                    <w:top w:w="0" w:type="dxa"/>
                    <w:left w:w="0" w:type="dxa"/>
                    <w:bottom w:w="0" w:type="dxa"/>
                    <w:right w:w="0" w:type="dxa"/>
                  </w:tcMar>
                  <w:vAlign w:val="center"/>
                </w:tcPr>
                <w:p w14:paraId="1EA1E7A8">
                  <w:pPr>
                    <w:pStyle w:val="286"/>
                    <w:framePr w:hSpace="0" w:wrap="auto" w:vAnchor="margin" w:hAnchor="text" w:xAlign="left" w:yAlign="inline"/>
                    <w:rPr>
                      <w:rFonts w:hint="eastAsia"/>
                      <w:color w:val="auto"/>
                      <w:lang w:val="en-US" w:eastAsia="zh-CN"/>
                    </w:rPr>
                  </w:pPr>
                  <w:r>
                    <w:rPr>
                      <w:rFonts w:hint="eastAsia"/>
                      <w:color w:val="auto"/>
                      <w:lang w:val="en-US" w:eastAsia="zh-CN"/>
                    </w:rPr>
                    <w:t>28.5</w:t>
                  </w:r>
                </w:p>
              </w:tc>
              <w:tc>
                <w:tcPr>
                  <w:tcW w:w="733" w:type="dxa"/>
                  <w:shd w:val="clear" w:color="auto" w:fill="FFFFFF"/>
                  <w:tcMar>
                    <w:top w:w="0" w:type="dxa"/>
                    <w:left w:w="0" w:type="dxa"/>
                    <w:bottom w:w="0" w:type="dxa"/>
                    <w:right w:w="0" w:type="dxa"/>
                  </w:tcMar>
                  <w:vAlign w:val="center"/>
                </w:tcPr>
                <w:p w14:paraId="1AB1136C">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1</w:t>
                  </w:r>
                </w:p>
              </w:tc>
            </w:tr>
            <w:tr w14:paraId="7480B2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62A93055">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4</w:t>
                  </w:r>
                </w:p>
              </w:tc>
              <w:tc>
                <w:tcPr>
                  <w:tcW w:w="542" w:type="dxa"/>
                  <w:vMerge w:val="continue"/>
                  <w:shd w:val="clear" w:color="auto" w:fill="FFFFFF"/>
                  <w:tcMar>
                    <w:top w:w="0" w:type="dxa"/>
                    <w:left w:w="0" w:type="dxa"/>
                    <w:bottom w:w="0" w:type="dxa"/>
                    <w:right w:w="0" w:type="dxa"/>
                  </w:tcMar>
                  <w:vAlign w:val="center"/>
                </w:tcPr>
                <w:p w14:paraId="5BB8FFB9">
                  <w:pPr>
                    <w:pStyle w:val="286"/>
                    <w:framePr w:hSpace="0" w:wrap="auto" w:vAnchor="margin" w:hAnchor="text" w:xAlign="left" w:yAlign="inline"/>
                    <w:rPr>
                      <w:rFonts w:ascii="Times New Roman" w:hAnsi="Times New Roman" w:eastAsia="宋体" w:cs="宋体"/>
                      <w:color w:val="auto"/>
                      <w:kern w:val="2"/>
                      <w:sz w:val="18"/>
                      <w:szCs w:val="22"/>
                      <w:lang w:val="zh-CN" w:eastAsia="zh-CN" w:bidi="ar-SA"/>
                    </w:rPr>
                  </w:pPr>
                </w:p>
              </w:tc>
              <w:tc>
                <w:tcPr>
                  <w:tcW w:w="888" w:type="dxa"/>
                  <w:shd w:val="clear" w:color="auto" w:fill="FFFFFF"/>
                  <w:tcMar>
                    <w:top w:w="0" w:type="dxa"/>
                    <w:left w:w="0" w:type="dxa"/>
                    <w:bottom w:w="0" w:type="dxa"/>
                    <w:right w:w="0" w:type="dxa"/>
                  </w:tcMar>
                  <w:vAlign w:val="center"/>
                </w:tcPr>
                <w:p w14:paraId="0C98CD55">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eastAsia="zh-CN"/>
                    </w:rPr>
                    <w:t>凉皮设备生产线</w:t>
                  </w:r>
                  <w:r>
                    <w:rPr>
                      <w:rFonts w:hint="eastAsia"/>
                      <w:color w:val="auto"/>
                      <w:lang w:val="en-US" w:eastAsia="zh-CN"/>
                    </w:rPr>
                    <w:t>3</w:t>
                  </w:r>
                </w:p>
              </w:tc>
              <w:tc>
                <w:tcPr>
                  <w:tcW w:w="762" w:type="dxa"/>
                  <w:shd w:val="clear" w:color="auto" w:fill="FFFFFF"/>
                  <w:tcMar>
                    <w:top w:w="0" w:type="dxa"/>
                    <w:left w:w="0" w:type="dxa"/>
                    <w:bottom w:w="0" w:type="dxa"/>
                    <w:right w:w="0" w:type="dxa"/>
                  </w:tcMar>
                  <w:vAlign w:val="center"/>
                </w:tcPr>
                <w:p w14:paraId="0ACCB187">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80</w:t>
                  </w:r>
                </w:p>
              </w:tc>
              <w:tc>
                <w:tcPr>
                  <w:tcW w:w="484" w:type="dxa"/>
                  <w:vMerge w:val="continue"/>
                  <w:shd w:val="clear" w:color="auto" w:fill="FFFFFF"/>
                  <w:tcMar>
                    <w:top w:w="0" w:type="dxa"/>
                    <w:left w:w="0" w:type="dxa"/>
                    <w:bottom w:w="0" w:type="dxa"/>
                    <w:right w:w="0" w:type="dxa"/>
                  </w:tcMar>
                  <w:vAlign w:val="center"/>
                </w:tcPr>
                <w:p w14:paraId="1A08BA72">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3DEB4448">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0</w:t>
                  </w:r>
                </w:p>
              </w:tc>
              <w:tc>
                <w:tcPr>
                  <w:tcW w:w="629" w:type="dxa"/>
                  <w:shd w:val="clear" w:color="auto" w:fill="FFFFFF"/>
                  <w:tcMar>
                    <w:top w:w="0" w:type="dxa"/>
                    <w:left w:w="0" w:type="dxa"/>
                    <w:bottom w:w="0" w:type="dxa"/>
                    <w:right w:w="0" w:type="dxa"/>
                  </w:tcMar>
                  <w:vAlign w:val="center"/>
                </w:tcPr>
                <w:p w14:paraId="073B2CF0">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w:t>
                  </w:r>
                </w:p>
              </w:tc>
              <w:tc>
                <w:tcPr>
                  <w:tcW w:w="630" w:type="dxa"/>
                  <w:shd w:val="clear" w:color="auto" w:fill="FFFFFF"/>
                  <w:tcMar>
                    <w:top w:w="0" w:type="dxa"/>
                    <w:left w:w="0" w:type="dxa"/>
                    <w:bottom w:w="0" w:type="dxa"/>
                    <w:right w:w="0" w:type="dxa"/>
                  </w:tcMar>
                  <w:vAlign w:val="center"/>
                </w:tcPr>
                <w:p w14:paraId="16AC8187">
                  <w:pPr>
                    <w:pStyle w:val="286"/>
                    <w:framePr w:hSpace="0" w:wrap="auto" w:vAnchor="margin" w:hAnchor="text" w:xAlign="left" w:yAlign="inline"/>
                    <w:rPr>
                      <w:color w:val="auto"/>
                    </w:rPr>
                  </w:pPr>
                  <w:r>
                    <w:rPr>
                      <w:color w:val="auto"/>
                    </w:rPr>
                    <w:t>1.2</w:t>
                  </w:r>
                </w:p>
              </w:tc>
              <w:tc>
                <w:tcPr>
                  <w:tcW w:w="523" w:type="dxa"/>
                  <w:shd w:val="clear" w:color="auto" w:fill="FFFFFF"/>
                  <w:tcMar>
                    <w:top w:w="0" w:type="dxa"/>
                    <w:left w:w="0" w:type="dxa"/>
                    <w:bottom w:w="0" w:type="dxa"/>
                    <w:right w:w="0" w:type="dxa"/>
                  </w:tcMar>
                  <w:vAlign w:val="center"/>
                </w:tcPr>
                <w:p w14:paraId="7AC43FD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21.4</w:t>
                  </w:r>
                </w:p>
              </w:tc>
              <w:tc>
                <w:tcPr>
                  <w:tcW w:w="523" w:type="dxa"/>
                  <w:shd w:val="clear" w:color="auto" w:fill="FFFFFF"/>
                  <w:tcMar>
                    <w:top w:w="0" w:type="dxa"/>
                    <w:left w:w="0" w:type="dxa"/>
                    <w:bottom w:w="0" w:type="dxa"/>
                    <w:right w:w="0" w:type="dxa"/>
                  </w:tcMar>
                  <w:vAlign w:val="center"/>
                </w:tcPr>
                <w:p w14:paraId="1446F1D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24.2</w:t>
                  </w:r>
                </w:p>
              </w:tc>
              <w:tc>
                <w:tcPr>
                  <w:tcW w:w="523" w:type="dxa"/>
                  <w:shd w:val="clear" w:color="auto" w:fill="FFFFFF"/>
                  <w:tcMar>
                    <w:top w:w="0" w:type="dxa"/>
                    <w:left w:w="0" w:type="dxa"/>
                    <w:bottom w:w="0" w:type="dxa"/>
                    <w:right w:w="0" w:type="dxa"/>
                  </w:tcMar>
                  <w:vAlign w:val="center"/>
                </w:tcPr>
                <w:p w14:paraId="3F965F9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19.6</w:t>
                  </w:r>
                </w:p>
              </w:tc>
              <w:tc>
                <w:tcPr>
                  <w:tcW w:w="524" w:type="dxa"/>
                  <w:shd w:val="clear" w:color="auto" w:fill="FFFFFF"/>
                  <w:tcMar>
                    <w:top w:w="0" w:type="dxa"/>
                    <w:left w:w="0" w:type="dxa"/>
                    <w:bottom w:w="0" w:type="dxa"/>
                    <w:right w:w="0" w:type="dxa"/>
                  </w:tcMar>
                  <w:vAlign w:val="center"/>
                </w:tcPr>
                <w:p w14:paraId="28146B1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5.3</w:t>
                  </w:r>
                </w:p>
              </w:tc>
              <w:tc>
                <w:tcPr>
                  <w:tcW w:w="517" w:type="dxa"/>
                  <w:shd w:val="clear" w:color="auto" w:fill="FFFFFF"/>
                  <w:tcMar>
                    <w:top w:w="0" w:type="dxa"/>
                    <w:left w:w="0" w:type="dxa"/>
                    <w:bottom w:w="0" w:type="dxa"/>
                    <w:right w:w="0" w:type="dxa"/>
                  </w:tcMar>
                  <w:vAlign w:val="center"/>
                </w:tcPr>
                <w:p w14:paraId="3DE147EE">
                  <w:pPr>
                    <w:pStyle w:val="286"/>
                    <w:framePr w:hSpace="0" w:wrap="auto" w:vAnchor="margin" w:hAnchor="text" w:xAlign="left" w:yAlign="inline"/>
                    <w:rPr>
                      <w:rFonts w:hint="default" w:eastAsia="宋体"/>
                      <w:color w:val="auto"/>
                      <w:lang w:val="en-US" w:eastAsia="zh-CN"/>
                    </w:rPr>
                  </w:pPr>
                  <w:r>
                    <w:rPr>
                      <w:color w:val="auto"/>
                    </w:rPr>
                    <w:t>5</w:t>
                  </w:r>
                  <w:r>
                    <w:rPr>
                      <w:rFonts w:hint="eastAsia"/>
                      <w:color w:val="auto"/>
                      <w:lang w:val="en-US" w:eastAsia="zh-CN"/>
                    </w:rPr>
                    <w:t>5.2</w:t>
                  </w:r>
                </w:p>
              </w:tc>
              <w:tc>
                <w:tcPr>
                  <w:tcW w:w="517" w:type="dxa"/>
                  <w:shd w:val="clear" w:color="auto" w:fill="FFFFFF"/>
                  <w:tcMar>
                    <w:top w:w="0" w:type="dxa"/>
                    <w:left w:w="0" w:type="dxa"/>
                    <w:bottom w:w="0" w:type="dxa"/>
                    <w:right w:w="0" w:type="dxa"/>
                  </w:tcMar>
                  <w:vAlign w:val="center"/>
                </w:tcPr>
                <w:p w14:paraId="037E7039">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55.2</w:t>
                  </w:r>
                </w:p>
              </w:tc>
              <w:tc>
                <w:tcPr>
                  <w:tcW w:w="517" w:type="dxa"/>
                  <w:shd w:val="clear" w:color="auto" w:fill="FFFFFF"/>
                  <w:tcMar>
                    <w:top w:w="0" w:type="dxa"/>
                    <w:left w:w="0" w:type="dxa"/>
                    <w:bottom w:w="0" w:type="dxa"/>
                    <w:right w:w="0" w:type="dxa"/>
                  </w:tcMar>
                  <w:vAlign w:val="center"/>
                </w:tcPr>
                <w:p w14:paraId="6D153A1A">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55.1</w:t>
                  </w:r>
                </w:p>
              </w:tc>
              <w:tc>
                <w:tcPr>
                  <w:tcW w:w="518" w:type="dxa"/>
                  <w:shd w:val="clear" w:color="auto" w:fill="FFFFFF"/>
                  <w:tcMar>
                    <w:top w:w="0" w:type="dxa"/>
                    <w:left w:w="0" w:type="dxa"/>
                    <w:bottom w:w="0" w:type="dxa"/>
                    <w:right w:w="0" w:type="dxa"/>
                  </w:tcMar>
                  <w:vAlign w:val="center"/>
                </w:tcPr>
                <w:p w14:paraId="2689144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55.2</w:t>
                  </w:r>
                </w:p>
              </w:tc>
              <w:tc>
                <w:tcPr>
                  <w:tcW w:w="449" w:type="dxa"/>
                  <w:vMerge w:val="continue"/>
                  <w:shd w:val="clear" w:color="auto" w:fill="FFFFFF"/>
                  <w:tcMar>
                    <w:top w:w="0" w:type="dxa"/>
                    <w:left w:w="0" w:type="dxa"/>
                    <w:bottom w:w="0" w:type="dxa"/>
                    <w:right w:w="0" w:type="dxa"/>
                  </w:tcMar>
                  <w:vAlign w:val="center"/>
                </w:tcPr>
                <w:p w14:paraId="7AA7EE62">
                  <w:pPr>
                    <w:rPr>
                      <w:rFonts w:hint="default" w:eastAsia="宋体"/>
                      <w:color w:val="auto"/>
                      <w:lang w:val="en-US" w:eastAsia="zh-CN"/>
                    </w:rPr>
                  </w:pPr>
                </w:p>
              </w:tc>
              <w:tc>
                <w:tcPr>
                  <w:tcW w:w="498" w:type="dxa"/>
                  <w:shd w:val="clear" w:color="auto" w:fill="FFFFFF"/>
                  <w:tcMar>
                    <w:top w:w="0" w:type="dxa"/>
                    <w:left w:w="0" w:type="dxa"/>
                    <w:bottom w:w="0" w:type="dxa"/>
                    <w:right w:w="0" w:type="dxa"/>
                  </w:tcMar>
                  <w:vAlign w:val="center"/>
                </w:tcPr>
                <w:p w14:paraId="7633BE1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color w:val="auto"/>
                      <w:sz w:val="18"/>
                      <w:szCs w:val="18"/>
                    </w:rPr>
                  </w:pPr>
                  <w:r>
                    <w:rPr>
                      <w:color w:val="auto"/>
                      <w:sz w:val="18"/>
                      <w:szCs w:val="18"/>
                    </w:rPr>
                    <w:t>26.0</w:t>
                  </w:r>
                </w:p>
              </w:tc>
              <w:tc>
                <w:tcPr>
                  <w:tcW w:w="498" w:type="dxa"/>
                  <w:shd w:val="clear" w:color="auto" w:fill="FFFFFF"/>
                  <w:tcMar>
                    <w:top w:w="0" w:type="dxa"/>
                    <w:left w:w="0" w:type="dxa"/>
                    <w:bottom w:w="0" w:type="dxa"/>
                    <w:right w:w="0" w:type="dxa"/>
                  </w:tcMar>
                  <w:vAlign w:val="center"/>
                </w:tcPr>
                <w:p w14:paraId="01C159D9">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color w:val="auto"/>
                      <w:sz w:val="18"/>
                      <w:szCs w:val="18"/>
                    </w:rPr>
                  </w:pPr>
                  <w:r>
                    <w:rPr>
                      <w:color w:val="auto"/>
                      <w:sz w:val="18"/>
                      <w:szCs w:val="18"/>
                    </w:rPr>
                    <w:t>26.0</w:t>
                  </w:r>
                </w:p>
              </w:tc>
              <w:tc>
                <w:tcPr>
                  <w:tcW w:w="498" w:type="dxa"/>
                  <w:shd w:val="clear" w:color="auto" w:fill="FFFFFF"/>
                  <w:tcMar>
                    <w:top w:w="0" w:type="dxa"/>
                    <w:left w:w="0" w:type="dxa"/>
                    <w:bottom w:w="0" w:type="dxa"/>
                    <w:right w:w="0" w:type="dxa"/>
                  </w:tcMar>
                  <w:vAlign w:val="center"/>
                </w:tcPr>
                <w:p w14:paraId="41CBC4FE">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color w:val="auto"/>
                      <w:sz w:val="18"/>
                      <w:szCs w:val="18"/>
                    </w:rPr>
                  </w:pPr>
                  <w:r>
                    <w:rPr>
                      <w:color w:val="auto"/>
                      <w:sz w:val="18"/>
                      <w:szCs w:val="18"/>
                    </w:rPr>
                    <w:t>26.0</w:t>
                  </w:r>
                </w:p>
              </w:tc>
              <w:tc>
                <w:tcPr>
                  <w:tcW w:w="498" w:type="dxa"/>
                  <w:shd w:val="clear" w:color="auto" w:fill="FFFFFF"/>
                  <w:tcMar>
                    <w:top w:w="0" w:type="dxa"/>
                    <w:left w:w="0" w:type="dxa"/>
                    <w:bottom w:w="0" w:type="dxa"/>
                    <w:right w:w="0" w:type="dxa"/>
                  </w:tcMar>
                  <w:vAlign w:val="center"/>
                </w:tcPr>
                <w:p w14:paraId="572D7D8F">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color w:val="auto"/>
                      <w:sz w:val="18"/>
                      <w:szCs w:val="18"/>
                    </w:rPr>
                  </w:pPr>
                  <w:r>
                    <w:rPr>
                      <w:color w:val="auto"/>
                      <w:sz w:val="18"/>
                      <w:szCs w:val="18"/>
                    </w:rPr>
                    <w:t>26.0</w:t>
                  </w:r>
                </w:p>
              </w:tc>
              <w:tc>
                <w:tcPr>
                  <w:tcW w:w="531" w:type="dxa"/>
                  <w:shd w:val="clear" w:color="auto" w:fill="FFFFFF"/>
                  <w:tcMar>
                    <w:top w:w="0" w:type="dxa"/>
                    <w:left w:w="0" w:type="dxa"/>
                    <w:bottom w:w="0" w:type="dxa"/>
                    <w:right w:w="0" w:type="dxa"/>
                  </w:tcMar>
                  <w:vAlign w:val="center"/>
                </w:tcPr>
                <w:p w14:paraId="1DA7BE2A">
                  <w:pPr>
                    <w:pStyle w:val="286"/>
                    <w:framePr w:hSpace="0" w:wrap="auto" w:vAnchor="margin" w:hAnchor="text" w:xAlign="left" w:yAlign="inline"/>
                    <w:rPr>
                      <w:rFonts w:hint="eastAsia"/>
                      <w:color w:val="auto"/>
                      <w:lang w:val="en-US" w:eastAsia="zh-CN"/>
                    </w:rPr>
                  </w:pPr>
                  <w:r>
                    <w:rPr>
                      <w:rFonts w:hint="eastAsia"/>
                      <w:color w:val="auto"/>
                      <w:lang w:val="en-US" w:eastAsia="zh-CN"/>
                    </w:rPr>
                    <w:t>29.2</w:t>
                  </w:r>
                </w:p>
              </w:tc>
              <w:tc>
                <w:tcPr>
                  <w:tcW w:w="531" w:type="dxa"/>
                  <w:shd w:val="clear" w:color="auto" w:fill="FFFFFF"/>
                  <w:tcMar>
                    <w:top w:w="0" w:type="dxa"/>
                    <w:left w:w="0" w:type="dxa"/>
                    <w:bottom w:w="0" w:type="dxa"/>
                    <w:right w:w="0" w:type="dxa"/>
                  </w:tcMar>
                  <w:vAlign w:val="center"/>
                </w:tcPr>
                <w:p w14:paraId="5F4AFC0D">
                  <w:pPr>
                    <w:pStyle w:val="286"/>
                    <w:framePr w:hSpace="0" w:wrap="auto" w:vAnchor="margin" w:hAnchor="text" w:xAlign="left" w:yAlign="inline"/>
                    <w:rPr>
                      <w:rFonts w:hint="eastAsia"/>
                      <w:color w:val="auto"/>
                      <w:lang w:val="en-US" w:eastAsia="zh-CN"/>
                    </w:rPr>
                  </w:pPr>
                  <w:r>
                    <w:rPr>
                      <w:rFonts w:hint="eastAsia"/>
                      <w:color w:val="auto"/>
                      <w:lang w:val="en-US" w:eastAsia="zh-CN"/>
                    </w:rPr>
                    <w:t>29.2</w:t>
                  </w:r>
                </w:p>
              </w:tc>
              <w:tc>
                <w:tcPr>
                  <w:tcW w:w="531" w:type="dxa"/>
                  <w:shd w:val="clear" w:color="auto" w:fill="FFFFFF"/>
                  <w:tcMar>
                    <w:top w:w="0" w:type="dxa"/>
                    <w:left w:w="0" w:type="dxa"/>
                    <w:bottom w:w="0" w:type="dxa"/>
                    <w:right w:w="0" w:type="dxa"/>
                  </w:tcMar>
                  <w:vAlign w:val="center"/>
                </w:tcPr>
                <w:p w14:paraId="22DAA8BD">
                  <w:pPr>
                    <w:pStyle w:val="286"/>
                    <w:framePr w:hSpace="0" w:wrap="auto" w:vAnchor="margin" w:hAnchor="text" w:xAlign="left" w:yAlign="inline"/>
                    <w:rPr>
                      <w:rFonts w:hint="eastAsia"/>
                      <w:color w:val="auto"/>
                      <w:lang w:val="en-US" w:eastAsia="zh-CN"/>
                    </w:rPr>
                  </w:pPr>
                  <w:r>
                    <w:rPr>
                      <w:rFonts w:hint="eastAsia"/>
                      <w:color w:val="auto"/>
                      <w:lang w:val="en-US" w:eastAsia="zh-CN"/>
                    </w:rPr>
                    <w:t>29.1</w:t>
                  </w:r>
                </w:p>
              </w:tc>
              <w:tc>
                <w:tcPr>
                  <w:tcW w:w="532" w:type="dxa"/>
                  <w:shd w:val="clear" w:color="auto" w:fill="FFFFFF"/>
                  <w:tcMar>
                    <w:top w:w="0" w:type="dxa"/>
                    <w:left w:w="0" w:type="dxa"/>
                    <w:bottom w:w="0" w:type="dxa"/>
                    <w:right w:w="0" w:type="dxa"/>
                  </w:tcMar>
                  <w:vAlign w:val="center"/>
                </w:tcPr>
                <w:p w14:paraId="6823185B">
                  <w:pPr>
                    <w:pStyle w:val="286"/>
                    <w:framePr w:hSpace="0" w:wrap="auto" w:vAnchor="margin" w:hAnchor="text" w:xAlign="left" w:yAlign="inline"/>
                    <w:rPr>
                      <w:rFonts w:hint="eastAsia"/>
                      <w:color w:val="auto"/>
                      <w:lang w:val="en-US" w:eastAsia="zh-CN"/>
                    </w:rPr>
                  </w:pPr>
                  <w:r>
                    <w:rPr>
                      <w:rFonts w:hint="eastAsia"/>
                      <w:color w:val="auto"/>
                      <w:lang w:val="en-US" w:eastAsia="zh-CN"/>
                    </w:rPr>
                    <w:t>29.2</w:t>
                  </w:r>
                </w:p>
              </w:tc>
              <w:tc>
                <w:tcPr>
                  <w:tcW w:w="733" w:type="dxa"/>
                  <w:shd w:val="clear" w:color="auto" w:fill="FFFFFF"/>
                  <w:tcMar>
                    <w:top w:w="0" w:type="dxa"/>
                    <w:left w:w="0" w:type="dxa"/>
                    <w:bottom w:w="0" w:type="dxa"/>
                    <w:right w:w="0" w:type="dxa"/>
                  </w:tcMar>
                  <w:vAlign w:val="center"/>
                </w:tcPr>
                <w:p w14:paraId="5EAD5A98">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1</w:t>
                  </w:r>
                </w:p>
              </w:tc>
            </w:tr>
            <w:tr w14:paraId="6F6BE5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009F3BF5">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5</w:t>
                  </w:r>
                </w:p>
              </w:tc>
              <w:tc>
                <w:tcPr>
                  <w:tcW w:w="542" w:type="dxa"/>
                  <w:vMerge w:val="continue"/>
                  <w:shd w:val="clear" w:color="auto" w:fill="FFFFFF"/>
                  <w:tcMar>
                    <w:top w:w="0" w:type="dxa"/>
                    <w:left w:w="0" w:type="dxa"/>
                    <w:bottom w:w="0" w:type="dxa"/>
                    <w:right w:w="0" w:type="dxa"/>
                  </w:tcMar>
                  <w:vAlign w:val="center"/>
                </w:tcPr>
                <w:p w14:paraId="0AB12C55">
                  <w:pPr>
                    <w:pStyle w:val="286"/>
                    <w:framePr w:hSpace="0" w:wrap="auto" w:vAnchor="margin" w:hAnchor="text" w:xAlign="left" w:yAlign="inline"/>
                    <w:rPr>
                      <w:rFonts w:ascii="Times New Roman" w:hAnsi="Times New Roman" w:eastAsia="宋体" w:cs="宋体"/>
                      <w:color w:val="auto"/>
                      <w:kern w:val="2"/>
                      <w:sz w:val="18"/>
                      <w:szCs w:val="22"/>
                      <w:lang w:val="zh-CN" w:eastAsia="zh-CN" w:bidi="ar-SA"/>
                    </w:rPr>
                  </w:pPr>
                </w:p>
              </w:tc>
              <w:tc>
                <w:tcPr>
                  <w:tcW w:w="888" w:type="dxa"/>
                  <w:shd w:val="clear" w:color="auto" w:fill="FFFFFF"/>
                  <w:tcMar>
                    <w:top w:w="0" w:type="dxa"/>
                    <w:left w:w="0" w:type="dxa"/>
                    <w:bottom w:w="0" w:type="dxa"/>
                    <w:right w:w="0" w:type="dxa"/>
                  </w:tcMar>
                  <w:vAlign w:val="center"/>
                </w:tcPr>
                <w:p w14:paraId="47C9DC5E">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eastAsia="zh-CN"/>
                    </w:rPr>
                    <w:t>凉皮设备生产线</w:t>
                  </w:r>
                  <w:r>
                    <w:rPr>
                      <w:rFonts w:hint="eastAsia"/>
                      <w:color w:val="auto"/>
                      <w:lang w:val="en-US" w:eastAsia="zh-CN"/>
                    </w:rPr>
                    <w:t>4</w:t>
                  </w:r>
                </w:p>
              </w:tc>
              <w:tc>
                <w:tcPr>
                  <w:tcW w:w="762" w:type="dxa"/>
                  <w:shd w:val="clear" w:color="auto" w:fill="FFFFFF"/>
                  <w:tcMar>
                    <w:top w:w="0" w:type="dxa"/>
                    <w:left w:w="0" w:type="dxa"/>
                    <w:bottom w:w="0" w:type="dxa"/>
                    <w:right w:w="0" w:type="dxa"/>
                  </w:tcMar>
                  <w:vAlign w:val="center"/>
                </w:tcPr>
                <w:p w14:paraId="66DBB014">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80</w:t>
                  </w:r>
                </w:p>
              </w:tc>
              <w:tc>
                <w:tcPr>
                  <w:tcW w:w="484" w:type="dxa"/>
                  <w:vMerge w:val="continue"/>
                  <w:shd w:val="clear" w:color="auto" w:fill="FFFFFF"/>
                  <w:tcMar>
                    <w:top w:w="0" w:type="dxa"/>
                    <w:left w:w="0" w:type="dxa"/>
                    <w:bottom w:w="0" w:type="dxa"/>
                    <w:right w:w="0" w:type="dxa"/>
                  </w:tcMar>
                  <w:vAlign w:val="center"/>
                </w:tcPr>
                <w:p w14:paraId="28DBC619">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570074C2">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0</w:t>
                  </w:r>
                </w:p>
              </w:tc>
              <w:tc>
                <w:tcPr>
                  <w:tcW w:w="629" w:type="dxa"/>
                  <w:shd w:val="clear" w:color="auto" w:fill="FFFFFF"/>
                  <w:tcMar>
                    <w:top w:w="0" w:type="dxa"/>
                    <w:left w:w="0" w:type="dxa"/>
                    <w:bottom w:w="0" w:type="dxa"/>
                    <w:right w:w="0" w:type="dxa"/>
                  </w:tcMar>
                  <w:vAlign w:val="center"/>
                </w:tcPr>
                <w:p w14:paraId="146B5F1A">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-3</w:t>
                  </w:r>
                </w:p>
              </w:tc>
              <w:tc>
                <w:tcPr>
                  <w:tcW w:w="630" w:type="dxa"/>
                  <w:shd w:val="clear" w:color="auto" w:fill="FFFFFF"/>
                  <w:tcMar>
                    <w:top w:w="0" w:type="dxa"/>
                    <w:left w:w="0" w:type="dxa"/>
                    <w:bottom w:w="0" w:type="dxa"/>
                    <w:right w:w="0" w:type="dxa"/>
                  </w:tcMar>
                  <w:vAlign w:val="center"/>
                </w:tcPr>
                <w:p w14:paraId="0B59F388">
                  <w:pPr>
                    <w:pStyle w:val="286"/>
                    <w:framePr w:hSpace="0" w:wrap="auto" w:vAnchor="margin" w:hAnchor="text" w:xAlign="left" w:yAlign="inline"/>
                    <w:rPr>
                      <w:color w:val="auto"/>
                    </w:rPr>
                  </w:pPr>
                  <w:r>
                    <w:rPr>
                      <w:color w:val="auto"/>
                    </w:rPr>
                    <w:t>1.2</w:t>
                  </w:r>
                </w:p>
              </w:tc>
              <w:tc>
                <w:tcPr>
                  <w:tcW w:w="523" w:type="dxa"/>
                  <w:shd w:val="clear" w:color="auto" w:fill="FFFFFF"/>
                  <w:tcMar>
                    <w:top w:w="0" w:type="dxa"/>
                    <w:left w:w="0" w:type="dxa"/>
                    <w:bottom w:w="0" w:type="dxa"/>
                    <w:right w:w="0" w:type="dxa"/>
                  </w:tcMar>
                  <w:vAlign w:val="center"/>
                </w:tcPr>
                <w:p w14:paraId="4F3ED80F">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21.4</w:t>
                  </w:r>
                </w:p>
              </w:tc>
              <w:tc>
                <w:tcPr>
                  <w:tcW w:w="523" w:type="dxa"/>
                  <w:shd w:val="clear" w:color="auto" w:fill="FFFFFF"/>
                  <w:tcMar>
                    <w:top w:w="0" w:type="dxa"/>
                    <w:left w:w="0" w:type="dxa"/>
                    <w:bottom w:w="0" w:type="dxa"/>
                    <w:right w:w="0" w:type="dxa"/>
                  </w:tcMar>
                  <w:vAlign w:val="center"/>
                </w:tcPr>
                <w:p w14:paraId="1A8F5CAB">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22.2</w:t>
                  </w:r>
                </w:p>
              </w:tc>
              <w:tc>
                <w:tcPr>
                  <w:tcW w:w="523" w:type="dxa"/>
                  <w:shd w:val="clear" w:color="auto" w:fill="FFFFFF"/>
                  <w:tcMar>
                    <w:top w:w="0" w:type="dxa"/>
                    <w:left w:w="0" w:type="dxa"/>
                    <w:bottom w:w="0" w:type="dxa"/>
                    <w:right w:w="0" w:type="dxa"/>
                  </w:tcMar>
                  <w:vAlign w:val="center"/>
                </w:tcPr>
                <w:p w14:paraId="5F63BEAD">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19.6</w:t>
                  </w:r>
                </w:p>
              </w:tc>
              <w:tc>
                <w:tcPr>
                  <w:tcW w:w="524" w:type="dxa"/>
                  <w:shd w:val="clear" w:color="auto" w:fill="FFFFFF"/>
                  <w:tcMar>
                    <w:top w:w="0" w:type="dxa"/>
                    <w:left w:w="0" w:type="dxa"/>
                    <w:bottom w:w="0" w:type="dxa"/>
                    <w:right w:w="0" w:type="dxa"/>
                  </w:tcMar>
                  <w:vAlign w:val="center"/>
                </w:tcPr>
                <w:p w14:paraId="0E826739">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7.3</w:t>
                  </w:r>
                </w:p>
              </w:tc>
              <w:tc>
                <w:tcPr>
                  <w:tcW w:w="517" w:type="dxa"/>
                  <w:shd w:val="clear" w:color="auto" w:fill="FFFFFF"/>
                  <w:tcMar>
                    <w:top w:w="0" w:type="dxa"/>
                    <w:left w:w="0" w:type="dxa"/>
                    <w:bottom w:w="0" w:type="dxa"/>
                    <w:right w:w="0" w:type="dxa"/>
                  </w:tcMar>
                  <w:vAlign w:val="center"/>
                </w:tcPr>
                <w:p w14:paraId="6E653D9B">
                  <w:pPr>
                    <w:pStyle w:val="286"/>
                    <w:framePr w:hSpace="0" w:wrap="auto" w:vAnchor="margin" w:hAnchor="text" w:xAlign="left" w:yAlign="inline"/>
                    <w:rPr>
                      <w:rFonts w:hint="default"/>
                      <w:color w:val="auto"/>
                      <w:lang w:val="en-US" w:eastAsia="zh-CN"/>
                    </w:rPr>
                  </w:pPr>
                  <w:r>
                    <w:rPr>
                      <w:rFonts w:hint="eastAsia"/>
                      <w:color w:val="auto"/>
                      <w:lang w:val="en-US" w:eastAsia="zh-CN"/>
                    </w:rPr>
                    <w:t>55.2</w:t>
                  </w:r>
                </w:p>
              </w:tc>
              <w:tc>
                <w:tcPr>
                  <w:tcW w:w="517" w:type="dxa"/>
                  <w:shd w:val="clear" w:color="auto" w:fill="FFFFFF"/>
                  <w:tcMar>
                    <w:top w:w="0" w:type="dxa"/>
                    <w:left w:w="0" w:type="dxa"/>
                    <w:bottom w:w="0" w:type="dxa"/>
                    <w:right w:w="0" w:type="dxa"/>
                  </w:tcMar>
                  <w:vAlign w:val="center"/>
                </w:tcPr>
                <w:p w14:paraId="208AAFE9">
                  <w:pPr>
                    <w:pStyle w:val="286"/>
                    <w:framePr w:hSpace="0" w:wrap="auto" w:vAnchor="margin" w:hAnchor="text" w:xAlign="left" w:yAlign="inline"/>
                    <w:rPr>
                      <w:rFonts w:hint="default"/>
                      <w:color w:val="auto"/>
                      <w:lang w:val="en-US" w:eastAsia="zh-CN"/>
                    </w:rPr>
                  </w:pPr>
                  <w:r>
                    <w:rPr>
                      <w:rFonts w:hint="eastAsia"/>
                      <w:color w:val="auto"/>
                      <w:lang w:val="en-US" w:eastAsia="zh-CN"/>
                    </w:rPr>
                    <w:t>55.1</w:t>
                  </w:r>
                </w:p>
              </w:tc>
              <w:tc>
                <w:tcPr>
                  <w:tcW w:w="517" w:type="dxa"/>
                  <w:shd w:val="clear" w:color="auto" w:fill="FFFFFF"/>
                  <w:tcMar>
                    <w:top w:w="0" w:type="dxa"/>
                    <w:left w:w="0" w:type="dxa"/>
                    <w:bottom w:w="0" w:type="dxa"/>
                    <w:right w:w="0" w:type="dxa"/>
                  </w:tcMar>
                  <w:vAlign w:val="center"/>
                </w:tcPr>
                <w:p w14:paraId="79CB83C5">
                  <w:pPr>
                    <w:pStyle w:val="286"/>
                    <w:framePr w:hSpace="0" w:wrap="auto" w:vAnchor="margin" w:hAnchor="text" w:xAlign="left" w:yAlign="inline"/>
                    <w:rPr>
                      <w:rFonts w:hint="default"/>
                      <w:color w:val="auto"/>
                      <w:lang w:val="en-US" w:eastAsia="zh-CN"/>
                    </w:rPr>
                  </w:pPr>
                  <w:r>
                    <w:rPr>
                      <w:rFonts w:hint="eastAsia"/>
                      <w:color w:val="auto"/>
                      <w:lang w:val="en-US" w:eastAsia="zh-CN"/>
                    </w:rPr>
                    <w:t>55.1</w:t>
                  </w:r>
                </w:p>
              </w:tc>
              <w:tc>
                <w:tcPr>
                  <w:tcW w:w="518" w:type="dxa"/>
                  <w:shd w:val="clear" w:color="auto" w:fill="FFFFFF"/>
                  <w:tcMar>
                    <w:top w:w="0" w:type="dxa"/>
                    <w:left w:w="0" w:type="dxa"/>
                    <w:bottom w:w="0" w:type="dxa"/>
                    <w:right w:w="0" w:type="dxa"/>
                  </w:tcMar>
                  <w:vAlign w:val="center"/>
                </w:tcPr>
                <w:p w14:paraId="2F640857">
                  <w:pPr>
                    <w:pStyle w:val="286"/>
                    <w:framePr w:hSpace="0" w:wrap="auto" w:vAnchor="margin" w:hAnchor="text" w:xAlign="left" w:yAlign="inline"/>
                    <w:rPr>
                      <w:rFonts w:hint="default"/>
                      <w:color w:val="auto"/>
                      <w:lang w:val="en-US" w:eastAsia="zh-CN"/>
                    </w:rPr>
                  </w:pPr>
                  <w:r>
                    <w:rPr>
                      <w:rFonts w:hint="eastAsia"/>
                      <w:color w:val="auto"/>
                      <w:lang w:val="en-US" w:eastAsia="zh-CN"/>
                    </w:rPr>
                    <w:t>55.2</w:t>
                  </w:r>
                </w:p>
              </w:tc>
              <w:tc>
                <w:tcPr>
                  <w:tcW w:w="449" w:type="dxa"/>
                  <w:vMerge w:val="continue"/>
                  <w:shd w:val="clear" w:color="auto" w:fill="FFFFFF"/>
                  <w:tcMar>
                    <w:top w:w="0" w:type="dxa"/>
                    <w:left w:w="0" w:type="dxa"/>
                    <w:bottom w:w="0" w:type="dxa"/>
                    <w:right w:w="0" w:type="dxa"/>
                  </w:tcMar>
                  <w:vAlign w:val="center"/>
                </w:tcPr>
                <w:p w14:paraId="39B8D34D">
                  <w:pPr>
                    <w:rPr>
                      <w:rFonts w:hint="default" w:eastAsia="宋体"/>
                      <w:color w:val="auto"/>
                      <w:lang w:val="en-US" w:eastAsia="zh-CN"/>
                    </w:rPr>
                  </w:pPr>
                </w:p>
              </w:tc>
              <w:tc>
                <w:tcPr>
                  <w:tcW w:w="498" w:type="dxa"/>
                  <w:shd w:val="clear" w:color="auto" w:fill="FFFFFF"/>
                  <w:tcMar>
                    <w:top w:w="0" w:type="dxa"/>
                    <w:left w:w="0" w:type="dxa"/>
                    <w:bottom w:w="0" w:type="dxa"/>
                    <w:right w:w="0" w:type="dxa"/>
                  </w:tcMar>
                  <w:vAlign w:val="center"/>
                </w:tcPr>
                <w:p w14:paraId="628BDA85">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color w:val="auto"/>
                      <w:sz w:val="18"/>
                      <w:szCs w:val="18"/>
                    </w:rPr>
                  </w:pPr>
                  <w:r>
                    <w:rPr>
                      <w:color w:val="auto"/>
                      <w:sz w:val="18"/>
                      <w:szCs w:val="18"/>
                    </w:rPr>
                    <w:t>26.0</w:t>
                  </w:r>
                </w:p>
              </w:tc>
              <w:tc>
                <w:tcPr>
                  <w:tcW w:w="498" w:type="dxa"/>
                  <w:shd w:val="clear" w:color="auto" w:fill="FFFFFF"/>
                  <w:tcMar>
                    <w:top w:w="0" w:type="dxa"/>
                    <w:left w:w="0" w:type="dxa"/>
                    <w:bottom w:w="0" w:type="dxa"/>
                    <w:right w:w="0" w:type="dxa"/>
                  </w:tcMar>
                  <w:vAlign w:val="center"/>
                </w:tcPr>
                <w:p w14:paraId="5A31C841">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color w:val="auto"/>
                      <w:sz w:val="18"/>
                      <w:szCs w:val="18"/>
                    </w:rPr>
                  </w:pPr>
                  <w:r>
                    <w:rPr>
                      <w:color w:val="auto"/>
                      <w:sz w:val="18"/>
                      <w:szCs w:val="18"/>
                    </w:rPr>
                    <w:t>26.0</w:t>
                  </w:r>
                </w:p>
              </w:tc>
              <w:tc>
                <w:tcPr>
                  <w:tcW w:w="498" w:type="dxa"/>
                  <w:shd w:val="clear" w:color="auto" w:fill="FFFFFF"/>
                  <w:tcMar>
                    <w:top w:w="0" w:type="dxa"/>
                    <w:left w:w="0" w:type="dxa"/>
                    <w:bottom w:w="0" w:type="dxa"/>
                    <w:right w:w="0" w:type="dxa"/>
                  </w:tcMar>
                  <w:vAlign w:val="center"/>
                </w:tcPr>
                <w:p w14:paraId="46DD0BA4">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color w:val="auto"/>
                      <w:sz w:val="18"/>
                      <w:szCs w:val="18"/>
                    </w:rPr>
                  </w:pPr>
                  <w:r>
                    <w:rPr>
                      <w:color w:val="auto"/>
                      <w:sz w:val="18"/>
                      <w:szCs w:val="18"/>
                    </w:rPr>
                    <w:t>26.0</w:t>
                  </w:r>
                </w:p>
              </w:tc>
              <w:tc>
                <w:tcPr>
                  <w:tcW w:w="498" w:type="dxa"/>
                  <w:shd w:val="clear" w:color="auto" w:fill="FFFFFF"/>
                  <w:tcMar>
                    <w:top w:w="0" w:type="dxa"/>
                    <w:left w:w="0" w:type="dxa"/>
                    <w:bottom w:w="0" w:type="dxa"/>
                    <w:right w:w="0" w:type="dxa"/>
                  </w:tcMar>
                  <w:vAlign w:val="center"/>
                </w:tcPr>
                <w:p w14:paraId="6B7EA570">
                  <w:pPr>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color w:val="auto"/>
                      <w:sz w:val="18"/>
                      <w:szCs w:val="18"/>
                    </w:rPr>
                  </w:pPr>
                  <w:r>
                    <w:rPr>
                      <w:color w:val="auto"/>
                      <w:sz w:val="18"/>
                      <w:szCs w:val="18"/>
                    </w:rPr>
                    <w:t>26.0</w:t>
                  </w:r>
                </w:p>
              </w:tc>
              <w:tc>
                <w:tcPr>
                  <w:tcW w:w="531" w:type="dxa"/>
                  <w:shd w:val="clear" w:color="auto" w:fill="FFFFFF"/>
                  <w:tcMar>
                    <w:top w:w="0" w:type="dxa"/>
                    <w:left w:w="0" w:type="dxa"/>
                    <w:bottom w:w="0" w:type="dxa"/>
                    <w:right w:w="0" w:type="dxa"/>
                  </w:tcMar>
                  <w:vAlign w:val="center"/>
                </w:tcPr>
                <w:p w14:paraId="51D6ACE4">
                  <w:pPr>
                    <w:pStyle w:val="286"/>
                    <w:framePr w:hSpace="0" w:wrap="auto" w:vAnchor="margin" w:hAnchor="text" w:xAlign="left" w:yAlign="inline"/>
                    <w:rPr>
                      <w:rFonts w:hint="eastAsia"/>
                      <w:color w:val="auto"/>
                      <w:lang w:val="en-US" w:eastAsia="zh-CN"/>
                    </w:rPr>
                  </w:pPr>
                  <w:r>
                    <w:rPr>
                      <w:rFonts w:hint="eastAsia"/>
                      <w:color w:val="auto"/>
                      <w:lang w:val="en-US" w:eastAsia="zh-CN"/>
                    </w:rPr>
                    <w:t>29.2</w:t>
                  </w:r>
                </w:p>
              </w:tc>
              <w:tc>
                <w:tcPr>
                  <w:tcW w:w="531" w:type="dxa"/>
                  <w:shd w:val="clear" w:color="auto" w:fill="FFFFFF"/>
                  <w:tcMar>
                    <w:top w:w="0" w:type="dxa"/>
                    <w:left w:w="0" w:type="dxa"/>
                    <w:bottom w:w="0" w:type="dxa"/>
                    <w:right w:w="0" w:type="dxa"/>
                  </w:tcMar>
                  <w:vAlign w:val="center"/>
                </w:tcPr>
                <w:p w14:paraId="3F126E13">
                  <w:pPr>
                    <w:pStyle w:val="286"/>
                    <w:framePr w:hSpace="0" w:wrap="auto" w:vAnchor="margin" w:hAnchor="text" w:xAlign="left" w:yAlign="inline"/>
                    <w:rPr>
                      <w:rFonts w:hint="eastAsia"/>
                      <w:color w:val="auto"/>
                      <w:lang w:val="en-US" w:eastAsia="zh-CN"/>
                    </w:rPr>
                  </w:pPr>
                  <w:r>
                    <w:rPr>
                      <w:rFonts w:hint="eastAsia"/>
                      <w:color w:val="auto"/>
                      <w:lang w:val="en-US" w:eastAsia="zh-CN"/>
                    </w:rPr>
                    <w:t>29.1</w:t>
                  </w:r>
                </w:p>
              </w:tc>
              <w:tc>
                <w:tcPr>
                  <w:tcW w:w="531" w:type="dxa"/>
                  <w:shd w:val="clear" w:color="auto" w:fill="FFFFFF"/>
                  <w:tcMar>
                    <w:top w:w="0" w:type="dxa"/>
                    <w:left w:w="0" w:type="dxa"/>
                    <w:bottom w:w="0" w:type="dxa"/>
                    <w:right w:w="0" w:type="dxa"/>
                  </w:tcMar>
                  <w:vAlign w:val="center"/>
                </w:tcPr>
                <w:p w14:paraId="5F4FC795">
                  <w:pPr>
                    <w:pStyle w:val="286"/>
                    <w:framePr w:hSpace="0" w:wrap="auto" w:vAnchor="margin" w:hAnchor="text" w:xAlign="left" w:yAlign="inline"/>
                    <w:rPr>
                      <w:rFonts w:hint="eastAsia"/>
                      <w:color w:val="auto"/>
                      <w:lang w:val="en-US" w:eastAsia="zh-CN"/>
                    </w:rPr>
                  </w:pPr>
                  <w:r>
                    <w:rPr>
                      <w:rFonts w:hint="eastAsia"/>
                      <w:color w:val="auto"/>
                      <w:lang w:val="en-US" w:eastAsia="zh-CN"/>
                    </w:rPr>
                    <w:t>29.1</w:t>
                  </w:r>
                </w:p>
              </w:tc>
              <w:tc>
                <w:tcPr>
                  <w:tcW w:w="532" w:type="dxa"/>
                  <w:shd w:val="clear" w:color="auto" w:fill="FFFFFF"/>
                  <w:tcMar>
                    <w:top w:w="0" w:type="dxa"/>
                    <w:left w:w="0" w:type="dxa"/>
                    <w:bottom w:w="0" w:type="dxa"/>
                    <w:right w:w="0" w:type="dxa"/>
                  </w:tcMar>
                  <w:vAlign w:val="center"/>
                </w:tcPr>
                <w:p w14:paraId="27BCED18">
                  <w:pPr>
                    <w:pStyle w:val="286"/>
                    <w:framePr w:hSpace="0" w:wrap="auto" w:vAnchor="margin" w:hAnchor="text" w:xAlign="left" w:yAlign="inline"/>
                    <w:rPr>
                      <w:rFonts w:hint="eastAsia"/>
                      <w:color w:val="auto"/>
                      <w:lang w:val="en-US" w:eastAsia="zh-CN"/>
                    </w:rPr>
                  </w:pPr>
                  <w:r>
                    <w:rPr>
                      <w:rFonts w:hint="eastAsia"/>
                      <w:color w:val="auto"/>
                      <w:lang w:val="en-US" w:eastAsia="zh-CN"/>
                    </w:rPr>
                    <w:t>29.2</w:t>
                  </w:r>
                </w:p>
              </w:tc>
              <w:tc>
                <w:tcPr>
                  <w:tcW w:w="733" w:type="dxa"/>
                  <w:shd w:val="clear" w:color="auto" w:fill="FFFFFF"/>
                  <w:tcMar>
                    <w:top w:w="0" w:type="dxa"/>
                    <w:left w:w="0" w:type="dxa"/>
                    <w:bottom w:w="0" w:type="dxa"/>
                    <w:right w:w="0" w:type="dxa"/>
                  </w:tcMar>
                  <w:vAlign w:val="center"/>
                </w:tcPr>
                <w:p w14:paraId="329256EC">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1</w:t>
                  </w:r>
                </w:p>
              </w:tc>
            </w:tr>
            <w:tr w14:paraId="539DF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61F9F3DA">
                  <w:pPr>
                    <w:pStyle w:val="286"/>
                    <w:framePr w:hSpace="0" w:wrap="auto" w:vAnchor="margin" w:hAnchor="text" w:xAlign="left" w:yAlign="inline"/>
                    <w:rPr>
                      <w:rFonts w:hint="eastAsia" w:eastAsia="宋体"/>
                      <w:color w:val="auto"/>
                      <w:lang w:eastAsia="zh-CN"/>
                    </w:rPr>
                  </w:pPr>
                  <w:r>
                    <w:rPr>
                      <w:rFonts w:hint="eastAsia"/>
                      <w:color w:val="auto"/>
                      <w:lang w:val="en-US" w:eastAsia="zh-CN"/>
                    </w:rPr>
                    <w:t>6</w:t>
                  </w:r>
                </w:p>
              </w:tc>
              <w:tc>
                <w:tcPr>
                  <w:tcW w:w="542" w:type="dxa"/>
                  <w:vMerge w:val="continue"/>
                  <w:shd w:val="clear" w:color="auto" w:fill="FFFFFF"/>
                  <w:tcMar>
                    <w:top w:w="0" w:type="dxa"/>
                    <w:left w:w="0" w:type="dxa"/>
                    <w:bottom w:w="0" w:type="dxa"/>
                    <w:right w:w="0" w:type="dxa"/>
                  </w:tcMar>
                  <w:vAlign w:val="center"/>
                </w:tcPr>
                <w:p w14:paraId="00A5B3CE">
                  <w:pPr>
                    <w:pStyle w:val="286"/>
                    <w:framePr w:hSpace="0" w:wrap="auto" w:vAnchor="margin" w:hAnchor="text" w:xAlign="left" w:yAlign="inline"/>
                    <w:rPr>
                      <w:color w:val="auto"/>
                    </w:rPr>
                  </w:pPr>
                </w:p>
              </w:tc>
              <w:tc>
                <w:tcPr>
                  <w:tcW w:w="888" w:type="dxa"/>
                  <w:shd w:val="clear" w:color="auto" w:fill="FFFFFF"/>
                  <w:tcMar>
                    <w:top w:w="0" w:type="dxa"/>
                    <w:left w:w="0" w:type="dxa"/>
                    <w:bottom w:w="0" w:type="dxa"/>
                    <w:right w:w="0" w:type="dxa"/>
                  </w:tcMar>
                  <w:vAlign w:val="center"/>
                </w:tcPr>
                <w:p w14:paraId="6FEF9CC1">
                  <w:pPr>
                    <w:pStyle w:val="286"/>
                    <w:framePr w:hSpace="0" w:wrap="auto" w:vAnchor="margin" w:hAnchor="text" w:xAlign="left" w:yAlign="inline"/>
                    <w:rPr>
                      <w:rFonts w:hint="default" w:eastAsia="宋体"/>
                      <w:color w:val="auto"/>
                      <w:lang w:val="en-US" w:eastAsia="zh-CN"/>
                    </w:rPr>
                  </w:pPr>
                  <w:r>
                    <w:rPr>
                      <w:rFonts w:hint="eastAsia"/>
                      <w:color w:val="auto"/>
                      <w:lang w:eastAsia="zh-CN"/>
                    </w:rPr>
                    <w:t>年糕设备生产线</w:t>
                  </w:r>
                  <w:r>
                    <w:rPr>
                      <w:rFonts w:hint="eastAsia"/>
                      <w:color w:val="auto"/>
                      <w:lang w:val="en-US" w:eastAsia="zh-CN"/>
                    </w:rPr>
                    <w:t>1</w:t>
                  </w:r>
                </w:p>
              </w:tc>
              <w:tc>
                <w:tcPr>
                  <w:tcW w:w="762" w:type="dxa"/>
                  <w:shd w:val="clear" w:color="auto" w:fill="FFFFFF"/>
                  <w:tcMar>
                    <w:top w:w="0" w:type="dxa"/>
                    <w:left w:w="0" w:type="dxa"/>
                    <w:bottom w:w="0" w:type="dxa"/>
                    <w:right w:w="0" w:type="dxa"/>
                  </w:tcMar>
                  <w:vAlign w:val="center"/>
                </w:tcPr>
                <w:p w14:paraId="565D9DC9">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80</w:t>
                  </w:r>
                </w:p>
              </w:tc>
              <w:tc>
                <w:tcPr>
                  <w:tcW w:w="484" w:type="dxa"/>
                  <w:vMerge w:val="continue"/>
                  <w:shd w:val="clear" w:color="auto" w:fill="FFFFFF"/>
                  <w:tcMar>
                    <w:top w:w="0" w:type="dxa"/>
                    <w:left w:w="0" w:type="dxa"/>
                    <w:bottom w:w="0" w:type="dxa"/>
                    <w:right w:w="0" w:type="dxa"/>
                  </w:tcMar>
                  <w:vAlign w:val="center"/>
                </w:tcPr>
                <w:p w14:paraId="607B0F32">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6C02CF92">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0</w:t>
                  </w:r>
                </w:p>
              </w:tc>
              <w:tc>
                <w:tcPr>
                  <w:tcW w:w="629" w:type="dxa"/>
                  <w:shd w:val="clear" w:color="auto" w:fill="FFFFFF"/>
                  <w:tcMar>
                    <w:top w:w="0" w:type="dxa"/>
                    <w:left w:w="0" w:type="dxa"/>
                    <w:bottom w:w="0" w:type="dxa"/>
                    <w:right w:w="0" w:type="dxa"/>
                  </w:tcMar>
                  <w:vAlign w:val="center"/>
                </w:tcPr>
                <w:p w14:paraId="42E20F25">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-15</w:t>
                  </w:r>
                </w:p>
              </w:tc>
              <w:tc>
                <w:tcPr>
                  <w:tcW w:w="630" w:type="dxa"/>
                  <w:shd w:val="clear" w:color="auto" w:fill="FFFFFF"/>
                  <w:tcMar>
                    <w:top w:w="0" w:type="dxa"/>
                    <w:left w:w="0" w:type="dxa"/>
                    <w:bottom w:w="0" w:type="dxa"/>
                    <w:right w:w="0" w:type="dxa"/>
                  </w:tcMar>
                  <w:vAlign w:val="center"/>
                </w:tcPr>
                <w:p w14:paraId="756BE910">
                  <w:pPr>
                    <w:pStyle w:val="286"/>
                    <w:framePr w:hSpace="0" w:wrap="auto" w:vAnchor="margin" w:hAnchor="text" w:xAlign="left" w:yAlign="inline"/>
                    <w:rPr>
                      <w:color w:val="auto"/>
                    </w:rPr>
                  </w:pPr>
                  <w:r>
                    <w:rPr>
                      <w:color w:val="auto"/>
                    </w:rPr>
                    <w:t>1.2</w:t>
                  </w:r>
                </w:p>
              </w:tc>
              <w:tc>
                <w:tcPr>
                  <w:tcW w:w="523" w:type="dxa"/>
                  <w:shd w:val="clear" w:color="auto" w:fill="FFFFFF"/>
                  <w:tcMar>
                    <w:top w:w="0" w:type="dxa"/>
                    <w:left w:w="0" w:type="dxa"/>
                    <w:bottom w:w="0" w:type="dxa"/>
                    <w:right w:w="0" w:type="dxa"/>
                  </w:tcMar>
                  <w:vAlign w:val="center"/>
                </w:tcPr>
                <w:p w14:paraId="47D8F6D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48.1</w:t>
                  </w:r>
                </w:p>
              </w:tc>
              <w:tc>
                <w:tcPr>
                  <w:tcW w:w="523" w:type="dxa"/>
                  <w:shd w:val="clear" w:color="auto" w:fill="FFFFFF"/>
                  <w:tcMar>
                    <w:top w:w="0" w:type="dxa"/>
                    <w:left w:w="0" w:type="dxa"/>
                    <w:bottom w:w="0" w:type="dxa"/>
                    <w:right w:w="0" w:type="dxa"/>
                  </w:tcMar>
                  <w:vAlign w:val="center"/>
                </w:tcPr>
                <w:p w14:paraId="69832D10">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10.3</w:t>
                  </w:r>
                </w:p>
              </w:tc>
              <w:tc>
                <w:tcPr>
                  <w:tcW w:w="523" w:type="dxa"/>
                  <w:shd w:val="clear" w:color="auto" w:fill="FFFFFF"/>
                  <w:tcMar>
                    <w:top w:w="0" w:type="dxa"/>
                    <w:left w:w="0" w:type="dxa"/>
                    <w:bottom w:w="0" w:type="dxa"/>
                    <w:right w:w="0" w:type="dxa"/>
                  </w:tcMar>
                  <w:vAlign w:val="center"/>
                </w:tcPr>
                <w:p w14:paraId="6864A22A">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30.3</w:t>
                  </w:r>
                </w:p>
              </w:tc>
              <w:tc>
                <w:tcPr>
                  <w:tcW w:w="524" w:type="dxa"/>
                  <w:shd w:val="clear" w:color="auto" w:fill="FFFFFF"/>
                  <w:tcMar>
                    <w:top w:w="0" w:type="dxa"/>
                    <w:left w:w="0" w:type="dxa"/>
                    <w:bottom w:w="0" w:type="dxa"/>
                    <w:right w:w="0" w:type="dxa"/>
                  </w:tcMar>
                  <w:vAlign w:val="center"/>
                </w:tcPr>
                <w:p w14:paraId="77AE1FEA">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20.0</w:t>
                  </w:r>
                </w:p>
              </w:tc>
              <w:tc>
                <w:tcPr>
                  <w:tcW w:w="517" w:type="dxa"/>
                  <w:shd w:val="clear" w:color="auto" w:fill="FFFFFF"/>
                  <w:tcMar>
                    <w:top w:w="0" w:type="dxa"/>
                    <w:left w:w="0" w:type="dxa"/>
                    <w:bottom w:w="0" w:type="dxa"/>
                    <w:right w:w="0" w:type="dxa"/>
                  </w:tcMar>
                  <w:vAlign w:val="center"/>
                </w:tcPr>
                <w:p w14:paraId="6E0B3B1B">
                  <w:pPr>
                    <w:pStyle w:val="286"/>
                    <w:framePr w:hSpace="0" w:wrap="auto" w:vAnchor="margin" w:hAnchor="text" w:xAlign="left" w:yAlign="inline"/>
                    <w:rPr>
                      <w:rFonts w:hint="default"/>
                      <w:color w:val="auto"/>
                      <w:lang w:val="en-US" w:eastAsia="zh-CN"/>
                    </w:rPr>
                  </w:pPr>
                  <w:r>
                    <w:rPr>
                      <w:rFonts w:hint="eastAsia"/>
                      <w:color w:val="auto"/>
                      <w:lang w:val="en-US" w:eastAsia="zh-CN"/>
                    </w:rPr>
                    <w:t>52.6</w:t>
                  </w:r>
                </w:p>
              </w:tc>
              <w:tc>
                <w:tcPr>
                  <w:tcW w:w="517" w:type="dxa"/>
                  <w:shd w:val="clear" w:color="auto" w:fill="FFFFFF"/>
                  <w:tcMar>
                    <w:top w:w="0" w:type="dxa"/>
                    <w:left w:w="0" w:type="dxa"/>
                    <w:bottom w:w="0" w:type="dxa"/>
                    <w:right w:w="0" w:type="dxa"/>
                  </w:tcMar>
                  <w:vAlign w:val="center"/>
                </w:tcPr>
                <w:p w14:paraId="3FE7789D">
                  <w:pPr>
                    <w:pStyle w:val="286"/>
                    <w:framePr w:hSpace="0" w:wrap="auto" w:vAnchor="margin" w:hAnchor="text" w:xAlign="left" w:yAlign="inline"/>
                    <w:rPr>
                      <w:rFonts w:hint="eastAsia"/>
                      <w:color w:val="auto"/>
                      <w:lang w:val="en-US" w:eastAsia="zh-CN"/>
                    </w:rPr>
                  </w:pPr>
                  <w:r>
                    <w:rPr>
                      <w:rFonts w:hint="eastAsia"/>
                      <w:color w:val="auto"/>
                      <w:lang w:val="en-US" w:eastAsia="zh-CN"/>
                    </w:rPr>
                    <w:t>52.6</w:t>
                  </w:r>
                </w:p>
              </w:tc>
              <w:tc>
                <w:tcPr>
                  <w:tcW w:w="517" w:type="dxa"/>
                  <w:shd w:val="clear" w:color="auto" w:fill="FFFFFF"/>
                  <w:tcMar>
                    <w:top w:w="0" w:type="dxa"/>
                    <w:left w:w="0" w:type="dxa"/>
                    <w:bottom w:w="0" w:type="dxa"/>
                    <w:right w:w="0" w:type="dxa"/>
                  </w:tcMar>
                  <w:vAlign w:val="center"/>
                </w:tcPr>
                <w:p w14:paraId="2E0AF7FA">
                  <w:pPr>
                    <w:pStyle w:val="286"/>
                    <w:framePr w:hSpace="0" w:wrap="auto" w:vAnchor="margin" w:hAnchor="text" w:xAlign="left" w:yAlign="inline"/>
                    <w:rPr>
                      <w:rFonts w:hint="eastAsia"/>
                      <w:color w:val="auto"/>
                      <w:lang w:val="en-US" w:eastAsia="zh-CN"/>
                    </w:rPr>
                  </w:pPr>
                  <w:r>
                    <w:rPr>
                      <w:rFonts w:hint="eastAsia"/>
                      <w:color w:val="auto"/>
                      <w:lang w:val="en-US" w:eastAsia="zh-CN"/>
                    </w:rPr>
                    <w:t>52.6</w:t>
                  </w:r>
                </w:p>
              </w:tc>
              <w:tc>
                <w:tcPr>
                  <w:tcW w:w="518" w:type="dxa"/>
                  <w:shd w:val="clear" w:color="auto" w:fill="FFFFFF"/>
                  <w:tcMar>
                    <w:top w:w="0" w:type="dxa"/>
                    <w:left w:w="0" w:type="dxa"/>
                    <w:bottom w:w="0" w:type="dxa"/>
                    <w:right w:w="0" w:type="dxa"/>
                  </w:tcMar>
                  <w:vAlign w:val="center"/>
                </w:tcPr>
                <w:p w14:paraId="75D7FC99">
                  <w:pPr>
                    <w:pStyle w:val="286"/>
                    <w:framePr w:hSpace="0" w:wrap="auto" w:vAnchor="margin" w:hAnchor="text" w:xAlign="left" w:yAlign="inline"/>
                    <w:rPr>
                      <w:rFonts w:hint="eastAsia"/>
                      <w:color w:val="auto"/>
                      <w:lang w:val="en-US" w:eastAsia="zh-CN"/>
                    </w:rPr>
                  </w:pPr>
                  <w:r>
                    <w:rPr>
                      <w:rFonts w:hint="eastAsia"/>
                      <w:color w:val="auto"/>
                      <w:lang w:val="en-US" w:eastAsia="zh-CN"/>
                    </w:rPr>
                    <w:t>52.6</w:t>
                  </w:r>
                </w:p>
              </w:tc>
              <w:tc>
                <w:tcPr>
                  <w:tcW w:w="449" w:type="dxa"/>
                  <w:vMerge w:val="continue"/>
                  <w:shd w:val="clear" w:color="auto" w:fill="FFFFFF"/>
                  <w:tcMar>
                    <w:top w:w="0" w:type="dxa"/>
                    <w:left w:w="0" w:type="dxa"/>
                    <w:bottom w:w="0" w:type="dxa"/>
                    <w:right w:w="0" w:type="dxa"/>
                  </w:tcMar>
                  <w:vAlign w:val="center"/>
                </w:tcPr>
                <w:p w14:paraId="7A025E0F">
                  <w:pPr>
                    <w:rPr>
                      <w:color w:val="auto"/>
                    </w:rPr>
                  </w:pPr>
                </w:p>
              </w:tc>
              <w:tc>
                <w:tcPr>
                  <w:tcW w:w="498" w:type="dxa"/>
                  <w:shd w:val="clear" w:color="auto" w:fill="FFFFFF"/>
                  <w:tcMar>
                    <w:top w:w="0" w:type="dxa"/>
                    <w:left w:w="0" w:type="dxa"/>
                    <w:bottom w:w="0" w:type="dxa"/>
                    <w:right w:w="0" w:type="dxa"/>
                  </w:tcMar>
                  <w:vAlign w:val="center"/>
                </w:tcPr>
                <w:p w14:paraId="47DF559E">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5DE46517">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1E070344">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0E150E5D">
                  <w:pPr>
                    <w:pStyle w:val="286"/>
                    <w:framePr w:hSpace="0" w:wrap="auto" w:vAnchor="margin" w:hAnchor="text" w:xAlign="left" w:yAlign="inline"/>
                    <w:rPr>
                      <w:color w:val="auto"/>
                    </w:rPr>
                  </w:pPr>
                  <w:r>
                    <w:rPr>
                      <w:color w:val="auto"/>
                    </w:rPr>
                    <w:t>26.0</w:t>
                  </w:r>
                </w:p>
              </w:tc>
              <w:tc>
                <w:tcPr>
                  <w:tcW w:w="531" w:type="dxa"/>
                  <w:shd w:val="clear" w:color="auto" w:fill="FFFFFF"/>
                  <w:tcMar>
                    <w:top w:w="0" w:type="dxa"/>
                    <w:left w:w="0" w:type="dxa"/>
                    <w:bottom w:w="0" w:type="dxa"/>
                    <w:right w:w="0" w:type="dxa"/>
                  </w:tcMar>
                  <w:vAlign w:val="center"/>
                </w:tcPr>
                <w:p w14:paraId="58D4C446">
                  <w:pPr>
                    <w:pStyle w:val="286"/>
                    <w:framePr w:hSpace="0" w:wrap="auto" w:vAnchor="margin" w:hAnchor="text" w:xAlign="left" w:yAlign="inline"/>
                    <w:rPr>
                      <w:rFonts w:hint="eastAsia"/>
                      <w:color w:val="auto"/>
                      <w:lang w:val="en-US" w:eastAsia="zh-CN"/>
                    </w:rPr>
                  </w:pPr>
                  <w:r>
                    <w:rPr>
                      <w:rFonts w:hint="eastAsia"/>
                      <w:color w:val="auto"/>
                      <w:lang w:val="en-US" w:eastAsia="zh-CN"/>
                    </w:rPr>
                    <w:t>26.6</w:t>
                  </w:r>
                </w:p>
              </w:tc>
              <w:tc>
                <w:tcPr>
                  <w:tcW w:w="531" w:type="dxa"/>
                  <w:shd w:val="clear" w:color="auto" w:fill="FFFFFF"/>
                  <w:tcMar>
                    <w:top w:w="0" w:type="dxa"/>
                    <w:left w:w="0" w:type="dxa"/>
                    <w:bottom w:w="0" w:type="dxa"/>
                    <w:right w:w="0" w:type="dxa"/>
                  </w:tcMar>
                  <w:vAlign w:val="center"/>
                </w:tcPr>
                <w:p w14:paraId="757A9DFF">
                  <w:pPr>
                    <w:pStyle w:val="286"/>
                    <w:framePr w:hSpace="0" w:wrap="auto" w:vAnchor="margin" w:hAnchor="text" w:xAlign="left" w:yAlign="inline"/>
                    <w:rPr>
                      <w:rFonts w:hint="eastAsia"/>
                      <w:color w:val="auto"/>
                      <w:lang w:val="en-US" w:eastAsia="zh-CN"/>
                    </w:rPr>
                  </w:pPr>
                  <w:r>
                    <w:rPr>
                      <w:rFonts w:hint="eastAsia"/>
                      <w:color w:val="auto"/>
                      <w:lang w:val="en-US" w:eastAsia="zh-CN"/>
                    </w:rPr>
                    <w:t>26.6</w:t>
                  </w:r>
                </w:p>
              </w:tc>
              <w:tc>
                <w:tcPr>
                  <w:tcW w:w="531" w:type="dxa"/>
                  <w:shd w:val="clear" w:color="auto" w:fill="FFFFFF"/>
                  <w:tcMar>
                    <w:top w:w="0" w:type="dxa"/>
                    <w:left w:w="0" w:type="dxa"/>
                    <w:bottom w:w="0" w:type="dxa"/>
                    <w:right w:w="0" w:type="dxa"/>
                  </w:tcMar>
                  <w:vAlign w:val="center"/>
                </w:tcPr>
                <w:p w14:paraId="7C0C4767">
                  <w:pPr>
                    <w:pStyle w:val="286"/>
                    <w:framePr w:hSpace="0" w:wrap="auto" w:vAnchor="margin" w:hAnchor="text" w:xAlign="left" w:yAlign="inline"/>
                    <w:rPr>
                      <w:rFonts w:hint="eastAsia"/>
                      <w:color w:val="auto"/>
                      <w:lang w:val="en-US" w:eastAsia="zh-CN"/>
                    </w:rPr>
                  </w:pPr>
                  <w:r>
                    <w:rPr>
                      <w:rFonts w:hint="eastAsia"/>
                      <w:color w:val="auto"/>
                      <w:lang w:val="en-US" w:eastAsia="zh-CN"/>
                    </w:rPr>
                    <w:t>26.6</w:t>
                  </w:r>
                </w:p>
              </w:tc>
              <w:tc>
                <w:tcPr>
                  <w:tcW w:w="532" w:type="dxa"/>
                  <w:shd w:val="clear" w:color="auto" w:fill="FFFFFF"/>
                  <w:tcMar>
                    <w:top w:w="0" w:type="dxa"/>
                    <w:left w:w="0" w:type="dxa"/>
                    <w:bottom w:w="0" w:type="dxa"/>
                    <w:right w:w="0" w:type="dxa"/>
                  </w:tcMar>
                  <w:vAlign w:val="center"/>
                </w:tcPr>
                <w:p w14:paraId="7E1C3FB6">
                  <w:pPr>
                    <w:pStyle w:val="286"/>
                    <w:framePr w:hSpace="0" w:wrap="auto" w:vAnchor="margin" w:hAnchor="text" w:xAlign="left" w:yAlign="inline"/>
                    <w:rPr>
                      <w:rFonts w:hint="eastAsia"/>
                      <w:color w:val="auto"/>
                      <w:lang w:val="en-US" w:eastAsia="zh-CN"/>
                    </w:rPr>
                  </w:pPr>
                  <w:r>
                    <w:rPr>
                      <w:rFonts w:hint="eastAsia"/>
                      <w:color w:val="auto"/>
                      <w:lang w:val="en-US" w:eastAsia="zh-CN"/>
                    </w:rPr>
                    <w:t>26.6</w:t>
                  </w:r>
                </w:p>
              </w:tc>
              <w:tc>
                <w:tcPr>
                  <w:tcW w:w="733" w:type="dxa"/>
                  <w:shd w:val="clear" w:color="auto" w:fill="FFFFFF"/>
                  <w:tcMar>
                    <w:top w:w="0" w:type="dxa"/>
                    <w:left w:w="0" w:type="dxa"/>
                    <w:bottom w:w="0" w:type="dxa"/>
                    <w:right w:w="0" w:type="dxa"/>
                  </w:tcMar>
                  <w:vAlign w:val="center"/>
                </w:tcPr>
                <w:p w14:paraId="1CC52EB8">
                  <w:pPr>
                    <w:pStyle w:val="286"/>
                    <w:framePr w:hSpace="0" w:wrap="auto" w:vAnchor="margin" w:hAnchor="text" w:xAlign="left" w:yAlign="inline"/>
                    <w:rPr>
                      <w:color w:val="auto"/>
                    </w:rPr>
                  </w:pPr>
                  <w:r>
                    <w:rPr>
                      <w:color w:val="auto"/>
                    </w:rPr>
                    <w:t>1</w:t>
                  </w:r>
                </w:p>
              </w:tc>
            </w:tr>
            <w:tr w14:paraId="242C2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6E223041">
                  <w:pPr>
                    <w:pStyle w:val="286"/>
                    <w:framePr w:hSpace="0" w:wrap="auto" w:vAnchor="margin" w:hAnchor="text" w:xAlign="left" w:yAlign="inline"/>
                    <w:rPr>
                      <w:rFonts w:hint="eastAsia" w:eastAsia="宋体"/>
                      <w:color w:val="auto"/>
                      <w:lang w:eastAsia="zh-CN"/>
                    </w:rPr>
                  </w:pPr>
                  <w:r>
                    <w:rPr>
                      <w:rFonts w:hint="eastAsia"/>
                      <w:color w:val="auto"/>
                      <w:lang w:val="en-US" w:eastAsia="zh-CN"/>
                    </w:rPr>
                    <w:t>7</w:t>
                  </w:r>
                </w:p>
              </w:tc>
              <w:tc>
                <w:tcPr>
                  <w:tcW w:w="542" w:type="dxa"/>
                  <w:vMerge w:val="continue"/>
                  <w:shd w:val="clear" w:color="auto" w:fill="FFFFFF"/>
                  <w:tcMar>
                    <w:top w:w="0" w:type="dxa"/>
                    <w:left w:w="0" w:type="dxa"/>
                    <w:bottom w:w="0" w:type="dxa"/>
                    <w:right w:w="0" w:type="dxa"/>
                  </w:tcMar>
                  <w:vAlign w:val="center"/>
                </w:tcPr>
                <w:p w14:paraId="54B3EB7D">
                  <w:pPr>
                    <w:pStyle w:val="286"/>
                    <w:framePr w:hSpace="0" w:wrap="auto" w:vAnchor="margin" w:hAnchor="text" w:xAlign="left" w:yAlign="inline"/>
                    <w:rPr>
                      <w:color w:val="auto"/>
                    </w:rPr>
                  </w:pPr>
                </w:p>
              </w:tc>
              <w:tc>
                <w:tcPr>
                  <w:tcW w:w="888" w:type="dxa"/>
                  <w:shd w:val="clear" w:color="auto" w:fill="FFFFFF"/>
                  <w:tcMar>
                    <w:top w:w="0" w:type="dxa"/>
                    <w:left w:w="0" w:type="dxa"/>
                    <w:bottom w:w="0" w:type="dxa"/>
                    <w:right w:w="0" w:type="dxa"/>
                  </w:tcMar>
                  <w:vAlign w:val="center"/>
                </w:tcPr>
                <w:p w14:paraId="155DF66D">
                  <w:pPr>
                    <w:pStyle w:val="286"/>
                    <w:framePr w:hSpace="0" w:wrap="auto" w:vAnchor="margin" w:hAnchor="text" w:xAlign="left" w:yAlign="inline"/>
                    <w:rPr>
                      <w:rFonts w:hint="default" w:eastAsia="宋体"/>
                      <w:color w:val="auto"/>
                      <w:lang w:val="en-US" w:eastAsia="zh-CN"/>
                    </w:rPr>
                  </w:pPr>
                  <w:r>
                    <w:rPr>
                      <w:rFonts w:hint="eastAsia"/>
                      <w:color w:val="auto"/>
                      <w:lang w:eastAsia="zh-CN"/>
                    </w:rPr>
                    <w:t>鲜面条设备生产线</w:t>
                  </w:r>
                  <w:r>
                    <w:rPr>
                      <w:rFonts w:hint="eastAsia"/>
                      <w:color w:val="auto"/>
                      <w:lang w:val="en-US" w:eastAsia="zh-CN"/>
                    </w:rPr>
                    <w:t>1</w:t>
                  </w:r>
                </w:p>
              </w:tc>
              <w:tc>
                <w:tcPr>
                  <w:tcW w:w="762" w:type="dxa"/>
                  <w:shd w:val="clear" w:color="auto" w:fill="FFFFFF"/>
                  <w:tcMar>
                    <w:top w:w="0" w:type="dxa"/>
                    <w:left w:w="0" w:type="dxa"/>
                    <w:bottom w:w="0" w:type="dxa"/>
                    <w:right w:w="0" w:type="dxa"/>
                  </w:tcMar>
                  <w:vAlign w:val="center"/>
                </w:tcPr>
                <w:p w14:paraId="50C3692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85</w:t>
                  </w:r>
                </w:p>
              </w:tc>
              <w:tc>
                <w:tcPr>
                  <w:tcW w:w="484" w:type="dxa"/>
                  <w:vMerge w:val="continue"/>
                  <w:shd w:val="clear" w:color="auto" w:fill="FFFFFF"/>
                  <w:tcMar>
                    <w:top w:w="0" w:type="dxa"/>
                    <w:left w:w="0" w:type="dxa"/>
                    <w:bottom w:w="0" w:type="dxa"/>
                    <w:right w:w="0" w:type="dxa"/>
                  </w:tcMar>
                  <w:vAlign w:val="center"/>
                </w:tcPr>
                <w:p w14:paraId="73A691F3">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583A16BB">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0</w:t>
                  </w:r>
                </w:p>
              </w:tc>
              <w:tc>
                <w:tcPr>
                  <w:tcW w:w="629" w:type="dxa"/>
                  <w:shd w:val="clear" w:color="auto" w:fill="FFFFFF"/>
                  <w:tcMar>
                    <w:top w:w="0" w:type="dxa"/>
                    <w:left w:w="0" w:type="dxa"/>
                    <w:bottom w:w="0" w:type="dxa"/>
                    <w:right w:w="0" w:type="dxa"/>
                  </w:tcMar>
                  <w:vAlign w:val="center"/>
                </w:tcPr>
                <w:p w14:paraId="4786DCB9">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-19</w:t>
                  </w:r>
                </w:p>
              </w:tc>
              <w:tc>
                <w:tcPr>
                  <w:tcW w:w="630" w:type="dxa"/>
                  <w:shd w:val="clear" w:color="auto" w:fill="FFFFFF"/>
                  <w:tcMar>
                    <w:top w:w="0" w:type="dxa"/>
                    <w:left w:w="0" w:type="dxa"/>
                    <w:bottom w:w="0" w:type="dxa"/>
                    <w:right w:w="0" w:type="dxa"/>
                  </w:tcMar>
                  <w:vAlign w:val="center"/>
                </w:tcPr>
                <w:p w14:paraId="1BCE886A">
                  <w:pPr>
                    <w:pStyle w:val="286"/>
                    <w:framePr w:hSpace="0" w:wrap="auto" w:vAnchor="margin" w:hAnchor="text" w:xAlign="left" w:yAlign="inline"/>
                    <w:rPr>
                      <w:color w:val="auto"/>
                    </w:rPr>
                  </w:pPr>
                  <w:r>
                    <w:rPr>
                      <w:color w:val="auto"/>
                    </w:rPr>
                    <w:t>1.2</w:t>
                  </w:r>
                </w:p>
              </w:tc>
              <w:tc>
                <w:tcPr>
                  <w:tcW w:w="523" w:type="dxa"/>
                  <w:shd w:val="clear" w:color="auto" w:fill="FFFFFF"/>
                  <w:tcMar>
                    <w:top w:w="0" w:type="dxa"/>
                    <w:left w:w="0" w:type="dxa"/>
                    <w:bottom w:w="0" w:type="dxa"/>
                    <w:right w:w="0" w:type="dxa"/>
                  </w:tcMar>
                  <w:vAlign w:val="center"/>
                </w:tcPr>
                <w:p w14:paraId="5D5410DD">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46.1</w:t>
                  </w:r>
                </w:p>
              </w:tc>
              <w:tc>
                <w:tcPr>
                  <w:tcW w:w="523" w:type="dxa"/>
                  <w:shd w:val="clear" w:color="auto" w:fill="FFFFFF"/>
                  <w:tcMar>
                    <w:top w:w="0" w:type="dxa"/>
                    <w:left w:w="0" w:type="dxa"/>
                    <w:bottom w:w="0" w:type="dxa"/>
                    <w:right w:w="0" w:type="dxa"/>
                  </w:tcMar>
                  <w:vAlign w:val="center"/>
                </w:tcPr>
                <w:p w14:paraId="7D17DDA0">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6.5</w:t>
                  </w:r>
                </w:p>
              </w:tc>
              <w:tc>
                <w:tcPr>
                  <w:tcW w:w="523" w:type="dxa"/>
                  <w:shd w:val="clear" w:color="auto" w:fill="FFFFFF"/>
                  <w:tcMar>
                    <w:top w:w="0" w:type="dxa"/>
                    <w:left w:w="0" w:type="dxa"/>
                    <w:bottom w:w="0" w:type="dxa"/>
                    <w:right w:w="0" w:type="dxa"/>
                  </w:tcMar>
                  <w:vAlign w:val="center"/>
                </w:tcPr>
                <w:p w14:paraId="179E402F">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32.3</w:t>
                  </w:r>
                </w:p>
              </w:tc>
              <w:tc>
                <w:tcPr>
                  <w:tcW w:w="524" w:type="dxa"/>
                  <w:shd w:val="clear" w:color="auto" w:fill="FFFFFF"/>
                  <w:tcMar>
                    <w:top w:w="0" w:type="dxa"/>
                    <w:left w:w="0" w:type="dxa"/>
                    <w:bottom w:w="0" w:type="dxa"/>
                    <w:right w:w="0" w:type="dxa"/>
                  </w:tcMar>
                  <w:vAlign w:val="center"/>
                </w:tcPr>
                <w:p w14:paraId="2D1104B2">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23.8</w:t>
                  </w:r>
                </w:p>
              </w:tc>
              <w:tc>
                <w:tcPr>
                  <w:tcW w:w="517" w:type="dxa"/>
                  <w:shd w:val="clear" w:color="auto" w:fill="FFFFFF"/>
                  <w:tcMar>
                    <w:top w:w="0" w:type="dxa"/>
                    <w:left w:w="0" w:type="dxa"/>
                    <w:bottom w:w="0" w:type="dxa"/>
                    <w:right w:w="0" w:type="dxa"/>
                  </w:tcMar>
                  <w:vAlign w:val="center"/>
                </w:tcPr>
                <w:p w14:paraId="00EDEE4B">
                  <w:pPr>
                    <w:pStyle w:val="286"/>
                    <w:framePr w:hSpace="0" w:wrap="auto" w:vAnchor="margin" w:hAnchor="text" w:xAlign="left" w:yAlign="inline"/>
                    <w:rPr>
                      <w:rFonts w:hint="default"/>
                      <w:color w:val="auto"/>
                      <w:lang w:val="en-US" w:eastAsia="zh-CN"/>
                    </w:rPr>
                  </w:pPr>
                  <w:r>
                    <w:rPr>
                      <w:rFonts w:hint="eastAsia"/>
                      <w:color w:val="auto"/>
                      <w:lang w:val="en-US" w:eastAsia="zh-CN"/>
                    </w:rPr>
                    <w:t>48.4</w:t>
                  </w:r>
                </w:p>
              </w:tc>
              <w:tc>
                <w:tcPr>
                  <w:tcW w:w="517" w:type="dxa"/>
                  <w:shd w:val="clear" w:color="auto" w:fill="FFFFFF"/>
                  <w:tcMar>
                    <w:top w:w="0" w:type="dxa"/>
                    <w:left w:w="0" w:type="dxa"/>
                    <w:bottom w:w="0" w:type="dxa"/>
                    <w:right w:w="0" w:type="dxa"/>
                  </w:tcMar>
                  <w:vAlign w:val="center"/>
                </w:tcPr>
                <w:p w14:paraId="42DB6D9E">
                  <w:pPr>
                    <w:pStyle w:val="286"/>
                    <w:framePr w:hSpace="0" w:wrap="auto" w:vAnchor="margin" w:hAnchor="text" w:xAlign="left" w:yAlign="inline"/>
                    <w:rPr>
                      <w:rFonts w:hint="eastAsia"/>
                      <w:color w:val="auto"/>
                      <w:lang w:val="en-US" w:eastAsia="zh-CN"/>
                    </w:rPr>
                  </w:pPr>
                  <w:r>
                    <w:rPr>
                      <w:rFonts w:hint="eastAsia"/>
                      <w:color w:val="auto"/>
                      <w:lang w:val="en-US" w:eastAsia="zh-CN"/>
                    </w:rPr>
                    <w:t>48.4</w:t>
                  </w:r>
                </w:p>
              </w:tc>
              <w:tc>
                <w:tcPr>
                  <w:tcW w:w="517" w:type="dxa"/>
                  <w:shd w:val="clear" w:color="auto" w:fill="FFFFFF"/>
                  <w:tcMar>
                    <w:top w:w="0" w:type="dxa"/>
                    <w:left w:w="0" w:type="dxa"/>
                    <w:bottom w:w="0" w:type="dxa"/>
                    <w:right w:w="0" w:type="dxa"/>
                  </w:tcMar>
                  <w:vAlign w:val="center"/>
                </w:tcPr>
                <w:p w14:paraId="77090CFB">
                  <w:pPr>
                    <w:pStyle w:val="286"/>
                    <w:framePr w:hSpace="0" w:wrap="auto" w:vAnchor="margin" w:hAnchor="text" w:xAlign="left" w:yAlign="inline"/>
                    <w:rPr>
                      <w:rFonts w:hint="eastAsia"/>
                      <w:color w:val="auto"/>
                      <w:lang w:val="en-US" w:eastAsia="zh-CN"/>
                    </w:rPr>
                  </w:pPr>
                  <w:r>
                    <w:rPr>
                      <w:rFonts w:hint="eastAsia"/>
                      <w:color w:val="auto"/>
                      <w:lang w:val="en-US" w:eastAsia="zh-CN"/>
                    </w:rPr>
                    <w:t>48.4</w:t>
                  </w:r>
                </w:p>
              </w:tc>
              <w:tc>
                <w:tcPr>
                  <w:tcW w:w="518" w:type="dxa"/>
                  <w:shd w:val="clear" w:color="auto" w:fill="FFFFFF"/>
                  <w:tcMar>
                    <w:top w:w="0" w:type="dxa"/>
                    <w:left w:w="0" w:type="dxa"/>
                    <w:bottom w:w="0" w:type="dxa"/>
                    <w:right w:w="0" w:type="dxa"/>
                  </w:tcMar>
                  <w:vAlign w:val="center"/>
                </w:tcPr>
                <w:p w14:paraId="3143E289">
                  <w:pPr>
                    <w:pStyle w:val="286"/>
                    <w:framePr w:hSpace="0" w:wrap="auto" w:vAnchor="margin" w:hAnchor="text" w:xAlign="left" w:yAlign="inline"/>
                    <w:rPr>
                      <w:rFonts w:hint="eastAsia"/>
                      <w:color w:val="auto"/>
                      <w:lang w:val="en-US" w:eastAsia="zh-CN"/>
                    </w:rPr>
                  </w:pPr>
                  <w:r>
                    <w:rPr>
                      <w:rFonts w:hint="eastAsia"/>
                      <w:color w:val="auto"/>
                      <w:lang w:val="en-US" w:eastAsia="zh-CN"/>
                    </w:rPr>
                    <w:t>48.4</w:t>
                  </w:r>
                </w:p>
              </w:tc>
              <w:tc>
                <w:tcPr>
                  <w:tcW w:w="449" w:type="dxa"/>
                  <w:vMerge w:val="continue"/>
                  <w:shd w:val="clear" w:color="auto" w:fill="FFFFFF"/>
                  <w:tcMar>
                    <w:top w:w="0" w:type="dxa"/>
                    <w:left w:w="0" w:type="dxa"/>
                    <w:bottom w:w="0" w:type="dxa"/>
                    <w:right w:w="0" w:type="dxa"/>
                  </w:tcMar>
                  <w:vAlign w:val="center"/>
                </w:tcPr>
                <w:p w14:paraId="1456643C">
                  <w:pPr>
                    <w:rPr>
                      <w:color w:val="auto"/>
                    </w:rPr>
                  </w:pPr>
                </w:p>
              </w:tc>
              <w:tc>
                <w:tcPr>
                  <w:tcW w:w="498" w:type="dxa"/>
                  <w:shd w:val="clear" w:color="auto" w:fill="FFFFFF"/>
                  <w:tcMar>
                    <w:top w:w="0" w:type="dxa"/>
                    <w:left w:w="0" w:type="dxa"/>
                    <w:bottom w:w="0" w:type="dxa"/>
                    <w:right w:w="0" w:type="dxa"/>
                  </w:tcMar>
                  <w:vAlign w:val="center"/>
                </w:tcPr>
                <w:p w14:paraId="515009B1">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0690B87A">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7901C661">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542481EE">
                  <w:pPr>
                    <w:pStyle w:val="286"/>
                    <w:framePr w:hSpace="0" w:wrap="auto" w:vAnchor="margin" w:hAnchor="text" w:xAlign="left" w:yAlign="inline"/>
                    <w:rPr>
                      <w:color w:val="auto"/>
                    </w:rPr>
                  </w:pPr>
                  <w:r>
                    <w:rPr>
                      <w:color w:val="auto"/>
                    </w:rPr>
                    <w:t>26.0</w:t>
                  </w:r>
                </w:p>
              </w:tc>
              <w:tc>
                <w:tcPr>
                  <w:tcW w:w="531" w:type="dxa"/>
                  <w:shd w:val="clear" w:color="auto" w:fill="FFFFFF"/>
                  <w:tcMar>
                    <w:top w:w="0" w:type="dxa"/>
                    <w:left w:w="0" w:type="dxa"/>
                    <w:bottom w:w="0" w:type="dxa"/>
                    <w:right w:w="0" w:type="dxa"/>
                  </w:tcMar>
                  <w:vAlign w:val="center"/>
                </w:tcPr>
                <w:p w14:paraId="179969B2">
                  <w:pPr>
                    <w:pStyle w:val="286"/>
                    <w:framePr w:hSpace="0" w:wrap="auto" w:vAnchor="margin" w:hAnchor="text" w:xAlign="left" w:yAlign="inline"/>
                    <w:rPr>
                      <w:rFonts w:hint="eastAsia"/>
                      <w:color w:val="auto"/>
                      <w:lang w:val="en-US" w:eastAsia="zh-CN"/>
                    </w:rPr>
                  </w:pPr>
                  <w:r>
                    <w:rPr>
                      <w:rFonts w:hint="eastAsia"/>
                      <w:color w:val="auto"/>
                      <w:lang w:val="en-US" w:eastAsia="zh-CN"/>
                    </w:rPr>
                    <w:t>22.4</w:t>
                  </w:r>
                </w:p>
              </w:tc>
              <w:tc>
                <w:tcPr>
                  <w:tcW w:w="531" w:type="dxa"/>
                  <w:shd w:val="clear" w:color="auto" w:fill="FFFFFF"/>
                  <w:tcMar>
                    <w:top w:w="0" w:type="dxa"/>
                    <w:left w:w="0" w:type="dxa"/>
                    <w:bottom w:w="0" w:type="dxa"/>
                    <w:right w:w="0" w:type="dxa"/>
                  </w:tcMar>
                  <w:vAlign w:val="center"/>
                </w:tcPr>
                <w:p w14:paraId="73788A28">
                  <w:pPr>
                    <w:pStyle w:val="286"/>
                    <w:framePr w:hSpace="0" w:wrap="auto" w:vAnchor="margin" w:hAnchor="text" w:xAlign="left" w:yAlign="inline"/>
                    <w:rPr>
                      <w:rFonts w:hint="eastAsia"/>
                      <w:color w:val="auto"/>
                      <w:lang w:val="en-US" w:eastAsia="zh-CN"/>
                    </w:rPr>
                  </w:pPr>
                  <w:r>
                    <w:rPr>
                      <w:rFonts w:hint="eastAsia"/>
                      <w:color w:val="auto"/>
                      <w:lang w:val="en-US" w:eastAsia="zh-CN"/>
                    </w:rPr>
                    <w:t>22.4</w:t>
                  </w:r>
                </w:p>
              </w:tc>
              <w:tc>
                <w:tcPr>
                  <w:tcW w:w="531" w:type="dxa"/>
                  <w:shd w:val="clear" w:color="auto" w:fill="FFFFFF"/>
                  <w:tcMar>
                    <w:top w:w="0" w:type="dxa"/>
                    <w:left w:w="0" w:type="dxa"/>
                    <w:bottom w:w="0" w:type="dxa"/>
                    <w:right w:w="0" w:type="dxa"/>
                  </w:tcMar>
                  <w:vAlign w:val="center"/>
                </w:tcPr>
                <w:p w14:paraId="72591F15">
                  <w:pPr>
                    <w:pStyle w:val="286"/>
                    <w:framePr w:hSpace="0" w:wrap="auto" w:vAnchor="margin" w:hAnchor="text" w:xAlign="left" w:yAlign="inline"/>
                    <w:rPr>
                      <w:rFonts w:hint="eastAsia"/>
                      <w:color w:val="auto"/>
                      <w:lang w:val="en-US" w:eastAsia="zh-CN"/>
                    </w:rPr>
                  </w:pPr>
                  <w:r>
                    <w:rPr>
                      <w:rFonts w:hint="eastAsia"/>
                      <w:color w:val="auto"/>
                      <w:lang w:val="en-US" w:eastAsia="zh-CN"/>
                    </w:rPr>
                    <w:t>22.4</w:t>
                  </w:r>
                </w:p>
              </w:tc>
              <w:tc>
                <w:tcPr>
                  <w:tcW w:w="532" w:type="dxa"/>
                  <w:shd w:val="clear" w:color="auto" w:fill="FFFFFF"/>
                  <w:tcMar>
                    <w:top w:w="0" w:type="dxa"/>
                    <w:left w:w="0" w:type="dxa"/>
                    <w:bottom w:w="0" w:type="dxa"/>
                    <w:right w:w="0" w:type="dxa"/>
                  </w:tcMar>
                  <w:vAlign w:val="center"/>
                </w:tcPr>
                <w:p w14:paraId="600A60E3">
                  <w:pPr>
                    <w:pStyle w:val="286"/>
                    <w:framePr w:hSpace="0" w:wrap="auto" w:vAnchor="margin" w:hAnchor="text" w:xAlign="left" w:yAlign="inline"/>
                    <w:rPr>
                      <w:rFonts w:hint="eastAsia"/>
                      <w:color w:val="auto"/>
                      <w:lang w:val="en-US" w:eastAsia="zh-CN"/>
                    </w:rPr>
                  </w:pPr>
                  <w:r>
                    <w:rPr>
                      <w:rFonts w:hint="eastAsia"/>
                      <w:color w:val="auto"/>
                      <w:lang w:val="en-US" w:eastAsia="zh-CN"/>
                    </w:rPr>
                    <w:t>22.4</w:t>
                  </w:r>
                </w:p>
              </w:tc>
              <w:tc>
                <w:tcPr>
                  <w:tcW w:w="733" w:type="dxa"/>
                  <w:shd w:val="clear" w:color="auto" w:fill="FFFFFF"/>
                  <w:tcMar>
                    <w:top w:w="0" w:type="dxa"/>
                    <w:left w:w="0" w:type="dxa"/>
                    <w:bottom w:w="0" w:type="dxa"/>
                    <w:right w:w="0" w:type="dxa"/>
                  </w:tcMar>
                  <w:vAlign w:val="center"/>
                </w:tcPr>
                <w:p w14:paraId="0933D2D6">
                  <w:pPr>
                    <w:pStyle w:val="286"/>
                    <w:framePr w:hSpace="0" w:wrap="auto" w:vAnchor="margin" w:hAnchor="text" w:xAlign="left" w:yAlign="inline"/>
                    <w:rPr>
                      <w:color w:val="auto"/>
                    </w:rPr>
                  </w:pPr>
                  <w:r>
                    <w:rPr>
                      <w:color w:val="auto"/>
                    </w:rPr>
                    <w:t>1</w:t>
                  </w:r>
                </w:p>
              </w:tc>
            </w:tr>
            <w:tr w14:paraId="1AE423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4C83E428">
                  <w:pPr>
                    <w:pStyle w:val="286"/>
                    <w:framePr w:hSpace="0" w:wrap="auto" w:vAnchor="margin" w:hAnchor="text" w:xAlign="left" w:yAlign="inline"/>
                    <w:rPr>
                      <w:rFonts w:hint="eastAsia" w:eastAsia="宋体"/>
                      <w:color w:val="auto"/>
                      <w:lang w:eastAsia="zh-CN"/>
                    </w:rPr>
                  </w:pPr>
                  <w:r>
                    <w:rPr>
                      <w:rFonts w:hint="eastAsia"/>
                      <w:color w:val="auto"/>
                      <w:lang w:val="en-US" w:eastAsia="zh-CN"/>
                    </w:rPr>
                    <w:t>8</w:t>
                  </w:r>
                </w:p>
              </w:tc>
              <w:tc>
                <w:tcPr>
                  <w:tcW w:w="542" w:type="dxa"/>
                  <w:vMerge w:val="continue"/>
                  <w:shd w:val="clear" w:color="auto" w:fill="FFFFFF"/>
                  <w:tcMar>
                    <w:top w:w="0" w:type="dxa"/>
                    <w:left w:w="0" w:type="dxa"/>
                    <w:bottom w:w="0" w:type="dxa"/>
                    <w:right w:w="0" w:type="dxa"/>
                  </w:tcMar>
                  <w:vAlign w:val="center"/>
                </w:tcPr>
                <w:p w14:paraId="4E0A917B">
                  <w:pPr>
                    <w:pStyle w:val="286"/>
                    <w:framePr w:hSpace="0" w:wrap="auto" w:vAnchor="margin" w:hAnchor="text" w:xAlign="left" w:yAlign="inline"/>
                    <w:rPr>
                      <w:color w:val="auto"/>
                    </w:rPr>
                  </w:pPr>
                </w:p>
              </w:tc>
              <w:tc>
                <w:tcPr>
                  <w:tcW w:w="888" w:type="dxa"/>
                  <w:shd w:val="clear" w:color="auto" w:fill="FFFFFF"/>
                  <w:tcMar>
                    <w:top w:w="0" w:type="dxa"/>
                    <w:left w:w="0" w:type="dxa"/>
                    <w:bottom w:w="0" w:type="dxa"/>
                    <w:right w:w="0" w:type="dxa"/>
                  </w:tcMar>
                  <w:vAlign w:val="center"/>
                </w:tcPr>
                <w:p w14:paraId="067C07A9">
                  <w:pPr>
                    <w:pStyle w:val="286"/>
                    <w:framePr w:hSpace="0" w:wrap="auto" w:vAnchor="margin" w:hAnchor="text" w:xAlign="left" w:yAlign="inline"/>
                    <w:rPr>
                      <w:rFonts w:hint="default" w:eastAsia="宋体"/>
                      <w:color w:val="auto"/>
                      <w:lang w:val="en-US" w:eastAsia="zh-CN"/>
                    </w:rPr>
                  </w:pPr>
                  <w:r>
                    <w:rPr>
                      <w:rFonts w:hint="eastAsia"/>
                      <w:color w:val="auto"/>
                      <w:lang w:eastAsia="zh-CN"/>
                    </w:rPr>
                    <w:t>饼丝设备生产线</w:t>
                  </w:r>
                  <w:r>
                    <w:rPr>
                      <w:rFonts w:hint="eastAsia"/>
                      <w:color w:val="auto"/>
                      <w:lang w:val="en-US" w:eastAsia="zh-CN"/>
                    </w:rPr>
                    <w:t>1</w:t>
                  </w:r>
                </w:p>
              </w:tc>
              <w:tc>
                <w:tcPr>
                  <w:tcW w:w="762" w:type="dxa"/>
                  <w:shd w:val="clear" w:color="auto" w:fill="FFFFFF"/>
                  <w:tcMar>
                    <w:top w:w="0" w:type="dxa"/>
                    <w:left w:w="0" w:type="dxa"/>
                    <w:bottom w:w="0" w:type="dxa"/>
                    <w:right w:w="0" w:type="dxa"/>
                  </w:tcMar>
                  <w:vAlign w:val="center"/>
                </w:tcPr>
                <w:p w14:paraId="5F3E880E">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75</w:t>
                  </w:r>
                </w:p>
              </w:tc>
              <w:tc>
                <w:tcPr>
                  <w:tcW w:w="484" w:type="dxa"/>
                  <w:vMerge w:val="continue"/>
                  <w:shd w:val="clear" w:color="auto" w:fill="FFFFFF"/>
                  <w:tcMar>
                    <w:top w:w="0" w:type="dxa"/>
                    <w:left w:w="0" w:type="dxa"/>
                    <w:bottom w:w="0" w:type="dxa"/>
                    <w:right w:w="0" w:type="dxa"/>
                  </w:tcMar>
                  <w:vAlign w:val="center"/>
                </w:tcPr>
                <w:p w14:paraId="7CF65A9F">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11FF884A">
                  <w:pPr>
                    <w:pStyle w:val="286"/>
                    <w:framePr w:hSpace="0" w:wrap="auto" w:vAnchor="margin" w:hAnchor="text" w:xAlign="left" w:yAlign="inline"/>
                    <w:rPr>
                      <w:rFonts w:hint="eastAsia" w:eastAsia="宋体"/>
                      <w:color w:val="auto"/>
                      <w:lang w:val="en-US" w:eastAsia="zh-CN"/>
                    </w:rPr>
                  </w:pPr>
                  <w:r>
                    <w:rPr>
                      <w:rFonts w:hint="eastAsia"/>
                      <w:color w:val="auto"/>
                      <w:lang w:val="en-US" w:eastAsia="zh-CN"/>
                    </w:rPr>
                    <w:t>0</w:t>
                  </w:r>
                </w:p>
              </w:tc>
              <w:tc>
                <w:tcPr>
                  <w:tcW w:w="629" w:type="dxa"/>
                  <w:shd w:val="clear" w:color="auto" w:fill="FFFFFF"/>
                  <w:tcMar>
                    <w:top w:w="0" w:type="dxa"/>
                    <w:left w:w="0" w:type="dxa"/>
                    <w:bottom w:w="0" w:type="dxa"/>
                    <w:right w:w="0" w:type="dxa"/>
                  </w:tcMar>
                  <w:vAlign w:val="center"/>
                </w:tcPr>
                <w:p w14:paraId="131C428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-23</w:t>
                  </w:r>
                </w:p>
              </w:tc>
              <w:tc>
                <w:tcPr>
                  <w:tcW w:w="630" w:type="dxa"/>
                  <w:shd w:val="clear" w:color="auto" w:fill="FFFFFF"/>
                  <w:tcMar>
                    <w:top w:w="0" w:type="dxa"/>
                    <w:left w:w="0" w:type="dxa"/>
                    <w:bottom w:w="0" w:type="dxa"/>
                    <w:right w:w="0" w:type="dxa"/>
                  </w:tcMar>
                  <w:vAlign w:val="center"/>
                </w:tcPr>
                <w:p w14:paraId="3E31A929">
                  <w:pPr>
                    <w:pStyle w:val="286"/>
                    <w:framePr w:hSpace="0" w:wrap="auto" w:vAnchor="margin" w:hAnchor="text" w:xAlign="left" w:yAlign="inline"/>
                    <w:rPr>
                      <w:color w:val="auto"/>
                    </w:rPr>
                  </w:pPr>
                  <w:r>
                    <w:rPr>
                      <w:color w:val="auto"/>
                    </w:rPr>
                    <w:t>1.2</w:t>
                  </w:r>
                </w:p>
              </w:tc>
              <w:tc>
                <w:tcPr>
                  <w:tcW w:w="523" w:type="dxa"/>
                  <w:shd w:val="clear" w:color="auto" w:fill="FFFFFF"/>
                  <w:tcMar>
                    <w:top w:w="0" w:type="dxa"/>
                    <w:left w:w="0" w:type="dxa"/>
                    <w:bottom w:w="0" w:type="dxa"/>
                    <w:right w:w="0" w:type="dxa"/>
                  </w:tcMar>
                  <w:vAlign w:val="center"/>
                </w:tcPr>
                <w:p w14:paraId="12335B7F">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46.1</w:t>
                  </w:r>
                </w:p>
              </w:tc>
              <w:tc>
                <w:tcPr>
                  <w:tcW w:w="523" w:type="dxa"/>
                  <w:shd w:val="clear" w:color="auto" w:fill="FFFFFF"/>
                  <w:tcMar>
                    <w:top w:w="0" w:type="dxa"/>
                    <w:left w:w="0" w:type="dxa"/>
                    <w:bottom w:w="0" w:type="dxa"/>
                    <w:right w:w="0" w:type="dxa"/>
                  </w:tcMar>
                  <w:vAlign w:val="center"/>
                </w:tcPr>
                <w:p w14:paraId="5749C332">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2.5</w:t>
                  </w:r>
                </w:p>
              </w:tc>
              <w:tc>
                <w:tcPr>
                  <w:tcW w:w="523" w:type="dxa"/>
                  <w:shd w:val="clear" w:color="auto" w:fill="FFFFFF"/>
                  <w:tcMar>
                    <w:top w:w="0" w:type="dxa"/>
                    <w:left w:w="0" w:type="dxa"/>
                    <w:bottom w:w="0" w:type="dxa"/>
                    <w:right w:w="0" w:type="dxa"/>
                  </w:tcMar>
                  <w:vAlign w:val="center"/>
                </w:tcPr>
                <w:p w14:paraId="43D22783">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32.3</w:t>
                  </w:r>
                </w:p>
              </w:tc>
              <w:tc>
                <w:tcPr>
                  <w:tcW w:w="524" w:type="dxa"/>
                  <w:shd w:val="clear" w:color="auto" w:fill="FFFFFF"/>
                  <w:tcMar>
                    <w:top w:w="0" w:type="dxa"/>
                    <w:left w:w="0" w:type="dxa"/>
                    <w:bottom w:w="0" w:type="dxa"/>
                    <w:right w:w="0" w:type="dxa"/>
                  </w:tcMar>
                  <w:vAlign w:val="center"/>
                </w:tcPr>
                <w:p w14:paraId="704297F7">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27.7</w:t>
                  </w:r>
                </w:p>
              </w:tc>
              <w:tc>
                <w:tcPr>
                  <w:tcW w:w="517" w:type="dxa"/>
                  <w:shd w:val="clear" w:color="auto" w:fill="FFFFFF"/>
                  <w:tcMar>
                    <w:top w:w="0" w:type="dxa"/>
                    <w:left w:w="0" w:type="dxa"/>
                    <w:bottom w:w="0" w:type="dxa"/>
                    <w:right w:w="0" w:type="dxa"/>
                  </w:tcMar>
                  <w:vAlign w:val="center"/>
                </w:tcPr>
                <w:p w14:paraId="45CCD498">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48.4</w:t>
                  </w:r>
                </w:p>
              </w:tc>
              <w:tc>
                <w:tcPr>
                  <w:tcW w:w="517" w:type="dxa"/>
                  <w:shd w:val="clear" w:color="auto" w:fill="FFFFFF"/>
                  <w:tcMar>
                    <w:top w:w="0" w:type="dxa"/>
                    <w:left w:w="0" w:type="dxa"/>
                    <w:bottom w:w="0" w:type="dxa"/>
                    <w:right w:w="0" w:type="dxa"/>
                  </w:tcMar>
                  <w:vAlign w:val="center"/>
                </w:tcPr>
                <w:p w14:paraId="5E049A6B">
                  <w:pPr>
                    <w:pStyle w:val="286"/>
                    <w:framePr w:hSpace="0" w:wrap="auto" w:vAnchor="margin" w:hAnchor="text" w:xAlign="left" w:yAlign="inline"/>
                    <w:rPr>
                      <w:rFonts w:hint="eastAsia" w:eastAsia="宋体"/>
                      <w:color w:val="auto"/>
                      <w:lang w:eastAsia="zh-CN"/>
                    </w:rPr>
                  </w:pPr>
                  <w:r>
                    <w:rPr>
                      <w:rFonts w:hint="eastAsia"/>
                      <w:color w:val="auto"/>
                      <w:lang w:val="en-US" w:eastAsia="zh-CN"/>
                    </w:rPr>
                    <w:t>48</w:t>
                  </w:r>
                  <w:r>
                    <w:rPr>
                      <w:color w:val="auto"/>
                    </w:rPr>
                    <w:t>.</w:t>
                  </w:r>
                  <w:r>
                    <w:rPr>
                      <w:rFonts w:hint="eastAsia"/>
                      <w:color w:val="auto"/>
                      <w:lang w:val="en-US" w:eastAsia="zh-CN"/>
                    </w:rPr>
                    <w:t>5</w:t>
                  </w:r>
                </w:p>
              </w:tc>
              <w:tc>
                <w:tcPr>
                  <w:tcW w:w="517" w:type="dxa"/>
                  <w:shd w:val="clear" w:color="auto" w:fill="FFFFFF"/>
                  <w:tcMar>
                    <w:top w:w="0" w:type="dxa"/>
                    <w:left w:w="0" w:type="dxa"/>
                    <w:bottom w:w="0" w:type="dxa"/>
                    <w:right w:w="0" w:type="dxa"/>
                  </w:tcMar>
                  <w:vAlign w:val="center"/>
                </w:tcPr>
                <w:p w14:paraId="71A4D47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48.4</w:t>
                  </w:r>
                </w:p>
              </w:tc>
              <w:tc>
                <w:tcPr>
                  <w:tcW w:w="518" w:type="dxa"/>
                  <w:shd w:val="clear" w:color="auto" w:fill="FFFFFF"/>
                  <w:tcMar>
                    <w:top w:w="0" w:type="dxa"/>
                    <w:left w:w="0" w:type="dxa"/>
                    <w:bottom w:w="0" w:type="dxa"/>
                    <w:right w:w="0" w:type="dxa"/>
                  </w:tcMar>
                  <w:vAlign w:val="center"/>
                </w:tcPr>
                <w:p w14:paraId="5B787C2D">
                  <w:pPr>
                    <w:pStyle w:val="286"/>
                    <w:framePr w:hSpace="0" w:wrap="auto" w:vAnchor="margin" w:hAnchor="text" w:xAlign="left" w:yAlign="inline"/>
                    <w:rPr>
                      <w:color w:val="auto"/>
                    </w:rPr>
                  </w:pPr>
                  <w:r>
                    <w:rPr>
                      <w:rFonts w:hint="eastAsia"/>
                      <w:color w:val="auto"/>
                      <w:lang w:val="en-US" w:eastAsia="zh-CN"/>
                    </w:rPr>
                    <w:t>48.</w:t>
                  </w:r>
                  <w:r>
                    <w:rPr>
                      <w:color w:val="auto"/>
                    </w:rPr>
                    <w:t>4</w:t>
                  </w:r>
                </w:p>
              </w:tc>
              <w:tc>
                <w:tcPr>
                  <w:tcW w:w="449" w:type="dxa"/>
                  <w:vMerge w:val="continue"/>
                  <w:shd w:val="clear" w:color="auto" w:fill="FFFFFF"/>
                  <w:tcMar>
                    <w:top w:w="0" w:type="dxa"/>
                    <w:left w:w="0" w:type="dxa"/>
                    <w:bottom w:w="0" w:type="dxa"/>
                    <w:right w:w="0" w:type="dxa"/>
                  </w:tcMar>
                  <w:vAlign w:val="center"/>
                </w:tcPr>
                <w:p w14:paraId="3840B02D">
                  <w:pPr>
                    <w:rPr>
                      <w:color w:val="auto"/>
                    </w:rPr>
                  </w:pPr>
                </w:p>
              </w:tc>
              <w:tc>
                <w:tcPr>
                  <w:tcW w:w="498" w:type="dxa"/>
                  <w:shd w:val="clear" w:color="auto" w:fill="FFFFFF"/>
                  <w:tcMar>
                    <w:top w:w="0" w:type="dxa"/>
                    <w:left w:w="0" w:type="dxa"/>
                    <w:bottom w:w="0" w:type="dxa"/>
                    <w:right w:w="0" w:type="dxa"/>
                  </w:tcMar>
                  <w:vAlign w:val="center"/>
                </w:tcPr>
                <w:p w14:paraId="24B3826B">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159F1512">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12F810FC">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51B044ED">
                  <w:pPr>
                    <w:pStyle w:val="286"/>
                    <w:framePr w:hSpace="0" w:wrap="auto" w:vAnchor="margin" w:hAnchor="text" w:xAlign="left" w:yAlign="inline"/>
                    <w:rPr>
                      <w:color w:val="auto"/>
                    </w:rPr>
                  </w:pPr>
                  <w:r>
                    <w:rPr>
                      <w:color w:val="auto"/>
                    </w:rPr>
                    <w:t>26.0</w:t>
                  </w:r>
                </w:p>
              </w:tc>
              <w:tc>
                <w:tcPr>
                  <w:tcW w:w="531" w:type="dxa"/>
                  <w:shd w:val="clear" w:color="auto" w:fill="FFFFFF"/>
                  <w:tcMar>
                    <w:top w:w="0" w:type="dxa"/>
                    <w:left w:w="0" w:type="dxa"/>
                    <w:bottom w:w="0" w:type="dxa"/>
                    <w:right w:w="0" w:type="dxa"/>
                  </w:tcMar>
                  <w:vAlign w:val="center"/>
                </w:tcPr>
                <w:p w14:paraId="72510678">
                  <w:pPr>
                    <w:pStyle w:val="286"/>
                    <w:framePr w:hSpace="0" w:wrap="auto" w:vAnchor="margin" w:hAnchor="text" w:xAlign="left" w:yAlign="inline"/>
                    <w:rPr>
                      <w:rFonts w:hint="eastAsia"/>
                      <w:color w:val="auto"/>
                      <w:lang w:val="en-US" w:eastAsia="zh-CN"/>
                    </w:rPr>
                  </w:pPr>
                  <w:r>
                    <w:rPr>
                      <w:rFonts w:hint="eastAsia"/>
                      <w:color w:val="auto"/>
                      <w:lang w:val="en-US" w:eastAsia="zh-CN"/>
                    </w:rPr>
                    <w:t>22.4</w:t>
                  </w:r>
                </w:p>
              </w:tc>
              <w:tc>
                <w:tcPr>
                  <w:tcW w:w="531" w:type="dxa"/>
                  <w:shd w:val="clear" w:color="auto" w:fill="FFFFFF"/>
                  <w:tcMar>
                    <w:top w:w="0" w:type="dxa"/>
                    <w:left w:w="0" w:type="dxa"/>
                    <w:bottom w:w="0" w:type="dxa"/>
                    <w:right w:w="0" w:type="dxa"/>
                  </w:tcMar>
                  <w:vAlign w:val="center"/>
                </w:tcPr>
                <w:p w14:paraId="297229A6">
                  <w:pPr>
                    <w:pStyle w:val="286"/>
                    <w:framePr w:hSpace="0" w:wrap="auto" w:vAnchor="margin" w:hAnchor="text" w:xAlign="left" w:yAlign="inline"/>
                    <w:rPr>
                      <w:rFonts w:hint="eastAsia"/>
                      <w:color w:val="auto"/>
                      <w:lang w:val="en-US" w:eastAsia="zh-CN"/>
                    </w:rPr>
                  </w:pPr>
                  <w:r>
                    <w:rPr>
                      <w:rFonts w:hint="eastAsia"/>
                      <w:color w:val="auto"/>
                      <w:lang w:val="en-US" w:eastAsia="zh-CN"/>
                    </w:rPr>
                    <w:t>22.5</w:t>
                  </w:r>
                </w:p>
              </w:tc>
              <w:tc>
                <w:tcPr>
                  <w:tcW w:w="531" w:type="dxa"/>
                  <w:shd w:val="clear" w:color="auto" w:fill="FFFFFF"/>
                  <w:tcMar>
                    <w:top w:w="0" w:type="dxa"/>
                    <w:left w:w="0" w:type="dxa"/>
                    <w:bottom w:w="0" w:type="dxa"/>
                    <w:right w:w="0" w:type="dxa"/>
                  </w:tcMar>
                  <w:vAlign w:val="center"/>
                </w:tcPr>
                <w:p w14:paraId="1BB4891E">
                  <w:pPr>
                    <w:pStyle w:val="286"/>
                    <w:framePr w:hSpace="0" w:wrap="auto" w:vAnchor="margin" w:hAnchor="text" w:xAlign="left" w:yAlign="inline"/>
                    <w:rPr>
                      <w:rFonts w:hint="eastAsia"/>
                      <w:color w:val="auto"/>
                      <w:lang w:val="en-US" w:eastAsia="zh-CN"/>
                    </w:rPr>
                  </w:pPr>
                  <w:r>
                    <w:rPr>
                      <w:rFonts w:hint="eastAsia"/>
                      <w:color w:val="auto"/>
                      <w:lang w:val="en-US" w:eastAsia="zh-CN"/>
                    </w:rPr>
                    <w:t>22.4</w:t>
                  </w:r>
                </w:p>
              </w:tc>
              <w:tc>
                <w:tcPr>
                  <w:tcW w:w="532" w:type="dxa"/>
                  <w:shd w:val="clear" w:color="auto" w:fill="FFFFFF"/>
                  <w:tcMar>
                    <w:top w:w="0" w:type="dxa"/>
                    <w:left w:w="0" w:type="dxa"/>
                    <w:bottom w:w="0" w:type="dxa"/>
                    <w:right w:w="0" w:type="dxa"/>
                  </w:tcMar>
                  <w:vAlign w:val="center"/>
                </w:tcPr>
                <w:p w14:paraId="77FD0622">
                  <w:pPr>
                    <w:pStyle w:val="286"/>
                    <w:framePr w:hSpace="0" w:wrap="auto" w:vAnchor="margin" w:hAnchor="text" w:xAlign="left" w:yAlign="inline"/>
                    <w:rPr>
                      <w:rFonts w:hint="eastAsia"/>
                      <w:color w:val="auto"/>
                      <w:lang w:val="en-US" w:eastAsia="zh-CN"/>
                    </w:rPr>
                  </w:pPr>
                  <w:r>
                    <w:rPr>
                      <w:rFonts w:hint="eastAsia"/>
                      <w:color w:val="auto"/>
                      <w:lang w:val="en-US" w:eastAsia="zh-CN"/>
                    </w:rPr>
                    <w:t>22.4</w:t>
                  </w:r>
                </w:p>
              </w:tc>
              <w:tc>
                <w:tcPr>
                  <w:tcW w:w="733" w:type="dxa"/>
                  <w:shd w:val="clear" w:color="auto" w:fill="FFFFFF"/>
                  <w:tcMar>
                    <w:top w:w="0" w:type="dxa"/>
                    <w:left w:w="0" w:type="dxa"/>
                    <w:bottom w:w="0" w:type="dxa"/>
                    <w:right w:w="0" w:type="dxa"/>
                  </w:tcMar>
                  <w:vAlign w:val="center"/>
                </w:tcPr>
                <w:p w14:paraId="40E13612">
                  <w:pPr>
                    <w:pStyle w:val="286"/>
                    <w:framePr w:hSpace="0" w:wrap="auto" w:vAnchor="margin" w:hAnchor="text" w:xAlign="left" w:yAlign="inline"/>
                    <w:rPr>
                      <w:color w:val="auto"/>
                    </w:rPr>
                  </w:pPr>
                  <w:r>
                    <w:rPr>
                      <w:color w:val="auto"/>
                    </w:rPr>
                    <w:t>1</w:t>
                  </w:r>
                </w:p>
              </w:tc>
            </w:tr>
            <w:tr w14:paraId="420B9B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3D3DA84B">
                  <w:pPr>
                    <w:pStyle w:val="286"/>
                    <w:framePr w:hSpace="0" w:wrap="auto" w:vAnchor="margin" w:hAnchor="text" w:xAlign="left" w:yAlign="inline"/>
                    <w:rPr>
                      <w:rFonts w:hint="eastAsia" w:eastAsia="宋体"/>
                      <w:color w:val="auto"/>
                      <w:lang w:eastAsia="zh-CN"/>
                    </w:rPr>
                  </w:pPr>
                  <w:r>
                    <w:rPr>
                      <w:rFonts w:hint="eastAsia"/>
                      <w:color w:val="auto"/>
                      <w:lang w:val="en-US" w:eastAsia="zh-CN"/>
                    </w:rPr>
                    <w:t>9</w:t>
                  </w:r>
                </w:p>
              </w:tc>
              <w:tc>
                <w:tcPr>
                  <w:tcW w:w="542" w:type="dxa"/>
                  <w:vMerge w:val="continue"/>
                  <w:shd w:val="clear" w:color="auto" w:fill="FFFFFF"/>
                  <w:tcMar>
                    <w:top w:w="0" w:type="dxa"/>
                    <w:left w:w="0" w:type="dxa"/>
                    <w:bottom w:w="0" w:type="dxa"/>
                    <w:right w:w="0" w:type="dxa"/>
                  </w:tcMar>
                  <w:vAlign w:val="center"/>
                </w:tcPr>
                <w:p w14:paraId="757545A6">
                  <w:pPr>
                    <w:pStyle w:val="286"/>
                    <w:framePr w:hSpace="0" w:wrap="auto" w:vAnchor="margin" w:hAnchor="text" w:xAlign="left" w:yAlign="inline"/>
                    <w:rPr>
                      <w:color w:val="auto"/>
                    </w:rPr>
                  </w:pPr>
                </w:p>
              </w:tc>
              <w:tc>
                <w:tcPr>
                  <w:tcW w:w="888" w:type="dxa"/>
                  <w:shd w:val="clear" w:color="auto" w:fill="FFFFFF"/>
                  <w:tcMar>
                    <w:top w:w="0" w:type="dxa"/>
                    <w:left w:w="0" w:type="dxa"/>
                    <w:bottom w:w="0" w:type="dxa"/>
                    <w:right w:w="0" w:type="dxa"/>
                  </w:tcMar>
                  <w:vAlign w:val="center"/>
                </w:tcPr>
                <w:p w14:paraId="2EFDE66C">
                  <w:pPr>
                    <w:pStyle w:val="286"/>
                    <w:framePr w:hSpace="0" w:wrap="auto" w:vAnchor="margin" w:hAnchor="text" w:xAlign="left" w:yAlign="inline"/>
                    <w:rPr>
                      <w:rFonts w:hint="default" w:eastAsia="宋体"/>
                      <w:color w:val="auto"/>
                      <w:lang w:val="en-US" w:eastAsia="zh-CN"/>
                    </w:rPr>
                  </w:pPr>
                  <w:r>
                    <w:rPr>
                      <w:rFonts w:hint="eastAsia"/>
                      <w:color w:val="auto"/>
                      <w:lang w:eastAsia="zh-CN"/>
                    </w:rPr>
                    <w:t>扯面设备生产线</w:t>
                  </w:r>
                  <w:r>
                    <w:rPr>
                      <w:rFonts w:hint="eastAsia"/>
                      <w:color w:val="auto"/>
                      <w:lang w:val="en-US" w:eastAsia="zh-CN"/>
                    </w:rPr>
                    <w:t>1</w:t>
                  </w:r>
                </w:p>
              </w:tc>
              <w:tc>
                <w:tcPr>
                  <w:tcW w:w="762" w:type="dxa"/>
                  <w:shd w:val="clear" w:color="auto" w:fill="FFFFFF"/>
                  <w:tcMar>
                    <w:top w:w="0" w:type="dxa"/>
                    <w:left w:w="0" w:type="dxa"/>
                    <w:bottom w:w="0" w:type="dxa"/>
                    <w:right w:w="0" w:type="dxa"/>
                  </w:tcMar>
                  <w:vAlign w:val="center"/>
                </w:tcPr>
                <w:p w14:paraId="5D7D78A7">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85</w:t>
                  </w:r>
                </w:p>
              </w:tc>
              <w:tc>
                <w:tcPr>
                  <w:tcW w:w="484" w:type="dxa"/>
                  <w:vMerge w:val="continue"/>
                  <w:shd w:val="clear" w:color="auto" w:fill="FFFFFF"/>
                  <w:tcMar>
                    <w:top w:w="0" w:type="dxa"/>
                    <w:left w:w="0" w:type="dxa"/>
                    <w:bottom w:w="0" w:type="dxa"/>
                    <w:right w:w="0" w:type="dxa"/>
                  </w:tcMar>
                  <w:vAlign w:val="center"/>
                </w:tcPr>
                <w:p w14:paraId="318A7A15">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287A422F">
                  <w:pPr>
                    <w:pStyle w:val="286"/>
                    <w:framePr w:hSpace="0" w:wrap="auto" w:vAnchor="margin" w:hAnchor="text" w:xAlign="left" w:yAlign="inline"/>
                    <w:rPr>
                      <w:rFonts w:hint="default" w:eastAsia="宋体"/>
                      <w:color w:val="auto"/>
                      <w:highlight w:val="none"/>
                      <w:lang w:val="en-US" w:eastAsia="zh-CN"/>
                    </w:rPr>
                  </w:pPr>
                  <w:r>
                    <w:rPr>
                      <w:rFonts w:hint="eastAsia"/>
                      <w:color w:val="auto"/>
                      <w:highlight w:val="none"/>
                      <w:lang w:val="en-US" w:eastAsia="zh-CN"/>
                    </w:rPr>
                    <w:t>8.8</w:t>
                  </w:r>
                </w:p>
              </w:tc>
              <w:tc>
                <w:tcPr>
                  <w:tcW w:w="629" w:type="dxa"/>
                  <w:shd w:val="clear" w:color="auto" w:fill="FFFFFF"/>
                  <w:tcMar>
                    <w:top w:w="0" w:type="dxa"/>
                    <w:left w:w="0" w:type="dxa"/>
                    <w:bottom w:w="0" w:type="dxa"/>
                    <w:right w:w="0" w:type="dxa"/>
                  </w:tcMar>
                  <w:vAlign w:val="center"/>
                </w:tcPr>
                <w:p w14:paraId="7549D4A5">
                  <w:pPr>
                    <w:pStyle w:val="286"/>
                    <w:framePr w:hSpace="0" w:wrap="auto" w:vAnchor="margin" w:hAnchor="text" w:xAlign="left" w:yAlign="inline"/>
                    <w:rPr>
                      <w:rFonts w:hint="default" w:eastAsia="宋体"/>
                      <w:color w:val="auto"/>
                      <w:highlight w:val="none"/>
                      <w:lang w:val="en-US" w:eastAsia="zh-CN"/>
                    </w:rPr>
                  </w:pPr>
                  <w:r>
                    <w:rPr>
                      <w:rFonts w:hint="eastAsia"/>
                      <w:color w:val="auto"/>
                      <w:highlight w:val="none"/>
                      <w:lang w:val="en-US" w:eastAsia="zh-CN"/>
                    </w:rPr>
                    <w:t>-17</w:t>
                  </w:r>
                </w:p>
              </w:tc>
              <w:tc>
                <w:tcPr>
                  <w:tcW w:w="630" w:type="dxa"/>
                  <w:shd w:val="clear" w:color="auto" w:fill="FFFFFF"/>
                  <w:tcMar>
                    <w:top w:w="0" w:type="dxa"/>
                    <w:left w:w="0" w:type="dxa"/>
                    <w:bottom w:w="0" w:type="dxa"/>
                    <w:right w:w="0" w:type="dxa"/>
                  </w:tcMar>
                  <w:vAlign w:val="center"/>
                </w:tcPr>
                <w:p w14:paraId="2C6FBA66">
                  <w:pPr>
                    <w:pStyle w:val="286"/>
                    <w:framePr w:hSpace="0" w:wrap="auto" w:vAnchor="margin" w:hAnchor="text" w:xAlign="left" w:yAlign="inline"/>
                    <w:rPr>
                      <w:color w:val="auto"/>
                      <w:highlight w:val="none"/>
                    </w:rPr>
                  </w:pPr>
                  <w:r>
                    <w:rPr>
                      <w:color w:val="auto"/>
                      <w:highlight w:val="none"/>
                    </w:rPr>
                    <w:t>1.2</w:t>
                  </w:r>
                </w:p>
              </w:tc>
              <w:tc>
                <w:tcPr>
                  <w:tcW w:w="523" w:type="dxa"/>
                  <w:shd w:val="clear" w:color="auto" w:fill="FFFFFF"/>
                  <w:tcMar>
                    <w:top w:w="0" w:type="dxa"/>
                    <w:left w:w="0" w:type="dxa"/>
                    <w:bottom w:w="0" w:type="dxa"/>
                    <w:right w:w="0" w:type="dxa"/>
                  </w:tcMar>
                  <w:vAlign w:val="center"/>
                </w:tcPr>
                <w:p w14:paraId="554EA9A7">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36.1</w:t>
                  </w:r>
                </w:p>
              </w:tc>
              <w:tc>
                <w:tcPr>
                  <w:tcW w:w="523" w:type="dxa"/>
                  <w:shd w:val="clear" w:color="auto" w:fill="FFFFFF"/>
                  <w:tcMar>
                    <w:top w:w="0" w:type="dxa"/>
                    <w:left w:w="0" w:type="dxa"/>
                    <w:bottom w:w="0" w:type="dxa"/>
                    <w:right w:w="0" w:type="dxa"/>
                  </w:tcMar>
                  <w:vAlign w:val="center"/>
                </w:tcPr>
                <w:p w14:paraId="45CF5A43">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8.7</w:t>
                  </w:r>
                </w:p>
              </w:tc>
              <w:tc>
                <w:tcPr>
                  <w:tcW w:w="523" w:type="dxa"/>
                  <w:shd w:val="clear" w:color="auto" w:fill="FFFFFF"/>
                  <w:tcMar>
                    <w:top w:w="0" w:type="dxa"/>
                    <w:left w:w="0" w:type="dxa"/>
                    <w:bottom w:w="0" w:type="dxa"/>
                    <w:right w:w="0" w:type="dxa"/>
                  </w:tcMar>
                  <w:vAlign w:val="center"/>
                </w:tcPr>
                <w:p w14:paraId="3EC69A13">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30.6</w:t>
                  </w:r>
                </w:p>
              </w:tc>
              <w:tc>
                <w:tcPr>
                  <w:tcW w:w="524" w:type="dxa"/>
                  <w:shd w:val="clear" w:color="auto" w:fill="FFFFFF"/>
                  <w:tcMar>
                    <w:top w:w="0" w:type="dxa"/>
                    <w:left w:w="0" w:type="dxa"/>
                    <w:bottom w:w="0" w:type="dxa"/>
                    <w:right w:w="0" w:type="dxa"/>
                  </w:tcMar>
                  <w:vAlign w:val="center"/>
                </w:tcPr>
                <w:p w14:paraId="6411ADA8">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22.6</w:t>
                  </w:r>
                </w:p>
              </w:tc>
              <w:tc>
                <w:tcPr>
                  <w:tcW w:w="517" w:type="dxa"/>
                  <w:shd w:val="clear" w:color="auto" w:fill="FFFFFF"/>
                  <w:tcMar>
                    <w:top w:w="0" w:type="dxa"/>
                    <w:left w:w="0" w:type="dxa"/>
                    <w:bottom w:w="0" w:type="dxa"/>
                    <w:right w:w="0" w:type="dxa"/>
                  </w:tcMar>
                  <w:vAlign w:val="center"/>
                </w:tcPr>
                <w:p w14:paraId="153FEF4F">
                  <w:pPr>
                    <w:pStyle w:val="286"/>
                    <w:framePr w:hSpace="0" w:wrap="auto" w:vAnchor="margin" w:hAnchor="text" w:xAlign="left" w:yAlign="inline"/>
                    <w:rPr>
                      <w:color w:val="auto"/>
                    </w:rPr>
                  </w:pPr>
                  <w:r>
                    <w:rPr>
                      <w:color w:val="auto"/>
                    </w:rPr>
                    <w:t>54.4</w:t>
                  </w:r>
                </w:p>
              </w:tc>
              <w:tc>
                <w:tcPr>
                  <w:tcW w:w="517" w:type="dxa"/>
                  <w:shd w:val="clear" w:color="auto" w:fill="FFFFFF"/>
                  <w:tcMar>
                    <w:top w:w="0" w:type="dxa"/>
                    <w:left w:w="0" w:type="dxa"/>
                    <w:bottom w:w="0" w:type="dxa"/>
                    <w:right w:w="0" w:type="dxa"/>
                  </w:tcMar>
                  <w:vAlign w:val="center"/>
                </w:tcPr>
                <w:p w14:paraId="50CC650B">
                  <w:pPr>
                    <w:pStyle w:val="286"/>
                    <w:framePr w:hSpace="0" w:wrap="auto" w:vAnchor="margin" w:hAnchor="text" w:xAlign="left" w:yAlign="inline"/>
                    <w:rPr>
                      <w:color w:val="auto"/>
                    </w:rPr>
                  </w:pPr>
                  <w:r>
                    <w:rPr>
                      <w:color w:val="auto"/>
                    </w:rPr>
                    <w:t>54.4</w:t>
                  </w:r>
                </w:p>
              </w:tc>
              <w:tc>
                <w:tcPr>
                  <w:tcW w:w="517" w:type="dxa"/>
                  <w:shd w:val="clear" w:color="auto" w:fill="FFFFFF"/>
                  <w:tcMar>
                    <w:top w:w="0" w:type="dxa"/>
                    <w:left w:w="0" w:type="dxa"/>
                    <w:bottom w:w="0" w:type="dxa"/>
                    <w:right w:w="0" w:type="dxa"/>
                  </w:tcMar>
                  <w:vAlign w:val="center"/>
                </w:tcPr>
                <w:p w14:paraId="4C4D2B71">
                  <w:pPr>
                    <w:pStyle w:val="286"/>
                    <w:framePr w:hSpace="0" w:wrap="auto" w:vAnchor="margin" w:hAnchor="text" w:xAlign="left" w:yAlign="inline"/>
                    <w:rPr>
                      <w:color w:val="auto"/>
                    </w:rPr>
                  </w:pPr>
                  <w:r>
                    <w:rPr>
                      <w:color w:val="auto"/>
                    </w:rPr>
                    <w:t>54.7</w:t>
                  </w:r>
                </w:p>
              </w:tc>
              <w:tc>
                <w:tcPr>
                  <w:tcW w:w="518" w:type="dxa"/>
                  <w:shd w:val="clear" w:color="auto" w:fill="FFFFFF"/>
                  <w:tcMar>
                    <w:top w:w="0" w:type="dxa"/>
                    <w:left w:w="0" w:type="dxa"/>
                    <w:bottom w:w="0" w:type="dxa"/>
                    <w:right w:w="0" w:type="dxa"/>
                  </w:tcMar>
                  <w:vAlign w:val="center"/>
                </w:tcPr>
                <w:p w14:paraId="47885CBA">
                  <w:pPr>
                    <w:pStyle w:val="286"/>
                    <w:framePr w:hSpace="0" w:wrap="auto" w:vAnchor="margin" w:hAnchor="text" w:xAlign="left" w:yAlign="inline"/>
                    <w:rPr>
                      <w:color w:val="auto"/>
                    </w:rPr>
                  </w:pPr>
                  <w:r>
                    <w:rPr>
                      <w:color w:val="auto"/>
                    </w:rPr>
                    <w:t>54.4</w:t>
                  </w:r>
                </w:p>
              </w:tc>
              <w:tc>
                <w:tcPr>
                  <w:tcW w:w="449" w:type="dxa"/>
                  <w:vMerge w:val="continue"/>
                  <w:shd w:val="clear" w:color="auto" w:fill="FFFFFF"/>
                  <w:tcMar>
                    <w:top w:w="0" w:type="dxa"/>
                    <w:left w:w="0" w:type="dxa"/>
                    <w:bottom w:w="0" w:type="dxa"/>
                    <w:right w:w="0" w:type="dxa"/>
                  </w:tcMar>
                  <w:vAlign w:val="center"/>
                </w:tcPr>
                <w:p w14:paraId="555A1AC5">
                  <w:pPr>
                    <w:rPr>
                      <w:color w:val="auto"/>
                    </w:rPr>
                  </w:pPr>
                </w:p>
              </w:tc>
              <w:tc>
                <w:tcPr>
                  <w:tcW w:w="498" w:type="dxa"/>
                  <w:shd w:val="clear" w:color="auto" w:fill="FFFFFF"/>
                  <w:tcMar>
                    <w:top w:w="0" w:type="dxa"/>
                    <w:left w:w="0" w:type="dxa"/>
                    <w:bottom w:w="0" w:type="dxa"/>
                    <w:right w:w="0" w:type="dxa"/>
                  </w:tcMar>
                  <w:vAlign w:val="center"/>
                </w:tcPr>
                <w:p w14:paraId="7CC1D12D">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3282B4D8">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5B6081EF">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206581E5">
                  <w:pPr>
                    <w:pStyle w:val="286"/>
                    <w:framePr w:hSpace="0" w:wrap="auto" w:vAnchor="margin" w:hAnchor="text" w:xAlign="left" w:yAlign="inline"/>
                    <w:rPr>
                      <w:color w:val="auto"/>
                    </w:rPr>
                  </w:pPr>
                  <w:r>
                    <w:rPr>
                      <w:color w:val="auto"/>
                    </w:rPr>
                    <w:t>26.0</w:t>
                  </w:r>
                </w:p>
              </w:tc>
              <w:tc>
                <w:tcPr>
                  <w:tcW w:w="531" w:type="dxa"/>
                  <w:shd w:val="clear" w:color="auto" w:fill="FFFFFF"/>
                  <w:tcMar>
                    <w:top w:w="0" w:type="dxa"/>
                    <w:left w:w="0" w:type="dxa"/>
                    <w:bottom w:w="0" w:type="dxa"/>
                    <w:right w:w="0" w:type="dxa"/>
                  </w:tcMar>
                  <w:vAlign w:val="center"/>
                </w:tcPr>
                <w:p w14:paraId="71350063">
                  <w:pPr>
                    <w:pStyle w:val="286"/>
                    <w:framePr w:hSpace="0" w:wrap="auto" w:vAnchor="margin" w:hAnchor="text" w:xAlign="left" w:yAlign="inline"/>
                    <w:rPr>
                      <w:rFonts w:hint="eastAsia"/>
                      <w:color w:val="auto"/>
                      <w:lang w:val="en-US" w:eastAsia="zh-CN"/>
                    </w:rPr>
                  </w:pPr>
                  <w:r>
                    <w:rPr>
                      <w:rFonts w:hint="eastAsia"/>
                      <w:color w:val="auto"/>
                      <w:lang w:val="en-US" w:eastAsia="zh-CN"/>
                    </w:rPr>
                    <w:t>28.4</w:t>
                  </w:r>
                </w:p>
              </w:tc>
              <w:tc>
                <w:tcPr>
                  <w:tcW w:w="531" w:type="dxa"/>
                  <w:shd w:val="clear" w:color="auto" w:fill="FFFFFF"/>
                  <w:tcMar>
                    <w:top w:w="0" w:type="dxa"/>
                    <w:left w:w="0" w:type="dxa"/>
                    <w:bottom w:w="0" w:type="dxa"/>
                    <w:right w:w="0" w:type="dxa"/>
                  </w:tcMar>
                  <w:vAlign w:val="center"/>
                </w:tcPr>
                <w:p w14:paraId="195CB9C6">
                  <w:pPr>
                    <w:pStyle w:val="286"/>
                    <w:framePr w:hSpace="0" w:wrap="auto" w:vAnchor="margin" w:hAnchor="text" w:xAlign="left" w:yAlign="inline"/>
                    <w:rPr>
                      <w:rFonts w:hint="eastAsia"/>
                      <w:color w:val="auto"/>
                      <w:lang w:val="en-US" w:eastAsia="zh-CN"/>
                    </w:rPr>
                  </w:pPr>
                  <w:r>
                    <w:rPr>
                      <w:rFonts w:hint="eastAsia"/>
                      <w:color w:val="auto"/>
                      <w:lang w:val="en-US" w:eastAsia="zh-CN"/>
                    </w:rPr>
                    <w:t>28.4</w:t>
                  </w:r>
                </w:p>
              </w:tc>
              <w:tc>
                <w:tcPr>
                  <w:tcW w:w="531" w:type="dxa"/>
                  <w:shd w:val="clear" w:color="auto" w:fill="FFFFFF"/>
                  <w:tcMar>
                    <w:top w:w="0" w:type="dxa"/>
                    <w:left w:w="0" w:type="dxa"/>
                    <w:bottom w:w="0" w:type="dxa"/>
                    <w:right w:w="0" w:type="dxa"/>
                  </w:tcMar>
                  <w:vAlign w:val="center"/>
                </w:tcPr>
                <w:p w14:paraId="154F924F">
                  <w:pPr>
                    <w:pStyle w:val="286"/>
                    <w:framePr w:hSpace="0" w:wrap="auto" w:vAnchor="margin" w:hAnchor="text" w:xAlign="left" w:yAlign="inline"/>
                    <w:rPr>
                      <w:rFonts w:hint="eastAsia"/>
                      <w:color w:val="auto"/>
                      <w:lang w:val="en-US" w:eastAsia="zh-CN"/>
                    </w:rPr>
                  </w:pPr>
                  <w:r>
                    <w:rPr>
                      <w:rFonts w:hint="eastAsia"/>
                      <w:color w:val="auto"/>
                      <w:lang w:val="en-US" w:eastAsia="zh-CN"/>
                    </w:rPr>
                    <w:t>28.7</w:t>
                  </w:r>
                </w:p>
              </w:tc>
              <w:tc>
                <w:tcPr>
                  <w:tcW w:w="532" w:type="dxa"/>
                  <w:shd w:val="clear" w:color="auto" w:fill="FFFFFF"/>
                  <w:tcMar>
                    <w:top w:w="0" w:type="dxa"/>
                    <w:left w:w="0" w:type="dxa"/>
                    <w:bottom w:w="0" w:type="dxa"/>
                    <w:right w:w="0" w:type="dxa"/>
                  </w:tcMar>
                  <w:vAlign w:val="center"/>
                </w:tcPr>
                <w:p w14:paraId="28ACAF13">
                  <w:pPr>
                    <w:pStyle w:val="286"/>
                    <w:framePr w:hSpace="0" w:wrap="auto" w:vAnchor="margin" w:hAnchor="text" w:xAlign="left" w:yAlign="inline"/>
                    <w:rPr>
                      <w:rFonts w:hint="eastAsia"/>
                      <w:color w:val="auto"/>
                      <w:lang w:val="en-US" w:eastAsia="zh-CN"/>
                    </w:rPr>
                  </w:pPr>
                  <w:r>
                    <w:rPr>
                      <w:rFonts w:hint="eastAsia"/>
                      <w:color w:val="auto"/>
                      <w:lang w:val="en-US" w:eastAsia="zh-CN"/>
                    </w:rPr>
                    <w:t>28.4</w:t>
                  </w:r>
                </w:p>
              </w:tc>
              <w:tc>
                <w:tcPr>
                  <w:tcW w:w="733" w:type="dxa"/>
                  <w:shd w:val="clear" w:color="auto" w:fill="FFFFFF"/>
                  <w:tcMar>
                    <w:top w:w="0" w:type="dxa"/>
                    <w:left w:w="0" w:type="dxa"/>
                    <w:bottom w:w="0" w:type="dxa"/>
                    <w:right w:w="0" w:type="dxa"/>
                  </w:tcMar>
                  <w:vAlign w:val="center"/>
                </w:tcPr>
                <w:p w14:paraId="03C54598">
                  <w:pPr>
                    <w:pStyle w:val="286"/>
                    <w:framePr w:hSpace="0" w:wrap="auto" w:vAnchor="margin" w:hAnchor="text" w:xAlign="left" w:yAlign="inline"/>
                    <w:rPr>
                      <w:color w:val="auto"/>
                    </w:rPr>
                  </w:pPr>
                  <w:r>
                    <w:rPr>
                      <w:color w:val="auto"/>
                    </w:rPr>
                    <w:t>1</w:t>
                  </w:r>
                </w:p>
              </w:tc>
            </w:tr>
            <w:tr w14:paraId="524C9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526AC145">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10</w:t>
                  </w:r>
                </w:p>
              </w:tc>
              <w:tc>
                <w:tcPr>
                  <w:tcW w:w="542" w:type="dxa"/>
                  <w:vMerge w:val="continue"/>
                  <w:shd w:val="clear" w:color="auto" w:fill="FFFFFF"/>
                  <w:tcMar>
                    <w:top w:w="0" w:type="dxa"/>
                    <w:left w:w="0" w:type="dxa"/>
                    <w:bottom w:w="0" w:type="dxa"/>
                    <w:right w:w="0" w:type="dxa"/>
                  </w:tcMar>
                  <w:vAlign w:val="center"/>
                </w:tcPr>
                <w:p w14:paraId="6CF00213">
                  <w:pPr>
                    <w:pStyle w:val="286"/>
                    <w:framePr w:hSpace="0" w:wrap="auto" w:vAnchor="margin" w:hAnchor="text" w:xAlign="left" w:yAlign="inline"/>
                    <w:rPr>
                      <w:color w:val="auto"/>
                    </w:rPr>
                  </w:pPr>
                </w:p>
              </w:tc>
              <w:tc>
                <w:tcPr>
                  <w:tcW w:w="888" w:type="dxa"/>
                  <w:shd w:val="clear" w:color="auto" w:fill="FFFFFF"/>
                  <w:tcMar>
                    <w:top w:w="0" w:type="dxa"/>
                    <w:left w:w="0" w:type="dxa"/>
                    <w:bottom w:w="0" w:type="dxa"/>
                    <w:right w:w="0" w:type="dxa"/>
                  </w:tcMar>
                  <w:vAlign w:val="center"/>
                </w:tcPr>
                <w:p w14:paraId="4E8C8817">
                  <w:pPr>
                    <w:pStyle w:val="286"/>
                    <w:framePr w:hSpace="0" w:wrap="auto" w:vAnchor="margin" w:hAnchor="text" w:xAlign="left" w:yAlign="inline"/>
                    <w:rPr>
                      <w:rFonts w:hint="default" w:eastAsia="宋体"/>
                      <w:color w:val="auto"/>
                      <w:lang w:val="en-US" w:eastAsia="zh-CN"/>
                    </w:rPr>
                  </w:pPr>
                  <w:r>
                    <w:rPr>
                      <w:rFonts w:hint="eastAsia"/>
                      <w:color w:val="auto"/>
                      <w:lang w:eastAsia="zh-CN"/>
                    </w:rPr>
                    <w:t>豆饼设备</w:t>
                  </w:r>
                  <w:r>
                    <w:rPr>
                      <w:rFonts w:hint="eastAsia"/>
                      <w:color w:val="auto"/>
                      <w:lang w:val="en-US" w:eastAsia="zh-CN"/>
                    </w:rPr>
                    <w:t>1</w:t>
                  </w:r>
                </w:p>
              </w:tc>
              <w:tc>
                <w:tcPr>
                  <w:tcW w:w="762" w:type="dxa"/>
                  <w:shd w:val="clear" w:color="auto" w:fill="FFFFFF"/>
                  <w:tcMar>
                    <w:top w:w="0" w:type="dxa"/>
                    <w:left w:w="0" w:type="dxa"/>
                    <w:bottom w:w="0" w:type="dxa"/>
                    <w:right w:w="0" w:type="dxa"/>
                  </w:tcMar>
                  <w:vAlign w:val="center"/>
                </w:tcPr>
                <w:p w14:paraId="004DB77F">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70</w:t>
                  </w:r>
                </w:p>
              </w:tc>
              <w:tc>
                <w:tcPr>
                  <w:tcW w:w="484" w:type="dxa"/>
                  <w:vMerge w:val="continue"/>
                  <w:shd w:val="clear" w:color="auto" w:fill="FFFFFF"/>
                  <w:tcMar>
                    <w:top w:w="0" w:type="dxa"/>
                    <w:left w:w="0" w:type="dxa"/>
                    <w:bottom w:w="0" w:type="dxa"/>
                    <w:right w:w="0" w:type="dxa"/>
                  </w:tcMar>
                  <w:vAlign w:val="center"/>
                </w:tcPr>
                <w:p w14:paraId="40852E25">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50482552">
                  <w:pPr>
                    <w:pStyle w:val="286"/>
                    <w:framePr w:hSpace="0" w:wrap="auto" w:vAnchor="margin" w:hAnchor="text" w:xAlign="left" w:yAlign="inline"/>
                    <w:rPr>
                      <w:rFonts w:hint="default" w:eastAsia="宋体"/>
                      <w:color w:val="auto"/>
                      <w:highlight w:val="none"/>
                      <w:lang w:val="en-US" w:eastAsia="zh-CN"/>
                    </w:rPr>
                  </w:pPr>
                  <w:r>
                    <w:rPr>
                      <w:rFonts w:hint="eastAsia"/>
                      <w:color w:val="auto"/>
                      <w:highlight w:val="none"/>
                      <w:lang w:val="en-US" w:eastAsia="zh-CN"/>
                    </w:rPr>
                    <w:t>8.8</w:t>
                  </w:r>
                </w:p>
              </w:tc>
              <w:tc>
                <w:tcPr>
                  <w:tcW w:w="629" w:type="dxa"/>
                  <w:shd w:val="clear" w:color="auto" w:fill="FFFFFF"/>
                  <w:tcMar>
                    <w:top w:w="0" w:type="dxa"/>
                    <w:left w:w="0" w:type="dxa"/>
                    <w:bottom w:w="0" w:type="dxa"/>
                    <w:right w:w="0" w:type="dxa"/>
                  </w:tcMar>
                  <w:vAlign w:val="center"/>
                </w:tcPr>
                <w:p w14:paraId="7ACCA7E2">
                  <w:pPr>
                    <w:pStyle w:val="286"/>
                    <w:framePr w:hSpace="0" w:wrap="auto" w:vAnchor="margin" w:hAnchor="text" w:xAlign="left" w:yAlign="inline"/>
                    <w:rPr>
                      <w:rFonts w:hint="default" w:eastAsia="宋体"/>
                      <w:color w:val="auto"/>
                      <w:highlight w:val="none"/>
                      <w:lang w:val="en-US" w:eastAsia="zh-CN"/>
                    </w:rPr>
                  </w:pPr>
                  <w:r>
                    <w:rPr>
                      <w:rFonts w:hint="eastAsia"/>
                      <w:color w:val="auto"/>
                      <w:highlight w:val="none"/>
                      <w:lang w:val="en-US" w:eastAsia="zh-CN"/>
                    </w:rPr>
                    <w:t>-21</w:t>
                  </w:r>
                </w:p>
              </w:tc>
              <w:tc>
                <w:tcPr>
                  <w:tcW w:w="630" w:type="dxa"/>
                  <w:shd w:val="clear" w:color="auto" w:fill="FFFFFF"/>
                  <w:tcMar>
                    <w:top w:w="0" w:type="dxa"/>
                    <w:left w:w="0" w:type="dxa"/>
                    <w:bottom w:w="0" w:type="dxa"/>
                    <w:right w:w="0" w:type="dxa"/>
                  </w:tcMar>
                  <w:vAlign w:val="center"/>
                </w:tcPr>
                <w:p w14:paraId="185174ED">
                  <w:pPr>
                    <w:pStyle w:val="286"/>
                    <w:framePr w:hSpace="0" w:wrap="auto" w:vAnchor="margin" w:hAnchor="text" w:xAlign="left" w:yAlign="inline"/>
                    <w:rPr>
                      <w:color w:val="auto"/>
                      <w:highlight w:val="none"/>
                    </w:rPr>
                  </w:pPr>
                  <w:r>
                    <w:rPr>
                      <w:color w:val="auto"/>
                      <w:highlight w:val="none"/>
                    </w:rPr>
                    <w:t>1.2</w:t>
                  </w:r>
                </w:p>
              </w:tc>
              <w:tc>
                <w:tcPr>
                  <w:tcW w:w="523" w:type="dxa"/>
                  <w:shd w:val="clear" w:color="auto" w:fill="FFFFFF"/>
                  <w:tcMar>
                    <w:top w:w="0" w:type="dxa"/>
                    <w:left w:w="0" w:type="dxa"/>
                    <w:bottom w:w="0" w:type="dxa"/>
                    <w:right w:w="0" w:type="dxa"/>
                  </w:tcMar>
                  <w:vAlign w:val="center"/>
                </w:tcPr>
                <w:p w14:paraId="07FF6A43">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36.1</w:t>
                  </w:r>
                </w:p>
              </w:tc>
              <w:tc>
                <w:tcPr>
                  <w:tcW w:w="523" w:type="dxa"/>
                  <w:shd w:val="clear" w:color="auto" w:fill="FFFFFF"/>
                  <w:tcMar>
                    <w:top w:w="0" w:type="dxa"/>
                    <w:left w:w="0" w:type="dxa"/>
                    <w:bottom w:w="0" w:type="dxa"/>
                    <w:right w:w="0" w:type="dxa"/>
                  </w:tcMar>
                  <w:vAlign w:val="center"/>
                </w:tcPr>
                <w:p w14:paraId="6C9C4EB9">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4.7</w:t>
                  </w:r>
                </w:p>
              </w:tc>
              <w:tc>
                <w:tcPr>
                  <w:tcW w:w="523" w:type="dxa"/>
                  <w:shd w:val="clear" w:color="auto" w:fill="FFFFFF"/>
                  <w:tcMar>
                    <w:top w:w="0" w:type="dxa"/>
                    <w:left w:w="0" w:type="dxa"/>
                    <w:bottom w:w="0" w:type="dxa"/>
                    <w:right w:w="0" w:type="dxa"/>
                  </w:tcMar>
                  <w:vAlign w:val="center"/>
                </w:tcPr>
                <w:p w14:paraId="43850CDD">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41.3</w:t>
                  </w:r>
                </w:p>
              </w:tc>
              <w:tc>
                <w:tcPr>
                  <w:tcW w:w="524" w:type="dxa"/>
                  <w:shd w:val="clear" w:color="auto" w:fill="FFFFFF"/>
                  <w:tcMar>
                    <w:top w:w="0" w:type="dxa"/>
                    <w:left w:w="0" w:type="dxa"/>
                    <w:bottom w:w="0" w:type="dxa"/>
                    <w:right w:w="0" w:type="dxa"/>
                  </w:tcMar>
                  <w:vAlign w:val="center"/>
                </w:tcPr>
                <w:p w14:paraId="624B4549">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26.8</w:t>
                  </w:r>
                </w:p>
              </w:tc>
              <w:tc>
                <w:tcPr>
                  <w:tcW w:w="517" w:type="dxa"/>
                  <w:shd w:val="clear" w:color="auto" w:fill="FFFFFF"/>
                  <w:tcMar>
                    <w:top w:w="0" w:type="dxa"/>
                    <w:left w:w="0" w:type="dxa"/>
                    <w:bottom w:w="0" w:type="dxa"/>
                    <w:right w:w="0" w:type="dxa"/>
                  </w:tcMar>
                  <w:vAlign w:val="center"/>
                </w:tcPr>
                <w:p w14:paraId="7CADFAE6">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47.6</w:t>
                  </w:r>
                </w:p>
              </w:tc>
              <w:tc>
                <w:tcPr>
                  <w:tcW w:w="517" w:type="dxa"/>
                  <w:shd w:val="clear" w:color="auto" w:fill="FFFFFF"/>
                  <w:tcMar>
                    <w:top w:w="0" w:type="dxa"/>
                    <w:left w:w="0" w:type="dxa"/>
                    <w:bottom w:w="0" w:type="dxa"/>
                    <w:right w:w="0" w:type="dxa"/>
                  </w:tcMar>
                  <w:vAlign w:val="center"/>
                </w:tcPr>
                <w:p w14:paraId="397F53A6">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47.5</w:t>
                  </w:r>
                </w:p>
              </w:tc>
              <w:tc>
                <w:tcPr>
                  <w:tcW w:w="517" w:type="dxa"/>
                  <w:shd w:val="clear" w:color="auto" w:fill="FFFFFF"/>
                  <w:tcMar>
                    <w:top w:w="0" w:type="dxa"/>
                    <w:left w:w="0" w:type="dxa"/>
                    <w:bottom w:w="0" w:type="dxa"/>
                    <w:right w:w="0" w:type="dxa"/>
                  </w:tcMar>
                  <w:vAlign w:val="center"/>
                </w:tcPr>
                <w:p w14:paraId="64B8D827">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47.5</w:t>
                  </w:r>
                </w:p>
              </w:tc>
              <w:tc>
                <w:tcPr>
                  <w:tcW w:w="518" w:type="dxa"/>
                  <w:shd w:val="clear" w:color="auto" w:fill="FFFFFF"/>
                  <w:tcMar>
                    <w:top w:w="0" w:type="dxa"/>
                    <w:left w:w="0" w:type="dxa"/>
                    <w:bottom w:w="0" w:type="dxa"/>
                    <w:right w:w="0" w:type="dxa"/>
                  </w:tcMar>
                  <w:vAlign w:val="center"/>
                </w:tcPr>
                <w:p w14:paraId="224929A2">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47.5</w:t>
                  </w:r>
                </w:p>
              </w:tc>
              <w:tc>
                <w:tcPr>
                  <w:tcW w:w="449" w:type="dxa"/>
                  <w:vMerge w:val="continue"/>
                  <w:shd w:val="clear" w:color="auto" w:fill="FFFFFF"/>
                  <w:tcMar>
                    <w:top w:w="0" w:type="dxa"/>
                    <w:left w:w="0" w:type="dxa"/>
                    <w:bottom w:w="0" w:type="dxa"/>
                    <w:right w:w="0" w:type="dxa"/>
                  </w:tcMar>
                  <w:vAlign w:val="center"/>
                </w:tcPr>
                <w:p w14:paraId="6BCF010B">
                  <w:pPr>
                    <w:rPr>
                      <w:color w:val="auto"/>
                    </w:rPr>
                  </w:pPr>
                </w:p>
              </w:tc>
              <w:tc>
                <w:tcPr>
                  <w:tcW w:w="498" w:type="dxa"/>
                  <w:shd w:val="clear" w:color="auto" w:fill="FFFFFF"/>
                  <w:tcMar>
                    <w:top w:w="0" w:type="dxa"/>
                    <w:left w:w="0" w:type="dxa"/>
                    <w:bottom w:w="0" w:type="dxa"/>
                    <w:right w:w="0" w:type="dxa"/>
                  </w:tcMar>
                  <w:vAlign w:val="center"/>
                </w:tcPr>
                <w:p w14:paraId="7F67F0FD">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51950CA0">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5E12338F">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7B50E231">
                  <w:pPr>
                    <w:pStyle w:val="286"/>
                    <w:framePr w:hSpace="0" w:wrap="auto" w:vAnchor="margin" w:hAnchor="text" w:xAlign="left" w:yAlign="inline"/>
                    <w:rPr>
                      <w:color w:val="auto"/>
                    </w:rPr>
                  </w:pPr>
                  <w:r>
                    <w:rPr>
                      <w:color w:val="auto"/>
                    </w:rPr>
                    <w:t>26.0</w:t>
                  </w:r>
                </w:p>
              </w:tc>
              <w:tc>
                <w:tcPr>
                  <w:tcW w:w="531" w:type="dxa"/>
                  <w:shd w:val="clear" w:color="auto" w:fill="FFFFFF"/>
                  <w:tcMar>
                    <w:top w:w="0" w:type="dxa"/>
                    <w:left w:w="0" w:type="dxa"/>
                    <w:bottom w:w="0" w:type="dxa"/>
                    <w:right w:w="0" w:type="dxa"/>
                  </w:tcMar>
                  <w:vAlign w:val="center"/>
                </w:tcPr>
                <w:p w14:paraId="69026B8F">
                  <w:pPr>
                    <w:pStyle w:val="286"/>
                    <w:framePr w:hSpace="0" w:wrap="auto" w:vAnchor="margin" w:hAnchor="text" w:xAlign="left" w:yAlign="inline"/>
                    <w:rPr>
                      <w:rFonts w:hint="eastAsia"/>
                      <w:color w:val="auto"/>
                      <w:lang w:val="en-US" w:eastAsia="zh-CN"/>
                    </w:rPr>
                  </w:pPr>
                  <w:r>
                    <w:rPr>
                      <w:rFonts w:hint="eastAsia"/>
                      <w:color w:val="auto"/>
                      <w:lang w:val="en-US" w:eastAsia="zh-CN"/>
                    </w:rPr>
                    <w:t>21.6</w:t>
                  </w:r>
                </w:p>
              </w:tc>
              <w:tc>
                <w:tcPr>
                  <w:tcW w:w="531" w:type="dxa"/>
                  <w:shd w:val="clear" w:color="auto" w:fill="FFFFFF"/>
                  <w:tcMar>
                    <w:top w:w="0" w:type="dxa"/>
                    <w:left w:w="0" w:type="dxa"/>
                    <w:bottom w:w="0" w:type="dxa"/>
                    <w:right w:w="0" w:type="dxa"/>
                  </w:tcMar>
                  <w:vAlign w:val="center"/>
                </w:tcPr>
                <w:p w14:paraId="1CE52D3C">
                  <w:pPr>
                    <w:pStyle w:val="286"/>
                    <w:framePr w:hSpace="0" w:wrap="auto" w:vAnchor="margin" w:hAnchor="text" w:xAlign="left" w:yAlign="inline"/>
                    <w:rPr>
                      <w:rFonts w:hint="eastAsia"/>
                      <w:color w:val="auto"/>
                      <w:lang w:val="en-US" w:eastAsia="zh-CN"/>
                    </w:rPr>
                  </w:pPr>
                  <w:r>
                    <w:rPr>
                      <w:rFonts w:hint="eastAsia"/>
                      <w:color w:val="auto"/>
                      <w:lang w:val="en-US" w:eastAsia="zh-CN"/>
                    </w:rPr>
                    <w:t>21.5</w:t>
                  </w:r>
                </w:p>
              </w:tc>
              <w:tc>
                <w:tcPr>
                  <w:tcW w:w="531" w:type="dxa"/>
                  <w:shd w:val="clear" w:color="auto" w:fill="FFFFFF"/>
                  <w:tcMar>
                    <w:top w:w="0" w:type="dxa"/>
                    <w:left w:w="0" w:type="dxa"/>
                    <w:bottom w:w="0" w:type="dxa"/>
                    <w:right w:w="0" w:type="dxa"/>
                  </w:tcMar>
                  <w:vAlign w:val="center"/>
                </w:tcPr>
                <w:p w14:paraId="1F0519EF">
                  <w:pPr>
                    <w:pStyle w:val="286"/>
                    <w:framePr w:hSpace="0" w:wrap="auto" w:vAnchor="margin" w:hAnchor="text" w:xAlign="left" w:yAlign="inline"/>
                    <w:rPr>
                      <w:rFonts w:hint="eastAsia"/>
                      <w:color w:val="auto"/>
                      <w:lang w:val="en-US" w:eastAsia="zh-CN"/>
                    </w:rPr>
                  </w:pPr>
                  <w:r>
                    <w:rPr>
                      <w:rFonts w:hint="eastAsia"/>
                      <w:color w:val="auto"/>
                      <w:lang w:val="en-US" w:eastAsia="zh-CN"/>
                    </w:rPr>
                    <w:t>21.5</w:t>
                  </w:r>
                </w:p>
              </w:tc>
              <w:tc>
                <w:tcPr>
                  <w:tcW w:w="532" w:type="dxa"/>
                  <w:shd w:val="clear" w:color="auto" w:fill="FFFFFF"/>
                  <w:tcMar>
                    <w:top w:w="0" w:type="dxa"/>
                    <w:left w:w="0" w:type="dxa"/>
                    <w:bottom w:w="0" w:type="dxa"/>
                    <w:right w:w="0" w:type="dxa"/>
                  </w:tcMar>
                  <w:vAlign w:val="center"/>
                </w:tcPr>
                <w:p w14:paraId="21C0B613">
                  <w:pPr>
                    <w:pStyle w:val="286"/>
                    <w:framePr w:hSpace="0" w:wrap="auto" w:vAnchor="margin" w:hAnchor="text" w:xAlign="left" w:yAlign="inline"/>
                    <w:rPr>
                      <w:rFonts w:hint="eastAsia"/>
                      <w:color w:val="auto"/>
                      <w:lang w:val="en-US" w:eastAsia="zh-CN"/>
                    </w:rPr>
                  </w:pPr>
                  <w:r>
                    <w:rPr>
                      <w:rFonts w:hint="eastAsia"/>
                      <w:color w:val="auto"/>
                      <w:lang w:val="en-US" w:eastAsia="zh-CN"/>
                    </w:rPr>
                    <w:t>21.5</w:t>
                  </w:r>
                </w:p>
              </w:tc>
              <w:tc>
                <w:tcPr>
                  <w:tcW w:w="733" w:type="dxa"/>
                  <w:shd w:val="clear" w:color="auto" w:fill="FFFFFF"/>
                  <w:tcMar>
                    <w:top w:w="0" w:type="dxa"/>
                    <w:left w:w="0" w:type="dxa"/>
                    <w:bottom w:w="0" w:type="dxa"/>
                    <w:right w:w="0" w:type="dxa"/>
                  </w:tcMar>
                  <w:vAlign w:val="center"/>
                </w:tcPr>
                <w:p w14:paraId="7915BEFB">
                  <w:pPr>
                    <w:pStyle w:val="286"/>
                    <w:framePr w:hSpace="0" w:wrap="auto" w:vAnchor="margin" w:hAnchor="text" w:xAlign="left" w:yAlign="inline"/>
                    <w:rPr>
                      <w:color w:val="auto"/>
                    </w:rPr>
                  </w:pPr>
                  <w:r>
                    <w:rPr>
                      <w:color w:val="auto"/>
                    </w:rPr>
                    <w:t>1</w:t>
                  </w:r>
                </w:p>
              </w:tc>
            </w:tr>
            <w:tr w14:paraId="6549E7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282B8707">
                  <w:pPr>
                    <w:pStyle w:val="286"/>
                    <w:framePr w:hSpace="0" w:wrap="auto" w:vAnchor="margin" w:hAnchor="text" w:xAlign="left" w:yAlign="inline"/>
                    <w:rPr>
                      <w:rFonts w:hint="default"/>
                      <w:color w:val="auto"/>
                      <w:lang w:val="en-US" w:eastAsia="zh-CN"/>
                    </w:rPr>
                  </w:pPr>
                  <w:r>
                    <w:rPr>
                      <w:rFonts w:hint="eastAsia"/>
                      <w:color w:val="auto"/>
                      <w:lang w:val="en-US" w:eastAsia="zh-CN"/>
                    </w:rPr>
                    <w:t>11</w:t>
                  </w:r>
                </w:p>
              </w:tc>
              <w:tc>
                <w:tcPr>
                  <w:tcW w:w="542" w:type="dxa"/>
                  <w:vMerge w:val="continue"/>
                  <w:shd w:val="clear" w:color="auto" w:fill="FFFFFF"/>
                  <w:tcMar>
                    <w:top w:w="0" w:type="dxa"/>
                    <w:left w:w="0" w:type="dxa"/>
                    <w:bottom w:w="0" w:type="dxa"/>
                    <w:right w:w="0" w:type="dxa"/>
                  </w:tcMar>
                  <w:vAlign w:val="center"/>
                </w:tcPr>
                <w:p w14:paraId="138ABCA5">
                  <w:pPr>
                    <w:pStyle w:val="286"/>
                    <w:framePr w:hSpace="0" w:wrap="auto" w:vAnchor="margin" w:hAnchor="text" w:xAlign="left" w:yAlign="inline"/>
                    <w:rPr>
                      <w:color w:val="auto"/>
                    </w:rPr>
                  </w:pPr>
                </w:p>
              </w:tc>
              <w:tc>
                <w:tcPr>
                  <w:tcW w:w="888" w:type="dxa"/>
                  <w:shd w:val="clear" w:color="auto" w:fill="FFFFFF"/>
                  <w:tcMar>
                    <w:top w:w="0" w:type="dxa"/>
                    <w:left w:w="0" w:type="dxa"/>
                    <w:bottom w:w="0" w:type="dxa"/>
                    <w:right w:w="0" w:type="dxa"/>
                  </w:tcMar>
                  <w:vAlign w:val="center"/>
                </w:tcPr>
                <w:p w14:paraId="57ED21C2">
                  <w:pPr>
                    <w:pStyle w:val="286"/>
                    <w:framePr w:hSpace="0" w:wrap="auto" w:vAnchor="margin" w:hAnchor="text" w:xAlign="left" w:yAlign="inline"/>
                    <w:rPr>
                      <w:rFonts w:hint="default"/>
                      <w:color w:val="auto"/>
                      <w:lang w:val="en-US" w:eastAsia="zh-CN"/>
                    </w:rPr>
                  </w:pPr>
                  <w:r>
                    <w:rPr>
                      <w:rFonts w:hint="eastAsia"/>
                      <w:color w:val="auto"/>
                      <w:lang w:eastAsia="zh-CN"/>
                    </w:rPr>
                    <w:t>风机</w:t>
                  </w:r>
                  <w:r>
                    <w:rPr>
                      <w:rFonts w:hint="eastAsia"/>
                      <w:color w:val="auto"/>
                      <w:lang w:val="en-US" w:eastAsia="zh-CN"/>
                    </w:rPr>
                    <w:t>1</w:t>
                  </w:r>
                </w:p>
              </w:tc>
              <w:tc>
                <w:tcPr>
                  <w:tcW w:w="762" w:type="dxa"/>
                  <w:shd w:val="clear" w:color="auto" w:fill="FFFFFF"/>
                  <w:tcMar>
                    <w:top w:w="0" w:type="dxa"/>
                    <w:left w:w="0" w:type="dxa"/>
                    <w:bottom w:w="0" w:type="dxa"/>
                    <w:right w:w="0" w:type="dxa"/>
                  </w:tcMar>
                  <w:vAlign w:val="center"/>
                </w:tcPr>
                <w:p w14:paraId="191D9104">
                  <w:pPr>
                    <w:pStyle w:val="286"/>
                    <w:framePr w:hSpace="0" w:wrap="auto" w:vAnchor="margin" w:hAnchor="text" w:xAlign="left" w:yAlign="inline"/>
                    <w:rPr>
                      <w:rFonts w:hint="default"/>
                      <w:color w:val="auto"/>
                      <w:lang w:val="en-US" w:eastAsia="zh-CN"/>
                    </w:rPr>
                  </w:pPr>
                  <w:r>
                    <w:rPr>
                      <w:rFonts w:hint="eastAsia"/>
                      <w:color w:val="auto"/>
                      <w:lang w:val="en-US" w:eastAsia="zh-CN"/>
                    </w:rPr>
                    <w:t>80</w:t>
                  </w:r>
                </w:p>
              </w:tc>
              <w:tc>
                <w:tcPr>
                  <w:tcW w:w="484" w:type="dxa"/>
                  <w:vMerge w:val="continue"/>
                  <w:shd w:val="clear" w:color="auto" w:fill="FFFFFF"/>
                  <w:tcMar>
                    <w:top w:w="0" w:type="dxa"/>
                    <w:left w:w="0" w:type="dxa"/>
                    <w:bottom w:w="0" w:type="dxa"/>
                    <w:right w:w="0" w:type="dxa"/>
                  </w:tcMar>
                  <w:vAlign w:val="center"/>
                </w:tcPr>
                <w:p w14:paraId="3EA392DA">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0634EDDC">
                  <w:pPr>
                    <w:pStyle w:val="286"/>
                    <w:framePr w:hSpace="0" w:wrap="auto" w:vAnchor="margin" w:hAnchor="text" w:xAlign="left" w:yAlign="inline"/>
                    <w:rPr>
                      <w:rFonts w:hint="eastAsia"/>
                      <w:color w:val="auto"/>
                      <w:highlight w:val="none"/>
                      <w:lang w:val="en-US" w:eastAsia="zh-CN"/>
                    </w:rPr>
                  </w:pPr>
                  <w:r>
                    <w:rPr>
                      <w:rFonts w:hint="eastAsia"/>
                      <w:color w:val="auto"/>
                      <w:lang w:val="en-US" w:eastAsia="zh-CN"/>
                    </w:rPr>
                    <w:t>0</w:t>
                  </w:r>
                </w:p>
              </w:tc>
              <w:tc>
                <w:tcPr>
                  <w:tcW w:w="629" w:type="dxa"/>
                  <w:shd w:val="clear" w:color="auto" w:fill="FFFFFF"/>
                  <w:tcMar>
                    <w:top w:w="0" w:type="dxa"/>
                    <w:left w:w="0" w:type="dxa"/>
                    <w:bottom w:w="0" w:type="dxa"/>
                    <w:right w:w="0" w:type="dxa"/>
                  </w:tcMar>
                  <w:vAlign w:val="center"/>
                </w:tcPr>
                <w:p w14:paraId="40237574">
                  <w:pPr>
                    <w:pStyle w:val="286"/>
                    <w:framePr w:hSpace="0" w:wrap="auto" w:vAnchor="margin" w:hAnchor="text" w:xAlign="left" w:yAlign="inline"/>
                    <w:rPr>
                      <w:rFonts w:hint="eastAsia"/>
                      <w:color w:val="auto"/>
                      <w:highlight w:val="none"/>
                      <w:lang w:val="en-US" w:eastAsia="zh-CN"/>
                    </w:rPr>
                  </w:pPr>
                  <w:r>
                    <w:rPr>
                      <w:rFonts w:hint="eastAsia"/>
                      <w:color w:val="auto"/>
                      <w:lang w:val="en-US" w:eastAsia="zh-CN"/>
                    </w:rPr>
                    <w:t>-9</w:t>
                  </w:r>
                </w:p>
              </w:tc>
              <w:tc>
                <w:tcPr>
                  <w:tcW w:w="630" w:type="dxa"/>
                  <w:shd w:val="clear" w:color="auto" w:fill="FFFFFF"/>
                  <w:tcMar>
                    <w:top w:w="0" w:type="dxa"/>
                    <w:left w:w="0" w:type="dxa"/>
                    <w:bottom w:w="0" w:type="dxa"/>
                    <w:right w:w="0" w:type="dxa"/>
                  </w:tcMar>
                  <w:vAlign w:val="center"/>
                </w:tcPr>
                <w:p w14:paraId="35DB5D31">
                  <w:pPr>
                    <w:pStyle w:val="286"/>
                    <w:framePr w:hSpace="0" w:wrap="auto" w:vAnchor="margin" w:hAnchor="text" w:xAlign="left" w:yAlign="inline"/>
                    <w:rPr>
                      <w:rFonts w:hint="eastAsia" w:eastAsia="宋体"/>
                      <w:color w:val="auto"/>
                      <w:highlight w:val="none"/>
                      <w:lang w:val="en-US" w:eastAsia="zh-CN"/>
                    </w:rPr>
                  </w:pPr>
                  <w:r>
                    <w:rPr>
                      <w:color w:val="auto"/>
                    </w:rPr>
                    <w:t>1.</w:t>
                  </w:r>
                  <w:r>
                    <w:rPr>
                      <w:rFonts w:hint="eastAsia"/>
                      <w:color w:val="auto"/>
                      <w:lang w:val="en-US" w:eastAsia="zh-CN"/>
                    </w:rPr>
                    <w:t>5</w:t>
                  </w:r>
                </w:p>
              </w:tc>
              <w:tc>
                <w:tcPr>
                  <w:tcW w:w="523" w:type="dxa"/>
                  <w:shd w:val="clear" w:color="auto" w:fill="FFFFFF"/>
                  <w:tcMar>
                    <w:top w:w="0" w:type="dxa"/>
                    <w:left w:w="0" w:type="dxa"/>
                    <w:bottom w:w="0" w:type="dxa"/>
                    <w:right w:w="0" w:type="dxa"/>
                  </w:tcMar>
                  <w:vAlign w:val="center"/>
                </w:tcPr>
                <w:p w14:paraId="1B507B9F">
                  <w:pPr>
                    <w:pStyle w:val="286"/>
                    <w:framePr w:hSpace="0" w:wrap="auto" w:vAnchor="margin" w:hAnchor="text" w:xAlign="left" w:yAlign="inline"/>
                    <w:rPr>
                      <w:rFonts w:hint="default"/>
                      <w:color w:val="auto"/>
                      <w:lang w:val="en-US" w:eastAsia="zh-CN"/>
                    </w:rPr>
                  </w:pPr>
                  <w:r>
                    <w:rPr>
                      <w:rFonts w:hint="eastAsia"/>
                      <w:color w:val="auto"/>
                      <w:lang w:val="en-US" w:eastAsia="zh-CN"/>
                    </w:rPr>
                    <w:t>19.8</w:t>
                  </w:r>
                </w:p>
              </w:tc>
              <w:tc>
                <w:tcPr>
                  <w:tcW w:w="523" w:type="dxa"/>
                  <w:shd w:val="clear" w:color="auto" w:fill="FFFFFF"/>
                  <w:tcMar>
                    <w:top w:w="0" w:type="dxa"/>
                    <w:left w:w="0" w:type="dxa"/>
                    <w:bottom w:w="0" w:type="dxa"/>
                    <w:right w:w="0" w:type="dxa"/>
                  </w:tcMar>
                  <w:vAlign w:val="center"/>
                </w:tcPr>
                <w:p w14:paraId="27A43F3F">
                  <w:pPr>
                    <w:pStyle w:val="286"/>
                    <w:framePr w:hSpace="0" w:wrap="auto" w:vAnchor="margin" w:hAnchor="text" w:xAlign="left" w:yAlign="inline"/>
                    <w:rPr>
                      <w:rFonts w:hint="eastAsia"/>
                      <w:color w:val="auto"/>
                      <w:lang w:val="en-US" w:eastAsia="zh-CN"/>
                    </w:rPr>
                  </w:pPr>
                  <w:r>
                    <w:rPr>
                      <w:rFonts w:hint="eastAsia"/>
                      <w:color w:val="auto"/>
                      <w:lang w:val="en-US" w:eastAsia="zh-CN"/>
                    </w:rPr>
                    <w:t>11.9</w:t>
                  </w:r>
                </w:p>
              </w:tc>
              <w:tc>
                <w:tcPr>
                  <w:tcW w:w="523" w:type="dxa"/>
                  <w:shd w:val="clear" w:color="auto" w:fill="FFFFFF"/>
                  <w:tcMar>
                    <w:top w:w="0" w:type="dxa"/>
                    <w:left w:w="0" w:type="dxa"/>
                    <w:bottom w:w="0" w:type="dxa"/>
                    <w:right w:w="0" w:type="dxa"/>
                  </w:tcMar>
                  <w:vAlign w:val="center"/>
                </w:tcPr>
                <w:p w14:paraId="4AAF98FA">
                  <w:pPr>
                    <w:pStyle w:val="286"/>
                    <w:framePr w:hSpace="0" w:wrap="auto" w:vAnchor="margin" w:hAnchor="text" w:xAlign="left" w:yAlign="inline"/>
                    <w:rPr>
                      <w:rFonts w:hint="default"/>
                      <w:color w:val="auto"/>
                      <w:lang w:val="en-US" w:eastAsia="zh-CN"/>
                    </w:rPr>
                  </w:pPr>
                  <w:r>
                    <w:rPr>
                      <w:rFonts w:hint="eastAsia"/>
                      <w:color w:val="auto"/>
                      <w:lang w:val="en-US" w:eastAsia="zh-CN"/>
                    </w:rPr>
                    <w:t>61.6</w:t>
                  </w:r>
                </w:p>
              </w:tc>
              <w:tc>
                <w:tcPr>
                  <w:tcW w:w="524" w:type="dxa"/>
                  <w:shd w:val="clear" w:color="auto" w:fill="FFFFFF"/>
                  <w:tcMar>
                    <w:top w:w="0" w:type="dxa"/>
                    <w:left w:w="0" w:type="dxa"/>
                    <w:bottom w:w="0" w:type="dxa"/>
                    <w:right w:w="0" w:type="dxa"/>
                  </w:tcMar>
                  <w:vAlign w:val="center"/>
                </w:tcPr>
                <w:p w14:paraId="6B7B234B">
                  <w:pPr>
                    <w:pStyle w:val="286"/>
                    <w:framePr w:hSpace="0" w:wrap="auto" w:vAnchor="margin" w:hAnchor="text" w:xAlign="left" w:yAlign="inline"/>
                    <w:rPr>
                      <w:rFonts w:hint="eastAsia"/>
                      <w:color w:val="auto"/>
                      <w:lang w:val="en-US" w:eastAsia="zh-CN"/>
                    </w:rPr>
                  </w:pPr>
                  <w:r>
                    <w:rPr>
                      <w:rFonts w:hint="eastAsia"/>
                      <w:color w:val="auto"/>
                      <w:lang w:val="en-US" w:eastAsia="zh-CN"/>
                    </w:rPr>
                    <w:t>11.7</w:t>
                  </w:r>
                </w:p>
              </w:tc>
              <w:tc>
                <w:tcPr>
                  <w:tcW w:w="517" w:type="dxa"/>
                  <w:shd w:val="clear" w:color="auto" w:fill="FFFFFF"/>
                  <w:tcMar>
                    <w:top w:w="0" w:type="dxa"/>
                    <w:left w:w="0" w:type="dxa"/>
                    <w:bottom w:w="0" w:type="dxa"/>
                    <w:right w:w="0" w:type="dxa"/>
                  </w:tcMar>
                  <w:vAlign w:val="center"/>
                </w:tcPr>
                <w:p w14:paraId="3211595B">
                  <w:pPr>
                    <w:pStyle w:val="286"/>
                    <w:framePr w:hSpace="0" w:wrap="auto" w:vAnchor="margin" w:hAnchor="text" w:xAlign="left" w:yAlign="inline"/>
                    <w:rPr>
                      <w:rFonts w:hint="default"/>
                      <w:color w:val="auto"/>
                      <w:lang w:val="en-US" w:eastAsia="zh-CN"/>
                    </w:rPr>
                  </w:pPr>
                  <w:r>
                    <w:rPr>
                      <w:rFonts w:hint="eastAsia"/>
                      <w:color w:val="auto"/>
                      <w:lang w:val="en-US" w:eastAsia="zh-CN"/>
                    </w:rPr>
                    <w:t>56.5</w:t>
                  </w:r>
                </w:p>
              </w:tc>
              <w:tc>
                <w:tcPr>
                  <w:tcW w:w="517" w:type="dxa"/>
                  <w:shd w:val="clear" w:color="auto" w:fill="FFFFFF"/>
                  <w:tcMar>
                    <w:top w:w="0" w:type="dxa"/>
                    <w:left w:w="0" w:type="dxa"/>
                    <w:bottom w:w="0" w:type="dxa"/>
                    <w:right w:w="0" w:type="dxa"/>
                  </w:tcMar>
                  <w:vAlign w:val="center"/>
                </w:tcPr>
                <w:p w14:paraId="02645B72">
                  <w:pPr>
                    <w:pStyle w:val="286"/>
                    <w:framePr w:hSpace="0" w:wrap="auto" w:vAnchor="margin" w:hAnchor="text" w:xAlign="left" w:yAlign="inline"/>
                    <w:rPr>
                      <w:rFonts w:hint="default"/>
                      <w:color w:val="auto"/>
                      <w:lang w:val="en-US" w:eastAsia="zh-CN"/>
                    </w:rPr>
                  </w:pPr>
                  <w:r>
                    <w:rPr>
                      <w:rFonts w:hint="eastAsia"/>
                      <w:color w:val="auto"/>
                      <w:lang w:val="en-US" w:eastAsia="zh-CN"/>
                    </w:rPr>
                    <w:t>56.5</w:t>
                  </w:r>
                </w:p>
              </w:tc>
              <w:tc>
                <w:tcPr>
                  <w:tcW w:w="517" w:type="dxa"/>
                  <w:shd w:val="clear" w:color="auto" w:fill="FFFFFF"/>
                  <w:tcMar>
                    <w:top w:w="0" w:type="dxa"/>
                    <w:left w:w="0" w:type="dxa"/>
                    <w:bottom w:w="0" w:type="dxa"/>
                    <w:right w:w="0" w:type="dxa"/>
                  </w:tcMar>
                  <w:vAlign w:val="center"/>
                </w:tcPr>
                <w:p w14:paraId="2E31633A">
                  <w:pPr>
                    <w:pStyle w:val="286"/>
                    <w:framePr w:hSpace="0" w:wrap="auto" w:vAnchor="margin" w:hAnchor="text" w:xAlign="left" w:yAlign="inline"/>
                    <w:rPr>
                      <w:rFonts w:hint="default"/>
                      <w:color w:val="auto"/>
                      <w:lang w:val="en-US" w:eastAsia="zh-CN"/>
                    </w:rPr>
                  </w:pPr>
                  <w:r>
                    <w:rPr>
                      <w:rFonts w:hint="eastAsia"/>
                      <w:color w:val="auto"/>
                      <w:lang w:val="en-US" w:eastAsia="zh-CN"/>
                    </w:rPr>
                    <w:t>56.7</w:t>
                  </w:r>
                </w:p>
              </w:tc>
              <w:tc>
                <w:tcPr>
                  <w:tcW w:w="518" w:type="dxa"/>
                  <w:shd w:val="clear" w:color="auto" w:fill="FFFFFF"/>
                  <w:tcMar>
                    <w:top w:w="0" w:type="dxa"/>
                    <w:left w:w="0" w:type="dxa"/>
                    <w:bottom w:w="0" w:type="dxa"/>
                    <w:right w:w="0" w:type="dxa"/>
                  </w:tcMar>
                  <w:vAlign w:val="center"/>
                </w:tcPr>
                <w:p w14:paraId="52F27373">
                  <w:pPr>
                    <w:pStyle w:val="286"/>
                    <w:framePr w:hSpace="0" w:wrap="auto" w:vAnchor="margin" w:hAnchor="text" w:xAlign="left" w:yAlign="inline"/>
                    <w:rPr>
                      <w:rFonts w:hint="default"/>
                      <w:color w:val="auto"/>
                      <w:lang w:val="en-US" w:eastAsia="zh-CN"/>
                    </w:rPr>
                  </w:pPr>
                  <w:r>
                    <w:rPr>
                      <w:rFonts w:hint="eastAsia"/>
                      <w:color w:val="auto"/>
                      <w:lang w:val="en-US" w:eastAsia="zh-CN"/>
                    </w:rPr>
                    <w:t>56.5</w:t>
                  </w:r>
                </w:p>
              </w:tc>
              <w:tc>
                <w:tcPr>
                  <w:tcW w:w="449" w:type="dxa"/>
                  <w:vMerge w:val="continue"/>
                  <w:shd w:val="clear" w:color="auto" w:fill="FFFFFF"/>
                  <w:tcMar>
                    <w:top w:w="0" w:type="dxa"/>
                    <w:left w:w="0" w:type="dxa"/>
                    <w:bottom w:w="0" w:type="dxa"/>
                    <w:right w:w="0" w:type="dxa"/>
                  </w:tcMar>
                  <w:vAlign w:val="center"/>
                </w:tcPr>
                <w:p w14:paraId="4A6872A1">
                  <w:pPr>
                    <w:rPr>
                      <w:color w:val="auto"/>
                    </w:rPr>
                  </w:pPr>
                </w:p>
              </w:tc>
              <w:tc>
                <w:tcPr>
                  <w:tcW w:w="498" w:type="dxa"/>
                  <w:shd w:val="clear" w:color="auto" w:fill="FFFFFF"/>
                  <w:tcMar>
                    <w:top w:w="0" w:type="dxa"/>
                    <w:left w:w="0" w:type="dxa"/>
                    <w:bottom w:w="0" w:type="dxa"/>
                    <w:right w:w="0" w:type="dxa"/>
                  </w:tcMar>
                  <w:vAlign w:val="center"/>
                </w:tcPr>
                <w:p w14:paraId="6C2E79A7">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0F537825">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58E6B16C">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427B8D47">
                  <w:pPr>
                    <w:pStyle w:val="286"/>
                    <w:framePr w:hSpace="0" w:wrap="auto" w:vAnchor="margin" w:hAnchor="text" w:xAlign="left" w:yAlign="inline"/>
                    <w:rPr>
                      <w:color w:val="auto"/>
                    </w:rPr>
                  </w:pPr>
                  <w:r>
                    <w:rPr>
                      <w:color w:val="auto"/>
                    </w:rPr>
                    <w:t>26.0</w:t>
                  </w:r>
                </w:p>
              </w:tc>
              <w:tc>
                <w:tcPr>
                  <w:tcW w:w="531" w:type="dxa"/>
                  <w:shd w:val="clear" w:color="auto" w:fill="FFFFFF"/>
                  <w:tcMar>
                    <w:top w:w="0" w:type="dxa"/>
                    <w:left w:w="0" w:type="dxa"/>
                    <w:bottom w:w="0" w:type="dxa"/>
                    <w:right w:w="0" w:type="dxa"/>
                  </w:tcMar>
                  <w:vAlign w:val="center"/>
                </w:tcPr>
                <w:p w14:paraId="2CF9E491">
                  <w:pPr>
                    <w:pStyle w:val="286"/>
                    <w:framePr w:hSpace="0" w:wrap="auto" w:vAnchor="margin" w:hAnchor="text" w:xAlign="left" w:yAlign="inline"/>
                    <w:rPr>
                      <w:rFonts w:hint="eastAsia"/>
                      <w:color w:val="auto"/>
                      <w:lang w:val="en-US" w:eastAsia="zh-CN"/>
                    </w:rPr>
                  </w:pPr>
                  <w:r>
                    <w:rPr>
                      <w:rFonts w:hint="eastAsia"/>
                      <w:color w:val="auto"/>
                      <w:lang w:val="en-US" w:eastAsia="zh-CN"/>
                    </w:rPr>
                    <w:t>30.5</w:t>
                  </w:r>
                </w:p>
              </w:tc>
              <w:tc>
                <w:tcPr>
                  <w:tcW w:w="531" w:type="dxa"/>
                  <w:shd w:val="clear" w:color="auto" w:fill="FFFFFF"/>
                  <w:tcMar>
                    <w:top w:w="0" w:type="dxa"/>
                    <w:left w:w="0" w:type="dxa"/>
                    <w:bottom w:w="0" w:type="dxa"/>
                    <w:right w:w="0" w:type="dxa"/>
                  </w:tcMar>
                  <w:vAlign w:val="center"/>
                </w:tcPr>
                <w:p w14:paraId="571E1CF7">
                  <w:pPr>
                    <w:pStyle w:val="286"/>
                    <w:framePr w:hSpace="0" w:wrap="auto" w:vAnchor="margin" w:hAnchor="text" w:xAlign="left" w:yAlign="inline"/>
                    <w:rPr>
                      <w:rFonts w:hint="eastAsia"/>
                      <w:color w:val="auto"/>
                      <w:lang w:val="en-US" w:eastAsia="zh-CN"/>
                    </w:rPr>
                  </w:pPr>
                  <w:r>
                    <w:rPr>
                      <w:rFonts w:hint="eastAsia"/>
                      <w:color w:val="auto"/>
                      <w:lang w:val="en-US" w:eastAsia="zh-CN"/>
                    </w:rPr>
                    <w:t>30.5</w:t>
                  </w:r>
                </w:p>
              </w:tc>
              <w:tc>
                <w:tcPr>
                  <w:tcW w:w="531" w:type="dxa"/>
                  <w:shd w:val="clear" w:color="auto" w:fill="FFFFFF"/>
                  <w:tcMar>
                    <w:top w:w="0" w:type="dxa"/>
                    <w:left w:w="0" w:type="dxa"/>
                    <w:bottom w:w="0" w:type="dxa"/>
                    <w:right w:w="0" w:type="dxa"/>
                  </w:tcMar>
                  <w:vAlign w:val="center"/>
                </w:tcPr>
                <w:p w14:paraId="78EA94B1">
                  <w:pPr>
                    <w:pStyle w:val="286"/>
                    <w:framePr w:hSpace="0" w:wrap="auto" w:vAnchor="margin" w:hAnchor="text" w:xAlign="left" w:yAlign="inline"/>
                    <w:rPr>
                      <w:rFonts w:hint="eastAsia"/>
                      <w:color w:val="auto"/>
                      <w:lang w:val="en-US" w:eastAsia="zh-CN"/>
                    </w:rPr>
                  </w:pPr>
                  <w:r>
                    <w:rPr>
                      <w:rFonts w:hint="eastAsia"/>
                      <w:color w:val="auto"/>
                      <w:lang w:val="en-US" w:eastAsia="zh-CN"/>
                    </w:rPr>
                    <w:t>30.7</w:t>
                  </w:r>
                </w:p>
              </w:tc>
              <w:tc>
                <w:tcPr>
                  <w:tcW w:w="532" w:type="dxa"/>
                  <w:shd w:val="clear" w:color="auto" w:fill="FFFFFF"/>
                  <w:tcMar>
                    <w:top w:w="0" w:type="dxa"/>
                    <w:left w:w="0" w:type="dxa"/>
                    <w:bottom w:w="0" w:type="dxa"/>
                    <w:right w:w="0" w:type="dxa"/>
                  </w:tcMar>
                  <w:vAlign w:val="center"/>
                </w:tcPr>
                <w:p w14:paraId="5FD60C41">
                  <w:pPr>
                    <w:pStyle w:val="286"/>
                    <w:framePr w:hSpace="0" w:wrap="auto" w:vAnchor="margin" w:hAnchor="text" w:xAlign="left" w:yAlign="inline"/>
                    <w:rPr>
                      <w:rFonts w:hint="eastAsia"/>
                      <w:color w:val="auto"/>
                      <w:lang w:val="en-US" w:eastAsia="zh-CN"/>
                    </w:rPr>
                  </w:pPr>
                  <w:r>
                    <w:rPr>
                      <w:rFonts w:hint="eastAsia"/>
                      <w:color w:val="auto"/>
                      <w:lang w:val="en-US" w:eastAsia="zh-CN"/>
                    </w:rPr>
                    <w:t>30.5</w:t>
                  </w:r>
                </w:p>
              </w:tc>
              <w:tc>
                <w:tcPr>
                  <w:tcW w:w="733" w:type="dxa"/>
                  <w:shd w:val="clear" w:color="auto" w:fill="FFFFFF"/>
                  <w:tcMar>
                    <w:top w:w="0" w:type="dxa"/>
                    <w:left w:w="0" w:type="dxa"/>
                    <w:bottom w:w="0" w:type="dxa"/>
                    <w:right w:w="0" w:type="dxa"/>
                  </w:tcMar>
                  <w:vAlign w:val="center"/>
                </w:tcPr>
                <w:p w14:paraId="5D6826F1">
                  <w:pPr>
                    <w:pStyle w:val="286"/>
                    <w:framePr w:hSpace="0" w:wrap="auto" w:vAnchor="margin" w:hAnchor="text" w:xAlign="left" w:yAlign="inline"/>
                    <w:rPr>
                      <w:rFonts w:hint="eastAsia"/>
                      <w:color w:val="auto"/>
                      <w:lang w:val="en-US" w:eastAsia="zh-CN"/>
                    </w:rPr>
                  </w:pPr>
                  <w:r>
                    <w:rPr>
                      <w:rFonts w:hint="eastAsia"/>
                      <w:color w:val="auto"/>
                      <w:lang w:val="en-US" w:eastAsia="zh-CN"/>
                    </w:rPr>
                    <w:t>1</w:t>
                  </w:r>
                </w:p>
              </w:tc>
            </w:tr>
            <w:tr w14:paraId="609B23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644CBE50">
                  <w:pPr>
                    <w:pStyle w:val="286"/>
                    <w:framePr w:hSpace="0" w:wrap="auto" w:vAnchor="margin" w:hAnchor="text" w:xAlign="left" w:yAlign="inline"/>
                    <w:rPr>
                      <w:rFonts w:hint="default"/>
                      <w:color w:val="auto"/>
                      <w:lang w:val="en-US" w:eastAsia="zh-CN"/>
                    </w:rPr>
                  </w:pPr>
                  <w:r>
                    <w:rPr>
                      <w:rFonts w:hint="eastAsia"/>
                      <w:color w:val="auto"/>
                      <w:lang w:val="en-US" w:eastAsia="zh-CN"/>
                    </w:rPr>
                    <w:t>12</w:t>
                  </w:r>
                </w:p>
              </w:tc>
              <w:tc>
                <w:tcPr>
                  <w:tcW w:w="542" w:type="dxa"/>
                  <w:vMerge w:val="continue"/>
                  <w:shd w:val="clear" w:color="auto" w:fill="FFFFFF"/>
                  <w:tcMar>
                    <w:top w:w="0" w:type="dxa"/>
                    <w:left w:w="0" w:type="dxa"/>
                    <w:bottom w:w="0" w:type="dxa"/>
                    <w:right w:w="0" w:type="dxa"/>
                  </w:tcMar>
                  <w:vAlign w:val="center"/>
                </w:tcPr>
                <w:p w14:paraId="29ABF108">
                  <w:pPr>
                    <w:pStyle w:val="286"/>
                    <w:framePr w:hSpace="0" w:wrap="auto" w:vAnchor="margin" w:hAnchor="text" w:xAlign="left" w:yAlign="inline"/>
                    <w:rPr>
                      <w:color w:val="auto"/>
                    </w:rPr>
                  </w:pPr>
                </w:p>
              </w:tc>
              <w:tc>
                <w:tcPr>
                  <w:tcW w:w="888" w:type="dxa"/>
                  <w:shd w:val="clear" w:color="auto" w:fill="FFFFFF"/>
                  <w:tcMar>
                    <w:top w:w="0" w:type="dxa"/>
                    <w:left w:w="0" w:type="dxa"/>
                    <w:bottom w:w="0" w:type="dxa"/>
                    <w:right w:w="0" w:type="dxa"/>
                  </w:tcMar>
                  <w:vAlign w:val="center"/>
                </w:tcPr>
                <w:p w14:paraId="210B11F7">
                  <w:pPr>
                    <w:pStyle w:val="286"/>
                    <w:framePr w:hSpace="0" w:wrap="auto" w:vAnchor="margin" w:hAnchor="text" w:xAlign="left" w:yAlign="inline"/>
                    <w:rPr>
                      <w:rFonts w:hint="default"/>
                      <w:color w:val="auto"/>
                      <w:lang w:val="en-US" w:eastAsia="zh-CN"/>
                    </w:rPr>
                  </w:pPr>
                  <w:r>
                    <w:rPr>
                      <w:rFonts w:hint="eastAsia"/>
                      <w:color w:val="auto"/>
                      <w:lang w:eastAsia="zh-CN"/>
                    </w:rPr>
                    <w:t>风机</w:t>
                  </w:r>
                  <w:r>
                    <w:rPr>
                      <w:rFonts w:hint="eastAsia"/>
                      <w:color w:val="auto"/>
                      <w:lang w:val="en-US" w:eastAsia="zh-CN"/>
                    </w:rPr>
                    <w:t>2</w:t>
                  </w:r>
                </w:p>
              </w:tc>
              <w:tc>
                <w:tcPr>
                  <w:tcW w:w="762" w:type="dxa"/>
                  <w:shd w:val="clear" w:color="auto" w:fill="FFFFFF"/>
                  <w:tcMar>
                    <w:top w:w="0" w:type="dxa"/>
                    <w:left w:w="0" w:type="dxa"/>
                    <w:bottom w:w="0" w:type="dxa"/>
                    <w:right w:w="0" w:type="dxa"/>
                  </w:tcMar>
                  <w:vAlign w:val="center"/>
                </w:tcPr>
                <w:p w14:paraId="0B4CCEEC">
                  <w:pPr>
                    <w:pStyle w:val="286"/>
                    <w:framePr w:hSpace="0" w:wrap="auto" w:vAnchor="margin" w:hAnchor="text" w:xAlign="left" w:yAlign="inline"/>
                    <w:rPr>
                      <w:rFonts w:hint="eastAsia"/>
                      <w:color w:val="auto"/>
                      <w:lang w:val="en-US" w:eastAsia="zh-CN"/>
                    </w:rPr>
                  </w:pPr>
                  <w:r>
                    <w:rPr>
                      <w:rFonts w:hint="eastAsia"/>
                      <w:color w:val="auto"/>
                      <w:lang w:val="en-US" w:eastAsia="zh-CN"/>
                    </w:rPr>
                    <w:t>80</w:t>
                  </w:r>
                </w:p>
              </w:tc>
              <w:tc>
                <w:tcPr>
                  <w:tcW w:w="484" w:type="dxa"/>
                  <w:vMerge w:val="continue"/>
                  <w:shd w:val="clear" w:color="auto" w:fill="FFFFFF"/>
                  <w:tcMar>
                    <w:top w:w="0" w:type="dxa"/>
                    <w:left w:w="0" w:type="dxa"/>
                    <w:bottom w:w="0" w:type="dxa"/>
                    <w:right w:w="0" w:type="dxa"/>
                  </w:tcMar>
                  <w:vAlign w:val="center"/>
                </w:tcPr>
                <w:p w14:paraId="57E98F75">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256A9C5D">
                  <w:pPr>
                    <w:pStyle w:val="286"/>
                    <w:framePr w:hSpace="0" w:wrap="auto" w:vAnchor="margin" w:hAnchor="text" w:xAlign="left" w:yAlign="inline"/>
                    <w:rPr>
                      <w:rFonts w:hint="default"/>
                      <w:color w:val="auto"/>
                      <w:highlight w:val="none"/>
                      <w:lang w:val="en-US" w:eastAsia="zh-CN"/>
                    </w:rPr>
                  </w:pPr>
                  <w:r>
                    <w:rPr>
                      <w:rFonts w:hint="eastAsia"/>
                      <w:color w:val="auto"/>
                      <w:lang w:val="en-US" w:eastAsia="zh-CN"/>
                    </w:rPr>
                    <w:t>-5</w:t>
                  </w:r>
                </w:p>
              </w:tc>
              <w:tc>
                <w:tcPr>
                  <w:tcW w:w="629" w:type="dxa"/>
                  <w:shd w:val="clear" w:color="auto" w:fill="FFFFFF"/>
                  <w:tcMar>
                    <w:top w:w="0" w:type="dxa"/>
                    <w:left w:w="0" w:type="dxa"/>
                    <w:bottom w:w="0" w:type="dxa"/>
                    <w:right w:w="0" w:type="dxa"/>
                  </w:tcMar>
                  <w:vAlign w:val="center"/>
                </w:tcPr>
                <w:p w14:paraId="60120487">
                  <w:pPr>
                    <w:pStyle w:val="286"/>
                    <w:framePr w:hSpace="0" w:wrap="auto" w:vAnchor="margin" w:hAnchor="text" w:xAlign="left" w:yAlign="inline"/>
                    <w:rPr>
                      <w:rFonts w:hint="eastAsia"/>
                      <w:color w:val="auto"/>
                      <w:highlight w:val="none"/>
                      <w:lang w:val="en-US" w:eastAsia="zh-CN"/>
                    </w:rPr>
                  </w:pPr>
                  <w:r>
                    <w:rPr>
                      <w:rFonts w:hint="eastAsia"/>
                      <w:color w:val="auto"/>
                      <w:lang w:val="en-US" w:eastAsia="zh-CN"/>
                    </w:rPr>
                    <w:t>-10</w:t>
                  </w:r>
                </w:p>
              </w:tc>
              <w:tc>
                <w:tcPr>
                  <w:tcW w:w="630" w:type="dxa"/>
                  <w:shd w:val="clear" w:color="auto" w:fill="FFFFFF"/>
                  <w:tcMar>
                    <w:top w:w="0" w:type="dxa"/>
                    <w:left w:w="0" w:type="dxa"/>
                    <w:bottom w:w="0" w:type="dxa"/>
                    <w:right w:w="0" w:type="dxa"/>
                  </w:tcMar>
                  <w:vAlign w:val="center"/>
                </w:tcPr>
                <w:p w14:paraId="3759FE5E">
                  <w:pPr>
                    <w:pStyle w:val="286"/>
                    <w:framePr w:hSpace="0" w:wrap="auto" w:vAnchor="margin" w:hAnchor="text" w:xAlign="left" w:yAlign="inline"/>
                    <w:rPr>
                      <w:rFonts w:hint="eastAsia" w:eastAsia="宋体"/>
                      <w:color w:val="auto"/>
                      <w:highlight w:val="none"/>
                      <w:lang w:val="en-US" w:eastAsia="zh-CN"/>
                    </w:rPr>
                  </w:pPr>
                  <w:r>
                    <w:rPr>
                      <w:color w:val="auto"/>
                    </w:rPr>
                    <w:t>1.</w:t>
                  </w:r>
                  <w:r>
                    <w:rPr>
                      <w:rFonts w:hint="eastAsia"/>
                      <w:color w:val="auto"/>
                      <w:lang w:val="en-US" w:eastAsia="zh-CN"/>
                    </w:rPr>
                    <w:t>5</w:t>
                  </w:r>
                </w:p>
              </w:tc>
              <w:tc>
                <w:tcPr>
                  <w:tcW w:w="523" w:type="dxa"/>
                  <w:shd w:val="clear" w:color="auto" w:fill="FFFFFF"/>
                  <w:tcMar>
                    <w:top w:w="0" w:type="dxa"/>
                    <w:left w:w="0" w:type="dxa"/>
                    <w:bottom w:w="0" w:type="dxa"/>
                    <w:right w:w="0" w:type="dxa"/>
                  </w:tcMar>
                  <w:vAlign w:val="center"/>
                </w:tcPr>
                <w:p w14:paraId="27B311DF">
                  <w:pPr>
                    <w:pStyle w:val="286"/>
                    <w:framePr w:hSpace="0" w:wrap="auto" w:vAnchor="margin" w:hAnchor="text" w:xAlign="left" w:yAlign="inline"/>
                    <w:rPr>
                      <w:rFonts w:hint="default"/>
                      <w:color w:val="auto"/>
                      <w:lang w:val="en-US" w:eastAsia="zh-CN"/>
                    </w:rPr>
                  </w:pPr>
                  <w:r>
                    <w:rPr>
                      <w:rFonts w:hint="eastAsia"/>
                      <w:color w:val="auto"/>
                      <w:lang w:val="en-US" w:eastAsia="zh-CN"/>
                    </w:rPr>
                    <w:t>38.9</w:t>
                  </w:r>
                </w:p>
              </w:tc>
              <w:tc>
                <w:tcPr>
                  <w:tcW w:w="523" w:type="dxa"/>
                  <w:shd w:val="clear" w:color="auto" w:fill="FFFFFF"/>
                  <w:tcMar>
                    <w:top w:w="0" w:type="dxa"/>
                    <w:left w:w="0" w:type="dxa"/>
                    <w:bottom w:w="0" w:type="dxa"/>
                    <w:right w:w="0" w:type="dxa"/>
                  </w:tcMar>
                  <w:vAlign w:val="center"/>
                </w:tcPr>
                <w:p w14:paraId="77E77AA3">
                  <w:pPr>
                    <w:pStyle w:val="286"/>
                    <w:framePr w:hSpace="0" w:wrap="auto" w:vAnchor="margin" w:hAnchor="text" w:xAlign="left" w:yAlign="inline"/>
                    <w:rPr>
                      <w:rFonts w:hint="eastAsia"/>
                      <w:color w:val="auto"/>
                      <w:lang w:val="en-US" w:eastAsia="zh-CN"/>
                    </w:rPr>
                  </w:pPr>
                  <w:r>
                    <w:rPr>
                      <w:rFonts w:hint="eastAsia"/>
                      <w:color w:val="auto"/>
                      <w:lang w:val="en-US" w:eastAsia="zh-CN"/>
                    </w:rPr>
                    <w:t>12.9</w:t>
                  </w:r>
                </w:p>
              </w:tc>
              <w:tc>
                <w:tcPr>
                  <w:tcW w:w="523" w:type="dxa"/>
                  <w:shd w:val="clear" w:color="auto" w:fill="FFFFFF"/>
                  <w:tcMar>
                    <w:top w:w="0" w:type="dxa"/>
                    <w:left w:w="0" w:type="dxa"/>
                    <w:bottom w:w="0" w:type="dxa"/>
                    <w:right w:w="0" w:type="dxa"/>
                  </w:tcMar>
                  <w:vAlign w:val="center"/>
                </w:tcPr>
                <w:p w14:paraId="60CC41B0">
                  <w:pPr>
                    <w:pStyle w:val="286"/>
                    <w:framePr w:hSpace="0" w:wrap="auto" w:vAnchor="margin" w:hAnchor="text" w:xAlign="left" w:yAlign="inline"/>
                    <w:rPr>
                      <w:rFonts w:hint="eastAsia"/>
                      <w:color w:val="auto"/>
                      <w:lang w:val="en-US" w:eastAsia="zh-CN"/>
                    </w:rPr>
                  </w:pPr>
                  <w:r>
                    <w:rPr>
                      <w:rFonts w:hint="eastAsia"/>
                      <w:color w:val="auto"/>
                      <w:lang w:val="en-US" w:eastAsia="zh-CN"/>
                    </w:rPr>
                    <w:t>42.5</w:t>
                  </w:r>
                </w:p>
              </w:tc>
              <w:tc>
                <w:tcPr>
                  <w:tcW w:w="524" w:type="dxa"/>
                  <w:shd w:val="clear" w:color="auto" w:fill="FFFFFF"/>
                  <w:tcMar>
                    <w:top w:w="0" w:type="dxa"/>
                    <w:left w:w="0" w:type="dxa"/>
                    <w:bottom w:w="0" w:type="dxa"/>
                    <w:right w:w="0" w:type="dxa"/>
                  </w:tcMar>
                  <w:vAlign w:val="center"/>
                </w:tcPr>
                <w:p w14:paraId="5EBE4336">
                  <w:pPr>
                    <w:pStyle w:val="286"/>
                    <w:framePr w:hSpace="0" w:wrap="auto" w:vAnchor="margin" w:hAnchor="text" w:xAlign="left" w:yAlign="inline"/>
                    <w:rPr>
                      <w:rFonts w:hint="eastAsia"/>
                      <w:color w:val="auto"/>
                      <w:lang w:val="en-US" w:eastAsia="zh-CN"/>
                    </w:rPr>
                  </w:pPr>
                  <w:r>
                    <w:rPr>
                      <w:rFonts w:hint="eastAsia"/>
                      <w:color w:val="auto"/>
                      <w:lang w:val="en-US" w:eastAsia="zh-CN"/>
                    </w:rPr>
                    <w:t>10.7</w:t>
                  </w:r>
                </w:p>
              </w:tc>
              <w:tc>
                <w:tcPr>
                  <w:tcW w:w="517" w:type="dxa"/>
                  <w:shd w:val="clear" w:color="auto" w:fill="FFFFFF"/>
                  <w:tcMar>
                    <w:top w:w="0" w:type="dxa"/>
                    <w:left w:w="0" w:type="dxa"/>
                    <w:bottom w:w="0" w:type="dxa"/>
                    <w:right w:w="0" w:type="dxa"/>
                  </w:tcMar>
                  <w:vAlign w:val="center"/>
                </w:tcPr>
                <w:p w14:paraId="5F339908">
                  <w:pPr>
                    <w:pStyle w:val="286"/>
                    <w:framePr w:hSpace="0" w:wrap="auto" w:vAnchor="margin" w:hAnchor="text" w:xAlign="left" w:yAlign="inline"/>
                    <w:rPr>
                      <w:rFonts w:hint="default"/>
                      <w:color w:val="auto"/>
                      <w:lang w:val="en-US" w:eastAsia="zh-CN"/>
                    </w:rPr>
                  </w:pPr>
                  <w:r>
                    <w:rPr>
                      <w:rFonts w:hint="eastAsia"/>
                      <w:color w:val="auto"/>
                      <w:lang w:val="en-US" w:eastAsia="zh-CN"/>
                    </w:rPr>
                    <w:t>56.2</w:t>
                  </w:r>
                </w:p>
              </w:tc>
              <w:tc>
                <w:tcPr>
                  <w:tcW w:w="517" w:type="dxa"/>
                  <w:shd w:val="clear" w:color="auto" w:fill="FFFFFF"/>
                  <w:tcMar>
                    <w:top w:w="0" w:type="dxa"/>
                    <w:left w:w="0" w:type="dxa"/>
                    <w:bottom w:w="0" w:type="dxa"/>
                    <w:right w:w="0" w:type="dxa"/>
                  </w:tcMar>
                  <w:vAlign w:val="center"/>
                </w:tcPr>
                <w:p w14:paraId="53F9ECAB">
                  <w:pPr>
                    <w:pStyle w:val="286"/>
                    <w:framePr w:hSpace="0" w:wrap="auto" w:vAnchor="margin" w:hAnchor="text" w:xAlign="left" w:yAlign="inline"/>
                    <w:rPr>
                      <w:rFonts w:hint="eastAsia"/>
                      <w:color w:val="auto"/>
                      <w:lang w:val="en-US" w:eastAsia="zh-CN"/>
                    </w:rPr>
                  </w:pPr>
                  <w:r>
                    <w:rPr>
                      <w:rFonts w:hint="eastAsia"/>
                      <w:color w:val="auto"/>
                      <w:lang w:val="en-US" w:eastAsia="zh-CN"/>
                    </w:rPr>
                    <w:t>56.2</w:t>
                  </w:r>
                </w:p>
              </w:tc>
              <w:tc>
                <w:tcPr>
                  <w:tcW w:w="517" w:type="dxa"/>
                  <w:shd w:val="clear" w:color="auto" w:fill="FFFFFF"/>
                  <w:tcMar>
                    <w:top w:w="0" w:type="dxa"/>
                    <w:left w:w="0" w:type="dxa"/>
                    <w:bottom w:w="0" w:type="dxa"/>
                    <w:right w:w="0" w:type="dxa"/>
                  </w:tcMar>
                  <w:vAlign w:val="center"/>
                </w:tcPr>
                <w:p w14:paraId="70B9E570">
                  <w:pPr>
                    <w:pStyle w:val="286"/>
                    <w:framePr w:hSpace="0" w:wrap="auto" w:vAnchor="margin" w:hAnchor="text" w:xAlign="left" w:yAlign="inline"/>
                    <w:rPr>
                      <w:rFonts w:hint="eastAsia"/>
                      <w:color w:val="auto"/>
                      <w:lang w:val="en-US" w:eastAsia="zh-CN"/>
                    </w:rPr>
                  </w:pPr>
                  <w:r>
                    <w:rPr>
                      <w:rFonts w:hint="eastAsia"/>
                      <w:color w:val="auto"/>
                      <w:lang w:val="en-US" w:eastAsia="zh-CN"/>
                    </w:rPr>
                    <w:t>56.1</w:t>
                  </w:r>
                </w:p>
              </w:tc>
              <w:tc>
                <w:tcPr>
                  <w:tcW w:w="518" w:type="dxa"/>
                  <w:shd w:val="clear" w:color="auto" w:fill="FFFFFF"/>
                  <w:tcMar>
                    <w:top w:w="0" w:type="dxa"/>
                    <w:left w:w="0" w:type="dxa"/>
                    <w:bottom w:w="0" w:type="dxa"/>
                    <w:right w:w="0" w:type="dxa"/>
                  </w:tcMar>
                  <w:vAlign w:val="center"/>
                </w:tcPr>
                <w:p w14:paraId="221A4C7B">
                  <w:pPr>
                    <w:pStyle w:val="286"/>
                    <w:framePr w:hSpace="0" w:wrap="auto" w:vAnchor="margin" w:hAnchor="text" w:xAlign="left" w:yAlign="inline"/>
                    <w:rPr>
                      <w:rFonts w:hint="eastAsia"/>
                      <w:color w:val="auto"/>
                      <w:lang w:val="en-US" w:eastAsia="zh-CN"/>
                    </w:rPr>
                  </w:pPr>
                  <w:r>
                    <w:rPr>
                      <w:rFonts w:hint="eastAsia"/>
                      <w:color w:val="auto"/>
                      <w:lang w:val="en-US" w:eastAsia="zh-CN"/>
                    </w:rPr>
                    <w:t>56.2</w:t>
                  </w:r>
                </w:p>
              </w:tc>
              <w:tc>
                <w:tcPr>
                  <w:tcW w:w="449" w:type="dxa"/>
                  <w:vMerge w:val="continue"/>
                  <w:shd w:val="clear" w:color="auto" w:fill="FFFFFF"/>
                  <w:tcMar>
                    <w:top w:w="0" w:type="dxa"/>
                    <w:left w:w="0" w:type="dxa"/>
                    <w:bottom w:w="0" w:type="dxa"/>
                    <w:right w:w="0" w:type="dxa"/>
                  </w:tcMar>
                  <w:vAlign w:val="center"/>
                </w:tcPr>
                <w:p w14:paraId="7CFCB9B7">
                  <w:pPr>
                    <w:rPr>
                      <w:color w:val="auto"/>
                    </w:rPr>
                  </w:pPr>
                </w:p>
              </w:tc>
              <w:tc>
                <w:tcPr>
                  <w:tcW w:w="498" w:type="dxa"/>
                  <w:shd w:val="clear" w:color="auto" w:fill="FFFFFF"/>
                  <w:tcMar>
                    <w:top w:w="0" w:type="dxa"/>
                    <w:left w:w="0" w:type="dxa"/>
                    <w:bottom w:w="0" w:type="dxa"/>
                    <w:right w:w="0" w:type="dxa"/>
                  </w:tcMar>
                  <w:vAlign w:val="center"/>
                </w:tcPr>
                <w:p w14:paraId="696A10C5">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53E2EE0C">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6E5B2943">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7A98A2FA">
                  <w:pPr>
                    <w:pStyle w:val="286"/>
                    <w:framePr w:hSpace="0" w:wrap="auto" w:vAnchor="margin" w:hAnchor="text" w:xAlign="left" w:yAlign="inline"/>
                    <w:rPr>
                      <w:color w:val="auto"/>
                    </w:rPr>
                  </w:pPr>
                  <w:r>
                    <w:rPr>
                      <w:color w:val="auto"/>
                    </w:rPr>
                    <w:t>26.0</w:t>
                  </w:r>
                </w:p>
              </w:tc>
              <w:tc>
                <w:tcPr>
                  <w:tcW w:w="531" w:type="dxa"/>
                  <w:shd w:val="clear" w:color="auto" w:fill="FFFFFF"/>
                  <w:tcMar>
                    <w:top w:w="0" w:type="dxa"/>
                    <w:left w:w="0" w:type="dxa"/>
                    <w:bottom w:w="0" w:type="dxa"/>
                    <w:right w:w="0" w:type="dxa"/>
                  </w:tcMar>
                  <w:vAlign w:val="center"/>
                </w:tcPr>
                <w:p w14:paraId="54E66319">
                  <w:pPr>
                    <w:pStyle w:val="286"/>
                    <w:framePr w:hSpace="0" w:wrap="auto" w:vAnchor="margin" w:hAnchor="text" w:xAlign="left" w:yAlign="inline"/>
                    <w:rPr>
                      <w:rFonts w:hint="eastAsia"/>
                      <w:color w:val="auto"/>
                      <w:lang w:val="en-US" w:eastAsia="zh-CN"/>
                    </w:rPr>
                  </w:pPr>
                  <w:r>
                    <w:rPr>
                      <w:rFonts w:hint="eastAsia"/>
                      <w:color w:val="auto"/>
                      <w:lang w:val="en-US" w:eastAsia="zh-CN"/>
                    </w:rPr>
                    <w:t>30.2</w:t>
                  </w:r>
                </w:p>
              </w:tc>
              <w:tc>
                <w:tcPr>
                  <w:tcW w:w="531" w:type="dxa"/>
                  <w:shd w:val="clear" w:color="auto" w:fill="FFFFFF"/>
                  <w:tcMar>
                    <w:top w:w="0" w:type="dxa"/>
                    <w:left w:w="0" w:type="dxa"/>
                    <w:bottom w:w="0" w:type="dxa"/>
                    <w:right w:w="0" w:type="dxa"/>
                  </w:tcMar>
                  <w:vAlign w:val="center"/>
                </w:tcPr>
                <w:p w14:paraId="6BE878AE">
                  <w:pPr>
                    <w:pStyle w:val="286"/>
                    <w:framePr w:hSpace="0" w:wrap="auto" w:vAnchor="margin" w:hAnchor="text" w:xAlign="left" w:yAlign="inline"/>
                    <w:rPr>
                      <w:rFonts w:hint="eastAsia"/>
                      <w:color w:val="auto"/>
                      <w:lang w:val="en-US" w:eastAsia="zh-CN"/>
                    </w:rPr>
                  </w:pPr>
                  <w:r>
                    <w:rPr>
                      <w:rFonts w:hint="eastAsia"/>
                      <w:color w:val="auto"/>
                      <w:lang w:val="en-US" w:eastAsia="zh-CN"/>
                    </w:rPr>
                    <w:t>30.2</w:t>
                  </w:r>
                </w:p>
              </w:tc>
              <w:tc>
                <w:tcPr>
                  <w:tcW w:w="531" w:type="dxa"/>
                  <w:shd w:val="clear" w:color="auto" w:fill="FFFFFF"/>
                  <w:tcMar>
                    <w:top w:w="0" w:type="dxa"/>
                    <w:left w:w="0" w:type="dxa"/>
                    <w:bottom w:w="0" w:type="dxa"/>
                    <w:right w:w="0" w:type="dxa"/>
                  </w:tcMar>
                  <w:vAlign w:val="center"/>
                </w:tcPr>
                <w:p w14:paraId="5D9579A5">
                  <w:pPr>
                    <w:pStyle w:val="286"/>
                    <w:framePr w:hSpace="0" w:wrap="auto" w:vAnchor="margin" w:hAnchor="text" w:xAlign="left" w:yAlign="inline"/>
                    <w:rPr>
                      <w:rFonts w:hint="eastAsia"/>
                      <w:color w:val="auto"/>
                      <w:lang w:val="en-US" w:eastAsia="zh-CN"/>
                    </w:rPr>
                  </w:pPr>
                  <w:r>
                    <w:rPr>
                      <w:rFonts w:hint="eastAsia"/>
                      <w:color w:val="auto"/>
                      <w:lang w:val="en-US" w:eastAsia="zh-CN"/>
                    </w:rPr>
                    <w:t>30.1</w:t>
                  </w:r>
                </w:p>
              </w:tc>
              <w:tc>
                <w:tcPr>
                  <w:tcW w:w="532" w:type="dxa"/>
                  <w:shd w:val="clear" w:color="auto" w:fill="FFFFFF"/>
                  <w:tcMar>
                    <w:top w:w="0" w:type="dxa"/>
                    <w:left w:w="0" w:type="dxa"/>
                    <w:bottom w:w="0" w:type="dxa"/>
                    <w:right w:w="0" w:type="dxa"/>
                  </w:tcMar>
                  <w:vAlign w:val="center"/>
                </w:tcPr>
                <w:p w14:paraId="1459E19F">
                  <w:pPr>
                    <w:pStyle w:val="286"/>
                    <w:framePr w:hSpace="0" w:wrap="auto" w:vAnchor="margin" w:hAnchor="text" w:xAlign="left" w:yAlign="inline"/>
                    <w:rPr>
                      <w:rFonts w:hint="eastAsia"/>
                      <w:color w:val="auto"/>
                      <w:lang w:val="en-US" w:eastAsia="zh-CN"/>
                    </w:rPr>
                  </w:pPr>
                  <w:r>
                    <w:rPr>
                      <w:rFonts w:hint="eastAsia"/>
                      <w:color w:val="auto"/>
                      <w:lang w:val="en-US" w:eastAsia="zh-CN"/>
                    </w:rPr>
                    <w:t>30.2</w:t>
                  </w:r>
                </w:p>
              </w:tc>
              <w:tc>
                <w:tcPr>
                  <w:tcW w:w="733" w:type="dxa"/>
                  <w:shd w:val="clear" w:color="auto" w:fill="FFFFFF"/>
                  <w:tcMar>
                    <w:top w:w="0" w:type="dxa"/>
                    <w:left w:w="0" w:type="dxa"/>
                    <w:bottom w:w="0" w:type="dxa"/>
                    <w:right w:w="0" w:type="dxa"/>
                  </w:tcMar>
                  <w:vAlign w:val="center"/>
                </w:tcPr>
                <w:p w14:paraId="4B3764EF">
                  <w:pPr>
                    <w:pStyle w:val="286"/>
                    <w:framePr w:hSpace="0" w:wrap="auto" w:vAnchor="margin" w:hAnchor="text" w:xAlign="left" w:yAlign="inline"/>
                    <w:rPr>
                      <w:color w:val="auto"/>
                    </w:rPr>
                  </w:pPr>
                  <w:r>
                    <w:rPr>
                      <w:rFonts w:hint="eastAsia"/>
                      <w:color w:val="auto"/>
                      <w:lang w:val="en-US" w:eastAsia="zh-CN"/>
                    </w:rPr>
                    <w:t>1</w:t>
                  </w:r>
                </w:p>
              </w:tc>
            </w:tr>
            <w:tr w14:paraId="02B4D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1BCCE71E">
                  <w:pPr>
                    <w:pStyle w:val="286"/>
                    <w:framePr w:hSpace="0" w:wrap="auto" w:vAnchor="margin" w:hAnchor="text" w:xAlign="left" w:yAlign="inline"/>
                    <w:rPr>
                      <w:rFonts w:hint="default"/>
                      <w:color w:val="auto"/>
                      <w:lang w:val="en-US" w:eastAsia="zh-CN"/>
                    </w:rPr>
                  </w:pPr>
                  <w:r>
                    <w:rPr>
                      <w:rFonts w:hint="eastAsia"/>
                      <w:color w:val="auto"/>
                      <w:lang w:val="en-US" w:eastAsia="zh-CN"/>
                    </w:rPr>
                    <w:t>13</w:t>
                  </w:r>
                </w:p>
              </w:tc>
              <w:tc>
                <w:tcPr>
                  <w:tcW w:w="542" w:type="dxa"/>
                  <w:vMerge w:val="continue"/>
                  <w:shd w:val="clear" w:color="auto" w:fill="FFFFFF"/>
                  <w:tcMar>
                    <w:top w:w="0" w:type="dxa"/>
                    <w:left w:w="0" w:type="dxa"/>
                    <w:bottom w:w="0" w:type="dxa"/>
                    <w:right w:w="0" w:type="dxa"/>
                  </w:tcMar>
                  <w:vAlign w:val="center"/>
                </w:tcPr>
                <w:p w14:paraId="1D9176E8">
                  <w:pPr>
                    <w:pStyle w:val="286"/>
                    <w:framePr w:hSpace="0" w:wrap="auto" w:vAnchor="margin" w:hAnchor="text" w:xAlign="left" w:yAlign="inline"/>
                    <w:rPr>
                      <w:color w:val="auto"/>
                    </w:rPr>
                  </w:pPr>
                </w:p>
              </w:tc>
              <w:tc>
                <w:tcPr>
                  <w:tcW w:w="888" w:type="dxa"/>
                  <w:shd w:val="clear" w:color="auto" w:fill="FFFFFF"/>
                  <w:tcMar>
                    <w:top w:w="0" w:type="dxa"/>
                    <w:left w:w="0" w:type="dxa"/>
                    <w:bottom w:w="0" w:type="dxa"/>
                    <w:right w:w="0" w:type="dxa"/>
                  </w:tcMar>
                  <w:vAlign w:val="center"/>
                </w:tcPr>
                <w:p w14:paraId="37629F7A">
                  <w:pPr>
                    <w:pStyle w:val="286"/>
                    <w:framePr w:hSpace="0" w:wrap="auto" w:vAnchor="margin" w:hAnchor="text" w:xAlign="left" w:yAlign="inline"/>
                    <w:rPr>
                      <w:rFonts w:hint="default"/>
                      <w:color w:val="auto"/>
                      <w:lang w:val="en-US" w:eastAsia="zh-CN"/>
                    </w:rPr>
                  </w:pPr>
                  <w:r>
                    <w:rPr>
                      <w:rFonts w:hint="eastAsia"/>
                      <w:color w:val="auto"/>
                      <w:lang w:eastAsia="zh-CN"/>
                    </w:rPr>
                    <w:t>风机</w:t>
                  </w:r>
                  <w:r>
                    <w:rPr>
                      <w:rFonts w:hint="eastAsia"/>
                      <w:color w:val="auto"/>
                      <w:lang w:val="en-US" w:eastAsia="zh-CN"/>
                    </w:rPr>
                    <w:t>3</w:t>
                  </w:r>
                </w:p>
              </w:tc>
              <w:tc>
                <w:tcPr>
                  <w:tcW w:w="762" w:type="dxa"/>
                  <w:shd w:val="clear" w:color="auto" w:fill="FFFFFF"/>
                  <w:tcMar>
                    <w:top w:w="0" w:type="dxa"/>
                    <w:left w:w="0" w:type="dxa"/>
                    <w:bottom w:w="0" w:type="dxa"/>
                    <w:right w:w="0" w:type="dxa"/>
                  </w:tcMar>
                  <w:vAlign w:val="center"/>
                </w:tcPr>
                <w:p w14:paraId="49C690B9">
                  <w:pPr>
                    <w:pStyle w:val="286"/>
                    <w:framePr w:hSpace="0" w:wrap="auto" w:vAnchor="margin" w:hAnchor="text" w:xAlign="left" w:yAlign="inline"/>
                    <w:rPr>
                      <w:rFonts w:hint="eastAsia"/>
                      <w:color w:val="auto"/>
                      <w:lang w:val="en-US" w:eastAsia="zh-CN"/>
                    </w:rPr>
                  </w:pPr>
                  <w:r>
                    <w:rPr>
                      <w:rFonts w:hint="eastAsia"/>
                      <w:color w:val="auto"/>
                      <w:lang w:val="en-US" w:eastAsia="zh-CN"/>
                    </w:rPr>
                    <w:t>80</w:t>
                  </w:r>
                </w:p>
              </w:tc>
              <w:tc>
                <w:tcPr>
                  <w:tcW w:w="484" w:type="dxa"/>
                  <w:vMerge w:val="continue"/>
                  <w:shd w:val="clear" w:color="auto" w:fill="FFFFFF"/>
                  <w:tcMar>
                    <w:top w:w="0" w:type="dxa"/>
                    <w:left w:w="0" w:type="dxa"/>
                    <w:bottom w:w="0" w:type="dxa"/>
                    <w:right w:w="0" w:type="dxa"/>
                  </w:tcMar>
                  <w:vAlign w:val="center"/>
                </w:tcPr>
                <w:p w14:paraId="60AAC6E7">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3ED0DAB7">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0</w:t>
                  </w:r>
                </w:p>
              </w:tc>
              <w:tc>
                <w:tcPr>
                  <w:tcW w:w="629" w:type="dxa"/>
                  <w:shd w:val="clear" w:color="auto" w:fill="FFFFFF"/>
                  <w:tcMar>
                    <w:top w:w="0" w:type="dxa"/>
                    <w:left w:w="0" w:type="dxa"/>
                    <w:bottom w:w="0" w:type="dxa"/>
                    <w:right w:w="0" w:type="dxa"/>
                  </w:tcMar>
                  <w:vAlign w:val="center"/>
                </w:tcPr>
                <w:p w14:paraId="2D5D3A8A">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-1</w:t>
                  </w:r>
                </w:p>
              </w:tc>
              <w:tc>
                <w:tcPr>
                  <w:tcW w:w="630" w:type="dxa"/>
                  <w:shd w:val="clear" w:color="auto" w:fill="FFFFFF"/>
                  <w:tcMar>
                    <w:top w:w="0" w:type="dxa"/>
                    <w:left w:w="0" w:type="dxa"/>
                    <w:bottom w:w="0" w:type="dxa"/>
                    <w:right w:w="0" w:type="dxa"/>
                  </w:tcMar>
                  <w:vAlign w:val="center"/>
                </w:tcPr>
                <w:p w14:paraId="197A32DF">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color w:val="auto"/>
                    </w:rPr>
                    <w:t>1.</w:t>
                  </w:r>
                  <w:r>
                    <w:rPr>
                      <w:rFonts w:hint="eastAsia"/>
                      <w:color w:val="auto"/>
                      <w:lang w:val="en-US" w:eastAsia="zh-CN"/>
                    </w:rPr>
                    <w:t>5</w:t>
                  </w:r>
                </w:p>
              </w:tc>
              <w:tc>
                <w:tcPr>
                  <w:tcW w:w="523" w:type="dxa"/>
                  <w:shd w:val="clear" w:color="auto" w:fill="FFFFFF"/>
                  <w:tcMar>
                    <w:top w:w="0" w:type="dxa"/>
                    <w:left w:w="0" w:type="dxa"/>
                    <w:bottom w:w="0" w:type="dxa"/>
                    <w:right w:w="0" w:type="dxa"/>
                  </w:tcMar>
                  <w:vAlign w:val="center"/>
                </w:tcPr>
                <w:p w14:paraId="34D2EED8">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21.4</w:t>
                  </w:r>
                </w:p>
              </w:tc>
              <w:tc>
                <w:tcPr>
                  <w:tcW w:w="523" w:type="dxa"/>
                  <w:shd w:val="clear" w:color="auto" w:fill="FFFFFF"/>
                  <w:tcMar>
                    <w:top w:w="0" w:type="dxa"/>
                    <w:left w:w="0" w:type="dxa"/>
                    <w:bottom w:w="0" w:type="dxa"/>
                    <w:right w:w="0" w:type="dxa"/>
                  </w:tcMar>
                  <w:vAlign w:val="center"/>
                </w:tcPr>
                <w:p w14:paraId="0C75841E">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24.2</w:t>
                  </w:r>
                </w:p>
              </w:tc>
              <w:tc>
                <w:tcPr>
                  <w:tcW w:w="523" w:type="dxa"/>
                  <w:shd w:val="clear" w:color="auto" w:fill="FFFFFF"/>
                  <w:tcMar>
                    <w:top w:w="0" w:type="dxa"/>
                    <w:left w:w="0" w:type="dxa"/>
                    <w:bottom w:w="0" w:type="dxa"/>
                    <w:right w:w="0" w:type="dxa"/>
                  </w:tcMar>
                  <w:vAlign w:val="center"/>
                </w:tcPr>
                <w:p w14:paraId="3CEA7E23">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19.6</w:t>
                  </w:r>
                </w:p>
              </w:tc>
              <w:tc>
                <w:tcPr>
                  <w:tcW w:w="524" w:type="dxa"/>
                  <w:shd w:val="clear" w:color="auto" w:fill="FFFFFF"/>
                  <w:tcMar>
                    <w:top w:w="0" w:type="dxa"/>
                    <w:left w:w="0" w:type="dxa"/>
                    <w:bottom w:w="0" w:type="dxa"/>
                    <w:right w:w="0" w:type="dxa"/>
                  </w:tcMar>
                  <w:vAlign w:val="center"/>
                </w:tcPr>
                <w:p w14:paraId="6B12F1B8">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5.3</w:t>
                  </w:r>
                </w:p>
              </w:tc>
              <w:tc>
                <w:tcPr>
                  <w:tcW w:w="517" w:type="dxa"/>
                  <w:shd w:val="clear" w:color="auto" w:fill="FFFFFF"/>
                  <w:tcMar>
                    <w:top w:w="0" w:type="dxa"/>
                    <w:left w:w="0" w:type="dxa"/>
                    <w:bottom w:w="0" w:type="dxa"/>
                    <w:right w:w="0" w:type="dxa"/>
                  </w:tcMar>
                  <w:vAlign w:val="center"/>
                </w:tcPr>
                <w:p w14:paraId="7249662A">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color w:val="auto"/>
                    </w:rPr>
                    <w:t>5</w:t>
                  </w:r>
                  <w:r>
                    <w:rPr>
                      <w:rFonts w:hint="eastAsia"/>
                      <w:color w:val="auto"/>
                      <w:lang w:val="en-US" w:eastAsia="zh-CN"/>
                    </w:rPr>
                    <w:t>5.2</w:t>
                  </w:r>
                </w:p>
              </w:tc>
              <w:tc>
                <w:tcPr>
                  <w:tcW w:w="517" w:type="dxa"/>
                  <w:shd w:val="clear" w:color="auto" w:fill="FFFFFF"/>
                  <w:tcMar>
                    <w:top w:w="0" w:type="dxa"/>
                    <w:left w:w="0" w:type="dxa"/>
                    <w:bottom w:w="0" w:type="dxa"/>
                    <w:right w:w="0" w:type="dxa"/>
                  </w:tcMar>
                  <w:vAlign w:val="center"/>
                </w:tcPr>
                <w:p w14:paraId="786AC5E3">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55.2</w:t>
                  </w:r>
                </w:p>
              </w:tc>
              <w:tc>
                <w:tcPr>
                  <w:tcW w:w="517" w:type="dxa"/>
                  <w:shd w:val="clear" w:color="auto" w:fill="FFFFFF"/>
                  <w:tcMar>
                    <w:top w:w="0" w:type="dxa"/>
                    <w:left w:w="0" w:type="dxa"/>
                    <w:bottom w:w="0" w:type="dxa"/>
                    <w:right w:w="0" w:type="dxa"/>
                  </w:tcMar>
                  <w:vAlign w:val="center"/>
                </w:tcPr>
                <w:p w14:paraId="0DE7ACC9">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55.1</w:t>
                  </w:r>
                </w:p>
              </w:tc>
              <w:tc>
                <w:tcPr>
                  <w:tcW w:w="518" w:type="dxa"/>
                  <w:shd w:val="clear" w:color="auto" w:fill="FFFFFF"/>
                  <w:tcMar>
                    <w:top w:w="0" w:type="dxa"/>
                    <w:left w:w="0" w:type="dxa"/>
                    <w:bottom w:w="0" w:type="dxa"/>
                    <w:right w:w="0" w:type="dxa"/>
                  </w:tcMar>
                  <w:vAlign w:val="center"/>
                </w:tcPr>
                <w:p w14:paraId="7E0AA33A">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55.2</w:t>
                  </w:r>
                </w:p>
              </w:tc>
              <w:tc>
                <w:tcPr>
                  <w:tcW w:w="449" w:type="dxa"/>
                  <w:vMerge w:val="continue"/>
                  <w:shd w:val="clear" w:color="auto" w:fill="FFFFFF"/>
                  <w:tcMar>
                    <w:top w:w="0" w:type="dxa"/>
                    <w:left w:w="0" w:type="dxa"/>
                    <w:bottom w:w="0" w:type="dxa"/>
                    <w:right w:w="0" w:type="dxa"/>
                  </w:tcMar>
                  <w:vAlign w:val="center"/>
                </w:tcPr>
                <w:p w14:paraId="61048B73">
                  <w:pPr>
                    <w:rPr>
                      <w:color w:val="auto"/>
                    </w:rPr>
                  </w:pPr>
                </w:p>
              </w:tc>
              <w:tc>
                <w:tcPr>
                  <w:tcW w:w="498" w:type="dxa"/>
                  <w:shd w:val="clear" w:color="auto" w:fill="FFFFFF"/>
                  <w:tcMar>
                    <w:top w:w="0" w:type="dxa"/>
                    <w:left w:w="0" w:type="dxa"/>
                    <w:bottom w:w="0" w:type="dxa"/>
                    <w:right w:w="0" w:type="dxa"/>
                  </w:tcMar>
                  <w:vAlign w:val="center"/>
                </w:tcPr>
                <w:p w14:paraId="47B77A03">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5C878FCC">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48A71CF5">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51652E8D">
                  <w:pPr>
                    <w:pStyle w:val="286"/>
                    <w:framePr w:hSpace="0" w:wrap="auto" w:vAnchor="margin" w:hAnchor="text" w:xAlign="left" w:yAlign="inline"/>
                    <w:rPr>
                      <w:color w:val="auto"/>
                    </w:rPr>
                  </w:pPr>
                  <w:r>
                    <w:rPr>
                      <w:color w:val="auto"/>
                    </w:rPr>
                    <w:t>26.0</w:t>
                  </w:r>
                </w:p>
              </w:tc>
              <w:tc>
                <w:tcPr>
                  <w:tcW w:w="531" w:type="dxa"/>
                  <w:shd w:val="clear" w:color="auto" w:fill="FFFFFF"/>
                  <w:tcMar>
                    <w:top w:w="0" w:type="dxa"/>
                    <w:left w:w="0" w:type="dxa"/>
                    <w:bottom w:w="0" w:type="dxa"/>
                    <w:right w:w="0" w:type="dxa"/>
                  </w:tcMar>
                  <w:vAlign w:val="center"/>
                </w:tcPr>
                <w:p w14:paraId="2FE8BC47">
                  <w:pPr>
                    <w:pStyle w:val="286"/>
                    <w:framePr w:hSpace="0" w:wrap="auto" w:vAnchor="margin" w:hAnchor="text" w:xAlign="left" w:yAlign="inline"/>
                    <w:rPr>
                      <w:rFonts w:hint="eastAsia"/>
                      <w:color w:val="auto"/>
                      <w:lang w:val="en-US" w:eastAsia="zh-CN"/>
                    </w:rPr>
                  </w:pPr>
                  <w:r>
                    <w:rPr>
                      <w:rFonts w:hint="eastAsia"/>
                      <w:color w:val="auto"/>
                      <w:lang w:val="en-US" w:eastAsia="zh-CN"/>
                    </w:rPr>
                    <w:t>29.2</w:t>
                  </w:r>
                </w:p>
              </w:tc>
              <w:tc>
                <w:tcPr>
                  <w:tcW w:w="531" w:type="dxa"/>
                  <w:shd w:val="clear" w:color="auto" w:fill="FFFFFF"/>
                  <w:tcMar>
                    <w:top w:w="0" w:type="dxa"/>
                    <w:left w:w="0" w:type="dxa"/>
                    <w:bottom w:w="0" w:type="dxa"/>
                    <w:right w:w="0" w:type="dxa"/>
                  </w:tcMar>
                  <w:vAlign w:val="center"/>
                </w:tcPr>
                <w:p w14:paraId="381678F6">
                  <w:pPr>
                    <w:pStyle w:val="286"/>
                    <w:framePr w:hSpace="0" w:wrap="auto" w:vAnchor="margin" w:hAnchor="text" w:xAlign="left" w:yAlign="inline"/>
                    <w:rPr>
                      <w:rFonts w:hint="eastAsia"/>
                      <w:color w:val="auto"/>
                      <w:lang w:val="en-US" w:eastAsia="zh-CN"/>
                    </w:rPr>
                  </w:pPr>
                  <w:r>
                    <w:rPr>
                      <w:rFonts w:hint="eastAsia"/>
                      <w:color w:val="auto"/>
                      <w:lang w:val="en-US" w:eastAsia="zh-CN"/>
                    </w:rPr>
                    <w:t>29.2</w:t>
                  </w:r>
                </w:p>
              </w:tc>
              <w:tc>
                <w:tcPr>
                  <w:tcW w:w="531" w:type="dxa"/>
                  <w:shd w:val="clear" w:color="auto" w:fill="FFFFFF"/>
                  <w:tcMar>
                    <w:top w:w="0" w:type="dxa"/>
                    <w:left w:w="0" w:type="dxa"/>
                    <w:bottom w:w="0" w:type="dxa"/>
                    <w:right w:w="0" w:type="dxa"/>
                  </w:tcMar>
                  <w:vAlign w:val="center"/>
                </w:tcPr>
                <w:p w14:paraId="2EAE8D1D">
                  <w:pPr>
                    <w:pStyle w:val="286"/>
                    <w:framePr w:hSpace="0" w:wrap="auto" w:vAnchor="margin" w:hAnchor="text" w:xAlign="left" w:yAlign="inline"/>
                    <w:rPr>
                      <w:rFonts w:hint="eastAsia"/>
                      <w:color w:val="auto"/>
                      <w:lang w:val="en-US" w:eastAsia="zh-CN"/>
                    </w:rPr>
                  </w:pPr>
                  <w:r>
                    <w:rPr>
                      <w:rFonts w:hint="eastAsia"/>
                      <w:color w:val="auto"/>
                      <w:lang w:val="en-US" w:eastAsia="zh-CN"/>
                    </w:rPr>
                    <w:t>29.1</w:t>
                  </w:r>
                </w:p>
              </w:tc>
              <w:tc>
                <w:tcPr>
                  <w:tcW w:w="532" w:type="dxa"/>
                  <w:shd w:val="clear" w:color="auto" w:fill="FFFFFF"/>
                  <w:tcMar>
                    <w:top w:w="0" w:type="dxa"/>
                    <w:left w:w="0" w:type="dxa"/>
                    <w:bottom w:w="0" w:type="dxa"/>
                    <w:right w:w="0" w:type="dxa"/>
                  </w:tcMar>
                  <w:vAlign w:val="center"/>
                </w:tcPr>
                <w:p w14:paraId="531F7868">
                  <w:pPr>
                    <w:pStyle w:val="286"/>
                    <w:framePr w:hSpace="0" w:wrap="auto" w:vAnchor="margin" w:hAnchor="text" w:xAlign="left" w:yAlign="inline"/>
                    <w:rPr>
                      <w:rFonts w:hint="eastAsia"/>
                      <w:color w:val="auto"/>
                      <w:lang w:val="en-US" w:eastAsia="zh-CN"/>
                    </w:rPr>
                  </w:pPr>
                  <w:r>
                    <w:rPr>
                      <w:rFonts w:hint="eastAsia"/>
                      <w:color w:val="auto"/>
                      <w:lang w:val="en-US" w:eastAsia="zh-CN"/>
                    </w:rPr>
                    <w:t>29.2</w:t>
                  </w:r>
                </w:p>
              </w:tc>
              <w:tc>
                <w:tcPr>
                  <w:tcW w:w="733" w:type="dxa"/>
                  <w:shd w:val="clear" w:color="auto" w:fill="FFFFFF"/>
                  <w:tcMar>
                    <w:top w:w="0" w:type="dxa"/>
                    <w:left w:w="0" w:type="dxa"/>
                    <w:bottom w:w="0" w:type="dxa"/>
                    <w:right w:w="0" w:type="dxa"/>
                  </w:tcMar>
                  <w:vAlign w:val="center"/>
                </w:tcPr>
                <w:p w14:paraId="2564DC00">
                  <w:pPr>
                    <w:pStyle w:val="286"/>
                    <w:framePr w:hSpace="0" w:wrap="auto" w:vAnchor="margin" w:hAnchor="text" w:xAlign="left" w:yAlign="inline"/>
                    <w:rPr>
                      <w:color w:val="auto"/>
                    </w:rPr>
                  </w:pPr>
                  <w:r>
                    <w:rPr>
                      <w:rFonts w:hint="eastAsia"/>
                      <w:color w:val="auto"/>
                      <w:lang w:val="en-US" w:eastAsia="zh-CN"/>
                    </w:rPr>
                    <w:t>1</w:t>
                  </w:r>
                </w:p>
              </w:tc>
            </w:tr>
            <w:tr w14:paraId="7D489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7932900D">
                  <w:pPr>
                    <w:pStyle w:val="286"/>
                    <w:framePr w:hSpace="0" w:wrap="auto" w:vAnchor="margin" w:hAnchor="text" w:xAlign="left" w:yAlign="inline"/>
                    <w:rPr>
                      <w:rFonts w:hint="default"/>
                      <w:color w:val="auto"/>
                      <w:lang w:val="en-US" w:eastAsia="zh-CN"/>
                    </w:rPr>
                  </w:pPr>
                  <w:r>
                    <w:rPr>
                      <w:rFonts w:hint="eastAsia"/>
                      <w:color w:val="auto"/>
                      <w:lang w:val="en-US" w:eastAsia="zh-CN"/>
                    </w:rPr>
                    <w:t>14</w:t>
                  </w:r>
                </w:p>
              </w:tc>
              <w:tc>
                <w:tcPr>
                  <w:tcW w:w="542" w:type="dxa"/>
                  <w:vMerge w:val="continue"/>
                  <w:shd w:val="clear" w:color="auto" w:fill="FFFFFF"/>
                  <w:tcMar>
                    <w:top w:w="0" w:type="dxa"/>
                    <w:left w:w="0" w:type="dxa"/>
                    <w:bottom w:w="0" w:type="dxa"/>
                    <w:right w:w="0" w:type="dxa"/>
                  </w:tcMar>
                  <w:vAlign w:val="center"/>
                </w:tcPr>
                <w:p w14:paraId="26248E5D">
                  <w:pPr>
                    <w:pStyle w:val="286"/>
                    <w:framePr w:hSpace="0" w:wrap="auto" w:vAnchor="margin" w:hAnchor="text" w:xAlign="left" w:yAlign="inline"/>
                    <w:rPr>
                      <w:color w:val="auto"/>
                    </w:rPr>
                  </w:pPr>
                </w:p>
              </w:tc>
              <w:tc>
                <w:tcPr>
                  <w:tcW w:w="888" w:type="dxa"/>
                  <w:shd w:val="clear" w:color="auto" w:fill="FFFFFF"/>
                  <w:tcMar>
                    <w:top w:w="0" w:type="dxa"/>
                    <w:left w:w="0" w:type="dxa"/>
                    <w:bottom w:w="0" w:type="dxa"/>
                    <w:right w:w="0" w:type="dxa"/>
                  </w:tcMar>
                  <w:vAlign w:val="center"/>
                </w:tcPr>
                <w:p w14:paraId="06A12165">
                  <w:pPr>
                    <w:pStyle w:val="286"/>
                    <w:framePr w:hSpace="0" w:wrap="auto" w:vAnchor="margin" w:hAnchor="text" w:xAlign="left" w:yAlign="inline"/>
                    <w:rPr>
                      <w:rFonts w:hint="default"/>
                      <w:color w:val="auto"/>
                      <w:lang w:val="en-US" w:eastAsia="zh-CN"/>
                    </w:rPr>
                  </w:pPr>
                  <w:r>
                    <w:rPr>
                      <w:rFonts w:hint="eastAsia"/>
                      <w:color w:val="auto"/>
                      <w:lang w:eastAsia="zh-CN"/>
                    </w:rPr>
                    <w:t>风机</w:t>
                  </w:r>
                  <w:r>
                    <w:rPr>
                      <w:rFonts w:hint="eastAsia"/>
                      <w:color w:val="auto"/>
                      <w:lang w:val="en-US" w:eastAsia="zh-CN"/>
                    </w:rPr>
                    <w:t>4</w:t>
                  </w:r>
                </w:p>
              </w:tc>
              <w:tc>
                <w:tcPr>
                  <w:tcW w:w="762" w:type="dxa"/>
                  <w:shd w:val="clear" w:color="auto" w:fill="FFFFFF"/>
                  <w:tcMar>
                    <w:top w:w="0" w:type="dxa"/>
                    <w:left w:w="0" w:type="dxa"/>
                    <w:bottom w:w="0" w:type="dxa"/>
                    <w:right w:w="0" w:type="dxa"/>
                  </w:tcMar>
                  <w:vAlign w:val="center"/>
                </w:tcPr>
                <w:p w14:paraId="415AD03E">
                  <w:pPr>
                    <w:pStyle w:val="286"/>
                    <w:framePr w:hSpace="0" w:wrap="auto" w:vAnchor="margin" w:hAnchor="text" w:xAlign="left" w:yAlign="inline"/>
                    <w:rPr>
                      <w:rFonts w:hint="eastAsia"/>
                      <w:color w:val="auto"/>
                      <w:lang w:val="en-US" w:eastAsia="zh-CN"/>
                    </w:rPr>
                  </w:pPr>
                  <w:r>
                    <w:rPr>
                      <w:rFonts w:hint="eastAsia"/>
                      <w:color w:val="auto"/>
                      <w:lang w:val="en-US" w:eastAsia="zh-CN"/>
                    </w:rPr>
                    <w:t>80</w:t>
                  </w:r>
                </w:p>
              </w:tc>
              <w:tc>
                <w:tcPr>
                  <w:tcW w:w="484" w:type="dxa"/>
                  <w:vMerge w:val="continue"/>
                  <w:shd w:val="clear" w:color="auto" w:fill="FFFFFF"/>
                  <w:tcMar>
                    <w:top w:w="0" w:type="dxa"/>
                    <w:left w:w="0" w:type="dxa"/>
                    <w:bottom w:w="0" w:type="dxa"/>
                    <w:right w:w="0" w:type="dxa"/>
                  </w:tcMar>
                  <w:vAlign w:val="center"/>
                </w:tcPr>
                <w:p w14:paraId="581033D1">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3E7CCF09">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0</w:t>
                  </w:r>
                </w:p>
              </w:tc>
              <w:tc>
                <w:tcPr>
                  <w:tcW w:w="629" w:type="dxa"/>
                  <w:shd w:val="clear" w:color="auto" w:fill="FFFFFF"/>
                  <w:tcMar>
                    <w:top w:w="0" w:type="dxa"/>
                    <w:left w:w="0" w:type="dxa"/>
                    <w:bottom w:w="0" w:type="dxa"/>
                    <w:right w:w="0" w:type="dxa"/>
                  </w:tcMar>
                  <w:vAlign w:val="center"/>
                </w:tcPr>
                <w:p w14:paraId="79CD1464">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-3</w:t>
                  </w:r>
                </w:p>
              </w:tc>
              <w:tc>
                <w:tcPr>
                  <w:tcW w:w="630" w:type="dxa"/>
                  <w:shd w:val="clear" w:color="auto" w:fill="FFFFFF"/>
                  <w:tcMar>
                    <w:top w:w="0" w:type="dxa"/>
                    <w:left w:w="0" w:type="dxa"/>
                    <w:bottom w:w="0" w:type="dxa"/>
                    <w:right w:w="0" w:type="dxa"/>
                  </w:tcMar>
                  <w:vAlign w:val="center"/>
                </w:tcPr>
                <w:p w14:paraId="1B52041B">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color w:val="auto"/>
                    </w:rPr>
                    <w:t>1.</w:t>
                  </w:r>
                  <w:r>
                    <w:rPr>
                      <w:rFonts w:hint="eastAsia"/>
                      <w:color w:val="auto"/>
                      <w:lang w:val="en-US" w:eastAsia="zh-CN"/>
                    </w:rPr>
                    <w:t>5</w:t>
                  </w:r>
                </w:p>
              </w:tc>
              <w:tc>
                <w:tcPr>
                  <w:tcW w:w="523" w:type="dxa"/>
                  <w:shd w:val="clear" w:color="auto" w:fill="FFFFFF"/>
                  <w:tcMar>
                    <w:top w:w="0" w:type="dxa"/>
                    <w:left w:w="0" w:type="dxa"/>
                    <w:bottom w:w="0" w:type="dxa"/>
                    <w:right w:w="0" w:type="dxa"/>
                  </w:tcMar>
                  <w:vAlign w:val="center"/>
                </w:tcPr>
                <w:p w14:paraId="11A76AB6">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21.4</w:t>
                  </w:r>
                </w:p>
              </w:tc>
              <w:tc>
                <w:tcPr>
                  <w:tcW w:w="523" w:type="dxa"/>
                  <w:shd w:val="clear" w:color="auto" w:fill="FFFFFF"/>
                  <w:tcMar>
                    <w:top w:w="0" w:type="dxa"/>
                    <w:left w:w="0" w:type="dxa"/>
                    <w:bottom w:w="0" w:type="dxa"/>
                    <w:right w:w="0" w:type="dxa"/>
                  </w:tcMar>
                  <w:vAlign w:val="center"/>
                </w:tcPr>
                <w:p w14:paraId="42F46389">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22.2</w:t>
                  </w:r>
                </w:p>
              </w:tc>
              <w:tc>
                <w:tcPr>
                  <w:tcW w:w="523" w:type="dxa"/>
                  <w:shd w:val="clear" w:color="auto" w:fill="FFFFFF"/>
                  <w:tcMar>
                    <w:top w:w="0" w:type="dxa"/>
                    <w:left w:w="0" w:type="dxa"/>
                    <w:bottom w:w="0" w:type="dxa"/>
                    <w:right w:w="0" w:type="dxa"/>
                  </w:tcMar>
                  <w:vAlign w:val="center"/>
                </w:tcPr>
                <w:p w14:paraId="57EF8A6B">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19.6</w:t>
                  </w:r>
                </w:p>
              </w:tc>
              <w:tc>
                <w:tcPr>
                  <w:tcW w:w="524" w:type="dxa"/>
                  <w:shd w:val="clear" w:color="auto" w:fill="FFFFFF"/>
                  <w:tcMar>
                    <w:top w:w="0" w:type="dxa"/>
                    <w:left w:w="0" w:type="dxa"/>
                    <w:bottom w:w="0" w:type="dxa"/>
                    <w:right w:w="0" w:type="dxa"/>
                  </w:tcMar>
                  <w:vAlign w:val="center"/>
                </w:tcPr>
                <w:p w14:paraId="4379D3A6">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7.3</w:t>
                  </w:r>
                </w:p>
              </w:tc>
              <w:tc>
                <w:tcPr>
                  <w:tcW w:w="517" w:type="dxa"/>
                  <w:shd w:val="clear" w:color="auto" w:fill="FFFFFF"/>
                  <w:tcMar>
                    <w:top w:w="0" w:type="dxa"/>
                    <w:left w:w="0" w:type="dxa"/>
                    <w:bottom w:w="0" w:type="dxa"/>
                    <w:right w:w="0" w:type="dxa"/>
                  </w:tcMar>
                  <w:vAlign w:val="center"/>
                </w:tcPr>
                <w:p w14:paraId="15EAE033">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55.2</w:t>
                  </w:r>
                </w:p>
              </w:tc>
              <w:tc>
                <w:tcPr>
                  <w:tcW w:w="517" w:type="dxa"/>
                  <w:shd w:val="clear" w:color="auto" w:fill="FFFFFF"/>
                  <w:tcMar>
                    <w:top w:w="0" w:type="dxa"/>
                    <w:left w:w="0" w:type="dxa"/>
                    <w:bottom w:w="0" w:type="dxa"/>
                    <w:right w:w="0" w:type="dxa"/>
                  </w:tcMar>
                  <w:vAlign w:val="center"/>
                </w:tcPr>
                <w:p w14:paraId="586E5D4A">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55.1</w:t>
                  </w:r>
                </w:p>
              </w:tc>
              <w:tc>
                <w:tcPr>
                  <w:tcW w:w="517" w:type="dxa"/>
                  <w:shd w:val="clear" w:color="auto" w:fill="FFFFFF"/>
                  <w:tcMar>
                    <w:top w:w="0" w:type="dxa"/>
                    <w:left w:w="0" w:type="dxa"/>
                    <w:bottom w:w="0" w:type="dxa"/>
                    <w:right w:w="0" w:type="dxa"/>
                  </w:tcMar>
                  <w:vAlign w:val="center"/>
                </w:tcPr>
                <w:p w14:paraId="0C706D5E">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55.1</w:t>
                  </w:r>
                </w:p>
              </w:tc>
              <w:tc>
                <w:tcPr>
                  <w:tcW w:w="518" w:type="dxa"/>
                  <w:shd w:val="clear" w:color="auto" w:fill="FFFFFF"/>
                  <w:tcMar>
                    <w:top w:w="0" w:type="dxa"/>
                    <w:left w:w="0" w:type="dxa"/>
                    <w:bottom w:w="0" w:type="dxa"/>
                    <w:right w:w="0" w:type="dxa"/>
                  </w:tcMar>
                  <w:vAlign w:val="center"/>
                </w:tcPr>
                <w:p w14:paraId="46EC211C">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55.2</w:t>
                  </w:r>
                </w:p>
              </w:tc>
              <w:tc>
                <w:tcPr>
                  <w:tcW w:w="449" w:type="dxa"/>
                  <w:vMerge w:val="continue"/>
                  <w:shd w:val="clear" w:color="auto" w:fill="FFFFFF"/>
                  <w:tcMar>
                    <w:top w:w="0" w:type="dxa"/>
                    <w:left w:w="0" w:type="dxa"/>
                    <w:bottom w:w="0" w:type="dxa"/>
                    <w:right w:w="0" w:type="dxa"/>
                  </w:tcMar>
                  <w:vAlign w:val="center"/>
                </w:tcPr>
                <w:p w14:paraId="04F91E5A">
                  <w:pPr>
                    <w:rPr>
                      <w:color w:val="auto"/>
                    </w:rPr>
                  </w:pPr>
                </w:p>
              </w:tc>
              <w:tc>
                <w:tcPr>
                  <w:tcW w:w="498" w:type="dxa"/>
                  <w:shd w:val="clear" w:color="auto" w:fill="FFFFFF"/>
                  <w:tcMar>
                    <w:top w:w="0" w:type="dxa"/>
                    <w:left w:w="0" w:type="dxa"/>
                    <w:bottom w:w="0" w:type="dxa"/>
                    <w:right w:w="0" w:type="dxa"/>
                  </w:tcMar>
                  <w:vAlign w:val="center"/>
                </w:tcPr>
                <w:p w14:paraId="23ED6C6C">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60F7E701">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18D7DC02">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18DA82D1">
                  <w:pPr>
                    <w:pStyle w:val="286"/>
                    <w:framePr w:hSpace="0" w:wrap="auto" w:vAnchor="margin" w:hAnchor="text" w:xAlign="left" w:yAlign="inline"/>
                    <w:rPr>
                      <w:color w:val="auto"/>
                    </w:rPr>
                  </w:pPr>
                  <w:r>
                    <w:rPr>
                      <w:color w:val="auto"/>
                    </w:rPr>
                    <w:t>26.0</w:t>
                  </w:r>
                </w:p>
              </w:tc>
              <w:tc>
                <w:tcPr>
                  <w:tcW w:w="531" w:type="dxa"/>
                  <w:shd w:val="clear" w:color="auto" w:fill="FFFFFF"/>
                  <w:tcMar>
                    <w:top w:w="0" w:type="dxa"/>
                    <w:left w:w="0" w:type="dxa"/>
                    <w:bottom w:w="0" w:type="dxa"/>
                    <w:right w:w="0" w:type="dxa"/>
                  </w:tcMar>
                  <w:vAlign w:val="center"/>
                </w:tcPr>
                <w:p w14:paraId="1C733FBB">
                  <w:pPr>
                    <w:pStyle w:val="286"/>
                    <w:framePr w:hSpace="0" w:wrap="auto" w:vAnchor="margin" w:hAnchor="text" w:xAlign="left" w:yAlign="inline"/>
                    <w:rPr>
                      <w:rFonts w:hint="eastAsia"/>
                      <w:color w:val="auto"/>
                      <w:lang w:val="en-US" w:eastAsia="zh-CN"/>
                    </w:rPr>
                  </w:pPr>
                  <w:r>
                    <w:rPr>
                      <w:rFonts w:hint="eastAsia"/>
                      <w:color w:val="auto"/>
                      <w:lang w:val="en-US" w:eastAsia="zh-CN"/>
                    </w:rPr>
                    <w:t>29.2</w:t>
                  </w:r>
                </w:p>
              </w:tc>
              <w:tc>
                <w:tcPr>
                  <w:tcW w:w="531" w:type="dxa"/>
                  <w:shd w:val="clear" w:color="auto" w:fill="FFFFFF"/>
                  <w:tcMar>
                    <w:top w:w="0" w:type="dxa"/>
                    <w:left w:w="0" w:type="dxa"/>
                    <w:bottom w:w="0" w:type="dxa"/>
                    <w:right w:w="0" w:type="dxa"/>
                  </w:tcMar>
                  <w:vAlign w:val="center"/>
                </w:tcPr>
                <w:p w14:paraId="0140BFD9">
                  <w:pPr>
                    <w:pStyle w:val="286"/>
                    <w:framePr w:hSpace="0" w:wrap="auto" w:vAnchor="margin" w:hAnchor="text" w:xAlign="left" w:yAlign="inline"/>
                    <w:rPr>
                      <w:rFonts w:hint="eastAsia"/>
                      <w:color w:val="auto"/>
                      <w:lang w:val="en-US" w:eastAsia="zh-CN"/>
                    </w:rPr>
                  </w:pPr>
                  <w:r>
                    <w:rPr>
                      <w:rFonts w:hint="eastAsia"/>
                      <w:color w:val="auto"/>
                      <w:lang w:val="en-US" w:eastAsia="zh-CN"/>
                    </w:rPr>
                    <w:t>29.1</w:t>
                  </w:r>
                </w:p>
              </w:tc>
              <w:tc>
                <w:tcPr>
                  <w:tcW w:w="531" w:type="dxa"/>
                  <w:shd w:val="clear" w:color="auto" w:fill="FFFFFF"/>
                  <w:tcMar>
                    <w:top w:w="0" w:type="dxa"/>
                    <w:left w:w="0" w:type="dxa"/>
                    <w:bottom w:w="0" w:type="dxa"/>
                    <w:right w:w="0" w:type="dxa"/>
                  </w:tcMar>
                  <w:vAlign w:val="center"/>
                </w:tcPr>
                <w:p w14:paraId="3AD4B54E">
                  <w:pPr>
                    <w:pStyle w:val="286"/>
                    <w:framePr w:hSpace="0" w:wrap="auto" w:vAnchor="margin" w:hAnchor="text" w:xAlign="left" w:yAlign="inline"/>
                    <w:rPr>
                      <w:rFonts w:hint="eastAsia"/>
                      <w:color w:val="auto"/>
                      <w:lang w:val="en-US" w:eastAsia="zh-CN"/>
                    </w:rPr>
                  </w:pPr>
                  <w:r>
                    <w:rPr>
                      <w:rFonts w:hint="eastAsia"/>
                      <w:color w:val="auto"/>
                      <w:lang w:val="en-US" w:eastAsia="zh-CN"/>
                    </w:rPr>
                    <w:t>29.1</w:t>
                  </w:r>
                </w:p>
              </w:tc>
              <w:tc>
                <w:tcPr>
                  <w:tcW w:w="532" w:type="dxa"/>
                  <w:shd w:val="clear" w:color="auto" w:fill="FFFFFF"/>
                  <w:tcMar>
                    <w:top w:w="0" w:type="dxa"/>
                    <w:left w:w="0" w:type="dxa"/>
                    <w:bottom w:w="0" w:type="dxa"/>
                    <w:right w:w="0" w:type="dxa"/>
                  </w:tcMar>
                  <w:vAlign w:val="center"/>
                </w:tcPr>
                <w:p w14:paraId="616E8132">
                  <w:pPr>
                    <w:pStyle w:val="286"/>
                    <w:framePr w:hSpace="0" w:wrap="auto" w:vAnchor="margin" w:hAnchor="text" w:xAlign="left" w:yAlign="inline"/>
                    <w:rPr>
                      <w:rFonts w:hint="eastAsia"/>
                      <w:color w:val="auto"/>
                      <w:lang w:val="en-US" w:eastAsia="zh-CN"/>
                    </w:rPr>
                  </w:pPr>
                  <w:r>
                    <w:rPr>
                      <w:rFonts w:hint="eastAsia"/>
                      <w:color w:val="auto"/>
                      <w:lang w:val="en-US" w:eastAsia="zh-CN"/>
                    </w:rPr>
                    <w:t>29.2</w:t>
                  </w:r>
                </w:p>
              </w:tc>
              <w:tc>
                <w:tcPr>
                  <w:tcW w:w="733" w:type="dxa"/>
                  <w:shd w:val="clear" w:color="auto" w:fill="FFFFFF"/>
                  <w:tcMar>
                    <w:top w:w="0" w:type="dxa"/>
                    <w:left w:w="0" w:type="dxa"/>
                    <w:bottom w:w="0" w:type="dxa"/>
                    <w:right w:w="0" w:type="dxa"/>
                  </w:tcMar>
                  <w:vAlign w:val="center"/>
                </w:tcPr>
                <w:p w14:paraId="7BD0E5BC">
                  <w:pPr>
                    <w:pStyle w:val="286"/>
                    <w:framePr w:hSpace="0" w:wrap="auto" w:vAnchor="margin" w:hAnchor="text" w:xAlign="left" w:yAlign="inline"/>
                    <w:rPr>
                      <w:color w:val="auto"/>
                    </w:rPr>
                  </w:pPr>
                  <w:r>
                    <w:rPr>
                      <w:rFonts w:hint="eastAsia"/>
                      <w:color w:val="auto"/>
                      <w:lang w:val="en-US" w:eastAsia="zh-CN"/>
                    </w:rPr>
                    <w:t>1</w:t>
                  </w:r>
                </w:p>
              </w:tc>
            </w:tr>
            <w:tr w14:paraId="11E66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57" w:type="dxa"/>
                  <w:bottom w:w="0" w:type="dxa"/>
                  <w:right w:w="57" w:type="dxa"/>
                </w:tblCellMar>
              </w:tblPrEx>
              <w:trPr>
                <w:trHeight w:val="340" w:hRule="atLeast"/>
                <w:jc w:val="center"/>
              </w:trPr>
              <w:tc>
                <w:tcPr>
                  <w:tcW w:w="398" w:type="dxa"/>
                  <w:shd w:val="clear" w:color="auto" w:fill="FFFFFF"/>
                  <w:tcMar>
                    <w:top w:w="0" w:type="dxa"/>
                    <w:left w:w="0" w:type="dxa"/>
                    <w:bottom w:w="0" w:type="dxa"/>
                    <w:right w:w="0" w:type="dxa"/>
                  </w:tcMar>
                  <w:vAlign w:val="center"/>
                </w:tcPr>
                <w:p w14:paraId="4CA90E1C">
                  <w:pPr>
                    <w:pStyle w:val="286"/>
                    <w:framePr w:hSpace="0" w:wrap="auto" w:vAnchor="margin" w:hAnchor="text" w:xAlign="left" w:yAlign="inline"/>
                    <w:rPr>
                      <w:rFonts w:hint="default"/>
                      <w:color w:val="auto"/>
                      <w:lang w:val="en-US" w:eastAsia="zh-CN"/>
                    </w:rPr>
                  </w:pPr>
                  <w:r>
                    <w:rPr>
                      <w:rFonts w:hint="eastAsia"/>
                      <w:color w:val="auto"/>
                      <w:lang w:val="en-US" w:eastAsia="zh-CN"/>
                    </w:rPr>
                    <w:t>15</w:t>
                  </w:r>
                </w:p>
              </w:tc>
              <w:tc>
                <w:tcPr>
                  <w:tcW w:w="542" w:type="dxa"/>
                  <w:vMerge w:val="continue"/>
                  <w:shd w:val="clear" w:color="auto" w:fill="FFFFFF"/>
                  <w:tcMar>
                    <w:top w:w="0" w:type="dxa"/>
                    <w:left w:w="0" w:type="dxa"/>
                    <w:bottom w:w="0" w:type="dxa"/>
                    <w:right w:w="0" w:type="dxa"/>
                  </w:tcMar>
                  <w:vAlign w:val="center"/>
                </w:tcPr>
                <w:p w14:paraId="23F3391F">
                  <w:pPr>
                    <w:pStyle w:val="286"/>
                    <w:framePr w:hSpace="0" w:wrap="auto" w:vAnchor="margin" w:hAnchor="text" w:xAlign="left" w:yAlign="inline"/>
                    <w:rPr>
                      <w:color w:val="auto"/>
                    </w:rPr>
                  </w:pPr>
                </w:p>
              </w:tc>
              <w:tc>
                <w:tcPr>
                  <w:tcW w:w="888" w:type="dxa"/>
                  <w:shd w:val="clear" w:color="auto" w:fill="FFFFFF"/>
                  <w:tcMar>
                    <w:top w:w="0" w:type="dxa"/>
                    <w:left w:w="0" w:type="dxa"/>
                    <w:bottom w:w="0" w:type="dxa"/>
                    <w:right w:w="0" w:type="dxa"/>
                  </w:tcMar>
                  <w:vAlign w:val="center"/>
                </w:tcPr>
                <w:p w14:paraId="00AC3113">
                  <w:pPr>
                    <w:pStyle w:val="286"/>
                    <w:framePr w:hSpace="0" w:wrap="auto" w:vAnchor="margin" w:hAnchor="text" w:xAlign="left" w:yAlign="inline"/>
                    <w:rPr>
                      <w:rFonts w:hint="default"/>
                      <w:color w:val="auto"/>
                      <w:lang w:val="en-US" w:eastAsia="zh-CN"/>
                    </w:rPr>
                  </w:pPr>
                  <w:r>
                    <w:rPr>
                      <w:rFonts w:hint="eastAsia"/>
                      <w:color w:val="auto"/>
                      <w:lang w:eastAsia="zh-CN"/>
                    </w:rPr>
                    <w:t>风机</w:t>
                  </w:r>
                  <w:r>
                    <w:rPr>
                      <w:rFonts w:hint="eastAsia"/>
                      <w:color w:val="auto"/>
                      <w:lang w:val="en-US" w:eastAsia="zh-CN"/>
                    </w:rPr>
                    <w:t>5</w:t>
                  </w:r>
                </w:p>
              </w:tc>
              <w:tc>
                <w:tcPr>
                  <w:tcW w:w="762" w:type="dxa"/>
                  <w:shd w:val="clear" w:color="auto" w:fill="FFFFFF"/>
                  <w:tcMar>
                    <w:top w:w="0" w:type="dxa"/>
                    <w:left w:w="0" w:type="dxa"/>
                    <w:bottom w:w="0" w:type="dxa"/>
                    <w:right w:w="0" w:type="dxa"/>
                  </w:tcMar>
                  <w:vAlign w:val="center"/>
                </w:tcPr>
                <w:p w14:paraId="5BF02530">
                  <w:pPr>
                    <w:pStyle w:val="286"/>
                    <w:framePr w:hSpace="0" w:wrap="auto" w:vAnchor="margin" w:hAnchor="text" w:xAlign="left" w:yAlign="inline"/>
                    <w:rPr>
                      <w:rFonts w:hint="eastAsia"/>
                      <w:color w:val="auto"/>
                      <w:lang w:val="en-US" w:eastAsia="zh-CN"/>
                    </w:rPr>
                  </w:pPr>
                  <w:r>
                    <w:rPr>
                      <w:rFonts w:hint="eastAsia"/>
                      <w:color w:val="auto"/>
                      <w:lang w:val="en-US" w:eastAsia="zh-CN"/>
                    </w:rPr>
                    <w:t>80</w:t>
                  </w:r>
                </w:p>
              </w:tc>
              <w:tc>
                <w:tcPr>
                  <w:tcW w:w="484" w:type="dxa"/>
                  <w:vMerge w:val="continue"/>
                  <w:shd w:val="clear" w:color="auto" w:fill="FFFFFF"/>
                  <w:tcMar>
                    <w:top w:w="0" w:type="dxa"/>
                    <w:left w:w="0" w:type="dxa"/>
                    <w:bottom w:w="0" w:type="dxa"/>
                    <w:right w:w="0" w:type="dxa"/>
                  </w:tcMar>
                  <w:vAlign w:val="center"/>
                </w:tcPr>
                <w:p w14:paraId="7EEF4762">
                  <w:pPr>
                    <w:pStyle w:val="286"/>
                    <w:framePr w:hSpace="0" w:wrap="auto" w:vAnchor="margin" w:hAnchor="text" w:xAlign="left" w:yAlign="inline"/>
                    <w:rPr>
                      <w:color w:val="0000FF"/>
                    </w:rPr>
                  </w:pPr>
                </w:p>
              </w:tc>
              <w:tc>
                <w:tcPr>
                  <w:tcW w:w="329" w:type="dxa"/>
                  <w:shd w:val="clear" w:color="auto" w:fill="FFFFFF"/>
                  <w:tcMar>
                    <w:top w:w="0" w:type="dxa"/>
                    <w:left w:w="0" w:type="dxa"/>
                    <w:bottom w:w="0" w:type="dxa"/>
                    <w:right w:w="0" w:type="dxa"/>
                  </w:tcMar>
                  <w:vAlign w:val="center"/>
                </w:tcPr>
                <w:p w14:paraId="0E43D2C1">
                  <w:pPr>
                    <w:pStyle w:val="286"/>
                    <w:framePr w:hSpace="0" w:wrap="auto" w:vAnchor="margin" w:hAnchor="text" w:xAlign="left" w:yAlign="inline"/>
                    <w:rPr>
                      <w:rFonts w:hint="default"/>
                      <w:color w:val="auto"/>
                      <w:highlight w:val="none"/>
                      <w:lang w:val="en-US" w:eastAsia="zh-CN"/>
                    </w:rPr>
                  </w:pPr>
                  <w:r>
                    <w:rPr>
                      <w:rFonts w:hint="eastAsia"/>
                      <w:color w:val="auto"/>
                      <w:highlight w:val="none"/>
                      <w:lang w:val="en-US" w:eastAsia="zh-CN"/>
                    </w:rPr>
                    <w:t>0</w:t>
                  </w:r>
                </w:p>
              </w:tc>
              <w:tc>
                <w:tcPr>
                  <w:tcW w:w="629" w:type="dxa"/>
                  <w:shd w:val="clear" w:color="auto" w:fill="FFFFFF"/>
                  <w:tcMar>
                    <w:top w:w="0" w:type="dxa"/>
                    <w:left w:w="0" w:type="dxa"/>
                    <w:bottom w:w="0" w:type="dxa"/>
                    <w:right w:w="0" w:type="dxa"/>
                  </w:tcMar>
                  <w:vAlign w:val="center"/>
                </w:tcPr>
                <w:p w14:paraId="6365080D">
                  <w:pPr>
                    <w:pStyle w:val="286"/>
                    <w:framePr w:hSpace="0" w:wrap="auto" w:vAnchor="margin" w:hAnchor="text" w:xAlign="left" w:yAlign="inline"/>
                    <w:rPr>
                      <w:rFonts w:hint="default"/>
                      <w:color w:val="auto"/>
                      <w:highlight w:val="none"/>
                      <w:lang w:val="en-US" w:eastAsia="zh-CN"/>
                    </w:rPr>
                  </w:pPr>
                  <w:r>
                    <w:rPr>
                      <w:rFonts w:hint="eastAsia"/>
                      <w:color w:val="auto"/>
                      <w:highlight w:val="none"/>
                      <w:lang w:val="en-US" w:eastAsia="zh-CN"/>
                    </w:rPr>
                    <w:t>-22</w:t>
                  </w:r>
                </w:p>
              </w:tc>
              <w:tc>
                <w:tcPr>
                  <w:tcW w:w="630" w:type="dxa"/>
                  <w:shd w:val="clear" w:color="auto" w:fill="FFFFFF"/>
                  <w:tcMar>
                    <w:top w:w="0" w:type="dxa"/>
                    <w:left w:w="0" w:type="dxa"/>
                    <w:bottom w:w="0" w:type="dxa"/>
                    <w:right w:w="0" w:type="dxa"/>
                  </w:tcMar>
                  <w:vAlign w:val="center"/>
                </w:tcPr>
                <w:p w14:paraId="78EFA4D2">
                  <w:pPr>
                    <w:pStyle w:val="286"/>
                    <w:framePr w:hSpace="0" w:wrap="auto" w:vAnchor="margin" w:hAnchor="text" w:xAlign="left" w:yAlign="inline"/>
                    <w:rPr>
                      <w:rFonts w:hint="default" w:eastAsia="宋体"/>
                      <w:color w:val="auto"/>
                      <w:highlight w:val="none"/>
                      <w:lang w:val="en-US" w:eastAsia="zh-CN"/>
                    </w:rPr>
                  </w:pPr>
                  <w:r>
                    <w:rPr>
                      <w:rFonts w:hint="eastAsia"/>
                      <w:color w:val="auto"/>
                      <w:highlight w:val="none"/>
                      <w:lang w:val="en-US" w:eastAsia="zh-CN"/>
                    </w:rPr>
                    <w:t>1.5</w:t>
                  </w:r>
                </w:p>
              </w:tc>
              <w:tc>
                <w:tcPr>
                  <w:tcW w:w="523" w:type="dxa"/>
                  <w:shd w:val="clear" w:color="auto" w:fill="FFFFFF"/>
                  <w:tcMar>
                    <w:top w:w="0" w:type="dxa"/>
                    <w:left w:w="0" w:type="dxa"/>
                    <w:bottom w:w="0" w:type="dxa"/>
                    <w:right w:w="0" w:type="dxa"/>
                  </w:tcMar>
                  <w:vAlign w:val="center"/>
                </w:tcPr>
                <w:p w14:paraId="473E7728">
                  <w:pPr>
                    <w:pStyle w:val="286"/>
                    <w:framePr w:hSpace="0" w:wrap="auto" w:vAnchor="margin" w:hAnchor="text" w:xAlign="left" w:yAlign="inline"/>
                    <w:rPr>
                      <w:rFonts w:hint="default" w:ascii="Times New Roman" w:hAnsi="Times New Roman" w:eastAsia="宋体" w:cs="宋体"/>
                      <w:color w:val="auto"/>
                      <w:kern w:val="2"/>
                      <w:sz w:val="18"/>
                      <w:szCs w:val="22"/>
                      <w:lang w:val="en-US" w:eastAsia="zh-CN" w:bidi="ar-SA"/>
                    </w:rPr>
                  </w:pPr>
                  <w:r>
                    <w:rPr>
                      <w:rFonts w:hint="eastAsia"/>
                      <w:color w:val="auto"/>
                      <w:lang w:val="en-US" w:eastAsia="zh-CN"/>
                    </w:rPr>
                    <w:t>46.1</w:t>
                  </w:r>
                </w:p>
              </w:tc>
              <w:tc>
                <w:tcPr>
                  <w:tcW w:w="523" w:type="dxa"/>
                  <w:shd w:val="clear" w:color="auto" w:fill="FFFFFF"/>
                  <w:tcMar>
                    <w:top w:w="0" w:type="dxa"/>
                    <w:left w:w="0" w:type="dxa"/>
                    <w:bottom w:w="0" w:type="dxa"/>
                    <w:right w:w="0" w:type="dxa"/>
                  </w:tcMar>
                  <w:vAlign w:val="center"/>
                </w:tcPr>
                <w:p w14:paraId="6B07F700">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2.5</w:t>
                  </w:r>
                </w:p>
              </w:tc>
              <w:tc>
                <w:tcPr>
                  <w:tcW w:w="523" w:type="dxa"/>
                  <w:shd w:val="clear" w:color="auto" w:fill="FFFFFF"/>
                  <w:tcMar>
                    <w:top w:w="0" w:type="dxa"/>
                    <w:left w:w="0" w:type="dxa"/>
                    <w:bottom w:w="0" w:type="dxa"/>
                    <w:right w:w="0" w:type="dxa"/>
                  </w:tcMar>
                  <w:vAlign w:val="center"/>
                </w:tcPr>
                <w:p w14:paraId="4E68905F">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32.3</w:t>
                  </w:r>
                </w:p>
              </w:tc>
              <w:tc>
                <w:tcPr>
                  <w:tcW w:w="524" w:type="dxa"/>
                  <w:shd w:val="clear" w:color="auto" w:fill="FFFFFF"/>
                  <w:tcMar>
                    <w:top w:w="0" w:type="dxa"/>
                    <w:left w:w="0" w:type="dxa"/>
                    <w:bottom w:w="0" w:type="dxa"/>
                    <w:right w:w="0" w:type="dxa"/>
                  </w:tcMar>
                  <w:vAlign w:val="center"/>
                </w:tcPr>
                <w:p w14:paraId="74394F43">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27.7</w:t>
                  </w:r>
                </w:p>
              </w:tc>
              <w:tc>
                <w:tcPr>
                  <w:tcW w:w="517" w:type="dxa"/>
                  <w:shd w:val="clear" w:color="auto" w:fill="FFFFFF"/>
                  <w:tcMar>
                    <w:top w:w="0" w:type="dxa"/>
                    <w:left w:w="0" w:type="dxa"/>
                    <w:bottom w:w="0" w:type="dxa"/>
                    <w:right w:w="0" w:type="dxa"/>
                  </w:tcMar>
                  <w:vAlign w:val="center"/>
                </w:tcPr>
                <w:p w14:paraId="46DE555B">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48.5</w:t>
                  </w:r>
                </w:p>
              </w:tc>
              <w:tc>
                <w:tcPr>
                  <w:tcW w:w="517" w:type="dxa"/>
                  <w:shd w:val="clear" w:color="auto" w:fill="FFFFFF"/>
                  <w:tcMar>
                    <w:top w:w="0" w:type="dxa"/>
                    <w:left w:w="0" w:type="dxa"/>
                    <w:bottom w:w="0" w:type="dxa"/>
                    <w:right w:w="0" w:type="dxa"/>
                  </w:tcMar>
                  <w:vAlign w:val="center"/>
                </w:tcPr>
                <w:p w14:paraId="4DCC9D7A">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48</w:t>
                  </w:r>
                  <w:r>
                    <w:rPr>
                      <w:color w:val="auto"/>
                    </w:rPr>
                    <w:t>.</w:t>
                  </w:r>
                  <w:r>
                    <w:rPr>
                      <w:rFonts w:hint="eastAsia"/>
                      <w:color w:val="auto"/>
                      <w:lang w:val="en-US" w:eastAsia="zh-CN"/>
                    </w:rPr>
                    <w:t>3</w:t>
                  </w:r>
                </w:p>
              </w:tc>
              <w:tc>
                <w:tcPr>
                  <w:tcW w:w="517" w:type="dxa"/>
                  <w:shd w:val="clear" w:color="auto" w:fill="FFFFFF"/>
                  <w:tcMar>
                    <w:top w:w="0" w:type="dxa"/>
                    <w:left w:w="0" w:type="dxa"/>
                    <w:bottom w:w="0" w:type="dxa"/>
                    <w:right w:w="0" w:type="dxa"/>
                  </w:tcMar>
                  <w:vAlign w:val="center"/>
                </w:tcPr>
                <w:p w14:paraId="1829E546">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48.5</w:t>
                  </w:r>
                </w:p>
              </w:tc>
              <w:tc>
                <w:tcPr>
                  <w:tcW w:w="518" w:type="dxa"/>
                  <w:shd w:val="clear" w:color="auto" w:fill="FFFFFF"/>
                  <w:tcMar>
                    <w:top w:w="0" w:type="dxa"/>
                    <w:left w:w="0" w:type="dxa"/>
                    <w:bottom w:w="0" w:type="dxa"/>
                    <w:right w:w="0" w:type="dxa"/>
                  </w:tcMar>
                  <w:vAlign w:val="center"/>
                </w:tcPr>
                <w:p w14:paraId="38DCF367">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48.</w:t>
                  </w:r>
                  <w:r>
                    <w:rPr>
                      <w:color w:val="auto"/>
                    </w:rPr>
                    <w:t>4</w:t>
                  </w:r>
                </w:p>
              </w:tc>
              <w:tc>
                <w:tcPr>
                  <w:tcW w:w="449" w:type="dxa"/>
                  <w:vMerge w:val="continue"/>
                  <w:shd w:val="clear" w:color="auto" w:fill="FFFFFF"/>
                  <w:tcMar>
                    <w:top w:w="0" w:type="dxa"/>
                    <w:left w:w="0" w:type="dxa"/>
                    <w:bottom w:w="0" w:type="dxa"/>
                    <w:right w:w="0" w:type="dxa"/>
                  </w:tcMar>
                  <w:vAlign w:val="center"/>
                </w:tcPr>
                <w:p w14:paraId="6AA85A38">
                  <w:pPr>
                    <w:rPr>
                      <w:color w:val="auto"/>
                    </w:rPr>
                  </w:pPr>
                </w:p>
              </w:tc>
              <w:tc>
                <w:tcPr>
                  <w:tcW w:w="498" w:type="dxa"/>
                  <w:shd w:val="clear" w:color="auto" w:fill="FFFFFF"/>
                  <w:tcMar>
                    <w:top w:w="0" w:type="dxa"/>
                    <w:left w:w="0" w:type="dxa"/>
                    <w:bottom w:w="0" w:type="dxa"/>
                    <w:right w:w="0" w:type="dxa"/>
                  </w:tcMar>
                  <w:vAlign w:val="center"/>
                </w:tcPr>
                <w:p w14:paraId="07146ECD">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4EA80852">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18CE41C9">
                  <w:pPr>
                    <w:pStyle w:val="286"/>
                    <w:framePr w:hSpace="0" w:wrap="auto" w:vAnchor="margin" w:hAnchor="text" w:xAlign="left" w:yAlign="inline"/>
                    <w:rPr>
                      <w:color w:val="auto"/>
                    </w:rPr>
                  </w:pPr>
                  <w:r>
                    <w:rPr>
                      <w:color w:val="auto"/>
                    </w:rPr>
                    <w:t>26.0</w:t>
                  </w:r>
                </w:p>
              </w:tc>
              <w:tc>
                <w:tcPr>
                  <w:tcW w:w="498" w:type="dxa"/>
                  <w:shd w:val="clear" w:color="auto" w:fill="FFFFFF"/>
                  <w:tcMar>
                    <w:top w:w="0" w:type="dxa"/>
                    <w:left w:w="0" w:type="dxa"/>
                    <w:bottom w:w="0" w:type="dxa"/>
                    <w:right w:w="0" w:type="dxa"/>
                  </w:tcMar>
                  <w:vAlign w:val="center"/>
                </w:tcPr>
                <w:p w14:paraId="2DB66AB1">
                  <w:pPr>
                    <w:pStyle w:val="286"/>
                    <w:framePr w:hSpace="0" w:wrap="auto" w:vAnchor="margin" w:hAnchor="text" w:xAlign="left" w:yAlign="inline"/>
                    <w:rPr>
                      <w:color w:val="auto"/>
                    </w:rPr>
                  </w:pPr>
                  <w:r>
                    <w:rPr>
                      <w:color w:val="auto"/>
                    </w:rPr>
                    <w:t>26.0</w:t>
                  </w:r>
                </w:p>
              </w:tc>
              <w:tc>
                <w:tcPr>
                  <w:tcW w:w="531" w:type="dxa"/>
                  <w:shd w:val="clear" w:color="auto" w:fill="FFFFFF"/>
                  <w:tcMar>
                    <w:top w:w="0" w:type="dxa"/>
                    <w:left w:w="0" w:type="dxa"/>
                    <w:bottom w:w="0" w:type="dxa"/>
                    <w:right w:w="0" w:type="dxa"/>
                  </w:tcMar>
                  <w:vAlign w:val="center"/>
                </w:tcPr>
                <w:p w14:paraId="0CC76745">
                  <w:pPr>
                    <w:pStyle w:val="286"/>
                    <w:framePr w:hSpace="0" w:wrap="auto" w:vAnchor="margin" w:hAnchor="text" w:xAlign="left" w:yAlign="inline"/>
                    <w:rPr>
                      <w:rFonts w:hint="eastAsia"/>
                      <w:color w:val="auto"/>
                      <w:lang w:val="en-US" w:eastAsia="zh-CN"/>
                    </w:rPr>
                  </w:pPr>
                  <w:r>
                    <w:rPr>
                      <w:rFonts w:hint="eastAsia"/>
                      <w:color w:val="auto"/>
                      <w:lang w:val="en-US" w:eastAsia="zh-CN"/>
                    </w:rPr>
                    <w:t>22.5</w:t>
                  </w:r>
                </w:p>
              </w:tc>
              <w:tc>
                <w:tcPr>
                  <w:tcW w:w="531" w:type="dxa"/>
                  <w:shd w:val="clear" w:color="auto" w:fill="FFFFFF"/>
                  <w:tcMar>
                    <w:top w:w="0" w:type="dxa"/>
                    <w:left w:w="0" w:type="dxa"/>
                    <w:bottom w:w="0" w:type="dxa"/>
                    <w:right w:w="0" w:type="dxa"/>
                  </w:tcMar>
                  <w:vAlign w:val="center"/>
                </w:tcPr>
                <w:p w14:paraId="10EEC22A">
                  <w:pPr>
                    <w:pStyle w:val="286"/>
                    <w:framePr w:hSpace="0" w:wrap="auto" w:vAnchor="margin" w:hAnchor="text" w:xAlign="left" w:yAlign="inline"/>
                    <w:rPr>
                      <w:rFonts w:hint="eastAsia"/>
                      <w:color w:val="auto"/>
                      <w:lang w:val="en-US" w:eastAsia="zh-CN"/>
                    </w:rPr>
                  </w:pPr>
                  <w:r>
                    <w:rPr>
                      <w:rFonts w:hint="eastAsia"/>
                      <w:color w:val="auto"/>
                      <w:lang w:val="en-US" w:eastAsia="zh-CN"/>
                    </w:rPr>
                    <w:t>22.3</w:t>
                  </w:r>
                </w:p>
              </w:tc>
              <w:tc>
                <w:tcPr>
                  <w:tcW w:w="531" w:type="dxa"/>
                  <w:shd w:val="clear" w:color="auto" w:fill="FFFFFF"/>
                  <w:tcMar>
                    <w:top w:w="0" w:type="dxa"/>
                    <w:left w:w="0" w:type="dxa"/>
                    <w:bottom w:w="0" w:type="dxa"/>
                    <w:right w:w="0" w:type="dxa"/>
                  </w:tcMar>
                  <w:vAlign w:val="center"/>
                </w:tcPr>
                <w:p w14:paraId="5ADBC618">
                  <w:pPr>
                    <w:pStyle w:val="286"/>
                    <w:framePr w:hSpace="0" w:wrap="auto" w:vAnchor="margin" w:hAnchor="text" w:xAlign="left" w:yAlign="inline"/>
                    <w:rPr>
                      <w:rFonts w:hint="eastAsia"/>
                      <w:color w:val="auto"/>
                      <w:lang w:val="en-US" w:eastAsia="zh-CN"/>
                    </w:rPr>
                  </w:pPr>
                  <w:r>
                    <w:rPr>
                      <w:rFonts w:hint="eastAsia"/>
                      <w:color w:val="auto"/>
                      <w:lang w:val="en-US" w:eastAsia="zh-CN"/>
                    </w:rPr>
                    <w:t>22.5</w:t>
                  </w:r>
                </w:p>
              </w:tc>
              <w:tc>
                <w:tcPr>
                  <w:tcW w:w="532" w:type="dxa"/>
                  <w:shd w:val="clear" w:color="auto" w:fill="FFFFFF"/>
                  <w:tcMar>
                    <w:top w:w="0" w:type="dxa"/>
                    <w:left w:w="0" w:type="dxa"/>
                    <w:bottom w:w="0" w:type="dxa"/>
                    <w:right w:w="0" w:type="dxa"/>
                  </w:tcMar>
                  <w:vAlign w:val="center"/>
                </w:tcPr>
                <w:p w14:paraId="459AB6FF">
                  <w:pPr>
                    <w:pStyle w:val="286"/>
                    <w:framePr w:hSpace="0" w:wrap="auto" w:vAnchor="margin" w:hAnchor="text" w:xAlign="left" w:yAlign="inline"/>
                    <w:rPr>
                      <w:rFonts w:hint="eastAsia"/>
                      <w:color w:val="auto"/>
                      <w:lang w:val="en-US" w:eastAsia="zh-CN"/>
                    </w:rPr>
                  </w:pPr>
                  <w:r>
                    <w:rPr>
                      <w:rFonts w:hint="eastAsia"/>
                      <w:color w:val="auto"/>
                      <w:lang w:val="en-US" w:eastAsia="zh-CN"/>
                    </w:rPr>
                    <w:t>22.4</w:t>
                  </w:r>
                </w:p>
              </w:tc>
              <w:tc>
                <w:tcPr>
                  <w:tcW w:w="733" w:type="dxa"/>
                  <w:shd w:val="clear" w:color="auto" w:fill="FFFFFF"/>
                  <w:tcMar>
                    <w:top w:w="0" w:type="dxa"/>
                    <w:left w:w="0" w:type="dxa"/>
                    <w:bottom w:w="0" w:type="dxa"/>
                    <w:right w:w="0" w:type="dxa"/>
                  </w:tcMar>
                  <w:vAlign w:val="center"/>
                </w:tcPr>
                <w:p w14:paraId="4A5E356E">
                  <w:pPr>
                    <w:pStyle w:val="286"/>
                    <w:framePr w:hSpace="0" w:wrap="auto" w:vAnchor="margin" w:hAnchor="text" w:xAlign="left" w:yAlign="inline"/>
                    <w:rPr>
                      <w:color w:val="auto"/>
                    </w:rPr>
                  </w:pPr>
                  <w:r>
                    <w:rPr>
                      <w:rFonts w:hint="eastAsia"/>
                      <w:color w:val="auto"/>
                      <w:lang w:val="en-US" w:eastAsia="zh-CN"/>
                    </w:rPr>
                    <w:t>1</w:t>
                  </w:r>
                </w:p>
              </w:tc>
            </w:tr>
            <w:bookmarkEnd w:id="30"/>
          </w:tbl>
          <w:p w14:paraId="6110B0B5">
            <w:pPr>
              <w:pStyle w:val="180"/>
              <w:wordWrap/>
              <w:ind w:firstLine="480"/>
              <w:rPr>
                <w:color w:val="0000FF"/>
              </w:rPr>
            </w:pPr>
            <w:r>
              <w:rPr>
                <w:rFonts w:hint="eastAsia"/>
                <w:bCs/>
                <w:color w:val="auto"/>
                <w:sz w:val="18"/>
                <w:szCs w:val="13"/>
              </w:rPr>
              <w:t>表中坐标以厂界中心（117.082285,32.636381）为坐标原点，正东向为X轴正方向，正北向为Y轴正方向。</w:t>
            </w:r>
          </w:p>
        </w:tc>
      </w:tr>
    </w:tbl>
    <w:p w14:paraId="42441FE3">
      <w:pPr>
        <w:widowControl/>
        <w:spacing w:before="120" w:beforeLines="50" w:after="0" w:line="360" w:lineRule="auto"/>
        <w:outlineLvl w:val="0"/>
        <w:rPr>
          <w:color w:val="0000FF"/>
          <w:sz w:val="28"/>
          <w:szCs w:val="28"/>
        </w:rPr>
        <w:sectPr>
          <w:headerReference r:id="rId16" w:type="default"/>
          <w:pgSz w:w="16838" w:h="11906" w:orient="landscape"/>
          <w:pgMar w:top="567" w:right="851" w:bottom="567" w:left="1361" w:header="567" w:footer="283" w:gutter="0"/>
          <w:pgNumType w:fmt="decimal"/>
          <w:cols w:space="720" w:num="1"/>
          <w:docGrid w:linePitch="326" w:charSpace="0"/>
        </w:sectPr>
      </w:pPr>
    </w:p>
    <w:tbl>
      <w:tblPr>
        <w:tblStyle w:val="57"/>
        <w:tblpPr w:leftFromText="180" w:rightFromText="180" w:vertAnchor="text" w:tblpXSpec="center" w:tblpY="1"/>
        <w:tblOverlap w:val="never"/>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80"/>
        <w:gridCol w:w="8726"/>
      </w:tblGrid>
      <w:tr w14:paraId="35881D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82" w:hRule="atLeast"/>
        </w:trPr>
        <w:tc>
          <w:tcPr>
            <w:tcW w:w="588" w:type="dxa"/>
            <w:tcMar>
              <w:left w:w="28" w:type="dxa"/>
              <w:right w:w="28" w:type="dxa"/>
            </w:tcMar>
            <w:vAlign w:val="center"/>
          </w:tcPr>
          <w:p w14:paraId="4A8823DA">
            <w:pPr>
              <w:adjustRightInd w:val="0"/>
              <w:snapToGrid w:val="0"/>
              <w:spacing w:after="0"/>
              <w:jc w:val="center"/>
              <w:rPr>
                <w:rFonts w:ascii="Calibri" w:hAnsi="Calibri"/>
                <w:color w:val="auto"/>
                <w:kern w:val="2"/>
                <w:sz w:val="21"/>
                <w:szCs w:val="21"/>
              </w:rPr>
            </w:pPr>
            <w:r>
              <w:rPr>
                <w:rFonts w:ascii="Calibri" w:hAnsi="Calibri"/>
                <w:color w:val="auto"/>
                <w:kern w:val="2"/>
                <w:sz w:val="21"/>
                <w:szCs w:val="21"/>
              </w:rPr>
              <w:t>运营</w:t>
            </w:r>
          </w:p>
          <w:p w14:paraId="63D43A9C">
            <w:pPr>
              <w:adjustRightInd w:val="0"/>
              <w:snapToGrid w:val="0"/>
              <w:spacing w:after="0"/>
              <w:jc w:val="center"/>
              <w:rPr>
                <w:rFonts w:ascii="Calibri" w:hAnsi="Calibri"/>
                <w:color w:val="auto"/>
                <w:kern w:val="2"/>
                <w:sz w:val="21"/>
                <w:szCs w:val="21"/>
              </w:rPr>
            </w:pPr>
            <w:r>
              <w:rPr>
                <w:rFonts w:ascii="Calibri" w:hAnsi="Calibri"/>
                <w:color w:val="auto"/>
                <w:kern w:val="2"/>
                <w:sz w:val="21"/>
                <w:szCs w:val="21"/>
              </w:rPr>
              <w:t>期环</w:t>
            </w:r>
          </w:p>
          <w:p w14:paraId="5FD95966">
            <w:pPr>
              <w:adjustRightInd w:val="0"/>
              <w:snapToGrid w:val="0"/>
              <w:spacing w:after="0"/>
              <w:jc w:val="center"/>
              <w:rPr>
                <w:rFonts w:ascii="Calibri" w:hAnsi="Calibri"/>
                <w:color w:val="auto"/>
                <w:kern w:val="2"/>
                <w:sz w:val="21"/>
                <w:szCs w:val="21"/>
              </w:rPr>
            </w:pPr>
            <w:r>
              <w:rPr>
                <w:rFonts w:ascii="Calibri" w:hAnsi="Calibri"/>
                <w:color w:val="auto"/>
                <w:kern w:val="2"/>
                <w:sz w:val="21"/>
                <w:szCs w:val="21"/>
              </w:rPr>
              <w:t>境影</w:t>
            </w:r>
          </w:p>
          <w:p w14:paraId="30477905">
            <w:pPr>
              <w:adjustRightInd w:val="0"/>
              <w:snapToGrid w:val="0"/>
              <w:spacing w:after="0"/>
              <w:jc w:val="center"/>
              <w:rPr>
                <w:rFonts w:ascii="Calibri" w:hAnsi="Calibri"/>
                <w:color w:val="auto"/>
                <w:kern w:val="2"/>
                <w:sz w:val="21"/>
                <w:szCs w:val="21"/>
              </w:rPr>
            </w:pPr>
            <w:r>
              <w:rPr>
                <w:rFonts w:ascii="Calibri" w:hAnsi="Calibri"/>
                <w:color w:val="auto"/>
                <w:kern w:val="2"/>
                <w:sz w:val="21"/>
                <w:szCs w:val="21"/>
              </w:rPr>
              <w:t>响和</w:t>
            </w:r>
          </w:p>
          <w:p w14:paraId="40FA7BEC">
            <w:pPr>
              <w:adjustRightInd w:val="0"/>
              <w:snapToGrid w:val="0"/>
              <w:spacing w:after="0"/>
              <w:jc w:val="center"/>
              <w:rPr>
                <w:rFonts w:ascii="Calibri" w:hAnsi="Calibri"/>
                <w:color w:val="auto"/>
                <w:kern w:val="2"/>
                <w:sz w:val="21"/>
                <w:szCs w:val="21"/>
              </w:rPr>
            </w:pPr>
            <w:r>
              <w:rPr>
                <w:rFonts w:ascii="Calibri" w:hAnsi="Calibri"/>
                <w:color w:val="auto"/>
                <w:kern w:val="2"/>
                <w:sz w:val="21"/>
                <w:szCs w:val="21"/>
              </w:rPr>
              <w:t>保护</w:t>
            </w:r>
          </w:p>
          <w:p w14:paraId="6470F508">
            <w:pPr>
              <w:adjustRightInd w:val="0"/>
              <w:snapToGrid w:val="0"/>
              <w:spacing w:after="0"/>
              <w:jc w:val="center"/>
              <w:rPr>
                <w:rFonts w:ascii="Calibri" w:hAnsi="Calibri"/>
                <w:b/>
                <w:bCs/>
                <w:color w:val="0000FF"/>
                <w:kern w:val="2"/>
                <w:sz w:val="21"/>
                <w:szCs w:val="21"/>
              </w:rPr>
            </w:pPr>
            <w:r>
              <w:rPr>
                <w:rFonts w:ascii="Calibri" w:hAnsi="Calibri"/>
                <w:color w:val="auto"/>
                <w:kern w:val="2"/>
                <w:sz w:val="21"/>
                <w:szCs w:val="21"/>
              </w:rPr>
              <w:t>措施</w:t>
            </w:r>
          </w:p>
        </w:tc>
        <w:tc>
          <w:tcPr>
            <w:tcW w:w="10884" w:type="dxa"/>
            <w:shd w:val="clear" w:color="auto" w:fill="auto"/>
            <w:vAlign w:val="center"/>
          </w:tcPr>
          <w:p w14:paraId="5C752E1D">
            <w:pPr>
              <w:pStyle w:val="771"/>
              <w:bidi w:val="0"/>
              <w:rPr>
                <w:b/>
                <w:bCs/>
                <w:color w:val="auto"/>
                <w:shd w:val="clear" w:color="auto" w:fill="FFFFFF"/>
              </w:rPr>
            </w:pPr>
            <w:r>
              <w:rPr>
                <w:rFonts w:eastAsiaTheme="minorEastAsia"/>
                <w:b/>
                <w:bCs/>
                <w:color w:val="auto"/>
                <w:shd w:val="clear" w:color="auto" w:fill="FFFFFF"/>
              </w:rPr>
              <w:t>4.4.2</w:t>
            </w:r>
            <w:r>
              <w:rPr>
                <w:rFonts w:hint="eastAsia"/>
                <w:b/>
                <w:bCs/>
                <w:color w:val="auto"/>
                <w:shd w:val="clear" w:color="auto" w:fill="FFFFFF"/>
              </w:rPr>
              <w:t>项目噪声预测情况</w:t>
            </w:r>
          </w:p>
          <w:p w14:paraId="1676F231">
            <w:pPr>
              <w:pStyle w:val="771"/>
              <w:bidi w:val="0"/>
            </w:pPr>
            <w:r>
              <w:rPr>
                <w:rFonts w:hint="eastAsia"/>
              </w:rPr>
              <w:t>1、</w:t>
            </w:r>
            <w:r>
              <w:t>预测模式</w:t>
            </w:r>
          </w:p>
          <w:p w14:paraId="6C360B9A">
            <w:pPr>
              <w:pStyle w:val="771"/>
              <w:bidi w:val="0"/>
              <w:rPr>
                <w:color w:val="auto"/>
              </w:rPr>
            </w:pPr>
            <w:r>
              <w:t>根据项目建设内容及《环境影响评价技术导则—声环境》（HJ2.4-2021）的要求，项目环评釆用环安噪声环境影响评价系统。该软件计算工业噪声时采用的模型为《环境影响评价技术导则 声环境》</w:t>
            </w:r>
            <w:r>
              <w:rPr>
                <w:rFonts w:hint="eastAsia"/>
                <w:lang w:eastAsia="zh-CN"/>
              </w:rPr>
              <w:t>（</w:t>
            </w:r>
            <w:r>
              <w:t>HJ2.4.2021</w:t>
            </w:r>
            <w:r>
              <w:rPr>
                <w:rFonts w:hint="eastAsia"/>
                <w:lang w:eastAsia="zh-CN"/>
              </w:rPr>
              <w:t>）</w:t>
            </w:r>
            <w:r>
              <w:t>附录B（规范性附录）中“B.1工业噪声预测计算模型”。</w:t>
            </w:r>
          </w:p>
          <w:p w14:paraId="70680FEC">
            <w:pPr>
              <w:pStyle w:val="771"/>
              <w:bidi w:val="0"/>
            </w:pPr>
            <w:r>
              <w:t>声环境影响预测时，一般采用声源的倍频带声功率级，A声功率级或靠近声源某一位置的倍频带声压级，A声级来预测计算距声源不同距离的声级。分别计算室外和室内两种工业声源。</w:t>
            </w:r>
          </w:p>
          <w:p w14:paraId="6337D009">
            <w:pPr>
              <w:pStyle w:val="771"/>
              <w:bidi w:val="0"/>
            </w:pPr>
            <w:r>
              <w:rPr>
                <w:rFonts w:hint="eastAsia"/>
              </w:rPr>
              <w:t>（1）</w:t>
            </w:r>
            <w:r>
              <w:t>室内声源等效室外声源声功率级计算方法</w:t>
            </w:r>
          </w:p>
          <w:p w14:paraId="6F34DA7C">
            <w:pPr>
              <w:pStyle w:val="771"/>
              <w:bidi w:val="0"/>
              <w:rPr>
                <w:color w:val="auto"/>
              </w:rPr>
            </w:pPr>
            <w:r>
              <w:t>如图1所示，声源位于室内，室内声源可采用等效室外声源声功率级法进行计算。设靠近开口处（或窗户）室内、室外某倍频带的声压级分别为Lp1和Lp2。若声源所在室内声场为近似扩散声场，式4-1计算某一室内声源靠近围护结构处产生的倍频带声压级：</w:t>
            </w:r>
          </w:p>
          <w:p w14:paraId="59AEB27E">
            <w:pPr>
              <w:autoSpaceDE w:val="0"/>
              <w:autoSpaceDN w:val="0"/>
              <w:adjustRightInd w:val="0"/>
              <w:spacing w:after="0" w:line="360" w:lineRule="auto"/>
              <w:ind w:firstLine="2"/>
              <w:jc w:val="center"/>
              <w:rPr>
                <w:rFonts w:ascii="Calibri" w:hAnsi="Calibri"/>
                <w:color w:val="auto"/>
                <w:kern w:val="2"/>
                <w:sz w:val="21"/>
                <w:szCs w:val="21"/>
              </w:rPr>
            </w:pPr>
            <w:r>
              <w:rPr>
                <w:rFonts w:ascii="Calibri" w:hAnsi="Calibri"/>
                <w:color w:val="auto"/>
                <w:kern w:val="2"/>
                <w:sz w:val="21"/>
                <w:szCs w:val="21"/>
              </w:rPr>
              <w:drawing>
                <wp:inline distT="0" distB="0" distL="0" distR="0">
                  <wp:extent cx="2671445" cy="1209040"/>
                  <wp:effectExtent l="0" t="0" r="0" b="0"/>
                  <wp:docPr id="127677628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776284" name="图片 12"/>
                          <pic:cNvPicPr>
                            <a:picLocks noChangeAspect="1" noChangeArrowheads="1"/>
                          </pic:cNvPicPr>
                        </pic:nvPicPr>
                        <pic:blipFill>
                          <a:blip r:embed="rId44">
                            <a:extLst>
                              <a:ext uri="{28A0092B-C50C-407E-A947-70E740481C1C}">
                                <a14:useLocalDpi xmlns:a14="http://schemas.microsoft.com/office/drawing/2010/main" val="0"/>
                              </a:ext>
                            </a:extLst>
                          </a:blip>
                          <a:srcRect t="7907" b="6047"/>
                          <a:stretch>
                            <a:fillRect/>
                          </a:stretch>
                        </pic:blipFill>
                        <pic:spPr>
                          <a:xfrm>
                            <a:off x="0" y="0"/>
                            <a:ext cx="2746900" cy="1243635"/>
                          </a:xfrm>
                          <a:prstGeom prst="rect">
                            <a:avLst/>
                          </a:prstGeom>
                          <a:noFill/>
                          <a:ln>
                            <a:noFill/>
                          </a:ln>
                        </pic:spPr>
                      </pic:pic>
                    </a:graphicData>
                  </a:graphic>
                </wp:inline>
              </w:drawing>
            </w:r>
          </w:p>
          <w:p w14:paraId="1E0277E6">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ascii="Calibri" w:hAnsi="Calibri"/>
                <w:bCs/>
                <w:color w:val="auto"/>
                <w:kern w:val="2"/>
                <w:sz w:val="21"/>
                <w:szCs w:val="21"/>
              </w:rPr>
            </w:pPr>
            <w:r>
              <w:t xml:space="preserve">图 </w:t>
            </w:r>
            <w:r>
              <w:rPr>
                <w:rFonts w:hint="eastAsia"/>
                <w:lang w:val="en-US" w:eastAsia="zh-CN"/>
              </w:rPr>
              <w:t>4</w:t>
            </w:r>
            <w:r>
              <w:rPr>
                <w:rFonts w:hint="eastAsia"/>
                <w:lang w:eastAsia="zh-CN"/>
              </w:rPr>
              <w:t>-</w:t>
            </w:r>
            <w:r>
              <w:fldChar w:fldCharType="begin"/>
            </w:r>
            <w:r>
              <w:instrText xml:space="preserve"> SEQ 图 \* ARABIC \s 1 </w:instrText>
            </w:r>
            <w:r>
              <w:fldChar w:fldCharType="separate"/>
            </w:r>
            <w:r>
              <w:t>1</w:t>
            </w:r>
            <w:r>
              <w:fldChar w:fldCharType="end"/>
            </w:r>
            <w:r>
              <w:rPr>
                <w:rFonts w:hint="eastAsia"/>
                <w:lang w:val="en-US" w:eastAsia="zh-CN"/>
              </w:rPr>
              <w:t xml:space="preserve"> </w:t>
            </w:r>
            <w:r>
              <w:rPr>
                <w:rStyle w:val="729"/>
                <w:b/>
                <w:color w:val="auto"/>
              </w:rPr>
              <w:t>室内声源等效为室外声源图</w:t>
            </w:r>
            <w:r>
              <w:rPr>
                <w:rFonts w:ascii="Calibri" w:hAnsi="Calibri"/>
                <w:b/>
                <w:bCs/>
                <w:color w:val="auto"/>
                <w:kern w:val="2"/>
                <w:sz w:val="21"/>
                <w:szCs w:val="21"/>
              </w:rPr>
              <w:t>例</w:t>
            </w:r>
            <w:r>
              <w:rPr>
                <w:rStyle w:val="729"/>
                <w:b w:val="0"/>
                <w:color w:val="auto"/>
              </w:rPr>
              <w:pict>
                <v:shape id="Object 288" o:spid="_x0000_s4521" o:spt="75" type="#_x0000_t75" style="position:absolute;left:0pt;margin-left:137.65pt;margin-top:16.1pt;height:34pt;width:135.15pt;z-index:251661312;mso-width-relative:page;mso-height-relative:page;" filled="f" o:preferrelative="t" stroked="f" coordsize="21600,21600">
                  <v:path/>
                  <v:fill on="f" focussize="0,0"/>
                  <v:stroke on="f" joinstyle="miter"/>
                  <v:imagedata r:id="rId45" o:title=""/>
                  <o:lock v:ext="edit" aspectratio="t"/>
                </v:shape>
              </w:pict>
            </w:r>
          </w:p>
          <w:p w14:paraId="5FBE6A26">
            <w:pPr>
              <w:adjustRightInd w:val="0"/>
              <w:snapToGrid w:val="0"/>
              <w:spacing w:after="0" w:line="480" w:lineRule="exact"/>
              <w:ind w:firstLine="3150" w:firstLineChars="1500"/>
              <w:outlineLvl w:val="2"/>
              <w:rPr>
                <w:rFonts w:ascii="Calibri" w:hAnsi="Calibri"/>
                <w:bCs/>
                <w:color w:val="auto"/>
                <w:kern w:val="2"/>
                <w:sz w:val="21"/>
                <w:szCs w:val="21"/>
              </w:rPr>
            </w:pPr>
            <w:r>
              <w:rPr>
                <w:rFonts w:ascii="Calibri" w:hAnsi="Calibri"/>
                <w:bCs/>
                <w:color w:val="auto"/>
                <w:kern w:val="2"/>
                <w:sz w:val="21"/>
                <w:szCs w:val="21"/>
              </w:rPr>
              <w:t xml:space="preserve">                 </w:t>
            </w:r>
            <w:r>
              <w:rPr>
                <w:rFonts w:ascii="Calibri" w:hAnsi="Calibri"/>
                <w:bCs/>
                <w:iCs/>
                <w:color w:val="auto"/>
                <w:kern w:val="2"/>
                <w:sz w:val="21"/>
                <w:szCs w:val="21"/>
              </w:rPr>
              <w:t xml:space="preserve">    </w:t>
            </w:r>
            <w:r>
              <w:rPr>
                <w:rFonts w:ascii="Calibri" w:hAnsi="Calibri"/>
                <w:bCs/>
                <w:color w:val="auto"/>
                <w:kern w:val="2"/>
                <w:sz w:val="21"/>
                <w:szCs w:val="21"/>
              </w:rPr>
              <w:t>（式4-1）</w:t>
            </w:r>
          </w:p>
          <w:p w14:paraId="26FB2B78">
            <w:pPr>
              <w:pStyle w:val="180"/>
              <w:wordWrap/>
              <w:ind w:firstLine="480"/>
              <w:rPr>
                <w:bCs/>
                <w:color w:val="auto"/>
                <w:shd w:val="clear" w:color="auto" w:fill="FFFFFF"/>
              </w:rPr>
            </w:pPr>
            <w:r>
              <w:rPr>
                <w:bCs/>
                <w:color w:val="auto"/>
                <w:shd w:val="clear" w:color="auto" w:fill="FFFFFF"/>
              </w:rPr>
              <w:t>式中：</w:t>
            </w:r>
          </w:p>
          <w:p w14:paraId="0CBF5125">
            <w:pPr>
              <w:pStyle w:val="180"/>
              <w:wordWrap/>
              <w:ind w:firstLine="480"/>
              <w:rPr>
                <w:bCs/>
                <w:color w:val="auto"/>
                <w:shd w:val="clear" w:color="auto" w:fill="FFFFFF"/>
              </w:rPr>
            </w:pPr>
            <w:r>
              <w:rPr>
                <w:bCs/>
                <w:i/>
                <w:iCs/>
                <w:color w:val="auto"/>
                <w:shd w:val="clear" w:color="auto" w:fill="FFFFFF"/>
              </w:rPr>
              <w:t>L</w:t>
            </w:r>
            <w:r>
              <w:rPr>
                <w:bCs/>
                <w:i/>
                <w:iCs/>
                <w:color w:val="auto"/>
                <w:shd w:val="clear" w:color="auto" w:fill="FFFFFF"/>
                <w:vertAlign w:val="subscript"/>
              </w:rPr>
              <w:t>p1</w:t>
            </w:r>
            <w:r>
              <w:rPr>
                <w:bCs/>
                <w:color w:val="auto"/>
                <w:shd w:val="clear" w:color="auto" w:fill="FFFFFF"/>
              </w:rPr>
              <w:t xml:space="preserve">—靠近开口处（或窗户）室内某倍频带的声压级或A声级，dB； </w:t>
            </w:r>
          </w:p>
          <w:p w14:paraId="2298B4E9">
            <w:pPr>
              <w:pStyle w:val="180"/>
              <w:wordWrap/>
              <w:ind w:firstLine="480"/>
              <w:rPr>
                <w:bCs/>
                <w:color w:val="auto"/>
                <w:shd w:val="clear" w:color="auto" w:fill="FFFFFF"/>
              </w:rPr>
            </w:pPr>
            <w:r>
              <w:rPr>
                <w:bCs/>
                <w:i/>
                <w:iCs/>
                <w:color w:val="auto"/>
                <w:shd w:val="clear" w:color="auto" w:fill="FFFFFF"/>
              </w:rPr>
              <w:t>L</w:t>
            </w:r>
            <w:r>
              <w:rPr>
                <w:bCs/>
                <w:i/>
                <w:iCs/>
                <w:color w:val="auto"/>
                <w:shd w:val="clear" w:color="auto" w:fill="FFFFFF"/>
                <w:vertAlign w:val="subscript"/>
              </w:rPr>
              <w:t>w</w:t>
            </w:r>
            <w:r>
              <w:rPr>
                <w:bCs/>
                <w:color w:val="auto"/>
                <w:shd w:val="clear" w:color="auto" w:fill="FFFFFF"/>
              </w:rPr>
              <w:t>—点声源声功率级（A计权或倍频带），dB；</w:t>
            </w:r>
          </w:p>
          <w:p w14:paraId="57611886">
            <w:pPr>
              <w:pStyle w:val="180"/>
              <w:wordWrap/>
              <w:ind w:firstLine="480"/>
              <w:rPr>
                <w:bCs/>
                <w:color w:val="auto"/>
                <w:shd w:val="clear" w:color="auto" w:fill="FFFFFF"/>
              </w:rPr>
            </w:pPr>
            <w:r>
              <w:rPr>
                <w:bCs/>
                <w:i/>
                <w:iCs/>
                <w:color w:val="auto"/>
                <w:shd w:val="clear" w:color="auto" w:fill="FFFFFF"/>
              </w:rPr>
              <w:t>Q</w:t>
            </w:r>
            <w:r>
              <w:rPr>
                <w:bCs/>
                <w:color w:val="auto"/>
                <w:shd w:val="clear" w:color="auto" w:fill="FFFFFF"/>
              </w:rPr>
              <w:t xml:space="preserve"> —指向性因数：通常对无指向性声源，当声源放在房间中心时，</w:t>
            </w:r>
            <w:r>
              <w:rPr>
                <w:bCs/>
                <w:i/>
                <w:iCs/>
                <w:color w:val="auto"/>
                <w:shd w:val="clear" w:color="auto" w:fill="FFFFFF"/>
              </w:rPr>
              <w:t>Q</w:t>
            </w:r>
            <w:r>
              <w:rPr>
                <w:bCs/>
                <w:color w:val="auto"/>
                <w:shd w:val="clear" w:color="auto" w:fill="FFFFFF"/>
              </w:rPr>
              <w:t>=1；当放在一面墙的中心时，</w:t>
            </w:r>
            <w:r>
              <w:rPr>
                <w:bCs/>
                <w:i/>
                <w:iCs/>
                <w:color w:val="auto"/>
                <w:shd w:val="clear" w:color="auto" w:fill="FFFFFF"/>
              </w:rPr>
              <w:t>Q</w:t>
            </w:r>
            <w:r>
              <w:rPr>
                <w:bCs/>
                <w:color w:val="auto"/>
                <w:shd w:val="clear" w:color="auto" w:fill="FFFFFF"/>
              </w:rPr>
              <w:t>=2；当放在两面墙夹角处时，</w:t>
            </w:r>
            <w:r>
              <w:rPr>
                <w:bCs/>
                <w:i/>
                <w:iCs/>
                <w:color w:val="auto"/>
                <w:shd w:val="clear" w:color="auto" w:fill="FFFFFF"/>
              </w:rPr>
              <w:t>Q</w:t>
            </w:r>
            <w:r>
              <w:rPr>
                <w:bCs/>
                <w:color w:val="auto"/>
                <w:shd w:val="clear" w:color="auto" w:fill="FFFFFF"/>
              </w:rPr>
              <w:t>=4；当放在三面墙夹角处时，</w:t>
            </w:r>
            <w:r>
              <w:rPr>
                <w:bCs/>
                <w:i/>
                <w:iCs/>
                <w:color w:val="auto"/>
                <w:shd w:val="clear" w:color="auto" w:fill="FFFFFF"/>
              </w:rPr>
              <w:t>Q</w:t>
            </w:r>
            <w:r>
              <w:rPr>
                <w:bCs/>
                <w:color w:val="auto"/>
                <w:shd w:val="clear" w:color="auto" w:fill="FFFFFF"/>
              </w:rPr>
              <w:t>=8。</w:t>
            </w:r>
          </w:p>
          <w:p w14:paraId="42F6AA44">
            <w:pPr>
              <w:pStyle w:val="180"/>
              <w:wordWrap/>
              <w:ind w:firstLine="480"/>
              <w:rPr>
                <w:bCs/>
                <w:color w:val="auto"/>
                <w:shd w:val="clear" w:color="auto" w:fill="FFFFFF"/>
              </w:rPr>
            </w:pPr>
            <w:r>
              <w:rPr>
                <w:bCs/>
                <w:i/>
                <w:iCs/>
                <w:color w:val="auto"/>
                <w:shd w:val="clear" w:color="auto" w:fill="FFFFFF"/>
              </w:rPr>
              <w:t>R</w:t>
            </w:r>
            <w:r>
              <w:rPr>
                <w:bCs/>
                <w:color w:val="auto"/>
                <w:shd w:val="clear" w:color="auto" w:fill="FFFFFF"/>
              </w:rPr>
              <w:t>—房间常数：</w:t>
            </w:r>
            <w:r>
              <w:rPr>
                <w:bCs/>
                <w:i/>
                <w:iCs/>
                <w:color w:val="auto"/>
                <w:shd w:val="clear" w:color="auto" w:fill="FFFFFF"/>
              </w:rPr>
              <w:t>R=Sα/</w:t>
            </w:r>
            <w:r>
              <w:rPr>
                <w:rFonts w:hint="eastAsia"/>
                <w:bCs/>
                <w:i/>
                <w:iCs/>
                <w:color w:val="auto"/>
                <w:shd w:val="clear" w:color="auto" w:fill="FFFFFF"/>
                <w:lang w:eastAsia="zh-CN"/>
              </w:rPr>
              <w:t>（</w:t>
            </w:r>
            <w:r>
              <w:rPr>
                <w:bCs/>
                <w:i/>
                <w:iCs/>
                <w:color w:val="auto"/>
                <w:shd w:val="clear" w:color="auto" w:fill="FFFFFF"/>
              </w:rPr>
              <w:t>1−α</w:t>
            </w:r>
            <w:r>
              <w:rPr>
                <w:rFonts w:hint="eastAsia"/>
                <w:bCs/>
                <w:i/>
                <w:iCs/>
                <w:color w:val="auto"/>
                <w:shd w:val="clear" w:color="auto" w:fill="FFFFFF"/>
                <w:lang w:eastAsia="zh-CN"/>
              </w:rPr>
              <w:t>）</w:t>
            </w:r>
            <w:r>
              <w:rPr>
                <w:bCs/>
                <w:color w:val="auto"/>
                <w:shd w:val="clear" w:color="auto" w:fill="FFFFFF"/>
              </w:rPr>
              <w:t>，</w:t>
            </w:r>
            <w:r>
              <w:rPr>
                <w:bCs/>
                <w:i/>
                <w:iCs/>
                <w:color w:val="auto"/>
                <w:shd w:val="clear" w:color="auto" w:fill="FFFFFF"/>
              </w:rPr>
              <w:t>S</w:t>
            </w:r>
            <w:r>
              <w:rPr>
                <w:bCs/>
                <w:color w:val="auto"/>
                <w:shd w:val="clear" w:color="auto" w:fill="FFFFFF"/>
              </w:rPr>
              <w:t>为房间内表面面积，m</w:t>
            </w:r>
            <w:r>
              <w:rPr>
                <w:bCs/>
                <w:color w:val="auto"/>
                <w:shd w:val="clear" w:color="auto" w:fill="FFFFFF"/>
                <w:vertAlign w:val="superscript"/>
              </w:rPr>
              <w:t>2</w:t>
            </w:r>
            <w:r>
              <w:rPr>
                <w:bCs/>
                <w:color w:val="auto"/>
                <w:shd w:val="clear" w:color="auto" w:fill="FFFFFF"/>
              </w:rPr>
              <w:t>；</w:t>
            </w:r>
            <w:r>
              <w:rPr>
                <w:bCs/>
                <w:i/>
                <w:iCs/>
                <w:color w:val="auto"/>
                <w:shd w:val="clear" w:color="auto" w:fill="FFFFFF"/>
              </w:rPr>
              <w:t>α</w:t>
            </w:r>
            <w:r>
              <w:rPr>
                <w:bCs/>
                <w:color w:val="auto"/>
                <w:shd w:val="clear" w:color="auto" w:fill="FFFFFF"/>
              </w:rPr>
              <w:t>为平均吸声系数。</w:t>
            </w:r>
          </w:p>
          <w:p w14:paraId="0BEEC787">
            <w:pPr>
              <w:pStyle w:val="180"/>
              <w:wordWrap/>
              <w:ind w:firstLine="480"/>
              <w:rPr>
                <w:bCs/>
                <w:color w:val="auto"/>
                <w:shd w:val="clear" w:color="auto" w:fill="FFFFFF"/>
              </w:rPr>
            </w:pPr>
            <w:r>
              <w:rPr>
                <w:bCs/>
                <w:i/>
                <w:iCs/>
                <w:color w:val="auto"/>
                <w:shd w:val="clear" w:color="auto" w:fill="FFFFFF"/>
              </w:rPr>
              <w:t>r</w:t>
            </w:r>
            <w:r>
              <w:rPr>
                <w:bCs/>
                <w:color w:val="auto"/>
                <w:shd w:val="clear" w:color="auto" w:fill="FFFFFF"/>
              </w:rPr>
              <w:t>—声源到靠近围护结构某点处的距离，m。</w:t>
            </w:r>
          </w:p>
          <w:p w14:paraId="62692AD5">
            <w:pPr>
              <w:pStyle w:val="180"/>
              <w:wordWrap/>
              <w:ind w:firstLine="480"/>
              <w:rPr>
                <w:bCs/>
                <w:color w:val="auto"/>
                <w:shd w:val="clear" w:color="auto" w:fill="FFFFFF"/>
              </w:rPr>
            </w:pPr>
            <w:r>
              <w:rPr>
                <w:bCs/>
                <w:color w:val="auto"/>
                <w:position w:val="-32"/>
                <w:shd w:val="clear" w:color="auto" w:fill="FFFFFF"/>
              </w:rPr>
              <w:pict>
                <v:shape id="Object 289" o:spid="_x0000_s4522" o:spt="75" type="#_x0000_t75" style="position:absolute;left:0pt;margin-left:148.1pt;margin-top:21.8pt;height:38pt;width:117.1pt;z-index:251662336;mso-width-relative:page;mso-height-relative:page;" filled="f" o:preferrelative="t" stroked="f" coordsize="21600,21600">
                  <v:path/>
                  <v:fill on="f" focussize="0,0"/>
                  <v:stroke on="f" joinstyle="miter"/>
                  <v:imagedata r:id="rId46" o:title=""/>
                  <o:lock v:ext="edit" aspectratio="t"/>
                </v:shape>
              </w:pict>
            </w:r>
            <w:r>
              <w:rPr>
                <w:bCs/>
                <w:color w:val="auto"/>
                <w:shd w:val="clear" w:color="auto" w:fill="FFFFFF"/>
              </w:rPr>
              <w:t>然后按式4-2计算出所有室内声源在围护结构处产生的i倍频带叠加声压级：</w:t>
            </w:r>
          </w:p>
          <w:p w14:paraId="779D0E55">
            <w:pPr>
              <w:pStyle w:val="180"/>
              <w:wordWrap/>
              <w:ind w:firstLine="480"/>
              <w:rPr>
                <w:bCs/>
                <w:color w:val="auto"/>
              </w:rPr>
            </w:pPr>
            <w:r>
              <w:rPr>
                <w:bCs/>
                <w:color w:val="auto"/>
              </w:rPr>
              <w:t xml:space="preserve">                                                       （式4-2）</w:t>
            </w:r>
          </w:p>
          <w:p w14:paraId="5F3BD4BA">
            <w:pPr>
              <w:pStyle w:val="180"/>
              <w:wordWrap/>
              <w:ind w:firstLine="480"/>
              <w:rPr>
                <w:bCs/>
                <w:color w:val="auto"/>
                <w:szCs w:val="24"/>
                <w:shd w:val="clear" w:color="auto" w:fill="FFFFFF"/>
              </w:rPr>
            </w:pPr>
            <w:r>
              <w:rPr>
                <w:bCs/>
                <w:color w:val="auto"/>
                <w:szCs w:val="24"/>
                <w:shd w:val="clear" w:color="auto" w:fill="FFFFFF"/>
              </w:rPr>
              <w:t>式中：</w:t>
            </w:r>
          </w:p>
          <w:p w14:paraId="155CDB89">
            <w:pPr>
              <w:pStyle w:val="180"/>
              <w:wordWrap/>
              <w:ind w:firstLine="480"/>
              <w:rPr>
                <w:bCs/>
                <w:color w:val="auto"/>
                <w:szCs w:val="24"/>
                <w:shd w:val="clear" w:color="auto" w:fill="FFFFFF"/>
              </w:rPr>
            </w:pPr>
            <w:r>
              <w:rPr>
                <w:bCs/>
                <w:i/>
                <w:iCs/>
                <w:color w:val="auto"/>
                <w:szCs w:val="24"/>
                <w:shd w:val="clear" w:color="auto" w:fill="FFFFFF"/>
              </w:rPr>
              <w:t>L</w:t>
            </w:r>
            <w:r>
              <w:rPr>
                <w:bCs/>
                <w:i/>
                <w:iCs/>
                <w:color w:val="auto"/>
                <w:szCs w:val="24"/>
                <w:shd w:val="clear" w:color="auto" w:fill="FFFFFF"/>
                <w:vertAlign w:val="subscript"/>
              </w:rPr>
              <w:t>P1i</w:t>
            </w:r>
            <w:r>
              <w:rPr>
                <w:rFonts w:hint="eastAsia"/>
                <w:bCs/>
                <w:i/>
                <w:iCs/>
                <w:color w:val="auto"/>
                <w:szCs w:val="24"/>
                <w:shd w:val="clear" w:color="auto" w:fill="FFFFFF"/>
                <w:lang w:eastAsia="zh-CN"/>
              </w:rPr>
              <w:t>（</w:t>
            </w:r>
            <w:r>
              <w:rPr>
                <w:bCs/>
                <w:i/>
                <w:iCs/>
                <w:color w:val="auto"/>
                <w:szCs w:val="24"/>
                <w:shd w:val="clear" w:color="auto" w:fill="FFFFFF"/>
              </w:rPr>
              <w:t>T</w:t>
            </w:r>
            <w:r>
              <w:rPr>
                <w:rFonts w:hint="eastAsia"/>
                <w:bCs/>
                <w:i/>
                <w:iCs/>
                <w:color w:val="auto"/>
                <w:szCs w:val="24"/>
                <w:shd w:val="clear" w:color="auto" w:fill="FFFFFF"/>
                <w:lang w:eastAsia="zh-CN"/>
              </w:rPr>
              <w:t>）</w:t>
            </w:r>
            <w:r>
              <w:rPr>
                <w:bCs/>
                <w:color w:val="auto"/>
                <w:szCs w:val="24"/>
                <w:shd w:val="clear" w:color="auto" w:fill="FFFFFF"/>
              </w:rPr>
              <w:t>—靠近围护结构处室内</w:t>
            </w:r>
            <w:r>
              <w:rPr>
                <w:bCs/>
                <w:i/>
                <w:iCs/>
                <w:color w:val="auto"/>
                <w:szCs w:val="24"/>
                <w:shd w:val="clear" w:color="auto" w:fill="FFFFFF"/>
              </w:rPr>
              <w:t>N</w:t>
            </w:r>
            <w:r>
              <w:rPr>
                <w:bCs/>
                <w:color w:val="auto"/>
                <w:szCs w:val="24"/>
                <w:shd w:val="clear" w:color="auto" w:fill="FFFFFF"/>
              </w:rPr>
              <w:t>个声源</w:t>
            </w:r>
            <w:r>
              <w:rPr>
                <w:bCs/>
                <w:i/>
                <w:iCs/>
                <w:color w:val="auto"/>
                <w:szCs w:val="24"/>
                <w:shd w:val="clear" w:color="auto" w:fill="FFFFFF"/>
              </w:rPr>
              <w:t>i</w:t>
            </w:r>
            <w:r>
              <w:rPr>
                <w:bCs/>
                <w:color w:val="auto"/>
                <w:szCs w:val="24"/>
                <w:shd w:val="clear" w:color="auto" w:fill="FFFFFF"/>
              </w:rPr>
              <w:t>倍频带的叠加声压级，dB；</w:t>
            </w:r>
          </w:p>
          <w:p w14:paraId="265EC2D4">
            <w:pPr>
              <w:pStyle w:val="180"/>
              <w:wordWrap/>
              <w:ind w:firstLine="480"/>
              <w:rPr>
                <w:bCs/>
                <w:color w:val="auto"/>
                <w:szCs w:val="24"/>
                <w:shd w:val="clear" w:color="auto" w:fill="FFFFFF"/>
              </w:rPr>
            </w:pPr>
            <w:r>
              <w:rPr>
                <w:bCs/>
                <w:i/>
                <w:iCs/>
                <w:color w:val="auto"/>
                <w:szCs w:val="24"/>
                <w:shd w:val="clear" w:color="auto" w:fill="FFFFFF"/>
              </w:rPr>
              <w:t>L</w:t>
            </w:r>
            <w:r>
              <w:rPr>
                <w:bCs/>
                <w:i/>
                <w:iCs/>
                <w:color w:val="auto"/>
                <w:szCs w:val="24"/>
                <w:shd w:val="clear" w:color="auto" w:fill="FFFFFF"/>
                <w:vertAlign w:val="subscript"/>
              </w:rPr>
              <w:t>P1ij</w:t>
            </w:r>
            <w:r>
              <w:rPr>
                <w:bCs/>
                <w:color w:val="auto"/>
                <w:szCs w:val="24"/>
                <w:shd w:val="clear" w:color="auto" w:fill="FFFFFF"/>
              </w:rPr>
              <w:t>—室内</w:t>
            </w:r>
            <w:r>
              <w:rPr>
                <w:bCs/>
                <w:i/>
                <w:iCs/>
                <w:color w:val="auto"/>
                <w:szCs w:val="24"/>
                <w:shd w:val="clear" w:color="auto" w:fill="FFFFFF"/>
              </w:rPr>
              <w:t>j</w:t>
            </w:r>
            <w:r>
              <w:rPr>
                <w:bCs/>
                <w:color w:val="auto"/>
                <w:szCs w:val="24"/>
                <w:shd w:val="clear" w:color="auto" w:fill="FFFFFF"/>
              </w:rPr>
              <w:t>声源</w:t>
            </w:r>
            <w:r>
              <w:rPr>
                <w:bCs/>
                <w:i/>
                <w:iCs/>
                <w:color w:val="auto"/>
                <w:szCs w:val="24"/>
                <w:shd w:val="clear" w:color="auto" w:fill="FFFFFF"/>
              </w:rPr>
              <w:t>i</w:t>
            </w:r>
            <w:r>
              <w:rPr>
                <w:bCs/>
                <w:color w:val="auto"/>
                <w:szCs w:val="24"/>
                <w:shd w:val="clear" w:color="auto" w:fill="FFFFFF"/>
              </w:rPr>
              <w:t>倍频带的声压级，dB；</w:t>
            </w:r>
          </w:p>
          <w:p w14:paraId="1C65115D">
            <w:pPr>
              <w:pStyle w:val="180"/>
              <w:wordWrap/>
              <w:ind w:firstLine="480"/>
              <w:rPr>
                <w:bCs/>
                <w:color w:val="auto"/>
                <w:szCs w:val="24"/>
                <w:shd w:val="clear" w:color="auto" w:fill="FFFFFF"/>
              </w:rPr>
            </w:pPr>
            <w:r>
              <w:rPr>
                <w:bCs/>
                <w:i/>
                <w:iCs/>
                <w:color w:val="auto"/>
                <w:szCs w:val="24"/>
                <w:shd w:val="clear" w:color="auto" w:fill="FFFFFF"/>
              </w:rPr>
              <w:t>N</w:t>
            </w:r>
            <w:r>
              <w:rPr>
                <w:bCs/>
                <w:color w:val="auto"/>
                <w:szCs w:val="24"/>
                <w:shd w:val="clear" w:color="auto" w:fill="FFFFFF"/>
              </w:rPr>
              <w:t>—室内声源总数。</w:t>
            </w:r>
          </w:p>
          <w:p w14:paraId="6C57E829">
            <w:pPr>
              <w:pStyle w:val="180"/>
              <w:wordWrap/>
              <w:ind w:firstLine="480"/>
              <w:rPr>
                <w:bCs/>
                <w:color w:val="auto"/>
                <w:szCs w:val="24"/>
                <w:shd w:val="clear" w:color="auto" w:fill="FFFFFF"/>
              </w:rPr>
            </w:pPr>
            <w:r>
              <w:rPr>
                <w:bCs/>
                <w:color w:val="auto"/>
                <w:szCs w:val="24"/>
                <w:shd w:val="clear" w:color="auto" w:fill="FFFFFF"/>
              </w:rPr>
              <w:t>在室内近似为扩散声场时，按式4-3计算出靠近室外围护结构处的声压级</w:t>
            </w:r>
            <w:r>
              <w:rPr>
                <w:rFonts w:hint="eastAsia"/>
                <w:bCs/>
                <w:color w:val="auto"/>
                <w:szCs w:val="24"/>
                <w:shd w:val="clear" w:color="auto" w:fill="FFFFFF"/>
              </w:rPr>
              <w:t>；</w:t>
            </w:r>
          </w:p>
          <w:p w14:paraId="037262C3">
            <w:pPr>
              <w:pStyle w:val="180"/>
              <w:wordWrap/>
              <w:ind w:firstLine="480"/>
              <w:rPr>
                <w:bCs/>
                <w:color w:val="auto"/>
                <w:szCs w:val="24"/>
                <w:shd w:val="clear" w:color="auto" w:fill="FFFFFF"/>
              </w:rPr>
            </w:pPr>
            <w:r>
              <w:rPr>
                <w:bCs/>
                <w:i/>
                <w:iCs/>
                <w:color w:val="auto"/>
                <w:szCs w:val="24"/>
                <w:shd w:val="clear" w:color="auto" w:fill="FFFFFF"/>
              </w:rPr>
              <w:t>L</w:t>
            </w:r>
            <w:r>
              <w:rPr>
                <w:bCs/>
                <w:i/>
                <w:iCs/>
                <w:color w:val="auto"/>
                <w:szCs w:val="24"/>
                <w:shd w:val="clear" w:color="auto" w:fill="FFFFFF"/>
                <w:vertAlign w:val="subscript"/>
              </w:rPr>
              <w:t>P2i</w:t>
            </w:r>
            <w:r>
              <w:rPr>
                <w:rFonts w:hint="eastAsia"/>
                <w:bCs/>
                <w:i/>
                <w:iCs/>
                <w:color w:val="auto"/>
                <w:szCs w:val="24"/>
                <w:shd w:val="clear" w:color="auto" w:fill="FFFFFF"/>
                <w:lang w:eastAsia="zh-CN"/>
              </w:rPr>
              <w:t>（</w:t>
            </w:r>
            <w:r>
              <w:rPr>
                <w:bCs/>
                <w:i/>
                <w:iCs/>
                <w:color w:val="auto"/>
                <w:szCs w:val="24"/>
                <w:shd w:val="clear" w:color="auto" w:fill="FFFFFF"/>
              </w:rPr>
              <w:t>T</w:t>
            </w:r>
            <w:r>
              <w:rPr>
                <w:rFonts w:hint="eastAsia"/>
                <w:bCs/>
                <w:i/>
                <w:iCs/>
                <w:color w:val="auto"/>
                <w:szCs w:val="24"/>
                <w:shd w:val="clear" w:color="auto" w:fill="FFFFFF"/>
                <w:lang w:eastAsia="zh-CN"/>
              </w:rPr>
              <w:t>）</w:t>
            </w:r>
            <w:r>
              <w:rPr>
                <w:bCs/>
                <w:i/>
                <w:iCs/>
                <w:color w:val="auto"/>
                <w:szCs w:val="24"/>
                <w:shd w:val="clear" w:color="auto" w:fill="FFFFFF"/>
              </w:rPr>
              <w:t>=L</w:t>
            </w:r>
            <w:r>
              <w:rPr>
                <w:bCs/>
                <w:i/>
                <w:iCs/>
                <w:color w:val="auto"/>
                <w:szCs w:val="24"/>
                <w:shd w:val="clear" w:color="auto" w:fill="FFFFFF"/>
                <w:vertAlign w:val="subscript"/>
              </w:rPr>
              <w:t>P1i</w:t>
            </w:r>
            <w:r>
              <w:rPr>
                <w:rFonts w:hint="eastAsia"/>
                <w:bCs/>
                <w:i/>
                <w:iCs/>
                <w:color w:val="auto"/>
                <w:szCs w:val="24"/>
                <w:shd w:val="clear" w:color="auto" w:fill="FFFFFF"/>
                <w:lang w:eastAsia="zh-CN"/>
              </w:rPr>
              <w:t>（</w:t>
            </w:r>
            <w:r>
              <w:rPr>
                <w:bCs/>
                <w:i/>
                <w:iCs/>
                <w:color w:val="auto"/>
                <w:szCs w:val="24"/>
                <w:shd w:val="clear" w:color="auto" w:fill="FFFFFF"/>
              </w:rPr>
              <w:t>T</w:t>
            </w:r>
            <w:r>
              <w:rPr>
                <w:rFonts w:hint="eastAsia"/>
                <w:bCs/>
                <w:i/>
                <w:iCs/>
                <w:color w:val="auto"/>
                <w:szCs w:val="24"/>
                <w:shd w:val="clear" w:color="auto" w:fill="FFFFFF"/>
                <w:lang w:eastAsia="zh-CN"/>
              </w:rPr>
              <w:t>）</w:t>
            </w:r>
            <w:r>
              <w:rPr>
                <w:bCs/>
                <w:i/>
                <w:iCs/>
                <w:color w:val="auto"/>
                <w:szCs w:val="24"/>
                <w:shd w:val="clear" w:color="auto" w:fill="FFFFFF"/>
              </w:rPr>
              <w:t>-（T</w:t>
            </w:r>
            <w:r>
              <w:rPr>
                <w:bCs/>
                <w:i/>
                <w:iCs/>
                <w:color w:val="auto"/>
                <w:szCs w:val="24"/>
                <w:shd w:val="clear" w:color="auto" w:fill="FFFFFF"/>
                <w:vertAlign w:val="subscript"/>
              </w:rPr>
              <w:t>Li</w:t>
            </w:r>
            <w:r>
              <w:rPr>
                <w:bCs/>
                <w:i/>
                <w:iCs/>
                <w:color w:val="auto"/>
                <w:szCs w:val="24"/>
                <w:shd w:val="clear" w:color="auto" w:fill="FFFFFF"/>
              </w:rPr>
              <w:t>+6）</w:t>
            </w:r>
            <w:r>
              <w:rPr>
                <w:bCs/>
                <w:color w:val="auto"/>
                <w:szCs w:val="24"/>
                <w:shd w:val="clear" w:color="auto" w:fill="FFFFFF"/>
              </w:rPr>
              <w:t xml:space="preserve">          （式4-3）</w:t>
            </w:r>
          </w:p>
          <w:p w14:paraId="56437BAD">
            <w:pPr>
              <w:pStyle w:val="180"/>
              <w:wordWrap/>
              <w:ind w:firstLine="480"/>
              <w:rPr>
                <w:bCs/>
                <w:color w:val="auto"/>
                <w:szCs w:val="24"/>
                <w:shd w:val="clear" w:color="auto" w:fill="FFFFFF"/>
              </w:rPr>
            </w:pPr>
            <w:r>
              <w:rPr>
                <w:bCs/>
                <w:color w:val="auto"/>
                <w:szCs w:val="24"/>
                <w:shd w:val="clear" w:color="auto" w:fill="FFFFFF"/>
              </w:rPr>
              <w:t>式中：</w:t>
            </w:r>
          </w:p>
          <w:p w14:paraId="75EC7575">
            <w:pPr>
              <w:pStyle w:val="180"/>
              <w:wordWrap/>
              <w:ind w:firstLine="480"/>
              <w:rPr>
                <w:bCs/>
                <w:color w:val="auto"/>
                <w:szCs w:val="24"/>
                <w:shd w:val="clear" w:color="auto" w:fill="FFFFFF"/>
              </w:rPr>
            </w:pPr>
            <w:r>
              <w:rPr>
                <w:bCs/>
                <w:i/>
                <w:iCs/>
                <w:color w:val="auto"/>
                <w:szCs w:val="24"/>
                <w:shd w:val="clear" w:color="auto" w:fill="FFFFFF"/>
              </w:rPr>
              <w:t>L</w:t>
            </w:r>
            <w:r>
              <w:rPr>
                <w:bCs/>
                <w:i/>
                <w:iCs/>
                <w:color w:val="auto"/>
                <w:szCs w:val="24"/>
                <w:shd w:val="clear" w:color="auto" w:fill="FFFFFF"/>
                <w:vertAlign w:val="subscript"/>
              </w:rPr>
              <w:t>P2i</w:t>
            </w:r>
            <w:r>
              <w:rPr>
                <w:rFonts w:hint="eastAsia"/>
                <w:bCs/>
                <w:i/>
                <w:iCs/>
                <w:color w:val="auto"/>
                <w:szCs w:val="24"/>
                <w:shd w:val="clear" w:color="auto" w:fill="FFFFFF"/>
                <w:lang w:eastAsia="zh-CN"/>
              </w:rPr>
              <w:t>（</w:t>
            </w:r>
            <w:r>
              <w:rPr>
                <w:bCs/>
                <w:i/>
                <w:iCs/>
                <w:color w:val="auto"/>
                <w:szCs w:val="24"/>
                <w:shd w:val="clear" w:color="auto" w:fill="FFFFFF"/>
              </w:rPr>
              <w:t>T</w:t>
            </w:r>
            <w:r>
              <w:rPr>
                <w:rFonts w:hint="eastAsia"/>
                <w:bCs/>
                <w:i/>
                <w:iCs/>
                <w:color w:val="auto"/>
                <w:szCs w:val="24"/>
                <w:shd w:val="clear" w:color="auto" w:fill="FFFFFF"/>
                <w:lang w:eastAsia="zh-CN"/>
              </w:rPr>
              <w:t>）</w:t>
            </w:r>
            <w:r>
              <w:rPr>
                <w:bCs/>
                <w:color w:val="auto"/>
                <w:szCs w:val="24"/>
                <w:shd w:val="clear" w:color="auto" w:fill="FFFFFF"/>
              </w:rPr>
              <w:t>—靠近围护结构处室外</w:t>
            </w:r>
            <w:r>
              <w:rPr>
                <w:bCs/>
                <w:i/>
                <w:iCs/>
                <w:color w:val="auto"/>
                <w:szCs w:val="24"/>
                <w:shd w:val="clear" w:color="auto" w:fill="FFFFFF"/>
              </w:rPr>
              <w:t>N</w:t>
            </w:r>
            <w:r>
              <w:rPr>
                <w:bCs/>
                <w:color w:val="auto"/>
                <w:szCs w:val="24"/>
                <w:shd w:val="clear" w:color="auto" w:fill="FFFFFF"/>
              </w:rPr>
              <w:t>个声源</w:t>
            </w:r>
            <w:r>
              <w:rPr>
                <w:bCs/>
                <w:i/>
                <w:iCs/>
                <w:color w:val="auto"/>
                <w:szCs w:val="24"/>
                <w:shd w:val="clear" w:color="auto" w:fill="FFFFFF"/>
              </w:rPr>
              <w:t>i</w:t>
            </w:r>
            <w:r>
              <w:rPr>
                <w:bCs/>
                <w:color w:val="auto"/>
                <w:szCs w:val="24"/>
                <w:shd w:val="clear" w:color="auto" w:fill="FFFFFF"/>
              </w:rPr>
              <w:t>倍频带的叠加声压级，dB；</w:t>
            </w:r>
          </w:p>
          <w:p w14:paraId="0B631300">
            <w:pPr>
              <w:pStyle w:val="180"/>
              <w:wordWrap/>
              <w:ind w:firstLine="480"/>
              <w:rPr>
                <w:bCs/>
                <w:color w:val="auto"/>
                <w:szCs w:val="24"/>
                <w:shd w:val="clear" w:color="auto" w:fill="FFFFFF"/>
              </w:rPr>
            </w:pPr>
            <w:r>
              <w:rPr>
                <w:bCs/>
                <w:i/>
                <w:iCs/>
                <w:color w:val="auto"/>
                <w:szCs w:val="24"/>
                <w:shd w:val="clear" w:color="auto" w:fill="FFFFFF"/>
              </w:rPr>
              <w:t>T</w:t>
            </w:r>
            <w:r>
              <w:rPr>
                <w:bCs/>
                <w:i/>
                <w:iCs/>
                <w:color w:val="auto"/>
                <w:szCs w:val="24"/>
                <w:shd w:val="clear" w:color="auto" w:fill="FFFFFF"/>
                <w:vertAlign w:val="subscript"/>
              </w:rPr>
              <w:t>Li</w:t>
            </w:r>
            <w:r>
              <w:rPr>
                <w:bCs/>
                <w:color w:val="auto"/>
                <w:szCs w:val="24"/>
                <w:shd w:val="clear" w:color="auto" w:fill="FFFFFF"/>
              </w:rPr>
              <w:t>—围护结构</w:t>
            </w:r>
            <w:r>
              <w:rPr>
                <w:bCs/>
                <w:i/>
                <w:iCs/>
                <w:color w:val="auto"/>
                <w:szCs w:val="24"/>
                <w:shd w:val="clear" w:color="auto" w:fill="FFFFFF"/>
              </w:rPr>
              <w:t>i</w:t>
            </w:r>
            <w:r>
              <w:rPr>
                <w:bCs/>
                <w:color w:val="auto"/>
                <w:szCs w:val="24"/>
                <w:shd w:val="clear" w:color="auto" w:fill="FFFFFF"/>
              </w:rPr>
              <w:t>倍频带的隔声量，dB。</w:t>
            </w:r>
          </w:p>
          <w:p w14:paraId="72DCA676">
            <w:pPr>
              <w:pStyle w:val="180"/>
              <w:wordWrap/>
              <w:ind w:firstLine="480"/>
              <w:rPr>
                <w:bCs/>
                <w:color w:val="auto"/>
                <w:szCs w:val="24"/>
                <w:shd w:val="clear" w:color="auto" w:fill="FFFFFF"/>
              </w:rPr>
            </w:pPr>
            <w:r>
              <w:rPr>
                <w:bCs/>
                <w:color w:val="auto"/>
                <w:szCs w:val="24"/>
                <w:shd w:val="clear" w:color="auto" w:fill="FFFFFF"/>
              </w:rPr>
              <w:t>然后按式4-4将室外声源的声压级和透过面积换算成等效的室外声源，计算出中心位置位于透声面积（</w:t>
            </w:r>
            <w:r>
              <w:rPr>
                <w:bCs/>
                <w:i/>
                <w:iCs/>
                <w:color w:val="auto"/>
                <w:szCs w:val="24"/>
                <w:shd w:val="clear" w:color="auto" w:fill="FFFFFF"/>
              </w:rPr>
              <w:t>S</w:t>
            </w:r>
            <w:r>
              <w:rPr>
                <w:bCs/>
                <w:color w:val="auto"/>
                <w:szCs w:val="24"/>
                <w:shd w:val="clear" w:color="auto" w:fill="FFFFFF"/>
              </w:rPr>
              <w:t>）处的等效声源的倍频带声功率级。</w:t>
            </w:r>
          </w:p>
          <w:p w14:paraId="15EAF74E">
            <w:pPr>
              <w:pStyle w:val="180"/>
              <w:wordWrap/>
              <w:ind w:left="0" w:leftChars="0" w:right="0" w:rightChars="0" w:firstLine="0" w:firstLineChars="0"/>
              <w:jc w:val="center"/>
              <w:rPr>
                <w:bCs/>
                <w:color w:val="auto"/>
                <w:szCs w:val="24"/>
                <w:shd w:val="clear" w:color="auto" w:fill="FFFFFF"/>
              </w:rPr>
            </w:pPr>
            <w:r>
              <w:rPr>
                <w:bCs/>
                <w:i/>
                <w:iCs/>
                <w:color w:val="auto"/>
                <w:szCs w:val="24"/>
                <w:shd w:val="clear" w:color="auto" w:fill="FFFFFF"/>
              </w:rPr>
              <w:t>L</w:t>
            </w:r>
            <w:r>
              <w:rPr>
                <w:bCs/>
                <w:i/>
                <w:iCs/>
                <w:color w:val="auto"/>
                <w:szCs w:val="24"/>
                <w:shd w:val="clear" w:color="auto" w:fill="FFFFFF"/>
                <w:vertAlign w:val="subscript"/>
              </w:rPr>
              <w:t>w</w:t>
            </w:r>
            <w:r>
              <w:rPr>
                <w:bCs/>
                <w:i/>
                <w:iCs/>
                <w:color w:val="auto"/>
                <w:szCs w:val="24"/>
                <w:shd w:val="clear" w:color="auto" w:fill="FFFFFF"/>
              </w:rPr>
              <w:t>=L</w:t>
            </w:r>
            <w:r>
              <w:rPr>
                <w:bCs/>
                <w:i/>
                <w:iCs/>
                <w:color w:val="auto"/>
                <w:szCs w:val="24"/>
                <w:shd w:val="clear" w:color="auto" w:fill="FFFFFF"/>
                <w:vertAlign w:val="subscript"/>
              </w:rPr>
              <w:t>P2</w:t>
            </w:r>
            <w:r>
              <w:rPr>
                <w:rFonts w:hint="eastAsia"/>
                <w:bCs/>
                <w:i/>
                <w:iCs/>
                <w:color w:val="auto"/>
                <w:szCs w:val="24"/>
                <w:shd w:val="clear" w:color="auto" w:fill="FFFFFF"/>
                <w:lang w:eastAsia="zh-CN"/>
              </w:rPr>
              <w:t>（</w:t>
            </w:r>
            <w:r>
              <w:rPr>
                <w:bCs/>
                <w:i/>
                <w:iCs/>
                <w:color w:val="auto"/>
                <w:szCs w:val="24"/>
                <w:shd w:val="clear" w:color="auto" w:fill="FFFFFF"/>
              </w:rPr>
              <w:t>T</w:t>
            </w:r>
            <w:r>
              <w:rPr>
                <w:rFonts w:hint="eastAsia"/>
                <w:bCs/>
                <w:i/>
                <w:iCs/>
                <w:color w:val="auto"/>
                <w:szCs w:val="24"/>
                <w:shd w:val="clear" w:color="auto" w:fill="FFFFFF"/>
                <w:lang w:eastAsia="zh-CN"/>
              </w:rPr>
              <w:t>）</w:t>
            </w:r>
            <w:r>
              <w:rPr>
                <w:bCs/>
                <w:i/>
                <w:iCs/>
                <w:color w:val="auto"/>
                <w:szCs w:val="24"/>
                <w:shd w:val="clear" w:color="auto" w:fill="FFFFFF"/>
              </w:rPr>
              <w:t xml:space="preserve">+10lgS </w:t>
            </w:r>
            <w:r>
              <w:rPr>
                <w:bCs/>
                <w:color w:val="auto"/>
                <w:szCs w:val="24"/>
                <w:shd w:val="clear" w:color="auto" w:fill="FFFFFF"/>
              </w:rPr>
              <w:t xml:space="preserve">            （式4-4）</w:t>
            </w:r>
          </w:p>
          <w:p w14:paraId="721E1751">
            <w:pPr>
              <w:pStyle w:val="180"/>
              <w:wordWrap/>
              <w:ind w:firstLine="480"/>
              <w:rPr>
                <w:bCs/>
                <w:color w:val="auto"/>
                <w:szCs w:val="24"/>
                <w:shd w:val="clear" w:color="auto" w:fill="FFFFFF"/>
              </w:rPr>
            </w:pPr>
            <w:r>
              <w:rPr>
                <w:bCs/>
                <w:color w:val="auto"/>
                <w:szCs w:val="24"/>
                <w:shd w:val="clear" w:color="auto" w:fill="FFFFFF"/>
              </w:rPr>
              <w:t>式中：</w:t>
            </w:r>
            <w:r>
              <w:rPr>
                <w:bCs/>
                <w:color w:val="auto"/>
                <w:position w:val="-10"/>
                <w:szCs w:val="24"/>
                <w:shd w:val="clear" w:color="auto" w:fill="FFFFFF"/>
              </w:rPr>
              <w:object>
                <v:shape id="_x0000_i1025" o:spt="75" type="#_x0000_t75" style="height:21.75pt;width:72pt;" o:ole="t" filled="f" o:preferrelative="t" stroked="f" coordsize="21600,21600">
                  <v:path/>
                  <v:fill on="f" focussize="0,0"/>
                  <v:stroke on="f" joinstyle="miter"/>
                  <v:imagedata r:id="rId48" o:title=""/>
                  <o:lock v:ext="edit" aspectratio="t"/>
                  <w10:wrap type="none"/>
                  <w10:anchorlock/>
                </v:shape>
                <o:OLEObject Type="Embed" ProgID="Equation.3" ShapeID="_x0000_i1025" DrawAspect="Content" ObjectID="_1468075725" r:id="rId47">
                  <o:LockedField>false</o:LockedField>
                </o:OLEObject>
              </w:object>
            </w:r>
          </w:p>
          <w:p w14:paraId="0771702C">
            <w:pPr>
              <w:pStyle w:val="180"/>
              <w:wordWrap/>
              <w:ind w:firstLine="480"/>
              <w:rPr>
                <w:bCs/>
                <w:color w:val="auto"/>
                <w:szCs w:val="24"/>
                <w:shd w:val="clear" w:color="auto" w:fill="FFFFFF"/>
              </w:rPr>
            </w:pPr>
            <w:r>
              <w:rPr>
                <w:bCs/>
                <w:i/>
                <w:iCs/>
                <w:color w:val="auto"/>
                <w:szCs w:val="24"/>
                <w:shd w:val="clear" w:color="auto" w:fill="FFFFFF"/>
              </w:rPr>
              <w:t>L</w:t>
            </w:r>
            <w:r>
              <w:rPr>
                <w:bCs/>
                <w:i/>
                <w:iCs/>
                <w:color w:val="auto"/>
                <w:szCs w:val="24"/>
                <w:shd w:val="clear" w:color="auto" w:fill="FFFFFF"/>
                <w:vertAlign w:val="subscript"/>
              </w:rPr>
              <w:t>w</w:t>
            </w:r>
            <w:r>
              <w:rPr>
                <w:bCs/>
                <w:color w:val="auto"/>
                <w:szCs w:val="24"/>
                <w:shd w:val="clear" w:color="auto" w:fill="FFFFFF"/>
              </w:rPr>
              <w:t>—中心位置位于透声面积（</w:t>
            </w:r>
            <w:r>
              <w:rPr>
                <w:bCs/>
                <w:i/>
                <w:iCs/>
                <w:color w:val="auto"/>
                <w:szCs w:val="24"/>
                <w:shd w:val="clear" w:color="auto" w:fill="FFFFFF"/>
              </w:rPr>
              <w:t>S</w:t>
            </w:r>
            <w:r>
              <w:rPr>
                <w:bCs/>
                <w:color w:val="auto"/>
                <w:szCs w:val="24"/>
                <w:shd w:val="clear" w:color="auto" w:fill="FFFFFF"/>
              </w:rPr>
              <w:t>）处的等效声源的倍频带声功率级，dB；</w:t>
            </w:r>
          </w:p>
          <w:p w14:paraId="25E8F146">
            <w:pPr>
              <w:pStyle w:val="180"/>
              <w:wordWrap/>
              <w:ind w:firstLine="480"/>
              <w:rPr>
                <w:bCs/>
                <w:color w:val="auto"/>
                <w:szCs w:val="24"/>
                <w:shd w:val="clear" w:color="auto" w:fill="FFFFFF"/>
              </w:rPr>
            </w:pPr>
            <w:r>
              <w:rPr>
                <w:bCs/>
                <w:i/>
                <w:iCs/>
                <w:color w:val="auto"/>
                <w:szCs w:val="24"/>
                <w:shd w:val="clear" w:color="auto" w:fill="FFFFFF"/>
              </w:rPr>
              <w:t>L</w:t>
            </w:r>
            <w:r>
              <w:rPr>
                <w:bCs/>
                <w:i/>
                <w:iCs/>
                <w:color w:val="auto"/>
                <w:szCs w:val="24"/>
                <w:shd w:val="clear" w:color="auto" w:fill="FFFFFF"/>
                <w:vertAlign w:val="subscript"/>
              </w:rPr>
              <w:t>p2</w:t>
            </w:r>
            <w:r>
              <w:rPr>
                <w:rFonts w:hint="eastAsia"/>
                <w:bCs/>
                <w:i/>
                <w:iCs/>
                <w:color w:val="auto"/>
                <w:szCs w:val="24"/>
                <w:shd w:val="clear" w:color="auto" w:fill="FFFFFF"/>
                <w:lang w:eastAsia="zh-CN"/>
              </w:rPr>
              <w:t>（</w:t>
            </w:r>
            <w:r>
              <w:rPr>
                <w:bCs/>
                <w:i/>
                <w:iCs/>
                <w:color w:val="auto"/>
                <w:szCs w:val="24"/>
                <w:shd w:val="clear" w:color="auto" w:fill="FFFFFF"/>
              </w:rPr>
              <w:t>T</w:t>
            </w:r>
            <w:r>
              <w:rPr>
                <w:rFonts w:hint="eastAsia"/>
                <w:bCs/>
                <w:i/>
                <w:iCs/>
                <w:color w:val="auto"/>
                <w:szCs w:val="24"/>
                <w:shd w:val="clear" w:color="auto" w:fill="FFFFFF"/>
                <w:lang w:eastAsia="zh-CN"/>
              </w:rPr>
              <w:t>）</w:t>
            </w:r>
            <w:r>
              <w:rPr>
                <w:bCs/>
                <w:color w:val="auto"/>
                <w:szCs w:val="24"/>
                <w:shd w:val="clear" w:color="auto" w:fill="FFFFFF"/>
              </w:rPr>
              <w:t>—靠近围护结构处室外声源的声压级，dB；</w:t>
            </w:r>
          </w:p>
          <w:p w14:paraId="747CC120">
            <w:pPr>
              <w:pStyle w:val="180"/>
              <w:wordWrap/>
              <w:ind w:firstLine="480"/>
              <w:rPr>
                <w:bCs/>
                <w:color w:val="auto"/>
                <w:szCs w:val="24"/>
                <w:shd w:val="clear" w:color="auto" w:fill="FFFFFF"/>
              </w:rPr>
            </w:pPr>
            <w:r>
              <w:rPr>
                <w:bCs/>
                <w:i/>
                <w:iCs/>
                <w:color w:val="auto"/>
                <w:szCs w:val="24"/>
                <w:shd w:val="clear" w:color="auto" w:fill="FFFFFF"/>
              </w:rPr>
              <w:t>S</w:t>
            </w:r>
            <w:r>
              <w:rPr>
                <w:bCs/>
                <w:color w:val="auto"/>
                <w:szCs w:val="24"/>
                <w:shd w:val="clear" w:color="auto" w:fill="FFFFFF"/>
              </w:rPr>
              <w:t>—透声面积，m</w:t>
            </w:r>
            <w:r>
              <w:rPr>
                <w:bCs/>
                <w:color w:val="auto"/>
                <w:szCs w:val="24"/>
                <w:shd w:val="clear" w:color="auto" w:fill="FFFFFF"/>
                <w:vertAlign w:val="superscript"/>
              </w:rPr>
              <w:t>2</w:t>
            </w:r>
            <w:r>
              <w:rPr>
                <w:bCs/>
                <w:color w:val="auto"/>
                <w:szCs w:val="24"/>
                <w:shd w:val="clear" w:color="auto" w:fill="FFFFFF"/>
              </w:rPr>
              <w:t>。</w:t>
            </w:r>
          </w:p>
          <w:p w14:paraId="7109D964">
            <w:pPr>
              <w:pStyle w:val="180"/>
              <w:wordWrap/>
              <w:ind w:firstLine="480"/>
              <w:rPr>
                <w:bCs/>
                <w:color w:val="auto"/>
                <w:szCs w:val="24"/>
                <w:shd w:val="clear" w:color="auto" w:fill="FFFFFF"/>
              </w:rPr>
            </w:pPr>
            <w:r>
              <w:rPr>
                <w:bCs/>
                <w:color w:val="auto"/>
                <w:szCs w:val="24"/>
                <w:shd w:val="clear" w:color="auto" w:fill="FFFFFF"/>
              </w:rPr>
              <w:t>然后按室外声源预测方法计算预测点处的A声级。</w:t>
            </w:r>
          </w:p>
          <w:p w14:paraId="21282D22">
            <w:pPr>
              <w:pStyle w:val="180"/>
              <w:wordWrap/>
              <w:ind w:firstLine="480"/>
              <w:rPr>
                <w:bCs/>
                <w:color w:val="auto"/>
                <w:szCs w:val="24"/>
                <w:shd w:val="clear" w:color="auto" w:fill="FFFFFF"/>
              </w:rPr>
            </w:pPr>
            <w:r>
              <w:rPr>
                <w:rFonts w:hint="eastAsia"/>
                <w:bCs/>
                <w:color w:val="auto"/>
                <w:szCs w:val="24"/>
                <w:shd w:val="clear" w:color="auto" w:fill="FFFFFF"/>
              </w:rPr>
              <w:t>（</w:t>
            </w:r>
            <w:r>
              <w:rPr>
                <w:rFonts w:hint="eastAsia"/>
                <w:bCs/>
                <w:color w:val="auto"/>
                <w:szCs w:val="24"/>
                <w:shd w:val="clear" w:color="auto" w:fill="FFFFFF"/>
                <w:lang w:val="en-US" w:eastAsia="zh-CN"/>
              </w:rPr>
              <w:t>2</w:t>
            </w:r>
            <w:r>
              <w:rPr>
                <w:rFonts w:hint="eastAsia"/>
                <w:bCs/>
                <w:color w:val="auto"/>
                <w:szCs w:val="24"/>
                <w:shd w:val="clear" w:color="auto" w:fill="FFFFFF"/>
              </w:rPr>
              <w:t>）</w:t>
            </w:r>
            <w:r>
              <w:rPr>
                <w:bCs/>
                <w:color w:val="auto"/>
                <w:szCs w:val="24"/>
                <w:shd w:val="clear" w:color="auto" w:fill="FFFFFF"/>
              </w:rPr>
              <w:t>工业企业噪声计算</w:t>
            </w:r>
          </w:p>
          <w:p w14:paraId="1D582355">
            <w:pPr>
              <w:pStyle w:val="180"/>
              <w:wordWrap/>
              <w:ind w:firstLine="480"/>
              <w:rPr>
                <w:bCs/>
                <w:color w:val="auto"/>
                <w:szCs w:val="24"/>
                <w:shd w:val="clear" w:color="auto" w:fill="FFFFFF"/>
              </w:rPr>
            </w:pPr>
            <w:r>
              <w:rPr>
                <w:bCs/>
                <w:color w:val="auto"/>
                <w:szCs w:val="24"/>
                <w:shd w:val="clear" w:color="auto" w:fill="FFFFFF"/>
              </w:rPr>
              <w:t>设第</w:t>
            </w:r>
            <w:r>
              <w:rPr>
                <w:bCs/>
                <w:i/>
                <w:iCs/>
                <w:color w:val="auto"/>
                <w:szCs w:val="24"/>
                <w:shd w:val="clear" w:color="auto" w:fill="FFFFFF"/>
              </w:rPr>
              <w:t>i</w:t>
            </w:r>
            <w:r>
              <w:rPr>
                <w:bCs/>
                <w:color w:val="auto"/>
                <w:szCs w:val="24"/>
                <w:shd w:val="clear" w:color="auto" w:fill="FFFFFF"/>
              </w:rPr>
              <w:t>个室外声源在预测点产生的A声级为</w:t>
            </w:r>
            <w:r>
              <w:rPr>
                <w:bCs/>
                <w:i/>
                <w:iCs/>
                <w:color w:val="auto"/>
                <w:szCs w:val="24"/>
                <w:shd w:val="clear" w:color="auto" w:fill="FFFFFF"/>
              </w:rPr>
              <w:t>L</w:t>
            </w:r>
            <w:r>
              <w:rPr>
                <w:bCs/>
                <w:i/>
                <w:iCs/>
                <w:color w:val="auto"/>
                <w:szCs w:val="24"/>
                <w:shd w:val="clear" w:color="auto" w:fill="FFFFFF"/>
                <w:vertAlign w:val="subscript"/>
              </w:rPr>
              <w:t>Ai</w:t>
            </w:r>
            <w:r>
              <w:rPr>
                <w:bCs/>
                <w:color w:val="auto"/>
                <w:szCs w:val="24"/>
                <w:shd w:val="clear" w:color="auto" w:fill="FFFFFF"/>
              </w:rPr>
              <w:t>，在</w:t>
            </w:r>
            <w:r>
              <w:rPr>
                <w:bCs/>
                <w:i/>
                <w:iCs/>
                <w:color w:val="auto"/>
                <w:szCs w:val="24"/>
                <w:shd w:val="clear" w:color="auto" w:fill="FFFFFF"/>
              </w:rPr>
              <w:t>T</w:t>
            </w:r>
            <w:r>
              <w:rPr>
                <w:bCs/>
                <w:color w:val="auto"/>
                <w:szCs w:val="24"/>
                <w:shd w:val="clear" w:color="auto" w:fill="FFFFFF"/>
              </w:rPr>
              <w:t>时间内该声源工作时间为</w:t>
            </w:r>
            <w:r>
              <w:rPr>
                <w:bCs/>
                <w:i/>
                <w:iCs/>
                <w:color w:val="auto"/>
                <w:szCs w:val="24"/>
                <w:shd w:val="clear" w:color="auto" w:fill="FFFFFF"/>
              </w:rPr>
              <w:t>t</w:t>
            </w:r>
            <w:r>
              <w:rPr>
                <w:bCs/>
                <w:i/>
                <w:iCs/>
                <w:color w:val="auto"/>
                <w:szCs w:val="24"/>
                <w:shd w:val="clear" w:color="auto" w:fill="FFFFFF"/>
                <w:vertAlign w:val="subscript"/>
              </w:rPr>
              <w:t>i</w:t>
            </w:r>
            <w:r>
              <w:rPr>
                <w:bCs/>
                <w:color w:val="auto"/>
                <w:szCs w:val="24"/>
                <w:shd w:val="clear" w:color="auto" w:fill="FFFFFF"/>
              </w:rPr>
              <w:t>；第</w:t>
            </w:r>
            <w:r>
              <w:rPr>
                <w:bCs/>
                <w:i/>
                <w:iCs/>
                <w:color w:val="auto"/>
                <w:szCs w:val="24"/>
                <w:shd w:val="clear" w:color="auto" w:fill="FFFFFF"/>
              </w:rPr>
              <w:t>j</w:t>
            </w:r>
            <w:r>
              <w:rPr>
                <w:bCs/>
                <w:color w:val="auto"/>
                <w:szCs w:val="24"/>
                <w:shd w:val="clear" w:color="auto" w:fill="FFFFFF"/>
              </w:rPr>
              <w:t>个等效室外声源在预测点产生的A声级为</w:t>
            </w:r>
            <w:r>
              <w:rPr>
                <w:bCs/>
                <w:i/>
                <w:iCs/>
                <w:color w:val="auto"/>
                <w:szCs w:val="24"/>
                <w:shd w:val="clear" w:color="auto" w:fill="FFFFFF"/>
              </w:rPr>
              <w:t>L</w:t>
            </w:r>
            <w:r>
              <w:rPr>
                <w:bCs/>
                <w:i/>
                <w:iCs/>
                <w:color w:val="auto"/>
                <w:szCs w:val="24"/>
                <w:shd w:val="clear" w:color="auto" w:fill="FFFFFF"/>
                <w:vertAlign w:val="subscript"/>
              </w:rPr>
              <w:t>Aj</w:t>
            </w:r>
            <w:r>
              <w:rPr>
                <w:bCs/>
                <w:color w:val="auto"/>
                <w:szCs w:val="24"/>
                <w:shd w:val="clear" w:color="auto" w:fill="FFFFFF"/>
              </w:rPr>
              <w:t>，在T时间内该声源工作时间为</w:t>
            </w:r>
            <w:r>
              <w:rPr>
                <w:bCs/>
                <w:i/>
                <w:iCs/>
                <w:color w:val="auto"/>
                <w:szCs w:val="24"/>
                <w:shd w:val="clear" w:color="auto" w:fill="FFFFFF"/>
              </w:rPr>
              <w:t>t</w:t>
            </w:r>
            <w:r>
              <w:rPr>
                <w:bCs/>
                <w:i/>
                <w:iCs/>
                <w:color w:val="auto"/>
                <w:szCs w:val="24"/>
                <w:shd w:val="clear" w:color="auto" w:fill="FFFFFF"/>
                <w:vertAlign w:val="subscript"/>
              </w:rPr>
              <w:t>j</w:t>
            </w:r>
            <w:r>
              <w:rPr>
                <w:bCs/>
                <w:color w:val="auto"/>
                <w:szCs w:val="24"/>
                <w:shd w:val="clear" w:color="auto" w:fill="FFFFFF"/>
              </w:rPr>
              <w:t>，则拟建工程声源对预测点产生的贡献值（</w:t>
            </w:r>
            <w:r>
              <w:rPr>
                <w:bCs/>
                <w:i/>
                <w:iCs/>
                <w:color w:val="auto"/>
                <w:szCs w:val="24"/>
                <w:shd w:val="clear" w:color="auto" w:fill="FFFFFF"/>
              </w:rPr>
              <w:t>L</w:t>
            </w:r>
            <w:r>
              <w:rPr>
                <w:bCs/>
                <w:i/>
                <w:iCs/>
                <w:color w:val="auto"/>
                <w:szCs w:val="24"/>
                <w:shd w:val="clear" w:color="auto" w:fill="FFFFFF"/>
                <w:vertAlign w:val="subscript"/>
              </w:rPr>
              <w:t>eqg</w:t>
            </w:r>
            <w:r>
              <w:rPr>
                <w:bCs/>
                <w:color w:val="auto"/>
                <w:szCs w:val="24"/>
                <w:shd w:val="clear" w:color="auto" w:fill="FFFFFF"/>
              </w:rPr>
              <w:t>）为：</w:t>
            </w:r>
          </w:p>
          <w:p w14:paraId="59502D46">
            <w:pPr>
              <w:pStyle w:val="180"/>
              <w:wordWrap/>
              <w:ind w:firstLine="480"/>
              <w:rPr>
                <w:bCs/>
                <w:color w:val="auto"/>
                <w:szCs w:val="24"/>
                <w:shd w:val="clear" w:color="auto" w:fill="FFFFFF"/>
              </w:rPr>
            </w:pPr>
            <w:r>
              <w:rPr>
                <w:bCs/>
                <w:color w:val="auto"/>
                <w:position w:val="-34"/>
                <w:szCs w:val="24"/>
                <w:shd w:val="clear" w:color="auto" w:fill="FFFFFF"/>
              </w:rPr>
              <w:pict>
                <v:shape id="Object 291" o:spid="_x0000_s4520" o:spt="75" type="#_x0000_t75" style="position:absolute;left:0pt;margin-left:62.8pt;margin-top:12.8pt;height:40pt;width:204pt;z-index:251660288;mso-width-relative:page;mso-height-relative:page;" filled="f" o:preferrelative="t" stroked="f" coordsize="21600,21600">
                  <v:path/>
                  <v:fill on="f" focussize="0,0"/>
                  <v:stroke on="f" joinstyle="miter"/>
                  <v:imagedata r:id="rId49" o:title=""/>
                  <o:lock v:ext="edit" aspectratio="t"/>
                </v:shape>
              </w:pict>
            </w:r>
            <w:r>
              <w:rPr>
                <w:bCs/>
                <w:color w:val="auto"/>
                <w:position w:val="-34"/>
                <w:szCs w:val="24"/>
                <w:shd w:val="clear" w:color="auto" w:fill="FFFFFF"/>
              </w:rPr>
              <w:t xml:space="preserve">                                               </w:t>
            </w:r>
            <w:r>
              <w:rPr>
                <w:bCs/>
                <w:color w:val="auto"/>
                <w:szCs w:val="24"/>
                <w:shd w:val="clear" w:color="auto" w:fill="FFFFFF"/>
              </w:rPr>
              <w:t>（式4-9）</w:t>
            </w:r>
          </w:p>
          <w:p w14:paraId="73E5B583">
            <w:pPr>
              <w:pStyle w:val="180"/>
              <w:wordWrap/>
              <w:ind w:firstLine="480"/>
              <w:rPr>
                <w:bCs/>
                <w:color w:val="auto"/>
                <w:szCs w:val="24"/>
                <w:shd w:val="clear" w:color="auto" w:fill="FFFFFF"/>
              </w:rPr>
            </w:pPr>
            <w:r>
              <w:rPr>
                <w:bCs/>
                <w:color w:val="auto"/>
                <w:szCs w:val="24"/>
                <w:shd w:val="clear" w:color="auto" w:fill="FFFFFF"/>
              </w:rPr>
              <w:t>式中：</w:t>
            </w:r>
          </w:p>
          <w:p w14:paraId="6C0AD865">
            <w:pPr>
              <w:pStyle w:val="180"/>
              <w:wordWrap/>
              <w:ind w:firstLine="480"/>
              <w:rPr>
                <w:bCs/>
                <w:color w:val="auto"/>
                <w:szCs w:val="24"/>
                <w:shd w:val="clear" w:color="auto" w:fill="FFFFFF"/>
              </w:rPr>
            </w:pPr>
            <w:r>
              <w:rPr>
                <w:bCs/>
                <w:i/>
                <w:iCs/>
                <w:color w:val="auto"/>
                <w:szCs w:val="24"/>
                <w:shd w:val="clear" w:color="auto" w:fill="FFFFFF"/>
              </w:rPr>
              <w:t>L</w:t>
            </w:r>
            <w:r>
              <w:rPr>
                <w:bCs/>
                <w:i/>
                <w:iCs/>
                <w:color w:val="auto"/>
                <w:szCs w:val="24"/>
                <w:shd w:val="clear" w:color="auto" w:fill="FFFFFF"/>
                <w:vertAlign w:val="subscript"/>
              </w:rPr>
              <w:t>eqg</w:t>
            </w:r>
            <w:r>
              <w:rPr>
                <w:bCs/>
                <w:color w:val="auto"/>
                <w:szCs w:val="24"/>
                <w:shd w:val="clear" w:color="auto" w:fill="FFFFFF"/>
              </w:rPr>
              <w:t xml:space="preserve">—建设项目声源在预测点产生的噪声贡献值，dB； </w:t>
            </w:r>
          </w:p>
          <w:p w14:paraId="771C8323">
            <w:pPr>
              <w:pStyle w:val="180"/>
              <w:wordWrap/>
              <w:ind w:firstLine="480"/>
              <w:rPr>
                <w:bCs/>
                <w:color w:val="auto"/>
                <w:szCs w:val="24"/>
                <w:shd w:val="clear" w:color="auto" w:fill="FFFFFF"/>
              </w:rPr>
            </w:pPr>
            <w:r>
              <w:rPr>
                <w:bCs/>
                <w:i/>
                <w:iCs/>
                <w:color w:val="auto"/>
                <w:szCs w:val="24"/>
                <w:shd w:val="clear" w:color="auto" w:fill="FFFFFF"/>
              </w:rPr>
              <w:t>T</w:t>
            </w:r>
            <w:r>
              <w:rPr>
                <w:bCs/>
                <w:color w:val="auto"/>
                <w:szCs w:val="24"/>
                <w:shd w:val="clear" w:color="auto" w:fill="FFFFFF"/>
              </w:rPr>
              <w:t xml:space="preserve">—用于计算等效声级的时间，s； </w:t>
            </w:r>
          </w:p>
          <w:p w14:paraId="1BDFDE03">
            <w:pPr>
              <w:pStyle w:val="180"/>
              <w:wordWrap/>
              <w:ind w:firstLine="480"/>
              <w:rPr>
                <w:bCs/>
                <w:color w:val="auto"/>
                <w:szCs w:val="24"/>
                <w:shd w:val="clear" w:color="auto" w:fill="FFFFFF"/>
              </w:rPr>
            </w:pPr>
            <w:r>
              <w:rPr>
                <w:bCs/>
                <w:i/>
                <w:iCs/>
                <w:color w:val="auto"/>
                <w:szCs w:val="24"/>
                <w:shd w:val="clear" w:color="auto" w:fill="FFFFFF"/>
              </w:rPr>
              <w:t>N</w:t>
            </w:r>
            <w:r>
              <w:rPr>
                <w:bCs/>
                <w:color w:val="auto"/>
                <w:szCs w:val="24"/>
                <w:shd w:val="clear" w:color="auto" w:fill="FFFFFF"/>
              </w:rPr>
              <w:t>—室外声源个数；</w:t>
            </w:r>
          </w:p>
          <w:p w14:paraId="7654DC26">
            <w:pPr>
              <w:pStyle w:val="180"/>
              <w:wordWrap/>
              <w:ind w:firstLine="480"/>
              <w:rPr>
                <w:bCs/>
                <w:color w:val="auto"/>
                <w:szCs w:val="24"/>
                <w:shd w:val="clear" w:color="auto" w:fill="FFFFFF"/>
              </w:rPr>
            </w:pPr>
            <w:r>
              <w:rPr>
                <w:bCs/>
                <w:i/>
                <w:iCs/>
                <w:color w:val="auto"/>
                <w:szCs w:val="24"/>
                <w:shd w:val="clear" w:color="auto" w:fill="FFFFFF"/>
              </w:rPr>
              <w:t>t</w:t>
            </w:r>
            <w:r>
              <w:rPr>
                <w:bCs/>
                <w:i/>
                <w:iCs/>
                <w:color w:val="auto"/>
                <w:szCs w:val="24"/>
                <w:shd w:val="clear" w:color="auto" w:fill="FFFFFF"/>
                <w:vertAlign w:val="subscript"/>
              </w:rPr>
              <w:t>i</w:t>
            </w:r>
            <w:r>
              <w:rPr>
                <w:bCs/>
                <w:color w:val="auto"/>
                <w:szCs w:val="24"/>
                <w:shd w:val="clear" w:color="auto" w:fill="FFFFFF"/>
              </w:rPr>
              <w:t>—在</w:t>
            </w:r>
            <w:r>
              <w:rPr>
                <w:bCs/>
                <w:i/>
                <w:iCs/>
                <w:color w:val="auto"/>
                <w:szCs w:val="24"/>
                <w:shd w:val="clear" w:color="auto" w:fill="FFFFFF"/>
              </w:rPr>
              <w:t>T</w:t>
            </w:r>
            <w:r>
              <w:rPr>
                <w:bCs/>
                <w:color w:val="auto"/>
                <w:szCs w:val="24"/>
                <w:shd w:val="clear" w:color="auto" w:fill="FFFFFF"/>
              </w:rPr>
              <w:t>时间内</w:t>
            </w:r>
            <w:r>
              <w:rPr>
                <w:bCs/>
                <w:i/>
                <w:iCs/>
                <w:color w:val="auto"/>
                <w:szCs w:val="24"/>
                <w:shd w:val="clear" w:color="auto" w:fill="FFFFFF"/>
              </w:rPr>
              <w:t>i</w:t>
            </w:r>
            <w:r>
              <w:rPr>
                <w:bCs/>
                <w:color w:val="auto"/>
                <w:szCs w:val="24"/>
                <w:shd w:val="clear" w:color="auto" w:fill="FFFFFF"/>
              </w:rPr>
              <w:t xml:space="preserve">声源工作时间，s； </w:t>
            </w:r>
          </w:p>
          <w:p w14:paraId="308E8D73">
            <w:pPr>
              <w:pStyle w:val="180"/>
              <w:wordWrap/>
              <w:ind w:firstLine="480"/>
              <w:rPr>
                <w:bCs/>
                <w:color w:val="auto"/>
                <w:szCs w:val="24"/>
                <w:shd w:val="clear" w:color="auto" w:fill="FFFFFF"/>
              </w:rPr>
            </w:pPr>
            <w:r>
              <w:rPr>
                <w:bCs/>
                <w:i/>
                <w:iCs/>
                <w:color w:val="auto"/>
                <w:szCs w:val="24"/>
                <w:shd w:val="clear" w:color="auto" w:fill="FFFFFF"/>
              </w:rPr>
              <w:t>M</w:t>
            </w:r>
            <w:r>
              <w:rPr>
                <w:bCs/>
                <w:color w:val="auto"/>
                <w:szCs w:val="24"/>
                <w:shd w:val="clear" w:color="auto" w:fill="FFFFFF"/>
              </w:rPr>
              <w:t>—等效室外声源个数；</w:t>
            </w:r>
          </w:p>
          <w:p w14:paraId="67D54121">
            <w:pPr>
              <w:pStyle w:val="180"/>
              <w:wordWrap/>
              <w:ind w:firstLine="480"/>
              <w:rPr>
                <w:bCs/>
                <w:color w:val="0000FF"/>
                <w:szCs w:val="24"/>
                <w:shd w:val="clear" w:color="auto" w:fill="FFFFFF"/>
              </w:rPr>
            </w:pPr>
            <w:r>
              <w:rPr>
                <w:bCs/>
                <w:i/>
                <w:iCs/>
                <w:color w:val="auto"/>
                <w:szCs w:val="24"/>
                <w:shd w:val="clear" w:color="auto" w:fill="FFFFFF"/>
              </w:rPr>
              <w:t>t</w:t>
            </w:r>
            <w:r>
              <w:rPr>
                <w:bCs/>
                <w:i/>
                <w:iCs/>
                <w:color w:val="auto"/>
                <w:szCs w:val="24"/>
                <w:shd w:val="clear" w:color="auto" w:fill="FFFFFF"/>
                <w:vertAlign w:val="subscript"/>
              </w:rPr>
              <w:t>j</w:t>
            </w:r>
            <w:r>
              <w:rPr>
                <w:bCs/>
                <w:color w:val="auto"/>
                <w:szCs w:val="24"/>
                <w:shd w:val="clear" w:color="auto" w:fill="FFFFFF"/>
              </w:rPr>
              <w:t>—在</w:t>
            </w:r>
            <w:r>
              <w:rPr>
                <w:bCs/>
                <w:i/>
                <w:iCs/>
                <w:color w:val="auto"/>
                <w:szCs w:val="24"/>
                <w:shd w:val="clear" w:color="auto" w:fill="FFFFFF"/>
              </w:rPr>
              <w:t>T</w:t>
            </w:r>
            <w:r>
              <w:rPr>
                <w:bCs/>
                <w:color w:val="auto"/>
                <w:szCs w:val="24"/>
                <w:shd w:val="clear" w:color="auto" w:fill="FFFFFF"/>
              </w:rPr>
              <w:t>时间内</w:t>
            </w:r>
            <w:r>
              <w:rPr>
                <w:bCs/>
                <w:i/>
                <w:iCs/>
                <w:color w:val="auto"/>
                <w:szCs w:val="24"/>
                <w:shd w:val="clear" w:color="auto" w:fill="FFFFFF"/>
              </w:rPr>
              <w:t>j</w:t>
            </w:r>
            <w:r>
              <w:rPr>
                <w:bCs/>
                <w:color w:val="auto"/>
                <w:szCs w:val="24"/>
                <w:shd w:val="clear" w:color="auto" w:fill="FFFFFF"/>
              </w:rPr>
              <w:t>声源工作时间，s。</w:t>
            </w:r>
          </w:p>
          <w:p w14:paraId="7B306C58">
            <w:pPr>
              <w:pStyle w:val="180"/>
              <w:wordWrap/>
              <w:ind w:firstLine="480"/>
              <w:rPr>
                <w:bCs/>
                <w:color w:val="auto"/>
                <w:szCs w:val="24"/>
                <w:shd w:val="clear" w:color="auto" w:fill="FFFFFF"/>
              </w:rPr>
            </w:pPr>
            <w:r>
              <w:rPr>
                <w:bCs/>
                <w:color w:val="auto"/>
                <w:szCs w:val="24"/>
                <w:shd w:val="clear" w:color="auto" w:fill="FFFFFF"/>
              </w:rPr>
              <w:t>E、预测值计算</w:t>
            </w:r>
          </w:p>
          <w:p w14:paraId="0BB9789D">
            <w:pPr>
              <w:pStyle w:val="180"/>
              <w:wordWrap/>
              <w:ind w:firstLine="480"/>
              <w:jc w:val="center"/>
              <w:rPr>
                <w:bCs/>
                <w:color w:val="auto"/>
                <w:szCs w:val="24"/>
                <w:shd w:val="clear" w:color="auto" w:fill="FFFFFF"/>
              </w:rPr>
            </w:pPr>
            <w:r>
              <w:rPr>
                <w:color w:val="auto"/>
                <w:position w:val="-14"/>
                <w:szCs w:val="24"/>
                <w:shd w:val="clear" w:color="auto" w:fill="FFFFFF"/>
                <w:lang w:bidi="ar-SA"/>
              </w:rPr>
              <w:drawing>
                <wp:inline distT="0" distB="0" distL="0" distR="0">
                  <wp:extent cx="2202815" cy="318135"/>
                  <wp:effectExtent l="0" t="0" r="6985" b="5715"/>
                  <wp:docPr id="100483598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35986" name="图片 1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202815" cy="318135"/>
                          </a:xfrm>
                          <a:prstGeom prst="rect">
                            <a:avLst/>
                          </a:prstGeom>
                          <a:noFill/>
                          <a:ln>
                            <a:noFill/>
                          </a:ln>
                        </pic:spPr>
                      </pic:pic>
                    </a:graphicData>
                  </a:graphic>
                </wp:inline>
              </w:drawing>
            </w:r>
            <w:r>
              <w:rPr>
                <w:bCs/>
                <w:color w:val="auto"/>
                <w:szCs w:val="24"/>
                <w:shd w:val="clear" w:color="auto" w:fill="FFFFFF"/>
              </w:rPr>
              <w:t>（式4-10）</w:t>
            </w:r>
          </w:p>
          <w:p w14:paraId="6554D043">
            <w:pPr>
              <w:pStyle w:val="180"/>
              <w:wordWrap/>
              <w:ind w:firstLine="480"/>
              <w:rPr>
                <w:bCs/>
                <w:color w:val="auto"/>
                <w:szCs w:val="24"/>
                <w:shd w:val="clear" w:color="auto" w:fill="FFFFFF"/>
              </w:rPr>
            </w:pPr>
            <w:r>
              <w:rPr>
                <w:bCs/>
                <w:color w:val="auto"/>
                <w:szCs w:val="24"/>
                <w:shd w:val="clear" w:color="auto" w:fill="FFFFFF"/>
              </w:rPr>
              <w:t>式中：</w:t>
            </w:r>
          </w:p>
          <w:p w14:paraId="01C68125">
            <w:pPr>
              <w:pStyle w:val="180"/>
              <w:wordWrap/>
              <w:ind w:firstLine="480"/>
              <w:rPr>
                <w:bCs/>
                <w:color w:val="auto"/>
                <w:szCs w:val="24"/>
                <w:shd w:val="clear" w:color="auto" w:fill="FFFFFF"/>
              </w:rPr>
            </w:pPr>
            <w:r>
              <w:rPr>
                <w:bCs/>
                <w:i/>
                <w:iCs/>
                <w:color w:val="auto"/>
                <w:szCs w:val="24"/>
                <w:shd w:val="clear" w:color="auto" w:fill="FFFFFF"/>
              </w:rPr>
              <w:t>L</w:t>
            </w:r>
            <w:r>
              <w:rPr>
                <w:bCs/>
                <w:i/>
                <w:iCs/>
                <w:color w:val="auto"/>
                <w:szCs w:val="24"/>
                <w:shd w:val="clear" w:color="auto" w:fill="FFFFFF"/>
                <w:vertAlign w:val="subscript"/>
              </w:rPr>
              <w:t>eq</w:t>
            </w:r>
            <w:r>
              <w:rPr>
                <w:bCs/>
                <w:color w:val="auto"/>
                <w:szCs w:val="24"/>
                <w:shd w:val="clear" w:color="auto" w:fill="FFFFFF"/>
              </w:rPr>
              <w:t>—预测点的噪声预测值，dB；</w:t>
            </w:r>
          </w:p>
          <w:p w14:paraId="37552403">
            <w:pPr>
              <w:pStyle w:val="180"/>
              <w:wordWrap/>
              <w:ind w:firstLine="480"/>
              <w:rPr>
                <w:bCs/>
                <w:color w:val="auto"/>
                <w:szCs w:val="24"/>
                <w:shd w:val="clear" w:color="auto" w:fill="FFFFFF"/>
              </w:rPr>
            </w:pPr>
            <w:r>
              <w:rPr>
                <w:bCs/>
                <w:i/>
                <w:iCs/>
                <w:color w:val="auto"/>
                <w:szCs w:val="24"/>
                <w:shd w:val="clear" w:color="auto" w:fill="FFFFFF"/>
              </w:rPr>
              <w:t>L</w:t>
            </w:r>
            <w:r>
              <w:rPr>
                <w:bCs/>
                <w:i/>
                <w:iCs/>
                <w:color w:val="auto"/>
                <w:szCs w:val="24"/>
                <w:shd w:val="clear" w:color="auto" w:fill="FFFFFF"/>
                <w:vertAlign w:val="subscript"/>
              </w:rPr>
              <w:t>eqg</w:t>
            </w:r>
            <w:r>
              <w:rPr>
                <w:bCs/>
                <w:color w:val="auto"/>
                <w:szCs w:val="24"/>
                <w:shd w:val="clear" w:color="auto" w:fill="FFFFFF"/>
              </w:rPr>
              <w:t xml:space="preserve">—建设项目声源在预测点产生的噪声贡献值，dB； </w:t>
            </w:r>
          </w:p>
          <w:p w14:paraId="58534A14">
            <w:pPr>
              <w:pStyle w:val="180"/>
              <w:wordWrap/>
              <w:ind w:firstLine="480"/>
              <w:rPr>
                <w:bCs/>
                <w:color w:val="auto"/>
                <w:szCs w:val="24"/>
                <w:shd w:val="clear" w:color="auto" w:fill="FFFFFF"/>
              </w:rPr>
            </w:pPr>
            <w:r>
              <w:rPr>
                <w:bCs/>
                <w:i/>
                <w:iCs/>
                <w:color w:val="auto"/>
                <w:szCs w:val="24"/>
                <w:shd w:val="clear" w:color="auto" w:fill="FFFFFF"/>
              </w:rPr>
              <w:t>L</w:t>
            </w:r>
            <w:r>
              <w:rPr>
                <w:bCs/>
                <w:i/>
                <w:iCs/>
                <w:color w:val="auto"/>
                <w:szCs w:val="24"/>
                <w:shd w:val="clear" w:color="auto" w:fill="FFFFFF"/>
                <w:vertAlign w:val="subscript"/>
              </w:rPr>
              <w:t>eqb</w:t>
            </w:r>
            <w:r>
              <w:rPr>
                <w:bCs/>
                <w:color w:val="auto"/>
                <w:szCs w:val="24"/>
                <w:shd w:val="clear" w:color="auto" w:fill="FFFFFF"/>
              </w:rPr>
              <w:t>—预测点的背景噪声值，dB。</w:t>
            </w:r>
          </w:p>
          <w:p w14:paraId="0E4DBA95">
            <w:pPr>
              <w:pStyle w:val="180"/>
              <w:wordWrap/>
              <w:ind w:firstLine="480"/>
              <w:rPr>
                <w:bCs/>
                <w:color w:val="auto"/>
                <w:szCs w:val="24"/>
                <w:shd w:val="clear" w:color="auto" w:fill="FFFFFF"/>
              </w:rPr>
            </w:pPr>
            <w:r>
              <w:rPr>
                <w:rFonts w:hint="eastAsia"/>
                <w:bCs/>
                <w:color w:val="auto"/>
                <w:szCs w:val="24"/>
                <w:shd w:val="clear" w:color="auto" w:fill="FFFFFF"/>
              </w:rPr>
              <w:t>2、</w:t>
            </w:r>
            <w:r>
              <w:rPr>
                <w:bCs/>
                <w:color w:val="auto"/>
                <w:szCs w:val="24"/>
                <w:shd w:val="clear" w:color="auto" w:fill="FFFFFF"/>
              </w:rPr>
              <w:t>预测参数选取</w:t>
            </w:r>
          </w:p>
          <w:p w14:paraId="56FBAD62">
            <w:pPr>
              <w:pStyle w:val="180"/>
              <w:wordWrap/>
              <w:ind w:firstLine="480"/>
              <w:rPr>
                <w:bCs/>
                <w:color w:val="auto"/>
                <w:szCs w:val="24"/>
                <w:shd w:val="clear" w:color="auto" w:fill="FFFFFF"/>
              </w:rPr>
            </w:pPr>
            <w:r>
              <w:rPr>
                <w:bCs/>
                <w:color w:val="auto"/>
                <w:szCs w:val="24"/>
                <w:shd w:val="clear" w:color="auto" w:fill="FFFFFF"/>
              </w:rPr>
              <w:t>本项目主要噪声设备及噪声源强见项目源强分析。</w:t>
            </w:r>
          </w:p>
          <w:p w14:paraId="10377ED7">
            <w:pPr>
              <w:pStyle w:val="180"/>
              <w:wordWrap/>
              <w:ind w:firstLine="480"/>
              <w:rPr>
                <w:bCs/>
                <w:color w:val="auto"/>
                <w:szCs w:val="24"/>
                <w:shd w:val="clear" w:color="auto" w:fill="FFFFFF"/>
              </w:rPr>
            </w:pPr>
            <w:r>
              <w:rPr>
                <w:rFonts w:hint="eastAsia"/>
                <w:bCs/>
                <w:color w:val="auto"/>
                <w:szCs w:val="24"/>
                <w:shd w:val="clear" w:color="auto" w:fill="FFFFFF"/>
              </w:rPr>
              <w:t>3、</w:t>
            </w:r>
            <w:r>
              <w:rPr>
                <w:bCs/>
                <w:color w:val="auto"/>
                <w:szCs w:val="24"/>
                <w:shd w:val="clear" w:color="auto" w:fill="FFFFFF"/>
              </w:rPr>
              <w:t>预测计算结果</w:t>
            </w:r>
          </w:p>
          <w:p w14:paraId="3C09C9B5">
            <w:pPr>
              <w:pStyle w:val="180"/>
              <w:wordWrap/>
              <w:ind w:firstLine="480"/>
              <w:rPr>
                <w:bCs/>
                <w:color w:val="auto"/>
                <w:szCs w:val="24"/>
                <w:shd w:val="clear" w:color="auto" w:fill="FFFFFF"/>
              </w:rPr>
            </w:pPr>
            <w:r>
              <w:rPr>
                <w:rFonts w:eastAsiaTheme="minorEastAsia"/>
                <w:color w:val="auto"/>
                <w:szCs w:val="24"/>
              </w:rPr>
              <w:t>通过预测模型计算，项目厂界噪声预测结果与达标分析见</w:t>
            </w:r>
            <w:r>
              <w:rPr>
                <w:rFonts w:hint="eastAsia" w:eastAsiaTheme="minorEastAsia"/>
                <w:color w:val="auto"/>
                <w:szCs w:val="24"/>
                <w:lang w:eastAsia="zh-CN"/>
              </w:rPr>
              <w:t>下表</w:t>
            </w:r>
            <w:r>
              <w:rPr>
                <w:bCs/>
                <w:color w:val="auto"/>
                <w:szCs w:val="24"/>
                <w:shd w:val="clear" w:color="auto" w:fill="FFFFFF"/>
              </w:rPr>
              <w:t>。</w:t>
            </w:r>
          </w:p>
          <w:p w14:paraId="194E44A3">
            <w:pPr>
              <w:pStyle w:val="17"/>
              <w:keepNext w:val="0"/>
              <w:keepLines w:val="0"/>
              <w:pageBreakBefore w:val="0"/>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4</w:t>
            </w:r>
            <w:r>
              <w:rPr>
                <w:rFonts w:hint="eastAsia"/>
                <w:lang w:eastAsia="zh-CN"/>
              </w:rPr>
              <w:t>-</w:t>
            </w:r>
            <w:r>
              <w:rPr>
                <w:rFonts w:hint="eastAsia"/>
                <w:lang w:val="en-US" w:eastAsia="zh-CN"/>
              </w:rPr>
              <w:t>7</w:t>
            </w:r>
            <w:r>
              <w:t xml:space="preserve"> 项目噪声预测结果表  单位：dB</w:t>
            </w:r>
            <w:r>
              <w:rPr>
                <w:rFonts w:hint="eastAsia"/>
                <w:lang w:eastAsia="zh-CN"/>
              </w:rPr>
              <w:t>（</w:t>
            </w:r>
            <w:r>
              <w:t>A</w:t>
            </w:r>
            <w:r>
              <w:rPr>
                <w:rFonts w:hint="eastAsia"/>
                <w:lang w:eastAsia="zh-CN"/>
              </w:rPr>
              <w:t>）</w:t>
            </w:r>
          </w:p>
          <w:tbl>
            <w:tblPr>
              <w:tblStyle w:val="57"/>
              <w:tblpPr w:leftFromText="180" w:rightFromText="180" w:vertAnchor="text" w:tblpXSpec="center"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2"/>
              <w:gridCol w:w="1382"/>
              <w:gridCol w:w="1966"/>
              <w:gridCol w:w="1967"/>
              <w:gridCol w:w="1650"/>
            </w:tblGrid>
            <w:tr w14:paraId="4A9F36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901" w:type="pct"/>
                  <w:vMerge w:val="restart"/>
                  <w:vAlign w:val="center"/>
                </w:tcPr>
                <w:p w14:paraId="3D482CA8">
                  <w:pPr>
                    <w:pStyle w:val="286"/>
                    <w:framePr w:hSpace="0" w:wrap="auto" w:vAnchor="margin" w:hAnchor="text" w:xAlign="left" w:yAlign="inline"/>
                    <w:rPr>
                      <w:color w:val="auto"/>
                    </w:rPr>
                  </w:pPr>
                  <w:r>
                    <w:rPr>
                      <w:color w:val="auto"/>
                    </w:rPr>
                    <w:t>预测方位</w:t>
                  </w:r>
                </w:p>
              </w:tc>
              <w:tc>
                <w:tcPr>
                  <w:tcW w:w="813" w:type="pct"/>
                  <w:vMerge w:val="restart"/>
                  <w:vAlign w:val="center"/>
                </w:tcPr>
                <w:p w14:paraId="56202128">
                  <w:pPr>
                    <w:pStyle w:val="286"/>
                    <w:framePr w:hSpace="0" w:wrap="auto" w:vAnchor="margin" w:hAnchor="text" w:xAlign="left" w:yAlign="inline"/>
                    <w:rPr>
                      <w:color w:val="auto"/>
                    </w:rPr>
                  </w:pPr>
                  <w:r>
                    <w:rPr>
                      <w:color w:val="auto"/>
                    </w:rPr>
                    <w:t>时段</w:t>
                  </w:r>
                </w:p>
              </w:tc>
              <w:tc>
                <w:tcPr>
                  <w:tcW w:w="1156" w:type="pct"/>
                  <w:vMerge w:val="restart"/>
                  <w:vAlign w:val="center"/>
                </w:tcPr>
                <w:p w14:paraId="29A4EFD2">
                  <w:pPr>
                    <w:pStyle w:val="286"/>
                    <w:framePr w:hSpace="0" w:wrap="auto" w:vAnchor="margin" w:hAnchor="text" w:xAlign="left" w:yAlign="inline"/>
                    <w:rPr>
                      <w:color w:val="auto"/>
                    </w:rPr>
                  </w:pPr>
                  <w:r>
                    <w:rPr>
                      <w:color w:val="auto"/>
                    </w:rPr>
                    <w:t>贡献值（dB</w:t>
                  </w:r>
                  <w:r>
                    <w:rPr>
                      <w:rFonts w:hint="eastAsia"/>
                      <w:color w:val="auto"/>
                      <w:lang w:eastAsia="zh-CN"/>
                    </w:rPr>
                    <w:t>（</w:t>
                  </w:r>
                  <w:r>
                    <w:rPr>
                      <w:color w:val="auto"/>
                    </w:rPr>
                    <w:t>A</w:t>
                  </w:r>
                  <w:r>
                    <w:rPr>
                      <w:rFonts w:hint="eastAsia"/>
                      <w:color w:val="auto"/>
                      <w:lang w:eastAsia="zh-CN"/>
                    </w:rPr>
                    <w:t>）</w:t>
                  </w:r>
                  <w:r>
                    <w:rPr>
                      <w:color w:val="auto"/>
                    </w:rPr>
                    <w:t>）</w:t>
                  </w:r>
                </w:p>
              </w:tc>
              <w:tc>
                <w:tcPr>
                  <w:tcW w:w="1157" w:type="pct"/>
                  <w:vMerge w:val="restart"/>
                  <w:vAlign w:val="center"/>
                </w:tcPr>
                <w:p w14:paraId="37912188">
                  <w:pPr>
                    <w:pStyle w:val="286"/>
                    <w:framePr w:hSpace="0" w:wrap="auto" w:vAnchor="margin" w:hAnchor="text" w:xAlign="left" w:yAlign="inline"/>
                    <w:rPr>
                      <w:color w:val="auto"/>
                    </w:rPr>
                  </w:pPr>
                  <w:r>
                    <w:rPr>
                      <w:color w:val="auto"/>
                    </w:rPr>
                    <w:t>标准限值（dB</w:t>
                  </w:r>
                  <w:r>
                    <w:rPr>
                      <w:rFonts w:hint="eastAsia"/>
                      <w:color w:val="auto"/>
                      <w:lang w:eastAsia="zh-CN"/>
                    </w:rPr>
                    <w:t>（</w:t>
                  </w:r>
                  <w:r>
                    <w:rPr>
                      <w:color w:val="auto"/>
                    </w:rPr>
                    <w:t>A</w:t>
                  </w:r>
                  <w:r>
                    <w:rPr>
                      <w:rFonts w:hint="eastAsia"/>
                      <w:color w:val="auto"/>
                      <w:lang w:eastAsia="zh-CN"/>
                    </w:rPr>
                    <w:t>）</w:t>
                  </w:r>
                  <w:r>
                    <w:rPr>
                      <w:color w:val="auto"/>
                    </w:rPr>
                    <w:t>）</w:t>
                  </w:r>
                </w:p>
              </w:tc>
              <w:tc>
                <w:tcPr>
                  <w:tcW w:w="970" w:type="pct"/>
                  <w:vMerge w:val="restart"/>
                  <w:vAlign w:val="center"/>
                </w:tcPr>
                <w:p w14:paraId="55C03ADE">
                  <w:pPr>
                    <w:pStyle w:val="286"/>
                    <w:framePr w:hSpace="0" w:wrap="auto" w:vAnchor="margin" w:hAnchor="text" w:xAlign="left" w:yAlign="inline"/>
                    <w:rPr>
                      <w:color w:val="auto"/>
                    </w:rPr>
                  </w:pPr>
                  <w:r>
                    <w:rPr>
                      <w:color w:val="auto"/>
                    </w:rPr>
                    <w:t>达标情况</w:t>
                  </w:r>
                </w:p>
              </w:tc>
            </w:tr>
            <w:tr w14:paraId="3C458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901" w:type="pct"/>
                  <w:vMerge w:val="continue"/>
                  <w:shd w:val="clear" w:color="auto" w:fill="FFFFFF"/>
                  <w:vAlign w:val="center"/>
                </w:tcPr>
                <w:p w14:paraId="58E8B383">
                  <w:pPr>
                    <w:pStyle w:val="286"/>
                    <w:framePr w:hSpace="0" w:wrap="auto" w:vAnchor="margin" w:hAnchor="text" w:xAlign="left" w:yAlign="inline"/>
                    <w:rPr>
                      <w:color w:val="auto"/>
                    </w:rPr>
                  </w:pPr>
                </w:p>
              </w:tc>
              <w:tc>
                <w:tcPr>
                  <w:tcW w:w="813" w:type="pct"/>
                  <w:vMerge w:val="continue"/>
                  <w:shd w:val="clear" w:color="auto" w:fill="FFFFFF"/>
                  <w:vAlign w:val="center"/>
                </w:tcPr>
                <w:p w14:paraId="79E2BB9E">
                  <w:pPr>
                    <w:pStyle w:val="286"/>
                    <w:framePr w:hSpace="0" w:wrap="auto" w:vAnchor="margin" w:hAnchor="text" w:xAlign="left" w:yAlign="inline"/>
                    <w:rPr>
                      <w:color w:val="auto"/>
                    </w:rPr>
                  </w:pPr>
                </w:p>
              </w:tc>
              <w:tc>
                <w:tcPr>
                  <w:tcW w:w="1156" w:type="pct"/>
                  <w:vMerge w:val="continue"/>
                  <w:shd w:val="clear" w:color="auto" w:fill="FFFFFF"/>
                  <w:vAlign w:val="center"/>
                </w:tcPr>
                <w:p w14:paraId="0A44938A">
                  <w:pPr>
                    <w:pStyle w:val="286"/>
                    <w:framePr w:hSpace="0" w:wrap="auto" w:vAnchor="margin" w:hAnchor="text" w:xAlign="left" w:yAlign="inline"/>
                    <w:rPr>
                      <w:color w:val="auto"/>
                    </w:rPr>
                  </w:pPr>
                </w:p>
              </w:tc>
              <w:tc>
                <w:tcPr>
                  <w:tcW w:w="1157" w:type="pct"/>
                  <w:vMerge w:val="continue"/>
                  <w:shd w:val="clear" w:color="auto" w:fill="FFFFFF"/>
                  <w:vAlign w:val="center"/>
                </w:tcPr>
                <w:p w14:paraId="03DCC16B">
                  <w:pPr>
                    <w:pStyle w:val="286"/>
                    <w:framePr w:hSpace="0" w:wrap="auto" w:vAnchor="margin" w:hAnchor="text" w:xAlign="left" w:yAlign="inline"/>
                    <w:rPr>
                      <w:color w:val="auto"/>
                    </w:rPr>
                  </w:pPr>
                </w:p>
              </w:tc>
              <w:tc>
                <w:tcPr>
                  <w:tcW w:w="970" w:type="pct"/>
                  <w:vMerge w:val="continue"/>
                  <w:shd w:val="clear" w:color="auto" w:fill="FFFFFF"/>
                  <w:vAlign w:val="center"/>
                </w:tcPr>
                <w:p w14:paraId="46F4E6C2">
                  <w:pPr>
                    <w:pStyle w:val="286"/>
                    <w:framePr w:hSpace="0" w:wrap="auto" w:vAnchor="margin" w:hAnchor="text" w:xAlign="left" w:yAlign="inline"/>
                    <w:rPr>
                      <w:color w:val="auto"/>
                    </w:rPr>
                  </w:pPr>
                </w:p>
              </w:tc>
            </w:tr>
            <w:tr w14:paraId="64659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exact"/>
              </w:trPr>
              <w:tc>
                <w:tcPr>
                  <w:tcW w:w="901" w:type="pct"/>
                  <w:shd w:val="clear" w:color="auto" w:fill="FFFFFF"/>
                  <w:vAlign w:val="center"/>
                </w:tcPr>
                <w:p w14:paraId="522CF32E">
                  <w:pPr>
                    <w:pStyle w:val="286"/>
                    <w:framePr w:hSpace="0" w:wrap="auto" w:vAnchor="margin" w:hAnchor="text" w:xAlign="left" w:yAlign="inline"/>
                    <w:rPr>
                      <w:color w:val="auto"/>
                    </w:rPr>
                  </w:pPr>
                  <w:r>
                    <w:rPr>
                      <w:color w:val="auto"/>
                    </w:rPr>
                    <w:t>东侧</w:t>
                  </w:r>
                </w:p>
              </w:tc>
              <w:tc>
                <w:tcPr>
                  <w:tcW w:w="813" w:type="pct"/>
                  <w:shd w:val="clear" w:color="auto" w:fill="FFFFFF"/>
                  <w:vAlign w:val="center"/>
                </w:tcPr>
                <w:p w14:paraId="7113ED95">
                  <w:pPr>
                    <w:pStyle w:val="286"/>
                    <w:framePr w:hSpace="0" w:wrap="auto" w:vAnchor="margin" w:hAnchor="text" w:xAlign="left" w:yAlign="inline"/>
                    <w:rPr>
                      <w:color w:val="auto"/>
                    </w:rPr>
                  </w:pPr>
                  <w:r>
                    <w:rPr>
                      <w:color w:val="auto"/>
                    </w:rPr>
                    <w:t>昼间</w:t>
                  </w:r>
                </w:p>
              </w:tc>
              <w:tc>
                <w:tcPr>
                  <w:tcW w:w="1156" w:type="pct"/>
                  <w:shd w:val="clear" w:color="auto" w:fill="FFFFFF"/>
                  <w:vAlign w:val="center"/>
                </w:tcPr>
                <w:p w14:paraId="248E61F2">
                  <w:pPr>
                    <w:pStyle w:val="286"/>
                    <w:framePr w:hSpace="0" w:wrap="auto" w:vAnchor="margin" w:hAnchor="text" w:xAlign="left" w:yAlign="inline"/>
                    <w:rPr>
                      <w:rFonts w:hint="default" w:eastAsia="宋体"/>
                      <w:color w:val="auto"/>
                      <w:highlight w:val="yellow"/>
                      <w:lang w:val="en-US" w:eastAsia="zh-CN"/>
                    </w:rPr>
                  </w:pPr>
                  <w:r>
                    <w:rPr>
                      <w:rFonts w:hint="eastAsia"/>
                      <w:color w:val="auto"/>
                      <w:highlight w:val="none"/>
                      <w:lang w:val="en-US" w:eastAsia="zh-CN"/>
                    </w:rPr>
                    <w:t>47.3</w:t>
                  </w:r>
                </w:p>
              </w:tc>
              <w:tc>
                <w:tcPr>
                  <w:tcW w:w="1157" w:type="pct"/>
                  <w:shd w:val="clear" w:color="auto" w:fill="FFFFFF"/>
                  <w:vAlign w:val="center"/>
                </w:tcPr>
                <w:p w14:paraId="05503B4A">
                  <w:pPr>
                    <w:pStyle w:val="286"/>
                    <w:framePr w:hSpace="0" w:wrap="auto" w:vAnchor="margin" w:hAnchor="text" w:xAlign="left" w:yAlign="inline"/>
                    <w:rPr>
                      <w:color w:val="auto"/>
                    </w:rPr>
                  </w:pPr>
                  <w:r>
                    <w:rPr>
                      <w:color w:val="auto"/>
                    </w:rPr>
                    <w:t>65</w:t>
                  </w:r>
                </w:p>
              </w:tc>
              <w:tc>
                <w:tcPr>
                  <w:tcW w:w="970" w:type="pct"/>
                  <w:shd w:val="clear" w:color="auto" w:fill="FFFFFF"/>
                  <w:vAlign w:val="center"/>
                </w:tcPr>
                <w:p w14:paraId="71FF2619">
                  <w:pPr>
                    <w:pStyle w:val="286"/>
                    <w:framePr w:hSpace="0" w:wrap="auto" w:vAnchor="margin" w:hAnchor="text" w:xAlign="left" w:yAlign="inline"/>
                    <w:rPr>
                      <w:color w:val="auto"/>
                    </w:rPr>
                  </w:pPr>
                  <w:r>
                    <w:rPr>
                      <w:color w:val="auto"/>
                    </w:rPr>
                    <w:t>达标</w:t>
                  </w:r>
                </w:p>
              </w:tc>
            </w:tr>
            <w:tr w14:paraId="30A5A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exact"/>
              </w:trPr>
              <w:tc>
                <w:tcPr>
                  <w:tcW w:w="901" w:type="pct"/>
                  <w:shd w:val="clear" w:color="auto" w:fill="FFFFFF"/>
                  <w:vAlign w:val="center"/>
                </w:tcPr>
                <w:p w14:paraId="27853449">
                  <w:pPr>
                    <w:pStyle w:val="286"/>
                    <w:framePr w:hSpace="0" w:wrap="auto" w:vAnchor="margin" w:hAnchor="text" w:xAlign="left" w:yAlign="inline"/>
                    <w:rPr>
                      <w:color w:val="auto"/>
                    </w:rPr>
                  </w:pPr>
                  <w:r>
                    <w:rPr>
                      <w:color w:val="auto"/>
                    </w:rPr>
                    <w:t>南侧</w:t>
                  </w:r>
                </w:p>
              </w:tc>
              <w:tc>
                <w:tcPr>
                  <w:tcW w:w="813" w:type="pct"/>
                  <w:shd w:val="clear" w:color="auto" w:fill="FFFFFF"/>
                  <w:vAlign w:val="center"/>
                </w:tcPr>
                <w:p w14:paraId="3FF251E7">
                  <w:pPr>
                    <w:pStyle w:val="286"/>
                    <w:framePr w:hSpace="0" w:wrap="auto" w:vAnchor="margin" w:hAnchor="text" w:xAlign="left" w:yAlign="inline"/>
                    <w:rPr>
                      <w:color w:val="auto"/>
                    </w:rPr>
                  </w:pPr>
                  <w:r>
                    <w:rPr>
                      <w:color w:val="auto"/>
                    </w:rPr>
                    <w:t>昼间</w:t>
                  </w:r>
                </w:p>
              </w:tc>
              <w:tc>
                <w:tcPr>
                  <w:tcW w:w="1156" w:type="pct"/>
                  <w:shd w:val="clear" w:color="auto" w:fill="FFFFFF"/>
                  <w:vAlign w:val="center"/>
                </w:tcPr>
                <w:p w14:paraId="4E3CEFA0">
                  <w:pPr>
                    <w:pStyle w:val="286"/>
                    <w:framePr w:hSpace="0" w:wrap="auto" w:vAnchor="margin" w:hAnchor="text" w:xAlign="left" w:yAlign="inline"/>
                    <w:rPr>
                      <w:rFonts w:hint="default" w:eastAsia="宋体"/>
                      <w:color w:val="auto"/>
                      <w:highlight w:val="yellow"/>
                      <w:lang w:val="en-US" w:eastAsia="zh-CN"/>
                    </w:rPr>
                  </w:pPr>
                  <w:r>
                    <w:rPr>
                      <w:rFonts w:hint="eastAsia"/>
                      <w:color w:val="auto"/>
                      <w:highlight w:val="none"/>
                      <w:lang w:val="en-US" w:eastAsia="zh-CN"/>
                    </w:rPr>
                    <w:t>53.7</w:t>
                  </w:r>
                </w:p>
              </w:tc>
              <w:tc>
                <w:tcPr>
                  <w:tcW w:w="1157" w:type="pct"/>
                  <w:shd w:val="clear" w:color="auto" w:fill="FFFFFF"/>
                  <w:vAlign w:val="center"/>
                </w:tcPr>
                <w:p w14:paraId="12C19C67">
                  <w:pPr>
                    <w:pStyle w:val="286"/>
                    <w:framePr w:hSpace="0" w:wrap="auto" w:vAnchor="margin" w:hAnchor="text" w:xAlign="left" w:yAlign="inline"/>
                    <w:rPr>
                      <w:color w:val="auto"/>
                    </w:rPr>
                  </w:pPr>
                  <w:r>
                    <w:rPr>
                      <w:color w:val="auto"/>
                    </w:rPr>
                    <w:t>65</w:t>
                  </w:r>
                </w:p>
              </w:tc>
              <w:tc>
                <w:tcPr>
                  <w:tcW w:w="970" w:type="pct"/>
                  <w:shd w:val="clear" w:color="auto" w:fill="FFFFFF"/>
                  <w:vAlign w:val="center"/>
                </w:tcPr>
                <w:p w14:paraId="2899D5A4">
                  <w:pPr>
                    <w:pStyle w:val="286"/>
                    <w:framePr w:hSpace="0" w:wrap="auto" w:vAnchor="margin" w:hAnchor="text" w:xAlign="left" w:yAlign="inline"/>
                    <w:rPr>
                      <w:color w:val="auto"/>
                    </w:rPr>
                  </w:pPr>
                  <w:r>
                    <w:rPr>
                      <w:color w:val="auto"/>
                    </w:rPr>
                    <w:t>达标</w:t>
                  </w:r>
                </w:p>
              </w:tc>
            </w:tr>
            <w:tr w14:paraId="5621D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exact"/>
              </w:trPr>
              <w:tc>
                <w:tcPr>
                  <w:tcW w:w="901" w:type="pct"/>
                  <w:shd w:val="clear" w:color="auto" w:fill="FFFFFF"/>
                  <w:vAlign w:val="center"/>
                </w:tcPr>
                <w:p w14:paraId="5EF349D5">
                  <w:pPr>
                    <w:pStyle w:val="286"/>
                    <w:framePr w:hSpace="0" w:wrap="auto" w:vAnchor="margin" w:hAnchor="text" w:xAlign="left" w:yAlign="inline"/>
                    <w:rPr>
                      <w:color w:val="auto"/>
                    </w:rPr>
                  </w:pPr>
                  <w:r>
                    <w:rPr>
                      <w:color w:val="auto"/>
                    </w:rPr>
                    <w:t>西侧</w:t>
                  </w:r>
                </w:p>
              </w:tc>
              <w:tc>
                <w:tcPr>
                  <w:tcW w:w="813" w:type="pct"/>
                  <w:shd w:val="clear" w:color="auto" w:fill="FFFFFF"/>
                  <w:vAlign w:val="center"/>
                </w:tcPr>
                <w:p w14:paraId="5936DA82">
                  <w:pPr>
                    <w:pStyle w:val="286"/>
                    <w:framePr w:hSpace="0" w:wrap="auto" w:vAnchor="margin" w:hAnchor="text" w:xAlign="left" w:yAlign="inline"/>
                    <w:rPr>
                      <w:color w:val="auto"/>
                    </w:rPr>
                  </w:pPr>
                  <w:r>
                    <w:rPr>
                      <w:color w:val="auto"/>
                    </w:rPr>
                    <w:t>昼间</w:t>
                  </w:r>
                </w:p>
              </w:tc>
              <w:tc>
                <w:tcPr>
                  <w:tcW w:w="1156" w:type="pct"/>
                  <w:shd w:val="clear" w:color="auto" w:fill="FFFFFF"/>
                  <w:vAlign w:val="center"/>
                </w:tcPr>
                <w:p w14:paraId="28699C46">
                  <w:pPr>
                    <w:pStyle w:val="286"/>
                    <w:framePr w:hSpace="0" w:wrap="auto" w:vAnchor="margin" w:hAnchor="text" w:xAlign="left" w:yAlign="inline"/>
                    <w:rPr>
                      <w:rFonts w:hint="default" w:eastAsia="宋体"/>
                      <w:color w:val="auto"/>
                      <w:highlight w:val="yellow"/>
                      <w:lang w:val="en-US" w:eastAsia="zh-CN"/>
                    </w:rPr>
                  </w:pPr>
                  <w:r>
                    <w:rPr>
                      <w:rFonts w:hint="eastAsia"/>
                      <w:color w:val="auto"/>
                      <w:highlight w:val="none"/>
                      <w:lang w:val="en-US" w:eastAsia="zh-CN"/>
                    </w:rPr>
                    <w:t>55.3</w:t>
                  </w:r>
                </w:p>
              </w:tc>
              <w:tc>
                <w:tcPr>
                  <w:tcW w:w="1157" w:type="pct"/>
                  <w:shd w:val="clear" w:color="auto" w:fill="FFFFFF"/>
                  <w:vAlign w:val="center"/>
                </w:tcPr>
                <w:p w14:paraId="769CE43F">
                  <w:pPr>
                    <w:pStyle w:val="286"/>
                    <w:framePr w:hSpace="0" w:wrap="auto" w:vAnchor="margin" w:hAnchor="text" w:xAlign="left" w:yAlign="inline"/>
                    <w:rPr>
                      <w:color w:val="auto"/>
                    </w:rPr>
                  </w:pPr>
                  <w:r>
                    <w:rPr>
                      <w:color w:val="auto"/>
                    </w:rPr>
                    <w:t>65</w:t>
                  </w:r>
                </w:p>
              </w:tc>
              <w:tc>
                <w:tcPr>
                  <w:tcW w:w="970" w:type="pct"/>
                  <w:shd w:val="clear" w:color="auto" w:fill="FFFFFF"/>
                  <w:vAlign w:val="center"/>
                </w:tcPr>
                <w:p w14:paraId="7BED3547">
                  <w:pPr>
                    <w:pStyle w:val="286"/>
                    <w:framePr w:hSpace="0" w:wrap="auto" w:vAnchor="margin" w:hAnchor="text" w:xAlign="left" w:yAlign="inline"/>
                    <w:rPr>
                      <w:color w:val="auto"/>
                    </w:rPr>
                  </w:pPr>
                  <w:r>
                    <w:rPr>
                      <w:color w:val="auto"/>
                    </w:rPr>
                    <w:t>达标</w:t>
                  </w:r>
                </w:p>
              </w:tc>
            </w:tr>
            <w:tr w14:paraId="71A24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340" w:hRule="exact"/>
              </w:trPr>
              <w:tc>
                <w:tcPr>
                  <w:tcW w:w="901" w:type="pct"/>
                  <w:shd w:val="clear" w:color="auto" w:fill="FFFFFF"/>
                  <w:vAlign w:val="center"/>
                </w:tcPr>
                <w:p w14:paraId="6A418013">
                  <w:pPr>
                    <w:pStyle w:val="286"/>
                    <w:framePr w:hSpace="0" w:wrap="auto" w:vAnchor="margin" w:hAnchor="text" w:xAlign="left" w:yAlign="inline"/>
                    <w:rPr>
                      <w:color w:val="auto"/>
                    </w:rPr>
                  </w:pPr>
                  <w:r>
                    <w:rPr>
                      <w:color w:val="auto"/>
                    </w:rPr>
                    <w:t>北侧</w:t>
                  </w:r>
                </w:p>
              </w:tc>
              <w:tc>
                <w:tcPr>
                  <w:tcW w:w="813" w:type="pct"/>
                  <w:shd w:val="clear" w:color="auto" w:fill="FFFFFF"/>
                  <w:vAlign w:val="center"/>
                </w:tcPr>
                <w:p w14:paraId="5B9DCE24">
                  <w:pPr>
                    <w:pStyle w:val="286"/>
                    <w:framePr w:hSpace="0" w:wrap="auto" w:vAnchor="margin" w:hAnchor="text" w:xAlign="left" w:yAlign="inline"/>
                    <w:rPr>
                      <w:color w:val="auto"/>
                    </w:rPr>
                  </w:pPr>
                  <w:r>
                    <w:rPr>
                      <w:color w:val="auto"/>
                    </w:rPr>
                    <w:t>昼间</w:t>
                  </w:r>
                </w:p>
              </w:tc>
              <w:tc>
                <w:tcPr>
                  <w:tcW w:w="1156" w:type="pct"/>
                  <w:shd w:val="clear" w:color="auto" w:fill="FFFFFF"/>
                  <w:vAlign w:val="center"/>
                </w:tcPr>
                <w:p w14:paraId="4FFA1750">
                  <w:pPr>
                    <w:pStyle w:val="286"/>
                    <w:framePr w:hSpace="0" w:wrap="auto" w:vAnchor="margin" w:hAnchor="text" w:xAlign="left" w:yAlign="inline"/>
                    <w:rPr>
                      <w:rFonts w:hint="default" w:eastAsia="宋体"/>
                      <w:color w:val="auto"/>
                      <w:highlight w:val="yellow"/>
                      <w:lang w:val="en-US" w:eastAsia="zh-CN"/>
                    </w:rPr>
                  </w:pPr>
                  <w:r>
                    <w:rPr>
                      <w:rFonts w:hint="eastAsia"/>
                      <w:color w:val="auto"/>
                      <w:highlight w:val="none"/>
                      <w:lang w:val="en-US" w:eastAsia="zh-CN"/>
                    </w:rPr>
                    <w:t>49.8</w:t>
                  </w:r>
                </w:p>
              </w:tc>
              <w:tc>
                <w:tcPr>
                  <w:tcW w:w="1157" w:type="pct"/>
                  <w:shd w:val="clear" w:color="auto" w:fill="FFFFFF"/>
                  <w:vAlign w:val="center"/>
                </w:tcPr>
                <w:p w14:paraId="485D48E8">
                  <w:pPr>
                    <w:pStyle w:val="286"/>
                    <w:framePr w:hSpace="0" w:wrap="auto" w:vAnchor="margin" w:hAnchor="text" w:xAlign="left" w:yAlign="inline"/>
                    <w:rPr>
                      <w:color w:val="auto"/>
                    </w:rPr>
                  </w:pPr>
                  <w:r>
                    <w:rPr>
                      <w:color w:val="auto"/>
                    </w:rPr>
                    <w:t>65</w:t>
                  </w:r>
                </w:p>
              </w:tc>
              <w:tc>
                <w:tcPr>
                  <w:tcW w:w="970" w:type="pct"/>
                  <w:shd w:val="clear" w:color="auto" w:fill="FFFFFF"/>
                  <w:vAlign w:val="center"/>
                </w:tcPr>
                <w:p w14:paraId="3DC2B4E3">
                  <w:pPr>
                    <w:pStyle w:val="286"/>
                    <w:framePr w:hSpace="0" w:wrap="auto" w:vAnchor="margin" w:hAnchor="text" w:xAlign="left" w:yAlign="inline"/>
                    <w:rPr>
                      <w:color w:val="auto"/>
                    </w:rPr>
                  </w:pPr>
                  <w:r>
                    <w:rPr>
                      <w:color w:val="auto"/>
                    </w:rPr>
                    <w:t>达标</w:t>
                  </w:r>
                </w:p>
              </w:tc>
            </w:tr>
          </w:tbl>
          <w:p w14:paraId="78E4DB5C">
            <w:pPr>
              <w:pStyle w:val="771"/>
              <w:bidi w:val="0"/>
              <w:rPr>
                <w:b/>
                <w:bCs/>
              </w:rPr>
            </w:pPr>
            <w:r>
              <w:rPr>
                <w:b/>
                <w:bCs/>
              </w:rPr>
              <w:t xml:space="preserve">4.4.3 </w:t>
            </w:r>
            <w:r>
              <w:rPr>
                <w:rFonts w:hint="eastAsia"/>
                <w:b/>
                <w:bCs/>
              </w:rPr>
              <w:t>噪声达标情况</w:t>
            </w:r>
          </w:p>
          <w:p w14:paraId="7EC043A4">
            <w:pPr>
              <w:pStyle w:val="771"/>
              <w:bidi w:val="0"/>
            </w:pPr>
            <w:r>
              <w:t>根据</w:t>
            </w:r>
            <w:r>
              <w:rPr>
                <w:rFonts w:hint="eastAsia"/>
              </w:rPr>
              <w:t>《淮南市中心城区声环境功能区划分方案》（2021年），</w:t>
            </w:r>
            <w:r>
              <w:t>本项目</w:t>
            </w:r>
            <w:r>
              <w:rPr>
                <w:rFonts w:hint="eastAsia"/>
                <w:lang w:eastAsia="zh-CN"/>
              </w:rPr>
              <w:t>位于淮南经济技术开发区高端装备产业园内</w:t>
            </w:r>
            <w:r>
              <w:t>，</w:t>
            </w:r>
            <w:r>
              <w:rPr>
                <w:rFonts w:hint="eastAsia"/>
                <w:lang w:eastAsia="zh-CN"/>
              </w:rPr>
              <w:t>处于</w:t>
            </w:r>
            <w:r>
              <w:t>声环境功能区3类区，厂界</w:t>
            </w:r>
            <w:r>
              <w:rPr>
                <w:rFonts w:hint="eastAsia"/>
              </w:rPr>
              <w:t>四周噪声</w:t>
            </w:r>
            <w:r>
              <w:t>排放执行《工业企业厂界环境噪声排放标准》（GB12348-2008）3类标准</w:t>
            </w:r>
            <w:r>
              <w:rPr>
                <w:rFonts w:hint="eastAsia"/>
              </w:rPr>
              <w:t>；</w:t>
            </w:r>
            <w:r>
              <w:t>由预测分析结果可知，本项目经减振、建筑隔声以及距离衰减后，建设项目厂界昼间声预测值满足《工业企业厂界环境噪声排放标准》</w:t>
            </w:r>
            <w:r>
              <w:rPr>
                <w:rFonts w:hint="eastAsia"/>
                <w:lang w:eastAsia="zh-CN"/>
              </w:rPr>
              <w:t>（</w:t>
            </w:r>
            <w:r>
              <w:t>GB12348-2008</w:t>
            </w:r>
            <w:r>
              <w:rPr>
                <w:rFonts w:hint="eastAsia"/>
                <w:lang w:eastAsia="zh-CN"/>
              </w:rPr>
              <w:t>）</w:t>
            </w:r>
            <w:r>
              <w:t>中3类标准要求，</w:t>
            </w:r>
            <w:r>
              <w:rPr>
                <w:rFonts w:hint="eastAsia"/>
                <w:lang w:eastAsia="zh-CN"/>
              </w:rPr>
              <w:t>因此，本项目不会对周围声环境产生明显影响</w:t>
            </w:r>
            <w:r>
              <w:rPr>
                <w:rFonts w:hint="eastAsia"/>
              </w:rPr>
              <w:t>。</w:t>
            </w:r>
          </w:p>
          <w:p w14:paraId="30EFE816">
            <w:pPr>
              <w:pStyle w:val="771"/>
              <w:bidi w:val="0"/>
              <w:rPr>
                <w:b/>
                <w:bCs/>
              </w:rPr>
            </w:pPr>
            <w:r>
              <w:rPr>
                <w:b/>
                <w:bCs/>
              </w:rPr>
              <w:t xml:space="preserve">4.4.4 </w:t>
            </w:r>
            <w:r>
              <w:rPr>
                <w:rFonts w:hint="eastAsia"/>
                <w:b/>
                <w:bCs/>
              </w:rPr>
              <w:t>噪声监测计划</w:t>
            </w:r>
          </w:p>
          <w:p w14:paraId="7EA7510E">
            <w:pPr>
              <w:pStyle w:val="771"/>
              <w:bidi w:val="0"/>
              <w:rPr>
                <w:bCs/>
                <w:color w:val="auto"/>
                <w:shd w:val="clear" w:color="auto" w:fill="FFFFFF"/>
              </w:rPr>
            </w:pPr>
            <w:r>
              <w:t>根据《排污单位自行监测技术指南 总则》（HJ819-2017）中的监测要求，本项目噪声监测计划如下表</w:t>
            </w:r>
            <w:r>
              <w:rPr>
                <w:rFonts w:hint="eastAsia"/>
              </w:rPr>
              <w:t>。</w:t>
            </w:r>
          </w:p>
          <w:p w14:paraId="352C609D">
            <w:pPr>
              <w:pStyle w:val="17"/>
              <w:keepNext w:val="0"/>
              <w:keepLines w:val="0"/>
              <w:pageBreakBefore w:val="0"/>
              <w:widowControl w:val="0"/>
              <w:tabs>
                <w:tab w:val="left" w:pos="3120"/>
              </w:tabs>
              <w:kinsoku/>
              <w:wordWrap/>
              <w:overflowPunct/>
              <w:topLinePunct w:val="0"/>
              <w:autoSpaceDE/>
              <w:autoSpaceDN/>
              <w:bidi w:val="0"/>
              <w:adjustRightInd w:val="0"/>
              <w:snapToGrid w:val="0"/>
              <w:spacing w:after="0" w:line="240" w:lineRule="auto"/>
              <w:textAlignment w:val="auto"/>
            </w:pPr>
            <w:r>
              <w:t xml:space="preserve">表 </w:t>
            </w:r>
            <w:r>
              <w:rPr>
                <w:rFonts w:hint="eastAsia"/>
                <w:lang w:val="en-US" w:eastAsia="zh-CN"/>
              </w:rPr>
              <w:t>4</w:t>
            </w:r>
            <w:r>
              <w:rPr>
                <w:rFonts w:hint="eastAsia"/>
                <w:lang w:eastAsia="zh-CN"/>
              </w:rPr>
              <w:t>-</w:t>
            </w:r>
            <w:r>
              <w:rPr>
                <w:rFonts w:hint="eastAsia"/>
                <w:lang w:val="en-US" w:eastAsia="zh-CN"/>
              </w:rPr>
              <w:t>8</w:t>
            </w:r>
            <w:r>
              <w:rPr>
                <w:color w:val="auto"/>
              </w:rPr>
              <w:t xml:space="preserve"> 本项目噪声监测计划</w:t>
            </w:r>
          </w:p>
          <w:tbl>
            <w:tblPr>
              <w:tblStyle w:val="57"/>
              <w:tblpPr w:leftFromText="180" w:rightFromText="180" w:vertAnchor="text" w:tblpXSpec="center" w:tblpY="1"/>
              <w:tblOverlap w:val="never"/>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82"/>
              <w:gridCol w:w="1624"/>
              <w:gridCol w:w="1678"/>
              <w:gridCol w:w="1431"/>
              <w:gridCol w:w="2885"/>
            </w:tblGrid>
            <w:tr w14:paraId="6FFDC5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19" w:type="pct"/>
                  <w:vAlign w:val="center"/>
                </w:tcPr>
                <w:p w14:paraId="14AC3440">
                  <w:pPr>
                    <w:pStyle w:val="286"/>
                    <w:framePr w:hSpace="0" w:wrap="auto" w:vAnchor="margin" w:hAnchor="text" w:xAlign="left" w:yAlign="inline"/>
                    <w:rPr>
                      <w:color w:val="auto"/>
                    </w:rPr>
                  </w:pPr>
                  <w:r>
                    <w:rPr>
                      <w:rFonts w:hint="eastAsia"/>
                      <w:color w:val="auto"/>
                    </w:rPr>
                    <w:t>污染类别</w:t>
                  </w:r>
                </w:p>
              </w:tc>
              <w:tc>
                <w:tcPr>
                  <w:tcW w:w="955" w:type="pct"/>
                  <w:vAlign w:val="center"/>
                </w:tcPr>
                <w:p w14:paraId="2D5D3AB7">
                  <w:pPr>
                    <w:pStyle w:val="286"/>
                    <w:framePr w:hSpace="0" w:wrap="auto" w:vAnchor="margin" w:hAnchor="text" w:xAlign="left" w:yAlign="inline"/>
                    <w:rPr>
                      <w:color w:val="auto"/>
                    </w:rPr>
                  </w:pPr>
                  <w:r>
                    <w:rPr>
                      <w:color w:val="auto"/>
                    </w:rPr>
                    <w:t>监测</w:t>
                  </w:r>
                  <w:r>
                    <w:rPr>
                      <w:rFonts w:hint="eastAsia"/>
                      <w:color w:val="auto"/>
                    </w:rPr>
                    <w:t>点位</w:t>
                  </w:r>
                </w:p>
              </w:tc>
              <w:tc>
                <w:tcPr>
                  <w:tcW w:w="987" w:type="pct"/>
                  <w:vAlign w:val="center"/>
                </w:tcPr>
                <w:p w14:paraId="6CA2528C">
                  <w:pPr>
                    <w:pStyle w:val="286"/>
                    <w:framePr w:hSpace="0" w:wrap="auto" w:vAnchor="margin" w:hAnchor="text" w:xAlign="left" w:yAlign="inline"/>
                    <w:rPr>
                      <w:color w:val="auto"/>
                    </w:rPr>
                  </w:pPr>
                  <w:r>
                    <w:rPr>
                      <w:color w:val="auto"/>
                    </w:rPr>
                    <w:t>监测项目</w:t>
                  </w:r>
                </w:p>
              </w:tc>
              <w:tc>
                <w:tcPr>
                  <w:tcW w:w="842" w:type="pct"/>
                  <w:vAlign w:val="center"/>
                </w:tcPr>
                <w:p w14:paraId="2A45BD6C">
                  <w:pPr>
                    <w:pStyle w:val="286"/>
                    <w:framePr w:hSpace="0" w:wrap="auto" w:vAnchor="margin" w:hAnchor="text" w:xAlign="left" w:yAlign="inline"/>
                    <w:rPr>
                      <w:color w:val="auto"/>
                    </w:rPr>
                  </w:pPr>
                  <w:r>
                    <w:rPr>
                      <w:color w:val="auto"/>
                    </w:rPr>
                    <w:t>监测频率</w:t>
                  </w:r>
                </w:p>
              </w:tc>
              <w:tc>
                <w:tcPr>
                  <w:tcW w:w="1697" w:type="pct"/>
                  <w:vAlign w:val="center"/>
                </w:tcPr>
                <w:p w14:paraId="508095C0">
                  <w:pPr>
                    <w:pStyle w:val="286"/>
                    <w:framePr w:hSpace="0" w:wrap="auto" w:vAnchor="margin" w:hAnchor="text" w:xAlign="left" w:yAlign="inline"/>
                    <w:rPr>
                      <w:color w:val="auto"/>
                    </w:rPr>
                  </w:pPr>
                  <w:r>
                    <w:rPr>
                      <w:color w:val="auto"/>
                    </w:rPr>
                    <w:t>执行排放标准</w:t>
                  </w:r>
                </w:p>
              </w:tc>
            </w:tr>
            <w:tr w14:paraId="74C03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trPr>
              <w:tc>
                <w:tcPr>
                  <w:tcW w:w="519" w:type="pct"/>
                  <w:vAlign w:val="center"/>
                </w:tcPr>
                <w:p w14:paraId="758D0A1E">
                  <w:pPr>
                    <w:pStyle w:val="286"/>
                    <w:framePr w:hSpace="0" w:wrap="auto" w:vAnchor="margin" w:hAnchor="text" w:xAlign="left" w:yAlign="inline"/>
                    <w:rPr>
                      <w:color w:val="auto"/>
                    </w:rPr>
                  </w:pPr>
                  <w:r>
                    <w:rPr>
                      <w:color w:val="auto"/>
                    </w:rPr>
                    <w:t>噪声</w:t>
                  </w:r>
                </w:p>
              </w:tc>
              <w:tc>
                <w:tcPr>
                  <w:tcW w:w="955" w:type="pct"/>
                  <w:vAlign w:val="center"/>
                </w:tcPr>
                <w:p w14:paraId="3ECA2167">
                  <w:pPr>
                    <w:pStyle w:val="286"/>
                    <w:framePr w:hSpace="0" w:wrap="auto" w:vAnchor="margin" w:hAnchor="text" w:xAlign="left" w:yAlign="inline"/>
                    <w:rPr>
                      <w:color w:val="auto"/>
                    </w:rPr>
                  </w:pPr>
                  <w:r>
                    <w:rPr>
                      <w:rFonts w:hint="eastAsia"/>
                      <w:color w:val="auto"/>
                    </w:rPr>
                    <w:t>厂</w:t>
                  </w:r>
                  <w:r>
                    <w:rPr>
                      <w:color w:val="auto"/>
                    </w:rPr>
                    <w:t>界外1</w:t>
                  </w:r>
                  <w:r>
                    <w:rPr>
                      <w:rFonts w:hint="eastAsia"/>
                      <w:color w:val="auto"/>
                    </w:rPr>
                    <w:t>m</w:t>
                  </w:r>
                  <w:r>
                    <w:rPr>
                      <w:color w:val="auto"/>
                    </w:rPr>
                    <w:t>处</w:t>
                  </w:r>
                </w:p>
              </w:tc>
              <w:tc>
                <w:tcPr>
                  <w:tcW w:w="987" w:type="pct"/>
                  <w:vAlign w:val="center"/>
                </w:tcPr>
                <w:p w14:paraId="6B7033AC">
                  <w:pPr>
                    <w:pStyle w:val="286"/>
                    <w:framePr w:hSpace="0" w:wrap="auto" w:vAnchor="margin" w:hAnchor="text" w:xAlign="left" w:yAlign="inline"/>
                    <w:rPr>
                      <w:color w:val="auto"/>
                    </w:rPr>
                  </w:pPr>
                  <w:r>
                    <w:rPr>
                      <w:color w:val="auto"/>
                    </w:rPr>
                    <w:t>等效连续A声级（</w:t>
                  </w:r>
                  <w:r>
                    <w:rPr>
                      <w:rFonts w:hint="eastAsia"/>
                      <w:color w:val="auto"/>
                      <w:lang w:val="en-US"/>
                    </w:rPr>
                    <w:t>昼间</w:t>
                  </w:r>
                  <w:r>
                    <w:rPr>
                      <w:color w:val="auto"/>
                    </w:rPr>
                    <w:t>）</w:t>
                  </w:r>
                </w:p>
              </w:tc>
              <w:tc>
                <w:tcPr>
                  <w:tcW w:w="842" w:type="pct"/>
                  <w:vAlign w:val="center"/>
                </w:tcPr>
                <w:p w14:paraId="4A7B43B9">
                  <w:pPr>
                    <w:pStyle w:val="286"/>
                    <w:framePr w:hSpace="0" w:wrap="auto" w:vAnchor="margin" w:hAnchor="text" w:xAlign="left" w:yAlign="inline"/>
                    <w:rPr>
                      <w:color w:val="auto"/>
                    </w:rPr>
                  </w:pPr>
                  <w:r>
                    <w:rPr>
                      <w:color w:val="auto"/>
                    </w:rPr>
                    <w:t>1次/</w:t>
                  </w:r>
                  <w:r>
                    <w:rPr>
                      <w:rFonts w:hint="eastAsia"/>
                      <w:color w:val="auto"/>
                    </w:rPr>
                    <w:t>季度</w:t>
                  </w:r>
                </w:p>
              </w:tc>
              <w:tc>
                <w:tcPr>
                  <w:tcW w:w="1697" w:type="pct"/>
                  <w:vAlign w:val="center"/>
                </w:tcPr>
                <w:p w14:paraId="75E1DBF5">
                  <w:pPr>
                    <w:pStyle w:val="286"/>
                    <w:framePr w:hSpace="0" w:wrap="auto" w:vAnchor="margin" w:hAnchor="text" w:xAlign="left" w:yAlign="inline"/>
                    <w:rPr>
                      <w:color w:val="auto"/>
                    </w:rPr>
                  </w:pPr>
                  <w:r>
                    <w:rPr>
                      <w:color w:val="auto"/>
                    </w:rPr>
                    <w:t>《工业企业厂界环境噪声排放标准》（GB12348-2008）</w:t>
                  </w:r>
                  <w:r>
                    <w:rPr>
                      <w:rFonts w:hint="eastAsia"/>
                      <w:color w:val="auto"/>
                    </w:rPr>
                    <w:t>3</w:t>
                  </w:r>
                  <w:r>
                    <w:rPr>
                      <w:color w:val="auto"/>
                    </w:rPr>
                    <w:t>类</w:t>
                  </w:r>
                </w:p>
              </w:tc>
            </w:tr>
          </w:tbl>
          <w:p w14:paraId="0D3E6901">
            <w:pPr>
              <w:pStyle w:val="771"/>
              <w:bidi w:val="0"/>
              <w:ind w:left="0" w:leftChars="0" w:firstLine="0" w:firstLineChars="0"/>
              <w:rPr>
                <w:b/>
                <w:bCs/>
              </w:rPr>
            </w:pPr>
            <w:bookmarkStart w:id="32" w:name="_Hlk174976989"/>
            <w:bookmarkStart w:id="33" w:name="_Hlk174976929"/>
            <w:r>
              <w:rPr>
                <w:b/>
                <w:bCs/>
              </w:rPr>
              <w:t xml:space="preserve">4.5 </w:t>
            </w:r>
            <w:r>
              <w:rPr>
                <w:rFonts w:hint="eastAsia"/>
                <w:b/>
                <w:bCs/>
              </w:rPr>
              <w:t>营运期固废治理措施和环境影响分析</w:t>
            </w:r>
          </w:p>
          <w:p w14:paraId="2E4F0788">
            <w:pPr>
              <w:pStyle w:val="771"/>
              <w:bidi w:val="0"/>
              <w:rPr>
                <w:b/>
                <w:bCs/>
              </w:rPr>
            </w:pPr>
            <w:r>
              <w:rPr>
                <w:b/>
                <w:bCs/>
              </w:rPr>
              <w:t>4.5.1 本</w:t>
            </w:r>
            <w:r>
              <w:rPr>
                <w:rFonts w:hint="eastAsia"/>
                <w:b/>
                <w:bCs/>
              </w:rPr>
              <w:t>项目固废污染源强情况</w:t>
            </w:r>
          </w:p>
          <w:p w14:paraId="28E0C0C7">
            <w:pPr>
              <w:pStyle w:val="771"/>
              <w:bidi w:val="0"/>
            </w:pPr>
            <w:r>
              <w:rPr>
                <w:rFonts w:hint="eastAsia"/>
              </w:rPr>
              <w:t>本项目运营期产生的固体废弃物包括一般工业固废和生活垃圾。</w:t>
            </w:r>
          </w:p>
          <w:p w14:paraId="51505A00">
            <w:pPr>
              <w:pStyle w:val="771"/>
              <w:bidi w:val="0"/>
              <w:rPr>
                <w:rFonts w:hint="default"/>
                <w:lang w:val="en-US" w:eastAsia="zh-CN"/>
              </w:rPr>
            </w:pPr>
            <w:r>
              <w:rPr>
                <w:rFonts w:hint="eastAsia"/>
                <w:lang w:val="en-US" w:eastAsia="zh-CN"/>
              </w:rPr>
              <w:t>1、</w:t>
            </w:r>
            <w:r>
              <w:rPr>
                <w:rFonts w:hint="eastAsia"/>
                <w:lang w:eastAsia="zh-CN"/>
              </w:rPr>
              <w:t>废包装袋</w:t>
            </w:r>
            <w:r>
              <w:rPr>
                <w:rFonts w:hint="eastAsia"/>
                <w:lang w:val="en-US" w:eastAsia="zh-CN"/>
              </w:rPr>
              <w:t>S1</w:t>
            </w:r>
          </w:p>
          <w:p w14:paraId="12998553">
            <w:pPr>
              <w:pStyle w:val="771"/>
              <w:bidi w:val="0"/>
              <w:rPr>
                <w:rFonts w:hint="eastAsia"/>
                <w:lang w:val="en-US" w:eastAsia="zh-CN"/>
              </w:rPr>
            </w:pPr>
            <w:r>
              <w:rPr>
                <w:rFonts w:hint="eastAsia"/>
                <w:lang w:val="en-US" w:eastAsia="zh-CN"/>
              </w:rPr>
              <w:t>本项目面粉等原料均为袋装，且产品包装时会存在废弃、残缺的包装。包装材料多为塑料制品，属于一般工业固废。根据建设单位提供资料，预计废包装袋年产生量约为2.5t，经收集后外售给物资回收公司。</w:t>
            </w:r>
          </w:p>
          <w:p w14:paraId="1250227B">
            <w:pPr>
              <w:pStyle w:val="771"/>
              <w:bidi w:val="0"/>
              <w:rPr>
                <w:rFonts w:hint="eastAsia"/>
                <w:lang w:val="en-US" w:eastAsia="zh-CN"/>
              </w:rPr>
            </w:pPr>
            <w:r>
              <w:rPr>
                <w:rFonts w:hint="eastAsia"/>
                <w:lang w:val="en-US" w:eastAsia="zh-CN"/>
              </w:rPr>
              <w:t>2、边角料、不合格产品S2</w:t>
            </w:r>
          </w:p>
          <w:p w14:paraId="4307D420">
            <w:pPr>
              <w:pStyle w:val="771"/>
              <w:bidi w:val="0"/>
              <w:rPr>
                <w:rFonts w:hint="default"/>
                <w:lang w:val="en-US" w:eastAsia="zh-CN"/>
              </w:rPr>
            </w:pPr>
            <w:r>
              <w:rPr>
                <w:rFonts w:hint="eastAsia"/>
                <w:lang w:val="en-US" w:eastAsia="zh-CN"/>
              </w:rPr>
              <w:t>生产过程中会产生边角料、不合格产品，根据业主提供资料，残次边角料和不合格品年产生量约为2.6t/a，集中收集后外售作为饲料生产使用。</w:t>
            </w:r>
          </w:p>
          <w:p w14:paraId="3BA47070">
            <w:pPr>
              <w:pStyle w:val="771"/>
              <w:bidi w:val="0"/>
              <w:rPr>
                <w:rFonts w:hint="default"/>
                <w:lang w:val="en-US" w:eastAsia="zh-CN"/>
              </w:rPr>
            </w:pPr>
            <w:r>
              <w:rPr>
                <w:rFonts w:hint="eastAsia"/>
                <w:lang w:val="en-US" w:eastAsia="zh-CN"/>
              </w:rPr>
              <w:t>3、车间布袋收集粉尘S3</w:t>
            </w:r>
          </w:p>
          <w:p w14:paraId="73162B3B">
            <w:pPr>
              <w:pStyle w:val="771"/>
              <w:bidi w:val="0"/>
            </w:pPr>
            <w:r>
              <w:rPr>
                <w:rFonts w:hint="eastAsia"/>
                <w:lang w:val="en-US" w:eastAsia="zh-CN"/>
              </w:rPr>
              <w:t>车间布袋收集的粉尘主要为面粉，其产生量约0.07</w:t>
            </w:r>
            <w:r>
              <w:rPr>
                <w:rFonts w:hint="default"/>
                <w:lang w:val="en-US" w:eastAsia="zh-CN"/>
              </w:rPr>
              <w:t>t/a</w:t>
            </w:r>
            <w:r>
              <w:rPr>
                <w:rFonts w:hint="eastAsia"/>
                <w:lang w:val="en-US" w:eastAsia="zh-CN"/>
              </w:rPr>
              <w:t>，属于与生活垃圾性质相近的一般工业固废，收集暂存后定期拟外售作饲料使用。</w:t>
            </w:r>
          </w:p>
          <w:p w14:paraId="2581321C">
            <w:pPr>
              <w:pStyle w:val="771"/>
              <w:bidi w:val="0"/>
              <w:rPr>
                <w:rFonts w:hint="eastAsia"/>
                <w:lang w:val="en-US" w:eastAsia="zh-CN"/>
              </w:rPr>
            </w:pPr>
            <w:r>
              <w:rPr>
                <w:rFonts w:hint="eastAsia"/>
                <w:lang w:val="en-US" w:eastAsia="zh-CN"/>
              </w:rPr>
              <w:t>4、沉淀池沉渣S4</w:t>
            </w:r>
          </w:p>
          <w:p w14:paraId="1E631856">
            <w:pPr>
              <w:pStyle w:val="771"/>
              <w:bidi w:val="0"/>
            </w:pPr>
            <w:r>
              <w:rPr>
                <w:rFonts w:hint="eastAsia"/>
                <w:lang w:val="en-US" w:eastAsia="zh-CN"/>
              </w:rPr>
              <w:t>本项目洗米废水、设备清洗废水和地面保洁废水经厂区</w:t>
            </w:r>
            <w:r>
              <w:rPr>
                <w:rFonts w:hint="eastAsia"/>
                <w:lang w:eastAsia="zh-CN"/>
              </w:rPr>
              <w:t>油水分离池和</w:t>
            </w:r>
            <w:r>
              <w:rPr>
                <w:rFonts w:hint="eastAsia"/>
                <w:lang w:val="en-US" w:eastAsia="zh-CN"/>
              </w:rPr>
              <w:t>沉淀池处理后汇同生活污水接入园区污水管网，因此沉淀池会产生一定量的沉渣。根据企业提供的资料，沉淀池沉渣产生量约为</w:t>
            </w:r>
            <w:r>
              <w:rPr>
                <w:rFonts w:hint="default"/>
                <w:lang w:val="en-US" w:eastAsia="zh-CN"/>
              </w:rPr>
              <w:t>0.5t/a</w:t>
            </w:r>
            <w:r>
              <w:rPr>
                <w:rFonts w:hint="eastAsia"/>
                <w:lang w:val="en-US" w:eastAsia="zh-CN"/>
              </w:rPr>
              <w:t>，定期由环卫部门进行清掏处理。</w:t>
            </w:r>
          </w:p>
          <w:p w14:paraId="269AE258">
            <w:pPr>
              <w:pStyle w:val="771"/>
              <w:bidi w:val="0"/>
              <w:rPr>
                <w:rFonts w:hint="default"/>
                <w:lang w:val="en-US" w:eastAsia="zh-CN"/>
              </w:rPr>
            </w:pPr>
            <w:r>
              <w:rPr>
                <w:rFonts w:hint="eastAsia"/>
                <w:lang w:val="en-US" w:eastAsia="zh-CN"/>
              </w:rPr>
              <w:t>5、生活垃圾S5</w:t>
            </w:r>
          </w:p>
          <w:p w14:paraId="7246894C">
            <w:pPr>
              <w:pStyle w:val="771"/>
              <w:bidi w:val="0"/>
              <w:rPr>
                <w:rFonts w:hint="eastAsia"/>
                <w:lang w:val="en-US" w:eastAsia="zh-CN"/>
              </w:rPr>
            </w:pPr>
            <w:r>
              <w:rPr>
                <w:rFonts w:hint="eastAsia"/>
                <w:lang w:val="en-US" w:eastAsia="zh-CN"/>
              </w:rPr>
              <w:t>项目生活垃圾主要为员工日常生活产生，项目设劳动定员20人，年工作300天。生活垃圾产生量按照</w:t>
            </w:r>
            <w:r>
              <w:rPr>
                <w:rFonts w:hint="default"/>
                <w:lang w:val="en-US" w:eastAsia="zh-CN"/>
              </w:rPr>
              <w:t>0.5kg</w:t>
            </w:r>
            <w:r>
              <w:rPr>
                <w:rFonts w:hint="eastAsia"/>
                <w:lang w:val="en-US" w:eastAsia="zh-CN"/>
              </w:rPr>
              <w:t>/人·天计算，预计生活垃圾产生量为3</w:t>
            </w:r>
            <w:r>
              <w:rPr>
                <w:rFonts w:hint="default"/>
                <w:lang w:val="en-US" w:eastAsia="zh-CN"/>
              </w:rPr>
              <w:t>t/a</w:t>
            </w:r>
            <w:r>
              <w:rPr>
                <w:rFonts w:hint="eastAsia"/>
                <w:lang w:val="en-US" w:eastAsia="zh-CN"/>
              </w:rPr>
              <w:t>，由环卫部门统一清运。</w:t>
            </w:r>
          </w:p>
          <w:p w14:paraId="18129AFB">
            <w:pPr>
              <w:pStyle w:val="771"/>
              <w:bidi w:val="0"/>
              <w:rPr>
                <w:rFonts w:hint="default"/>
                <w:lang w:val="en-US" w:eastAsia="zh-CN"/>
              </w:rPr>
            </w:pPr>
            <w:r>
              <w:rPr>
                <w:rFonts w:hint="eastAsia"/>
                <w:lang w:val="en-US" w:eastAsia="zh-CN"/>
              </w:rPr>
              <w:t>6、废培养基S6</w:t>
            </w:r>
          </w:p>
          <w:p w14:paraId="4028EA1F">
            <w:pPr>
              <w:pStyle w:val="771"/>
              <w:bidi w:val="0"/>
            </w:pPr>
            <w:r>
              <w:rPr>
                <w:rFonts w:hint="eastAsia"/>
                <w:lang w:val="en-US" w:eastAsia="zh-CN"/>
              </w:rPr>
              <w:t>本项目检验室对产品进行微生物检测后，产生废培养基，建设单位进行高温灭活处理，预计废培养基年产生量为</w:t>
            </w:r>
            <w:r>
              <w:rPr>
                <w:rFonts w:hint="default"/>
                <w:lang w:val="en-US" w:eastAsia="zh-CN"/>
              </w:rPr>
              <w:t>2kg/a</w:t>
            </w:r>
            <w:r>
              <w:rPr>
                <w:rFonts w:hint="eastAsia"/>
                <w:lang w:val="en-US" w:eastAsia="zh-CN"/>
              </w:rPr>
              <w:t>，主要成分为琼脂，属《固体废物分类与代码目录》（生态环境部公告</w:t>
            </w:r>
            <w:r>
              <w:rPr>
                <w:rFonts w:hint="default"/>
                <w:lang w:val="en-US" w:eastAsia="zh-CN"/>
              </w:rPr>
              <w:t>2024</w:t>
            </w:r>
            <w:r>
              <w:rPr>
                <w:rFonts w:hint="eastAsia"/>
                <w:lang w:val="en-US" w:eastAsia="zh-CN"/>
              </w:rPr>
              <w:t>年第</w:t>
            </w:r>
            <w:r>
              <w:rPr>
                <w:rFonts w:hint="default"/>
                <w:lang w:val="en-US" w:eastAsia="zh-CN"/>
              </w:rPr>
              <w:t>4</w:t>
            </w:r>
            <w:r>
              <w:rPr>
                <w:rFonts w:hint="eastAsia"/>
                <w:lang w:val="en-US" w:eastAsia="zh-CN"/>
              </w:rPr>
              <w:t>号）中实验室固体废物。</w:t>
            </w:r>
          </w:p>
          <w:p w14:paraId="11B6F06F">
            <w:pPr>
              <w:pStyle w:val="771"/>
              <w:bidi w:val="0"/>
              <w:rPr>
                <w:bCs/>
                <w:color w:val="auto"/>
              </w:rPr>
            </w:pPr>
            <w:r>
              <w:rPr>
                <w:rFonts w:hint="eastAsia"/>
              </w:rPr>
              <w:t>项目固废产生情况汇总见下表。</w:t>
            </w:r>
          </w:p>
          <w:bookmarkEnd w:id="32"/>
          <w:bookmarkEnd w:id="33"/>
          <w:p w14:paraId="2E45CCA7">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default" w:eastAsia="宋体"/>
                <w:lang w:val="en-US" w:eastAsia="zh-CN"/>
              </w:rPr>
            </w:pPr>
            <w:bookmarkStart w:id="34" w:name="_Hlk174023139"/>
            <w:r>
              <w:t xml:space="preserve">表 </w:t>
            </w:r>
            <w:r>
              <w:rPr>
                <w:rFonts w:hint="eastAsia"/>
                <w:lang w:val="en-US" w:eastAsia="zh-CN"/>
              </w:rPr>
              <w:t>4</w:t>
            </w:r>
            <w:r>
              <w:rPr>
                <w:rFonts w:hint="eastAsia"/>
                <w:lang w:eastAsia="zh-CN"/>
              </w:rPr>
              <w:t>-</w:t>
            </w:r>
            <w:r>
              <w:rPr>
                <w:rFonts w:hint="eastAsia"/>
                <w:lang w:val="en-US" w:eastAsia="zh-CN"/>
              </w:rPr>
              <w:t>9 本项目</w:t>
            </w:r>
            <w:r>
              <w:rPr>
                <w:rFonts w:hint="eastAsia"/>
                <w:color w:val="auto"/>
              </w:rPr>
              <w:t>固废</w:t>
            </w:r>
            <w:r>
              <w:rPr>
                <w:color w:val="auto"/>
              </w:rPr>
              <w:t>产生情况汇总表</w:t>
            </w:r>
          </w:p>
          <w:tbl>
            <w:tblPr>
              <w:tblStyle w:val="57"/>
              <w:tblpPr w:vertAnchor="text" w:tblpXSpec="center" w:tblpY="1"/>
              <w:tblOverlap w:val="never"/>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2"/>
              <w:gridCol w:w="994"/>
              <w:gridCol w:w="1533"/>
              <w:gridCol w:w="1060"/>
              <w:gridCol w:w="897"/>
              <w:gridCol w:w="822"/>
              <w:gridCol w:w="771"/>
              <w:gridCol w:w="1196"/>
              <w:gridCol w:w="742"/>
            </w:tblGrid>
            <w:tr w14:paraId="68767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284" w:type="pct"/>
                  <w:vAlign w:val="center"/>
                </w:tcPr>
                <w:p w14:paraId="57E7CAC6">
                  <w:pPr>
                    <w:pStyle w:val="286"/>
                    <w:framePr w:hSpace="0" w:wrap="auto" w:vAnchor="margin" w:hAnchor="text" w:xAlign="left" w:yAlign="inline"/>
                    <w:rPr>
                      <w:color w:val="auto"/>
                    </w:rPr>
                  </w:pPr>
                  <w:r>
                    <w:rPr>
                      <w:color w:val="auto"/>
                    </w:rPr>
                    <w:t>序号</w:t>
                  </w:r>
                </w:p>
              </w:tc>
              <w:tc>
                <w:tcPr>
                  <w:tcW w:w="584" w:type="pct"/>
                  <w:vAlign w:val="center"/>
                </w:tcPr>
                <w:p w14:paraId="725AFFE5">
                  <w:pPr>
                    <w:pStyle w:val="286"/>
                    <w:framePr w:hSpace="0" w:wrap="auto" w:vAnchor="margin" w:hAnchor="text" w:xAlign="left" w:yAlign="inline"/>
                    <w:rPr>
                      <w:color w:val="auto"/>
                    </w:rPr>
                  </w:pPr>
                  <w:r>
                    <w:rPr>
                      <w:color w:val="auto"/>
                    </w:rPr>
                    <w:t>固废名称</w:t>
                  </w:r>
                </w:p>
              </w:tc>
              <w:tc>
                <w:tcPr>
                  <w:tcW w:w="901" w:type="pct"/>
                  <w:vAlign w:val="center"/>
                </w:tcPr>
                <w:p w14:paraId="2817D899">
                  <w:pPr>
                    <w:pStyle w:val="286"/>
                    <w:framePr w:hSpace="0" w:wrap="auto" w:vAnchor="margin" w:hAnchor="text" w:xAlign="left" w:yAlign="inline"/>
                    <w:rPr>
                      <w:rFonts w:hint="eastAsia" w:eastAsia="宋体"/>
                      <w:color w:val="auto"/>
                      <w:lang w:eastAsia="zh-CN"/>
                    </w:rPr>
                  </w:pPr>
                  <w:r>
                    <w:rPr>
                      <w:rFonts w:hint="eastAsia"/>
                      <w:color w:val="auto"/>
                      <w:lang w:eastAsia="zh-CN"/>
                    </w:rPr>
                    <w:t>编码</w:t>
                  </w:r>
                </w:p>
              </w:tc>
              <w:tc>
                <w:tcPr>
                  <w:tcW w:w="623" w:type="pct"/>
                  <w:vAlign w:val="center"/>
                </w:tcPr>
                <w:p w14:paraId="35DD2858">
                  <w:pPr>
                    <w:pStyle w:val="286"/>
                    <w:framePr w:hSpace="0" w:wrap="auto" w:vAnchor="margin" w:hAnchor="text" w:xAlign="left" w:yAlign="inline"/>
                    <w:rPr>
                      <w:rFonts w:hint="eastAsia" w:eastAsia="宋体"/>
                      <w:color w:val="auto"/>
                      <w:lang w:eastAsia="zh-CN"/>
                    </w:rPr>
                  </w:pPr>
                  <w:r>
                    <w:rPr>
                      <w:rFonts w:hint="eastAsia"/>
                      <w:color w:val="auto"/>
                      <w:lang w:eastAsia="zh-CN"/>
                    </w:rPr>
                    <w:t>废物代码</w:t>
                  </w:r>
                </w:p>
              </w:tc>
              <w:tc>
                <w:tcPr>
                  <w:tcW w:w="527" w:type="pct"/>
                  <w:vAlign w:val="center"/>
                </w:tcPr>
                <w:p w14:paraId="00618BBE">
                  <w:pPr>
                    <w:pStyle w:val="286"/>
                    <w:framePr w:hSpace="0" w:wrap="auto" w:vAnchor="margin" w:hAnchor="text" w:xAlign="left" w:yAlign="inline"/>
                    <w:rPr>
                      <w:rFonts w:hint="eastAsia" w:eastAsia="宋体"/>
                      <w:color w:val="auto"/>
                      <w:lang w:eastAsia="zh-CN"/>
                    </w:rPr>
                  </w:pPr>
                  <w:r>
                    <w:rPr>
                      <w:rFonts w:hint="eastAsia"/>
                      <w:color w:val="auto"/>
                      <w:lang w:eastAsia="zh-CN"/>
                    </w:rPr>
                    <w:t>物理性状</w:t>
                  </w:r>
                </w:p>
              </w:tc>
              <w:tc>
                <w:tcPr>
                  <w:tcW w:w="483" w:type="pct"/>
                  <w:vAlign w:val="center"/>
                </w:tcPr>
                <w:p w14:paraId="393AAE59">
                  <w:pPr>
                    <w:pStyle w:val="286"/>
                    <w:framePr w:hSpace="0" w:wrap="auto" w:vAnchor="margin" w:hAnchor="text" w:xAlign="left" w:yAlign="inline"/>
                    <w:rPr>
                      <w:rFonts w:hint="default" w:eastAsia="宋体"/>
                      <w:color w:val="auto"/>
                      <w:lang w:val="en-US" w:eastAsia="zh-CN"/>
                    </w:rPr>
                  </w:pPr>
                  <w:r>
                    <w:rPr>
                      <w:rFonts w:hint="eastAsia"/>
                      <w:color w:val="auto"/>
                      <w:lang w:eastAsia="zh-CN"/>
                    </w:rPr>
                    <w:t>产生量</w:t>
                  </w:r>
                  <w:r>
                    <w:rPr>
                      <w:rFonts w:hint="eastAsia"/>
                      <w:color w:val="auto"/>
                      <w:lang w:val="en-US" w:eastAsia="zh-CN"/>
                    </w:rPr>
                    <w:t>t/a</w:t>
                  </w:r>
                </w:p>
              </w:tc>
              <w:tc>
                <w:tcPr>
                  <w:tcW w:w="453" w:type="pct"/>
                  <w:vAlign w:val="center"/>
                </w:tcPr>
                <w:p w14:paraId="4941D135">
                  <w:pPr>
                    <w:pStyle w:val="286"/>
                    <w:framePr w:hSpace="0" w:wrap="auto" w:vAnchor="margin" w:hAnchor="text" w:xAlign="left" w:yAlign="inline"/>
                    <w:rPr>
                      <w:rFonts w:hint="eastAsia"/>
                      <w:color w:val="auto"/>
                      <w:lang w:eastAsia="zh-CN"/>
                    </w:rPr>
                  </w:pPr>
                  <w:r>
                    <w:rPr>
                      <w:rFonts w:hint="eastAsia"/>
                      <w:color w:val="auto"/>
                      <w:lang w:eastAsia="zh-CN"/>
                    </w:rPr>
                    <w:t>类型</w:t>
                  </w:r>
                </w:p>
              </w:tc>
              <w:tc>
                <w:tcPr>
                  <w:tcW w:w="703" w:type="pct"/>
                  <w:vAlign w:val="center"/>
                </w:tcPr>
                <w:p w14:paraId="706A6BDF">
                  <w:pPr>
                    <w:pStyle w:val="286"/>
                    <w:framePr w:hSpace="0" w:wrap="auto" w:vAnchor="margin" w:hAnchor="text" w:xAlign="left" w:yAlign="inline"/>
                    <w:rPr>
                      <w:rFonts w:hint="eastAsia"/>
                      <w:color w:val="auto"/>
                      <w:lang w:eastAsia="zh-CN"/>
                    </w:rPr>
                  </w:pPr>
                  <w:r>
                    <w:rPr>
                      <w:rFonts w:hint="eastAsia"/>
                      <w:color w:val="auto"/>
                      <w:lang w:eastAsia="zh-CN"/>
                    </w:rPr>
                    <w:t>处置方式</w:t>
                  </w:r>
                </w:p>
              </w:tc>
              <w:tc>
                <w:tcPr>
                  <w:tcW w:w="436" w:type="pct"/>
                  <w:vAlign w:val="center"/>
                </w:tcPr>
                <w:p w14:paraId="1B3F5A43">
                  <w:pPr>
                    <w:pStyle w:val="286"/>
                    <w:framePr w:hSpace="0" w:wrap="auto" w:vAnchor="margin" w:hAnchor="text" w:xAlign="left" w:yAlign="inline"/>
                    <w:rPr>
                      <w:rFonts w:hint="eastAsia" w:eastAsia="宋体"/>
                      <w:color w:val="auto"/>
                      <w:lang w:eastAsia="zh-CN"/>
                    </w:rPr>
                  </w:pPr>
                  <w:r>
                    <w:rPr>
                      <w:rFonts w:hint="eastAsia"/>
                      <w:color w:val="auto"/>
                      <w:lang w:eastAsia="zh-CN"/>
                    </w:rPr>
                    <w:t>是否符合环保要求</w:t>
                  </w:r>
                </w:p>
              </w:tc>
            </w:tr>
            <w:tr w14:paraId="71C9B1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284" w:type="pct"/>
                  <w:vAlign w:val="center"/>
                </w:tcPr>
                <w:p w14:paraId="244A63FA">
                  <w:pPr>
                    <w:pStyle w:val="286"/>
                    <w:framePr w:hSpace="0" w:wrap="auto" w:vAnchor="margin" w:hAnchor="text" w:xAlign="left" w:yAlign="inline"/>
                    <w:numPr>
                      <w:ilvl w:val="0"/>
                      <w:numId w:val="0"/>
                    </w:numPr>
                    <w:ind w:left="0" w:leftChars="0" w:firstLine="0" w:firstLineChars="0"/>
                    <w:rPr>
                      <w:color w:val="auto"/>
                    </w:rPr>
                  </w:pPr>
                  <w:r>
                    <w:rPr>
                      <w:rFonts w:hint="eastAsia" w:ascii="Times New Roman" w:hAnsi="Times New Roman" w:eastAsia="宋体" w:cs="宋体"/>
                      <w:color w:val="auto"/>
                      <w:kern w:val="2"/>
                      <w:sz w:val="18"/>
                      <w:szCs w:val="22"/>
                      <w:lang w:val="zh-CN" w:eastAsia="zh-CN" w:bidi="ar-SA"/>
                    </w:rPr>
                    <w:t>1</w:t>
                  </w:r>
                </w:p>
              </w:tc>
              <w:tc>
                <w:tcPr>
                  <w:tcW w:w="584" w:type="pct"/>
                  <w:vAlign w:val="center"/>
                </w:tcPr>
                <w:p w14:paraId="54EA353A">
                  <w:pPr>
                    <w:pStyle w:val="286"/>
                    <w:framePr w:hSpace="0" w:wrap="auto" w:vAnchor="margin" w:hAnchor="text" w:xAlign="left" w:yAlign="inline"/>
                    <w:rPr>
                      <w:rFonts w:hint="eastAsia" w:eastAsia="宋体"/>
                      <w:color w:val="auto"/>
                      <w:lang w:eastAsia="zh-CN"/>
                    </w:rPr>
                  </w:pPr>
                  <w:r>
                    <w:rPr>
                      <w:rFonts w:hint="eastAsia"/>
                      <w:color w:val="auto"/>
                      <w:lang w:eastAsia="zh-CN"/>
                    </w:rPr>
                    <w:t>废包装袋</w:t>
                  </w:r>
                </w:p>
              </w:tc>
              <w:tc>
                <w:tcPr>
                  <w:tcW w:w="901" w:type="pct"/>
                  <w:vAlign w:val="center"/>
                </w:tcPr>
                <w:p w14:paraId="3808CFE2">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SW17可再生类废物</w:t>
                  </w:r>
                </w:p>
              </w:tc>
              <w:tc>
                <w:tcPr>
                  <w:tcW w:w="623" w:type="pct"/>
                  <w:vAlign w:val="center"/>
                </w:tcPr>
                <w:p w14:paraId="451BD476">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900-003-S17</w:t>
                  </w:r>
                </w:p>
              </w:tc>
              <w:tc>
                <w:tcPr>
                  <w:tcW w:w="527" w:type="pct"/>
                  <w:shd w:val="clear" w:color="auto" w:fill="auto"/>
                  <w:vAlign w:val="center"/>
                </w:tcPr>
                <w:p w14:paraId="57B29805">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color w:val="auto"/>
                    </w:rPr>
                    <w:t>固态</w:t>
                  </w:r>
                </w:p>
              </w:tc>
              <w:tc>
                <w:tcPr>
                  <w:tcW w:w="483" w:type="pct"/>
                  <w:vAlign w:val="center"/>
                </w:tcPr>
                <w:p w14:paraId="797ED9E5">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2.5</w:t>
                  </w:r>
                </w:p>
              </w:tc>
              <w:tc>
                <w:tcPr>
                  <w:tcW w:w="453" w:type="pct"/>
                  <w:vAlign w:val="center"/>
                </w:tcPr>
                <w:p w14:paraId="7E72B801">
                  <w:pPr>
                    <w:keepNext w:val="0"/>
                    <w:keepLines w:val="0"/>
                    <w:widowControl/>
                    <w:suppressLineNumbers w:val="0"/>
                    <w:jc w:val="left"/>
                    <w:rPr>
                      <w:rFonts w:hint="eastAsia" w:ascii="Times New Roman" w:hAnsi="Times New Roman" w:eastAsia="宋体" w:cs="宋体"/>
                      <w:color w:val="auto"/>
                      <w:kern w:val="2"/>
                      <w:sz w:val="18"/>
                      <w:szCs w:val="22"/>
                      <w:lang w:val="zh-CN" w:eastAsia="zh-CN" w:bidi="ar-SA"/>
                    </w:rPr>
                  </w:pPr>
                  <w:r>
                    <w:rPr>
                      <w:rFonts w:hint="eastAsia" w:ascii="Times New Roman" w:hAnsi="Times New Roman" w:eastAsia="宋体" w:cs="宋体"/>
                      <w:color w:val="auto"/>
                      <w:kern w:val="2"/>
                      <w:sz w:val="18"/>
                      <w:szCs w:val="22"/>
                      <w:lang w:val="en-US" w:eastAsia="zh-CN" w:bidi="ar-SA"/>
                    </w:rPr>
                    <w:t>一般工业固废</w:t>
                  </w:r>
                </w:p>
              </w:tc>
              <w:tc>
                <w:tcPr>
                  <w:tcW w:w="703" w:type="pct"/>
                  <w:vAlign w:val="center"/>
                </w:tcPr>
                <w:p w14:paraId="5034CB9B">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ascii="Times New Roman" w:hAnsi="Times New Roman" w:eastAsia="宋体" w:cs="宋体"/>
                      <w:color w:val="auto"/>
                      <w:kern w:val="2"/>
                      <w:sz w:val="18"/>
                      <w:szCs w:val="22"/>
                      <w:lang w:val="zh-CN" w:eastAsia="zh-CN" w:bidi="ar-SA"/>
                    </w:rPr>
                    <w:t>外售给物资回收</w:t>
                  </w:r>
                </w:p>
              </w:tc>
              <w:tc>
                <w:tcPr>
                  <w:tcW w:w="436" w:type="pct"/>
                  <w:vAlign w:val="center"/>
                </w:tcPr>
                <w:p w14:paraId="127A1D7B">
                  <w:pPr>
                    <w:pStyle w:val="286"/>
                    <w:framePr w:hSpace="0" w:wrap="auto" w:vAnchor="margin" w:hAnchor="text" w:xAlign="left" w:yAlign="inline"/>
                    <w:rPr>
                      <w:rFonts w:hint="eastAsia" w:eastAsia="宋体"/>
                      <w:color w:val="auto"/>
                      <w:lang w:eastAsia="zh-CN"/>
                    </w:rPr>
                  </w:pPr>
                  <w:r>
                    <w:rPr>
                      <w:rFonts w:hint="eastAsia"/>
                      <w:color w:val="auto"/>
                      <w:lang w:eastAsia="zh-CN"/>
                    </w:rPr>
                    <w:t>是</w:t>
                  </w:r>
                </w:p>
              </w:tc>
            </w:tr>
            <w:tr w14:paraId="01E80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284" w:type="pct"/>
                  <w:vAlign w:val="center"/>
                </w:tcPr>
                <w:p w14:paraId="61B50A2F">
                  <w:pPr>
                    <w:pStyle w:val="286"/>
                    <w:framePr w:hSpace="0" w:wrap="auto" w:vAnchor="margin" w:hAnchor="text" w:xAlign="left" w:yAlign="inline"/>
                    <w:numPr>
                      <w:ilvl w:val="0"/>
                      <w:numId w:val="0"/>
                    </w:numPr>
                    <w:ind w:left="0" w:leftChars="0" w:firstLine="0" w:firstLineChars="0"/>
                    <w:rPr>
                      <w:color w:val="auto"/>
                    </w:rPr>
                  </w:pPr>
                  <w:r>
                    <w:rPr>
                      <w:rFonts w:hint="eastAsia" w:ascii="Times New Roman" w:hAnsi="Times New Roman" w:eastAsia="宋体" w:cs="宋体"/>
                      <w:color w:val="auto"/>
                      <w:kern w:val="2"/>
                      <w:sz w:val="18"/>
                      <w:szCs w:val="22"/>
                      <w:lang w:val="zh-CN" w:eastAsia="zh-CN" w:bidi="ar-SA"/>
                    </w:rPr>
                    <w:t>2</w:t>
                  </w:r>
                </w:p>
              </w:tc>
              <w:tc>
                <w:tcPr>
                  <w:tcW w:w="584" w:type="pct"/>
                  <w:vAlign w:val="center"/>
                </w:tcPr>
                <w:p w14:paraId="79549B97">
                  <w:pPr>
                    <w:pStyle w:val="286"/>
                    <w:framePr w:hSpace="0" w:wrap="auto" w:vAnchor="margin" w:hAnchor="text" w:xAlign="left" w:yAlign="inline"/>
                    <w:rPr>
                      <w:rFonts w:hint="eastAsia" w:eastAsia="宋体"/>
                      <w:color w:val="auto"/>
                      <w:lang w:eastAsia="zh-CN"/>
                    </w:rPr>
                  </w:pPr>
                  <w:r>
                    <w:rPr>
                      <w:rFonts w:hint="eastAsia"/>
                      <w:color w:val="auto"/>
                      <w:lang w:eastAsia="zh-CN"/>
                    </w:rPr>
                    <w:t>边角料、不合格品</w:t>
                  </w:r>
                </w:p>
              </w:tc>
              <w:tc>
                <w:tcPr>
                  <w:tcW w:w="901" w:type="pct"/>
                  <w:vAlign w:val="center"/>
                </w:tcPr>
                <w:p w14:paraId="3DE1ECF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SW13食品残渣</w:t>
                  </w:r>
                </w:p>
              </w:tc>
              <w:tc>
                <w:tcPr>
                  <w:tcW w:w="623" w:type="pct"/>
                  <w:vAlign w:val="center"/>
                </w:tcPr>
                <w:p w14:paraId="1F4D6693">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900-099-S13</w:t>
                  </w:r>
                </w:p>
              </w:tc>
              <w:tc>
                <w:tcPr>
                  <w:tcW w:w="527" w:type="pct"/>
                  <w:shd w:val="clear" w:color="auto" w:fill="auto"/>
                  <w:vAlign w:val="center"/>
                </w:tcPr>
                <w:p w14:paraId="7764E5DF">
                  <w:pPr>
                    <w:pStyle w:val="286"/>
                    <w:framePr w:hSpace="0" w:wrap="auto" w:vAnchor="margin" w:hAnchor="text" w:xAlign="left" w:yAlign="inline"/>
                    <w:rPr>
                      <w:rFonts w:ascii="Times New Roman" w:hAnsi="Times New Roman" w:eastAsia="宋体" w:cs="宋体"/>
                      <w:color w:val="auto"/>
                      <w:kern w:val="2"/>
                      <w:sz w:val="18"/>
                      <w:szCs w:val="22"/>
                      <w:lang w:val="zh-CN" w:eastAsia="zh-CN" w:bidi="ar-SA"/>
                    </w:rPr>
                  </w:pPr>
                  <w:r>
                    <w:rPr>
                      <w:rFonts w:hint="eastAsia"/>
                      <w:color w:val="auto"/>
                    </w:rPr>
                    <w:t>固态</w:t>
                  </w:r>
                </w:p>
              </w:tc>
              <w:tc>
                <w:tcPr>
                  <w:tcW w:w="483" w:type="pct"/>
                  <w:vAlign w:val="center"/>
                </w:tcPr>
                <w:p w14:paraId="74D39F5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2.6</w:t>
                  </w:r>
                </w:p>
              </w:tc>
              <w:tc>
                <w:tcPr>
                  <w:tcW w:w="453" w:type="pct"/>
                  <w:vAlign w:val="center"/>
                </w:tcPr>
                <w:p w14:paraId="1E002BAF">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ascii="Times New Roman" w:hAnsi="Times New Roman" w:eastAsia="宋体" w:cs="宋体"/>
                      <w:color w:val="auto"/>
                      <w:kern w:val="2"/>
                      <w:sz w:val="18"/>
                      <w:szCs w:val="22"/>
                      <w:lang w:val="en-US" w:eastAsia="zh-CN" w:bidi="ar-SA"/>
                    </w:rPr>
                    <w:t>一般工业固废</w:t>
                  </w:r>
                </w:p>
              </w:tc>
              <w:tc>
                <w:tcPr>
                  <w:tcW w:w="703" w:type="pct"/>
                  <w:vAlign w:val="center"/>
                </w:tcPr>
                <w:p w14:paraId="5DA035AA">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ascii="Times New Roman" w:hAnsi="Times New Roman" w:eastAsia="宋体" w:cs="宋体"/>
                      <w:color w:val="auto"/>
                      <w:kern w:val="2"/>
                      <w:sz w:val="18"/>
                      <w:szCs w:val="22"/>
                      <w:lang w:val="zh-CN" w:eastAsia="zh-CN" w:bidi="ar-SA"/>
                    </w:rPr>
                    <w:t>外售作为饲料生产</w:t>
                  </w:r>
                </w:p>
              </w:tc>
              <w:tc>
                <w:tcPr>
                  <w:tcW w:w="436" w:type="pct"/>
                  <w:vAlign w:val="center"/>
                </w:tcPr>
                <w:p w14:paraId="7595764B">
                  <w:pPr>
                    <w:pStyle w:val="286"/>
                    <w:framePr w:hSpace="0" w:wrap="auto" w:vAnchor="margin" w:hAnchor="text" w:xAlign="left" w:yAlign="inline"/>
                    <w:rPr>
                      <w:rFonts w:hint="eastAsia"/>
                      <w:color w:val="auto"/>
                      <w:lang w:eastAsia="zh-CN"/>
                    </w:rPr>
                  </w:pPr>
                  <w:r>
                    <w:rPr>
                      <w:rFonts w:hint="eastAsia"/>
                      <w:color w:val="auto"/>
                      <w:lang w:eastAsia="zh-CN"/>
                    </w:rPr>
                    <w:t>是</w:t>
                  </w:r>
                </w:p>
              </w:tc>
            </w:tr>
            <w:tr w14:paraId="0BF78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284" w:type="pct"/>
                  <w:vAlign w:val="center"/>
                </w:tcPr>
                <w:p w14:paraId="3E7DB307">
                  <w:pPr>
                    <w:pStyle w:val="286"/>
                    <w:framePr w:hSpace="0" w:wrap="auto" w:vAnchor="margin" w:hAnchor="text" w:xAlign="left" w:yAlign="inline"/>
                    <w:numPr>
                      <w:ilvl w:val="0"/>
                      <w:numId w:val="0"/>
                    </w:numPr>
                    <w:ind w:left="0" w:leftChars="0" w:firstLine="0" w:firstLineChars="0"/>
                    <w:rPr>
                      <w:color w:val="auto"/>
                    </w:rPr>
                  </w:pPr>
                  <w:r>
                    <w:rPr>
                      <w:rFonts w:hint="eastAsia" w:ascii="Times New Roman" w:hAnsi="Times New Roman" w:eastAsia="宋体" w:cs="宋体"/>
                      <w:color w:val="auto"/>
                      <w:kern w:val="2"/>
                      <w:sz w:val="18"/>
                      <w:szCs w:val="22"/>
                      <w:lang w:val="zh-CN" w:eastAsia="zh-CN" w:bidi="ar-SA"/>
                    </w:rPr>
                    <w:t>3</w:t>
                  </w:r>
                </w:p>
              </w:tc>
              <w:tc>
                <w:tcPr>
                  <w:tcW w:w="584" w:type="pct"/>
                  <w:vAlign w:val="center"/>
                </w:tcPr>
                <w:p w14:paraId="7749E810">
                  <w:pPr>
                    <w:pStyle w:val="286"/>
                    <w:framePr w:hSpace="0" w:wrap="auto" w:vAnchor="margin" w:hAnchor="text" w:xAlign="left" w:yAlign="inline"/>
                    <w:rPr>
                      <w:rFonts w:hint="eastAsia" w:eastAsia="宋体"/>
                      <w:color w:val="auto"/>
                      <w:lang w:eastAsia="zh-CN"/>
                    </w:rPr>
                  </w:pPr>
                  <w:r>
                    <w:rPr>
                      <w:rFonts w:hint="eastAsia"/>
                      <w:lang w:val="en-US" w:eastAsia="zh-CN"/>
                    </w:rPr>
                    <w:t>车间布袋收集粉尘</w:t>
                  </w:r>
                </w:p>
              </w:tc>
              <w:tc>
                <w:tcPr>
                  <w:tcW w:w="901" w:type="pct"/>
                  <w:vAlign w:val="center"/>
                </w:tcPr>
                <w:p w14:paraId="69589A75">
                  <w:pPr>
                    <w:pStyle w:val="286"/>
                    <w:framePr w:hSpace="0" w:wrap="auto" w:vAnchor="margin" w:hAnchor="text" w:xAlign="left" w:yAlign="inline"/>
                    <w:rPr>
                      <w:rFonts w:hint="eastAsia" w:eastAsia="宋体"/>
                      <w:color w:val="auto"/>
                      <w:lang w:eastAsia="zh-CN"/>
                    </w:rPr>
                  </w:pPr>
                  <w:r>
                    <w:rPr>
                      <w:rFonts w:hint="eastAsia"/>
                      <w:color w:val="auto"/>
                      <w:lang w:val="en-US" w:eastAsia="zh-CN"/>
                    </w:rPr>
                    <w:t>SW13食品残渣</w:t>
                  </w:r>
                </w:p>
              </w:tc>
              <w:tc>
                <w:tcPr>
                  <w:tcW w:w="623" w:type="pct"/>
                  <w:vAlign w:val="center"/>
                </w:tcPr>
                <w:p w14:paraId="072A6308">
                  <w:pPr>
                    <w:pStyle w:val="286"/>
                    <w:framePr w:hSpace="0" w:wrap="auto" w:vAnchor="margin" w:hAnchor="text" w:xAlign="left" w:yAlign="inline"/>
                    <w:rPr>
                      <w:color w:val="auto"/>
                    </w:rPr>
                  </w:pPr>
                  <w:r>
                    <w:rPr>
                      <w:rFonts w:hint="eastAsia"/>
                      <w:color w:val="auto"/>
                      <w:lang w:val="en-US" w:eastAsia="zh-CN"/>
                    </w:rPr>
                    <w:t>900-099-S13</w:t>
                  </w:r>
                </w:p>
              </w:tc>
              <w:tc>
                <w:tcPr>
                  <w:tcW w:w="527" w:type="pct"/>
                  <w:shd w:val="clear" w:color="auto" w:fill="auto"/>
                  <w:vAlign w:val="center"/>
                </w:tcPr>
                <w:p w14:paraId="0025EC4C">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color w:val="auto"/>
                    </w:rPr>
                    <w:t>固态</w:t>
                  </w:r>
                </w:p>
              </w:tc>
              <w:tc>
                <w:tcPr>
                  <w:tcW w:w="483" w:type="pct"/>
                  <w:vAlign w:val="center"/>
                </w:tcPr>
                <w:p w14:paraId="49E6D08A">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0.07</w:t>
                  </w:r>
                </w:p>
              </w:tc>
              <w:tc>
                <w:tcPr>
                  <w:tcW w:w="453" w:type="pct"/>
                  <w:vAlign w:val="center"/>
                </w:tcPr>
                <w:p w14:paraId="32876D80">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ascii="Times New Roman" w:hAnsi="Times New Roman" w:eastAsia="宋体" w:cs="宋体"/>
                      <w:color w:val="auto"/>
                      <w:kern w:val="2"/>
                      <w:sz w:val="18"/>
                      <w:szCs w:val="22"/>
                      <w:lang w:val="en-US" w:eastAsia="zh-CN" w:bidi="ar-SA"/>
                    </w:rPr>
                    <w:t>一般工业固废</w:t>
                  </w:r>
                </w:p>
              </w:tc>
              <w:tc>
                <w:tcPr>
                  <w:tcW w:w="703" w:type="pct"/>
                  <w:vAlign w:val="center"/>
                </w:tcPr>
                <w:p w14:paraId="1562B59A">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ascii="Times New Roman" w:hAnsi="Times New Roman" w:eastAsia="宋体" w:cs="宋体"/>
                      <w:color w:val="auto"/>
                      <w:kern w:val="2"/>
                      <w:sz w:val="18"/>
                      <w:szCs w:val="22"/>
                      <w:lang w:val="zh-CN" w:eastAsia="zh-CN" w:bidi="ar-SA"/>
                    </w:rPr>
                    <w:t>外售作为饲料生产</w:t>
                  </w:r>
                </w:p>
              </w:tc>
              <w:tc>
                <w:tcPr>
                  <w:tcW w:w="436" w:type="pct"/>
                  <w:vAlign w:val="center"/>
                </w:tcPr>
                <w:p w14:paraId="36DB0910">
                  <w:pPr>
                    <w:pStyle w:val="286"/>
                    <w:framePr w:hSpace="0" w:wrap="auto" w:vAnchor="margin" w:hAnchor="text" w:xAlign="left" w:yAlign="inline"/>
                    <w:rPr>
                      <w:rFonts w:hint="eastAsia"/>
                      <w:color w:val="auto"/>
                      <w:lang w:eastAsia="zh-CN"/>
                    </w:rPr>
                  </w:pPr>
                  <w:r>
                    <w:rPr>
                      <w:rFonts w:hint="eastAsia"/>
                      <w:color w:val="auto"/>
                      <w:lang w:eastAsia="zh-CN"/>
                    </w:rPr>
                    <w:t>是</w:t>
                  </w:r>
                </w:p>
              </w:tc>
            </w:tr>
            <w:tr w14:paraId="66984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284" w:type="pct"/>
                  <w:vAlign w:val="center"/>
                </w:tcPr>
                <w:p w14:paraId="31BFCB4E">
                  <w:pPr>
                    <w:pStyle w:val="286"/>
                    <w:framePr w:hSpace="0" w:wrap="auto" w:vAnchor="margin" w:hAnchor="text" w:xAlign="left" w:yAlign="inline"/>
                    <w:numPr>
                      <w:ilvl w:val="0"/>
                      <w:numId w:val="0"/>
                    </w:numPr>
                    <w:ind w:left="0" w:leftChars="0" w:firstLine="0" w:firstLineChars="0"/>
                    <w:rPr>
                      <w:color w:val="auto"/>
                    </w:rPr>
                  </w:pPr>
                  <w:r>
                    <w:rPr>
                      <w:rFonts w:hint="eastAsia" w:ascii="Times New Roman" w:hAnsi="Times New Roman" w:eastAsia="宋体" w:cs="宋体"/>
                      <w:color w:val="auto"/>
                      <w:kern w:val="2"/>
                      <w:sz w:val="18"/>
                      <w:szCs w:val="22"/>
                      <w:lang w:val="zh-CN" w:eastAsia="zh-CN" w:bidi="ar-SA"/>
                    </w:rPr>
                    <w:t>4</w:t>
                  </w:r>
                </w:p>
              </w:tc>
              <w:tc>
                <w:tcPr>
                  <w:tcW w:w="584" w:type="pct"/>
                  <w:vAlign w:val="center"/>
                </w:tcPr>
                <w:p w14:paraId="25E74E1F">
                  <w:pPr>
                    <w:pStyle w:val="286"/>
                    <w:framePr w:hSpace="0" w:wrap="auto" w:vAnchor="margin" w:hAnchor="text" w:xAlign="left" w:yAlign="inline"/>
                    <w:rPr>
                      <w:rFonts w:hint="eastAsia" w:eastAsia="宋体"/>
                      <w:color w:val="auto"/>
                      <w:lang w:eastAsia="zh-CN"/>
                    </w:rPr>
                  </w:pPr>
                  <w:r>
                    <w:rPr>
                      <w:rFonts w:hint="eastAsia"/>
                      <w:color w:val="auto"/>
                      <w:lang w:eastAsia="zh-CN"/>
                    </w:rPr>
                    <w:t>沉淀池沉渣</w:t>
                  </w:r>
                </w:p>
              </w:tc>
              <w:tc>
                <w:tcPr>
                  <w:tcW w:w="901" w:type="pct"/>
                  <w:vAlign w:val="center"/>
                </w:tcPr>
                <w:p w14:paraId="35ACCC7C">
                  <w:pPr>
                    <w:pStyle w:val="286"/>
                    <w:framePr w:hSpace="0" w:wrap="auto" w:vAnchor="margin" w:hAnchor="text" w:xAlign="left" w:yAlign="inline"/>
                    <w:rPr>
                      <w:color w:val="auto"/>
                    </w:rPr>
                  </w:pPr>
                  <w:r>
                    <w:rPr>
                      <w:rFonts w:hint="eastAsia"/>
                      <w:color w:val="auto"/>
                      <w:lang w:val="en-US" w:eastAsia="zh-CN"/>
                    </w:rPr>
                    <w:t>SW07污泥</w:t>
                  </w:r>
                </w:p>
              </w:tc>
              <w:tc>
                <w:tcPr>
                  <w:tcW w:w="623" w:type="pct"/>
                  <w:vAlign w:val="center"/>
                </w:tcPr>
                <w:p w14:paraId="412D86FD">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140-001-S07</w:t>
                  </w:r>
                </w:p>
              </w:tc>
              <w:tc>
                <w:tcPr>
                  <w:tcW w:w="527" w:type="pct"/>
                  <w:shd w:val="clear" w:color="auto" w:fill="auto"/>
                  <w:vAlign w:val="center"/>
                </w:tcPr>
                <w:p w14:paraId="0AA07EDD">
                  <w:pPr>
                    <w:pStyle w:val="286"/>
                    <w:framePr w:hSpace="0" w:wrap="auto" w:vAnchor="margin" w:hAnchor="text" w:xAlign="left" w:yAlign="inline"/>
                    <w:rPr>
                      <w:rFonts w:ascii="Times New Roman" w:hAnsi="Times New Roman" w:eastAsia="宋体" w:cs="宋体"/>
                      <w:color w:val="auto"/>
                      <w:kern w:val="2"/>
                      <w:sz w:val="18"/>
                      <w:szCs w:val="22"/>
                      <w:lang w:val="zh-CN" w:eastAsia="zh-CN" w:bidi="ar-SA"/>
                    </w:rPr>
                  </w:pPr>
                  <w:r>
                    <w:rPr>
                      <w:rFonts w:hint="eastAsia"/>
                      <w:color w:val="auto"/>
                    </w:rPr>
                    <w:t>固态</w:t>
                  </w:r>
                </w:p>
              </w:tc>
              <w:tc>
                <w:tcPr>
                  <w:tcW w:w="483" w:type="pct"/>
                  <w:vAlign w:val="center"/>
                </w:tcPr>
                <w:p w14:paraId="4A2FADCA">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0.5</w:t>
                  </w:r>
                </w:p>
              </w:tc>
              <w:tc>
                <w:tcPr>
                  <w:tcW w:w="453" w:type="pct"/>
                  <w:vAlign w:val="center"/>
                </w:tcPr>
                <w:p w14:paraId="4A34128A">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ascii="Times New Roman" w:hAnsi="Times New Roman" w:eastAsia="宋体" w:cs="宋体"/>
                      <w:color w:val="auto"/>
                      <w:kern w:val="2"/>
                      <w:sz w:val="18"/>
                      <w:szCs w:val="22"/>
                      <w:lang w:val="en-US" w:eastAsia="zh-CN" w:bidi="ar-SA"/>
                    </w:rPr>
                    <w:t>一般工业固废</w:t>
                  </w:r>
                </w:p>
              </w:tc>
              <w:tc>
                <w:tcPr>
                  <w:tcW w:w="703" w:type="pct"/>
                  <w:vAlign w:val="center"/>
                </w:tcPr>
                <w:p w14:paraId="14D964BC">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ascii="Times New Roman" w:hAnsi="Times New Roman" w:eastAsia="宋体" w:cs="宋体"/>
                      <w:color w:val="auto"/>
                      <w:kern w:val="2"/>
                      <w:sz w:val="18"/>
                      <w:szCs w:val="22"/>
                      <w:lang w:val="zh-CN" w:eastAsia="zh-CN" w:bidi="ar-SA"/>
                    </w:rPr>
                    <w:t>环卫部门定期清掏</w:t>
                  </w:r>
                </w:p>
              </w:tc>
              <w:tc>
                <w:tcPr>
                  <w:tcW w:w="436" w:type="pct"/>
                  <w:vAlign w:val="center"/>
                </w:tcPr>
                <w:p w14:paraId="222AFF7E">
                  <w:pPr>
                    <w:pStyle w:val="286"/>
                    <w:framePr w:hSpace="0" w:wrap="auto" w:vAnchor="margin" w:hAnchor="text" w:xAlign="left" w:yAlign="inline"/>
                    <w:rPr>
                      <w:rFonts w:hint="eastAsia"/>
                      <w:color w:val="auto"/>
                      <w:lang w:eastAsia="zh-CN"/>
                    </w:rPr>
                  </w:pPr>
                  <w:r>
                    <w:rPr>
                      <w:rFonts w:hint="eastAsia"/>
                      <w:color w:val="auto"/>
                      <w:lang w:eastAsia="zh-CN"/>
                    </w:rPr>
                    <w:t>是</w:t>
                  </w:r>
                </w:p>
              </w:tc>
            </w:tr>
            <w:tr w14:paraId="455D1D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284" w:type="pct"/>
                  <w:vAlign w:val="center"/>
                </w:tcPr>
                <w:p w14:paraId="7B08A605">
                  <w:pPr>
                    <w:pStyle w:val="286"/>
                    <w:framePr w:hSpace="0" w:wrap="auto" w:vAnchor="margin" w:hAnchor="text" w:xAlign="left" w:yAlign="inline"/>
                    <w:numPr>
                      <w:ilvl w:val="0"/>
                      <w:numId w:val="0"/>
                    </w:numPr>
                    <w:ind w:leftChars="0"/>
                    <w:rPr>
                      <w:rFonts w:hint="eastAsia" w:eastAsia="宋体"/>
                      <w:color w:val="auto"/>
                      <w:lang w:val="en-US" w:eastAsia="zh-CN"/>
                    </w:rPr>
                  </w:pPr>
                  <w:r>
                    <w:rPr>
                      <w:rFonts w:hint="eastAsia"/>
                      <w:color w:val="auto"/>
                      <w:lang w:val="en-US" w:eastAsia="zh-CN"/>
                    </w:rPr>
                    <w:t>5</w:t>
                  </w:r>
                </w:p>
              </w:tc>
              <w:tc>
                <w:tcPr>
                  <w:tcW w:w="584" w:type="pct"/>
                  <w:shd w:val="clear" w:color="auto" w:fill="auto"/>
                  <w:vAlign w:val="center"/>
                </w:tcPr>
                <w:p w14:paraId="15D60062">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color w:val="auto"/>
                      <w:lang w:eastAsia="zh-CN"/>
                    </w:rPr>
                    <w:t>废培养基</w:t>
                  </w:r>
                </w:p>
              </w:tc>
              <w:tc>
                <w:tcPr>
                  <w:tcW w:w="901" w:type="pct"/>
                  <w:shd w:val="clear" w:color="auto" w:fill="auto"/>
                  <w:vAlign w:val="center"/>
                </w:tcPr>
                <w:p w14:paraId="4DD97F1A">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SW92实验室固体废物</w:t>
                  </w:r>
                </w:p>
              </w:tc>
              <w:tc>
                <w:tcPr>
                  <w:tcW w:w="623" w:type="pct"/>
                  <w:shd w:val="clear" w:color="auto" w:fill="auto"/>
                  <w:vAlign w:val="center"/>
                </w:tcPr>
                <w:p w14:paraId="2BEDD792">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900-001-S92</w:t>
                  </w:r>
                </w:p>
              </w:tc>
              <w:tc>
                <w:tcPr>
                  <w:tcW w:w="527" w:type="pct"/>
                  <w:shd w:val="clear" w:color="auto" w:fill="auto"/>
                  <w:vAlign w:val="center"/>
                </w:tcPr>
                <w:p w14:paraId="5E73CEAF">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color w:val="auto"/>
                      <w:lang w:eastAsia="zh-CN"/>
                    </w:rPr>
                    <w:t>固态</w:t>
                  </w:r>
                </w:p>
              </w:tc>
              <w:tc>
                <w:tcPr>
                  <w:tcW w:w="483" w:type="pct"/>
                  <w:shd w:val="clear" w:color="auto" w:fill="auto"/>
                  <w:vAlign w:val="center"/>
                </w:tcPr>
                <w:p w14:paraId="1BCCF6D4">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color w:val="auto"/>
                      <w:lang w:val="en-US" w:eastAsia="zh-CN"/>
                    </w:rPr>
                    <w:t>0.002</w:t>
                  </w:r>
                </w:p>
              </w:tc>
              <w:tc>
                <w:tcPr>
                  <w:tcW w:w="453" w:type="pct"/>
                  <w:shd w:val="clear" w:color="auto" w:fill="auto"/>
                  <w:vAlign w:val="center"/>
                </w:tcPr>
                <w:p w14:paraId="56838213">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ascii="Times New Roman" w:hAnsi="Times New Roman" w:eastAsia="宋体" w:cs="宋体"/>
                      <w:color w:val="auto"/>
                      <w:kern w:val="2"/>
                      <w:sz w:val="18"/>
                      <w:szCs w:val="22"/>
                      <w:lang w:val="en-US" w:eastAsia="zh-CN" w:bidi="ar-SA"/>
                    </w:rPr>
                    <w:t>一般工业固废</w:t>
                  </w:r>
                </w:p>
              </w:tc>
              <w:tc>
                <w:tcPr>
                  <w:tcW w:w="703" w:type="pct"/>
                  <w:shd w:val="clear" w:color="auto" w:fill="auto"/>
                  <w:vAlign w:val="center"/>
                </w:tcPr>
                <w:p w14:paraId="3E985143">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ascii="Times New Roman" w:hAnsi="Times New Roman" w:eastAsia="宋体" w:cs="宋体"/>
                      <w:color w:val="auto"/>
                      <w:kern w:val="2"/>
                      <w:sz w:val="18"/>
                      <w:szCs w:val="22"/>
                      <w:lang w:val="en-US" w:eastAsia="zh-CN" w:bidi="ar-SA"/>
                    </w:rPr>
                    <w:t>收集后交由环卫部门处置</w:t>
                  </w:r>
                </w:p>
              </w:tc>
              <w:tc>
                <w:tcPr>
                  <w:tcW w:w="436" w:type="pct"/>
                  <w:shd w:val="clear" w:color="auto" w:fill="auto"/>
                  <w:vAlign w:val="center"/>
                </w:tcPr>
                <w:p w14:paraId="2125E208">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color w:val="auto"/>
                      <w:lang w:eastAsia="zh-CN"/>
                    </w:rPr>
                    <w:t>是</w:t>
                  </w:r>
                </w:p>
              </w:tc>
            </w:tr>
            <w:tr w14:paraId="3DE21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0" w:hRule="atLeast"/>
              </w:trPr>
              <w:tc>
                <w:tcPr>
                  <w:tcW w:w="284" w:type="pct"/>
                  <w:vAlign w:val="center"/>
                </w:tcPr>
                <w:p w14:paraId="34BA2413">
                  <w:pPr>
                    <w:pStyle w:val="286"/>
                    <w:framePr w:hSpace="0" w:wrap="auto" w:vAnchor="margin" w:hAnchor="text" w:xAlign="left" w:yAlign="inline"/>
                    <w:numPr>
                      <w:ilvl w:val="0"/>
                      <w:numId w:val="0"/>
                    </w:numPr>
                    <w:ind w:leftChars="0"/>
                    <w:rPr>
                      <w:rFonts w:hint="default"/>
                      <w:color w:val="auto"/>
                      <w:lang w:val="en-US" w:eastAsia="zh-CN"/>
                    </w:rPr>
                  </w:pPr>
                  <w:r>
                    <w:rPr>
                      <w:rFonts w:hint="eastAsia"/>
                      <w:color w:val="auto"/>
                      <w:lang w:val="en-US" w:eastAsia="zh-CN"/>
                    </w:rPr>
                    <w:t>6</w:t>
                  </w:r>
                </w:p>
              </w:tc>
              <w:tc>
                <w:tcPr>
                  <w:tcW w:w="584" w:type="pct"/>
                  <w:shd w:val="clear" w:color="auto" w:fill="auto"/>
                  <w:vAlign w:val="center"/>
                </w:tcPr>
                <w:p w14:paraId="427B2F53">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color w:val="auto"/>
                      <w:lang w:eastAsia="zh-CN"/>
                    </w:rPr>
                    <w:t>生活垃圾</w:t>
                  </w:r>
                </w:p>
              </w:tc>
              <w:tc>
                <w:tcPr>
                  <w:tcW w:w="901" w:type="pct"/>
                  <w:shd w:val="clear" w:color="auto" w:fill="auto"/>
                  <w:vAlign w:val="center"/>
                </w:tcPr>
                <w:p w14:paraId="52B5B50E">
                  <w:pPr>
                    <w:pStyle w:val="286"/>
                    <w:framePr w:hSpace="0" w:wrap="auto" w:vAnchor="margin" w:hAnchor="text" w:xAlign="left" w:yAlign="inline"/>
                    <w:rPr>
                      <w:rFonts w:hint="default" w:ascii="Times New Roman" w:hAnsi="Times New Roman" w:eastAsia="宋体" w:cs="宋体"/>
                      <w:color w:val="auto"/>
                      <w:kern w:val="2"/>
                      <w:sz w:val="18"/>
                      <w:szCs w:val="22"/>
                      <w:lang w:val="en-US" w:eastAsia="zh-CN" w:bidi="ar-SA"/>
                    </w:rPr>
                  </w:pPr>
                  <w:r>
                    <w:rPr>
                      <w:rFonts w:hint="eastAsia"/>
                      <w:color w:val="auto"/>
                      <w:lang w:val="en-US" w:eastAsia="zh-CN"/>
                    </w:rPr>
                    <w:t>/</w:t>
                  </w:r>
                </w:p>
              </w:tc>
              <w:tc>
                <w:tcPr>
                  <w:tcW w:w="623" w:type="pct"/>
                  <w:shd w:val="clear" w:color="auto" w:fill="auto"/>
                  <w:vAlign w:val="center"/>
                </w:tcPr>
                <w:p w14:paraId="1F81621B">
                  <w:pPr>
                    <w:pStyle w:val="286"/>
                    <w:framePr w:hSpace="0" w:wrap="auto" w:vAnchor="margin" w:hAnchor="text" w:xAlign="left" w:yAlign="inline"/>
                    <w:rPr>
                      <w:rFonts w:hint="default" w:ascii="Times New Roman" w:hAnsi="Times New Roman" w:eastAsia="宋体" w:cs="宋体"/>
                      <w:color w:val="auto"/>
                      <w:kern w:val="2"/>
                      <w:sz w:val="18"/>
                      <w:szCs w:val="22"/>
                      <w:lang w:val="en-US" w:eastAsia="zh-CN" w:bidi="ar-SA"/>
                    </w:rPr>
                  </w:pPr>
                  <w:r>
                    <w:rPr>
                      <w:rFonts w:hint="eastAsia"/>
                      <w:color w:val="auto"/>
                      <w:lang w:val="en-US" w:eastAsia="zh-CN"/>
                    </w:rPr>
                    <w:t>/</w:t>
                  </w:r>
                </w:p>
              </w:tc>
              <w:tc>
                <w:tcPr>
                  <w:tcW w:w="527" w:type="pct"/>
                  <w:shd w:val="clear" w:color="auto" w:fill="auto"/>
                  <w:vAlign w:val="center"/>
                </w:tcPr>
                <w:p w14:paraId="04D5EF42">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color w:val="auto"/>
                    </w:rPr>
                    <w:t>固态</w:t>
                  </w:r>
                </w:p>
              </w:tc>
              <w:tc>
                <w:tcPr>
                  <w:tcW w:w="483" w:type="pct"/>
                  <w:shd w:val="clear" w:color="auto" w:fill="auto"/>
                  <w:vAlign w:val="center"/>
                </w:tcPr>
                <w:p w14:paraId="3F99BA2F">
                  <w:pPr>
                    <w:pStyle w:val="286"/>
                    <w:framePr w:hSpace="0" w:wrap="auto" w:vAnchor="margin" w:hAnchor="text" w:xAlign="left" w:yAlign="inline"/>
                    <w:rPr>
                      <w:rFonts w:hint="default" w:ascii="Times New Roman" w:hAnsi="Times New Roman" w:eastAsia="宋体" w:cs="宋体"/>
                      <w:color w:val="auto"/>
                      <w:kern w:val="2"/>
                      <w:sz w:val="18"/>
                      <w:szCs w:val="22"/>
                      <w:lang w:val="en-US" w:eastAsia="zh-CN" w:bidi="ar-SA"/>
                    </w:rPr>
                  </w:pPr>
                  <w:r>
                    <w:rPr>
                      <w:rFonts w:hint="eastAsia"/>
                      <w:color w:val="auto"/>
                      <w:lang w:val="en-US" w:eastAsia="zh-CN"/>
                    </w:rPr>
                    <w:t>3</w:t>
                  </w:r>
                </w:p>
              </w:tc>
              <w:tc>
                <w:tcPr>
                  <w:tcW w:w="453" w:type="pct"/>
                  <w:shd w:val="clear" w:color="auto" w:fill="auto"/>
                  <w:vAlign w:val="center"/>
                </w:tcPr>
                <w:p w14:paraId="2C6D6F34">
                  <w:pPr>
                    <w:pStyle w:val="286"/>
                    <w:framePr w:hSpace="0" w:wrap="auto" w:vAnchor="margin" w:hAnchor="text" w:xAlign="left" w:yAlign="inline"/>
                    <w:rPr>
                      <w:rFonts w:hint="eastAsia" w:ascii="Times New Roman" w:hAnsi="Times New Roman" w:eastAsia="宋体" w:cs="宋体"/>
                      <w:color w:val="auto"/>
                      <w:kern w:val="2"/>
                      <w:sz w:val="18"/>
                      <w:szCs w:val="22"/>
                      <w:lang w:val="en-US" w:eastAsia="zh-CN" w:bidi="ar-SA"/>
                    </w:rPr>
                  </w:pPr>
                  <w:r>
                    <w:rPr>
                      <w:rFonts w:hint="eastAsia" w:ascii="Times New Roman" w:hAnsi="Times New Roman" w:eastAsia="宋体" w:cs="宋体"/>
                      <w:color w:val="auto"/>
                      <w:kern w:val="2"/>
                      <w:sz w:val="18"/>
                      <w:szCs w:val="22"/>
                      <w:lang w:val="en-US" w:eastAsia="zh-CN" w:bidi="ar-SA"/>
                    </w:rPr>
                    <w:t>一般固废</w:t>
                  </w:r>
                </w:p>
              </w:tc>
              <w:tc>
                <w:tcPr>
                  <w:tcW w:w="703" w:type="pct"/>
                  <w:shd w:val="clear" w:color="auto" w:fill="auto"/>
                  <w:vAlign w:val="center"/>
                </w:tcPr>
                <w:p w14:paraId="16339C70">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ascii="Times New Roman" w:hAnsi="Times New Roman" w:eastAsia="宋体" w:cs="宋体"/>
                      <w:color w:val="auto"/>
                      <w:kern w:val="2"/>
                      <w:sz w:val="18"/>
                      <w:szCs w:val="22"/>
                      <w:lang w:val="zh-CN" w:eastAsia="zh-CN" w:bidi="ar-SA"/>
                    </w:rPr>
                    <w:t>环卫部门统一清运</w:t>
                  </w:r>
                </w:p>
              </w:tc>
              <w:tc>
                <w:tcPr>
                  <w:tcW w:w="436" w:type="pct"/>
                  <w:shd w:val="clear" w:color="auto" w:fill="auto"/>
                  <w:vAlign w:val="center"/>
                </w:tcPr>
                <w:p w14:paraId="3B5E138F">
                  <w:pPr>
                    <w:pStyle w:val="286"/>
                    <w:framePr w:hSpace="0" w:wrap="auto" w:vAnchor="margin" w:hAnchor="text" w:xAlign="left" w:yAlign="inline"/>
                    <w:rPr>
                      <w:rFonts w:hint="eastAsia" w:ascii="Times New Roman" w:hAnsi="Times New Roman" w:eastAsia="宋体" w:cs="宋体"/>
                      <w:color w:val="auto"/>
                      <w:kern w:val="2"/>
                      <w:sz w:val="18"/>
                      <w:szCs w:val="22"/>
                      <w:lang w:val="zh-CN" w:eastAsia="zh-CN" w:bidi="ar-SA"/>
                    </w:rPr>
                  </w:pPr>
                  <w:r>
                    <w:rPr>
                      <w:rFonts w:hint="eastAsia"/>
                      <w:color w:val="auto"/>
                      <w:lang w:eastAsia="zh-CN"/>
                    </w:rPr>
                    <w:t>是</w:t>
                  </w:r>
                </w:p>
              </w:tc>
            </w:tr>
          </w:tbl>
          <w:p w14:paraId="142AC398">
            <w:pPr>
              <w:pStyle w:val="771"/>
              <w:bidi w:val="0"/>
            </w:pPr>
            <w:r>
              <w:rPr>
                <w:rFonts w:hint="eastAsia"/>
                <w:lang w:val="en-US" w:eastAsia="zh-CN"/>
              </w:rPr>
              <w:t>项目拟在厂区内设置一般固废暂存间</w:t>
            </w:r>
            <w:r>
              <w:rPr>
                <w:rFonts w:hint="default"/>
                <w:lang w:val="en-US" w:eastAsia="zh-CN"/>
              </w:rPr>
              <w:t>1</w:t>
            </w:r>
            <w:r>
              <w:rPr>
                <w:rFonts w:hint="eastAsia"/>
                <w:lang w:val="en-US" w:eastAsia="zh-CN"/>
              </w:rPr>
              <w:t>间（面积约6.93</w:t>
            </w:r>
            <w:r>
              <w:rPr>
                <w:rFonts w:hint="default"/>
                <w:lang w:val="en-US" w:eastAsia="zh-CN"/>
              </w:rPr>
              <w:t>m</w:t>
            </w:r>
            <w:r>
              <w:rPr>
                <w:rFonts w:hint="eastAsia"/>
                <w:vertAlign w:val="superscript"/>
                <w:lang w:val="en-US" w:eastAsia="zh-CN"/>
              </w:rPr>
              <w:t>2</w:t>
            </w:r>
            <w:r>
              <w:rPr>
                <w:rFonts w:hint="eastAsia"/>
                <w:lang w:val="en-US" w:eastAsia="zh-CN"/>
              </w:rPr>
              <w:t>），拟设置于生产车间的西南侧。</w:t>
            </w:r>
          </w:p>
          <w:bookmarkEnd w:id="34"/>
          <w:p w14:paraId="62D35F5E">
            <w:pPr>
              <w:pStyle w:val="771"/>
              <w:bidi w:val="0"/>
              <w:rPr>
                <w:rFonts w:hint="default" w:eastAsia="宋体"/>
                <w:lang w:val="en-US" w:eastAsia="zh-CN"/>
              </w:rPr>
            </w:pPr>
            <w:r>
              <w:rPr>
                <w:rFonts w:hint="eastAsia" w:ascii="Times New Roman" w:hAnsi="Times New Roman" w:eastAsia="宋体" w:cs="Times New Roman"/>
                <w:b/>
                <w:bCs/>
                <w:lang w:val="en-US" w:eastAsia="zh-CN"/>
              </w:rPr>
              <w:t>4.5.2环境管理要求</w:t>
            </w:r>
          </w:p>
          <w:p w14:paraId="6CF03FF4">
            <w:pPr>
              <w:pStyle w:val="771"/>
              <w:bidi w:val="0"/>
              <w:ind w:left="0" w:leftChars="0" w:firstLine="482" w:firstLineChars="200"/>
              <w:rPr>
                <w:rFonts w:hint="eastAsia"/>
                <w:b/>
                <w:bCs/>
                <w:lang w:val="en-US" w:eastAsia="zh-CN"/>
              </w:rPr>
            </w:pPr>
            <w:r>
              <w:rPr>
                <w:rFonts w:hint="eastAsia"/>
                <w:b/>
                <w:bCs/>
                <w:lang w:val="en-US" w:eastAsia="zh-CN"/>
              </w:rPr>
              <w:t>1、一般固体废物环境管理要求</w:t>
            </w:r>
          </w:p>
          <w:p w14:paraId="309B463A">
            <w:pPr>
              <w:pStyle w:val="771"/>
              <w:bidi w:val="0"/>
              <w:ind w:left="0" w:leftChars="0" w:firstLine="480" w:firstLineChars="200"/>
            </w:pPr>
            <w:r>
              <w:rPr>
                <w:rFonts w:hint="eastAsia"/>
                <w:lang w:val="en-US" w:eastAsia="zh-CN"/>
              </w:rPr>
              <w:t>企业需设置专人对固体废物进行分类收集，不得擅自倾倒、堆放、丢弃、遗撒固体废物。贮存场内堆放的一般工业固体废物的类别应相一致，应防止雨水径流进入贮存场。企业应建立固体废物管理台账，如实记录产生工业固体废物的种类、数量、流向、贮存、利用、处置等信息，实现工业固体废物可追溯、可查询。企业应按照《中华人民共和国固体废物污染环境防治法》（中华人民共和国主席令第四十三号）第三十七条</w:t>
            </w:r>
            <w:r>
              <w:rPr>
                <w:rFonts w:hint="default"/>
                <w:lang w:val="en-US" w:eastAsia="zh-CN"/>
              </w:rPr>
              <w:t>“</w:t>
            </w:r>
            <w:r>
              <w:rPr>
                <w:rFonts w:hint="eastAsia"/>
                <w:lang w:val="en-US" w:eastAsia="zh-CN"/>
              </w:rPr>
              <w:t>产生工业固体废物的单位委托他人运输、利用、处置工业固体废物的，应当对受托方的主体资格和技术能力进行核实，依法签订书面合同，在合同中约定污染防治要求。</w:t>
            </w:r>
            <w:r>
              <w:rPr>
                <w:rFonts w:hint="default"/>
                <w:lang w:val="en-US" w:eastAsia="zh-CN"/>
              </w:rPr>
              <w:t>”</w:t>
            </w:r>
            <w:r>
              <w:rPr>
                <w:rFonts w:hint="eastAsia"/>
                <w:lang w:val="en-US" w:eastAsia="zh-CN"/>
              </w:rPr>
              <w:t>规定执行。一般工业固体废物的暂存场所须按《一般工业固体废物贮存和填埋污染控制标准》（</w:t>
            </w:r>
            <w:r>
              <w:rPr>
                <w:rFonts w:hint="default"/>
                <w:lang w:val="en-US" w:eastAsia="zh-CN"/>
              </w:rPr>
              <w:t>GB18599-2020</w:t>
            </w:r>
            <w:r>
              <w:rPr>
                <w:rFonts w:hint="eastAsia"/>
                <w:lang w:val="en-US" w:eastAsia="zh-CN"/>
              </w:rPr>
              <w:t>）的要求建设，具体要求如下：</w:t>
            </w:r>
          </w:p>
          <w:p w14:paraId="5032EF6F">
            <w:pPr>
              <w:pStyle w:val="771"/>
              <w:bidi w:val="0"/>
            </w:pPr>
            <w:r>
              <w:rPr>
                <w:rFonts w:hint="eastAsia"/>
                <w:lang w:val="en-US" w:eastAsia="zh-CN"/>
              </w:rPr>
              <w:t>（1）当天然基础层饱和渗透系数不大于</w:t>
            </w:r>
            <w:r>
              <w:rPr>
                <w:rFonts w:hint="default"/>
                <w:lang w:val="en-US" w:eastAsia="zh-CN"/>
              </w:rPr>
              <w:t>1.0×10</w:t>
            </w:r>
            <w:r>
              <w:rPr>
                <w:rFonts w:hint="eastAsia"/>
                <w:vertAlign w:val="superscript"/>
                <w:lang w:val="en-US" w:eastAsia="zh-CN"/>
              </w:rPr>
              <w:t>-5</w:t>
            </w:r>
            <w:r>
              <w:rPr>
                <w:rFonts w:hint="default"/>
                <w:lang w:val="en-US" w:eastAsia="zh-CN"/>
              </w:rPr>
              <w:t>cm/s</w:t>
            </w:r>
            <w:r>
              <w:rPr>
                <w:rFonts w:hint="eastAsia"/>
                <w:lang w:val="en-US" w:eastAsia="zh-CN"/>
              </w:rPr>
              <w:t>，且厚度不小于</w:t>
            </w:r>
            <w:r>
              <w:rPr>
                <w:rFonts w:hint="default"/>
                <w:lang w:val="en-US" w:eastAsia="zh-CN"/>
              </w:rPr>
              <w:t>0.75m</w:t>
            </w:r>
            <w:r>
              <w:rPr>
                <w:rFonts w:hint="eastAsia"/>
                <w:lang w:val="en-US" w:eastAsia="zh-CN"/>
              </w:rPr>
              <w:t>时，可以采用天然基础层作为防渗衬层；</w:t>
            </w:r>
          </w:p>
          <w:p w14:paraId="6830EA89">
            <w:pPr>
              <w:pStyle w:val="771"/>
              <w:bidi w:val="0"/>
            </w:pPr>
            <w:r>
              <w:rPr>
                <w:rFonts w:hint="eastAsia"/>
                <w:lang w:val="en-US" w:eastAsia="zh-CN"/>
              </w:rPr>
              <w:t>（2）当天然基础层不能满足上述第1条防渗要求时，可采用改性压实粘土类衬层或具有同等以上隔水效力的其他材料防渗衬层，其防渗性能应至少相当于渗透系数为</w:t>
            </w:r>
            <w:r>
              <w:rPr>
                <w:rFonts w:hint="default"/>
                <w:lang w:val="en-US" w:eastAsia="zh-CN"/>
              </w:rPr>
              <w:t>1.0×10</w:t>
            </w:r>
            <w:r>
              <w:rPr>
                <w:rFonts w:hint="eastAsia"/>
                <w:vertAlign w:val="superscript"/>
                <w:lang w:val="en-US" w:eastAsia="zh-CN"/>
              </w:rPr>
              <w:t>-5</w:t>
            </w:r>
            <w:r>
              <w:rPr>
                <w:rFonts w:hint="default"/>
                <w:lang w:val="en-US" w:eastAsia="zh-CN"/>
              </w:rPr>
              <w:t xml:space="preserve">cm/s </w:t>
            </w:r>
            <w:r>
              <w:rPr>
                <w:rFonts w:hint="eastAsia"/>
                <w:lang w:val="en-US" w:eastAsia="zh-CN"/>
              </w:rPr>
              <w:t>且厚度为</w:t>
            </w:r>
            <w:r>
              <w:rPr>
                <w:rFonts w:hint="default"/>
                <w:lang w:val="en-US" w:eastAsia="zh-CN"/>
              </w:rPr>
              <w:t>0.75m</w:t>
            </w:r>
            <w:r>
              <w:rPr>
                <w:rFonts w:hint="eastAsia"/>
                <w:lang w:val="en-US" w:eastAsia="zh-CN"/>
              </w:rPr>
              <w:t>的天然基础层；</w:t>
            </w:r>
          </w:p>
          <w:p w14:paraId="7A35D359">
            <w:pPr>
              <w:pStyle w:val="771"/>
              <w:bidi w:val="0"/>
            </w:pPr>
            <w:r>
              <w:rPr>
                <w:rFonts w:hint="eastAsia"/>
                <w:lang w:val="en-US" w:eastAsia="zh-CN"/>
              </w:rPr>
              <w:t xml:space="preserve">（3）人工合成材料衬层、渗滤液收集和导排系统的施工不应对粘土衬层造成破坏； </w:t>
            </w:r>
          </w:p>
          <w:p w14:paraId="76FA9F34">
            <w:pPr>
              <w:pStyle w:val="771"/>
              <w:bidi w:val="0"/>
            </w:pPr>
            <w:r>
              <w:rPr>
                <w:rFonts w:hint="eastAsia"/>
                <w:lang w:val="en-US" w:eastAsia="zh-CN"/>
              </w:rPr>
              <w:t>（4）不相容的一般工业固体废物应设置不同的分区进行贮存和填埋作业；</w:t>
            </w:r>
          </w:p>
          <w:p w14:paraId="50E5842E">
            <w:pPr>
              <w:pStyle w:val="771"/>
              <w:bidi w:val="0"/>
            </w:pPr>
            <w:r>
              <w:rPr>
                <w:rFonts w:hint="eastAsia"/>
                <w:lang w:val="en-US" w:eastAsia="zh-CN"/>
              </w:rPr>
              <w:t>（5）危险废物和生活垃圾不得进入一般工业固体废物贮存场及填埋场。</w:t>
            </w:r>
          </w:p>
          <w:p w14:paraId="1F315C12">
            <w:pPr>
              <w:pStyle w:val="771"/>
              <w:bidi w:val="0"/>
              <w:ind w:left="0" w:leftChars="0" w:firstLine="482" w:firstLineChars="200"/>
            </w:pPr>
            <w:r>
              <w:rPr>
                <w:rFonts w:hint="eastAsia"/>
                <w:b/>
                <w:bCs/>
                <w:lang w:val="en-US" w:eastAsia="zh-CN"/>
              </w:rPr>
              <w:t>2、固废堆放处环境保护图形标志牌</w:t>
            </w:r>
          </w:p>
          <w:p w14:paraId="1FFCD44D">
            <w:pPr>
              <w:pStyle w:val="771"/>
              <w:bidi w:val="0"/>
              <w:rPr>
                <w:rFonts w:hint="eastAsia" w:ascii="宋体" w:hAnsi="宋体" w:eastAsia="宋体" w:cs="宋体"/>
                <w:color w:val="000000"/>
                <w:kern w:val="0"/>
                <w:szCs w:val="24"/>
                <w:lang w:val="en-US" w:eastAsia="zh-CN" w:bidi="ar"/>
              </w:rPr>
            </w:pPr>
            <w:r>
              <w:rPr>
                <w:rFonts w:hint="eastAsia"/>
                <w:lang w:val="en-US" w:eastAsia="zh-CN"/>
              </w:rPr>
              <w:t>根据《环境保护图形标志－固体废物贮存</w:t>
            </w:r>
            <w:r>
              <w:rPr>
                <w:rFonts w:hint="default"/>
                <w:lang w:val="en-US" w:eastAsia="zh-CN"/>
              </w:rPr>
              <w:t>(</w:t>
            </w:r>
            <w:r>
              <w:rPr>
                <w:rFonts w:hint="eastAsia"/>
                <w:lang w:val="en-US" w:eastAsia="zh-CN"/>
              </w:rPr>
              <w:t>处置</w:t>
            </w:r>
            <w:r>
              <w:rPr>
                <w:rFonts w:hint="default"/>
                <w:lang w:val="en-US" w:eastAsia="zh-CN"/>
              </w:rPr>
              <w:t>)</w:t>
            </w:r>
            <w:r>
              <w:rPr>
                <w:rFonts w:hint="eastAsia"/>
                <w:lang w:val="en-US" w:eastAsia="zh-CN"/>
              </w:rPr>
              <w:t>场》</w:t>
            </w:r>
            <w:r>
              <w:rPr>
                <w:rFonts w:hint="default"/>
                <w:lang w:val="en-US" w:eastAsia="zh-CN"/>
              </w:rPr>
              <w:t>(GB15562.2-1995)2023</w:t>
            </w:r>
            <w:r>
              <w:rPr>
                <w:rFonts w:hint="eastAsia"/>
                <w:lang w:val="en-US" w:eastAsia="zh-CN"/>
              </w:rPr>
              <w:t>年修改单要求设置固体废物堆放场、危废仓库的环境保护图形标志。本项目固废堆放场环境保护图形标志的具体要求见下表。</w:t>
            </w:r>
          </w:p>
          <w:p w14:paraId="2924A6BF">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default" w:eastAsia="宋体"/>
                <w:lang w:val="en-US" w:eastAsia="zh-CN"/>
              </w:rPr>
            </w:pPr>
            <w:r>
              <w:t xml:space="preserve">表 </w:t>
            </w:r>
            <w:r>
              <w:rPr>
                <w:rFonts w:hint="eastAsia"/>
                <w:lang w:val="en-US" w:eastAsia="zh-CN"/>
              </w:rPr>
              <w:t>4</w:t>
            </w:r>
            <w:r>
              <w:rPr>
                <w:rFonts w:hint="eastAsia"/>
                <w:lang w:eastAsia="zh-CN"/>
              </w:rPr>
              <w:t>-</w:t>
            </w:r>
            <w:r>
              <w:fldChar w:fldCharType="begin"/>
            </w:r>
            <w:r>
              <w:instrText xml:space="preserve"> SEQ 表 \* ARABIC \s 1 </w:instrText>
            </w:r>
            <w:r>
              <w:fldChar w:fldCharType="separate"/>
            </w:r>
            <w:r>
              <w:t>1</w:t>
            </w:r>
            <w:r>
              <w:fldChar w:fldCharType="end"/>
            </w:r>
            <w:r>
              <w:rPr>
                <w:rFonts w:hint="eastAsia"/>
                <w:lang w:val="en-US" w:eastAsia="zh-CN"/>
              </w:rPr>
              <w:t xml:space="preserve">0 </w:t>
            </w:r>
            <w:r>
              <w:rPr>
                <w:rFonts w:hint="eastAsia" w:ascii="宋体" w:hAnsi="宋体" w:eastAsia="宋体" w:cs="宋体"/>
                <w:b/>
                <w:bCs/>
                <w:color w:val="000000"/>
                <w:kern w:val="0"/>
                <w:sz w:val="20"/>
                <w:szCs w:val="20"/>
                <w:lang w:val="en-US" w:eastAsia="zh-CN" w:bidi="ar"/>
              </w:rPr>
              <w:t>一般固废堆场、危废仓库的环境保护图形标志</w:t>
            </w:r>
          </w:p>
          <w:tbl>
            <w:tblPr>
              <w:tblStyle w:val="57"/>
              <w:tblW w:w="4998"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108" w:type="dxa"/>
                <w:bottom w:w="0" w:type="dxa"/>
                <w:right w:w="108" w:type="dxa"/>
              </w:tblCellMar>
            </w:tblPr>
            <w:tblGrid>
              <w:gridCol w:w="1391"/>
              <w:gridCol w:w="1389"/>
              <w:gridCol w:w="1396"/>
              <w:gridCol w:w="1404"/>
              <w:gridCol w:w="1396"/>
              <w:gridCol w:w="1531"/>
            </w:tblGrid>
            <w:tr w14:paraId="3BE631D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47" w:hRule="atLeast"/>
                <w:jc w:val="center"/>
              </w:trPr>
              <w:tc>
                <w:tcPr>
                  <w:tcW w:w="8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185E10A">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rPr>
                      <w:rFonts w:ascii="宋体" w:hAnsi="宋体" w:eastAsia="宋体" w:cs="宋体"/>
                      <w:b w:val="0"/>
                      <w:bCs w:val="0"/>
                      <w:i w:val="0"/>
                      <w:iCs w:val="0"/>
                      <w:color w:val="000000"/>
                      <w:sz w:val="21"/>
                      <w:szCs w:val="21"/>
                      <w:u w:val="none"/>
                    </w:rPr>
                  </w:pPr>
                  <w:r>
                    <w:rPr>
                      <w:rFonts w:ascii="宋体" w:hAnsi="宋体" w:eastAsia="宋体" w:cs="宋体"/>
                      <w:b w:val="0"/>
                      <w:bCs w:val="0"/>
                      <w:i w:val="0"/>
                      <w:iCs w:val="0"/>
                      <w:color w:val="000000"/>
                      <w:kern w:val="0"/>
                      <w:sz w:val="21"/>
                      <w:szCs w:val="21"/>
                      <w:u w:val="none"/>
                      <w:lang w:val="en-US" w:eastAsia="zh-CN" w:bidi="ar"/>
                    </w:rPr>
                    <w:t>排放口名称</w:t>
                  </w:r>
                </w:p>
              </w:tc>
              <w:tc>
                <w:tcPr>
                  <w:tcW w:w="8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92637CC">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rPr>
                      <w:rFonts w:ascii="宋体" w:hAnsi="宋体" w:eastAsia="宋体" w:cs="宋体"/>
                      <w:b w:val="0"/>
                      <w:bCs w:val="0"/>
                      <w:i w:val="0"/>
                      <w:iCs w:val="0"/>
                      <w:color w:val="000000"/>
                      <w:sz w:val="21"/>
                      <w:szCs w:val="21"/>
                      <w:u w:val="none"/>
                    </w:rPr>
                  </w:pPr>
                  <w:r>
                    <w:rPr>
                      <w:rFonts w:ascii="宋体" w:hAnsi="宋体" w:eastAsia="宋体" w:cs="宋体"/>
                      <w:b w:val="0"/>
                      <w:bCs w:val="0"/>
                      <w:i w:val="0"/>
                      <w:iCs w:val="0"/>
                      <w:color w:val="000000"/>
                      <w:kern w:val="0"/>
                      <w:sz w:val="21"/>
                      <w:szCs w:val="21"/>
                      <w:u w:val="none"/>
                      <w:lang w:val="en-US" w:eastAsia="zh-CN" w:bidi="ar"/>
                    </w:rPr>
                    <w:t>图形标志</w:t>
                  </w:r>
                </w:p>
              </w:tc>
              <w:tc>
                <w:tcPr>
                  <w:tcW w:w="8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8C77A20">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rPr>
                      <w:rFonts w:ascii="宋体" w:hAnsi="宋体" w:eastAsia="宋体" w:cs="宋体"/>
                      <w:b w:val="0"/>
                      <w:bCs w:val="0"/>
                      <w:i w:val="0"/>
                      <w:iCs w:val="0"/>
                      <w:color w:val="000000"/>
                      <w:sz w:val="21"/>
                      <w:szCs w:val="21"/>
                      <w:u w:val="none"/>
                    </w:rPr>
                  </w:pPr>
                  <w:r>
                    <w:rPr>
                      <w:rFonts w:ascii="宋体" w:hAnsi="宋体" w:eastAsia="宋体" w:cs="宋体"/>
                      <w:b w:val="0"/>
                      <w:bCs w:val="0"/>
                      <w:i w:val="0"/>
                      <w:iCs w:val="0"/>
                      <w:color w:val="000000"/>
                      <w:kern w:val="0"/>
                      <w:sz w:val="21"/>
                      <w:szCs w:val="21"/>
                      <w:u w:val="none"/>
                      <w:lang w:val="en-US" w:eastAsia="zh-CN" w:bidi="ar"/>
                    </w:rPr>
                    <w:t>形状</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29EB1D4F">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rPr>
                      <w:rFonts w:ascii="宋体" w:hAnsi="宋体" w:eastAsia="宋体" w:cs="宋体"/>
                      <w:b w:val="0"/>
                      <w:bCs w:val="0"/>
                      <w:i w:val="0"/>
                      <w:iCs w:val="0"/>
                      <w:color w:val="000000"/>
                      <w:sz w:val="21"/>
                      <w:szCs w:val="21"/>
                      <w:u w:val="none"/>
                    </w:rPr>
                  </w:pPr>
                  <w:r>
                    <w:rPr>
                      <w:rFonts w:ascii="宋体" w:hAnsi="宋体" w:eastAsia="宋体" w:cs="宋体"/>
                      <w:b w:val="0"/>
                      <w:bCs w:val="0"/>
                      <w:i w:val="0"/>
                      <w:iCs w:val="0"/>
                      <w:color w:val="000000"/>
                      <w:kern w:val="0"/>
                      <w:sz w:val="21"/>
                      <w:szCs w:val="21"/>
                      <w:u w:val="none"/>
                      <w:lang w:val="en-US" w:eastAsia="zh-CN" w:bidi="ar"/>
                    </w:rPr>
                    <w:t>背景颜色</w:t>
                  </w:r>
                </w:p>
              </w:tc>
              <w:tc>
                <w:tcPr>
                  <w:tcW w:w="8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FF95DB2">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rPr>
                      <w:rFonts w:ascii="宋体" w:hAnsi="宋体" w:eastAsia="宋体" w:cs="宋体"/>
                      <w:b w:val="0"/>
                      <w:bCs w:val="0"/>
                      <w:i w:val="0"/>
                      <w:iCs w:val="0"/>
                      <w:color w:val="000000"/>
                      <w:sz w:val="21"/>
                      <w:szCs w:val="21"/>
                      <w:u w:val="none"/>
                    </w:rPr>
                  </w:pPr>
                  <w:r>
                    <w:rPr>
                      <w:rFonts w:ascii="宋体" w:hAnsi="宋体" w:eastAsia="宋体" w:cs="宋体"/>
                      <w:b w:val="0"/>
                      <w:bCs w:val="0"/>
                      <w:i w:val="0"/>
                      <w:iCs w:val="0"/>
                      <w:color w:val="000000"/>
                      <w:kern w:val="0"/>
                      <w:sz w:val="21"/>
                      <w:szCs w:val="21"/>
                      <w:u w:val="none"/>
                      <w:lang w:val="en-US" w:eastAsia="zh-CN" w:bidi="ar"/>
                    </w:rPr>
                    <w:t>图形颜色</w:t>
                  </w:r>
                </w:p>
              </w:tc>
              <w:tc>
                <w:tcPr>
                  <w:tcW w:w="8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57BEFB7">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rPr>
                      <w:rFonts w:ascii="宋体" w:hAnsi="宋体" w:eastAsia="宋体" w:cs="宋体"/>
                      <w:b w:val="0"/>
                      <w:bCs w:val="0"/>
                      <w:i w:val="0"/>
                      <w:iCs w:val="0"/>
                      <w:color w:val="000000"/>
                      <w:sz w:val="21"/>
                      <w:szCs w:val="21"/>
                      <w:u w:val="none"/>
                    </w:rPr>
                  </w:pPr>
                  <w:r>
                    <w:rPr>
                      <w:rFonts w:ascii="宋体" w:hAnsi="宋体" w:eastAsia="宋体" w:cs="宋体"/>
                      <w:b w:val="0"/>
                      <w:bCs w:val="0"/>
                      <w:i w:val="0"/>
                      <w:iCs w:val="0"/>
                      <w:color w:val="000000"/>
                      <w:kern w:val="0"/>
                      <w:sz w:val="21"/>
                      <w:szCs w:val="21"/>
                      <w:u w:val="none"/>
                      <w:lang w:val="en-US" w:eastAsia="zh-CN" w:bidi="ar"/>
                    </w:rPr>
                    <w:t>提示图形符号</w:t>
                  </w:r>
                </w:p>
              </w:tc>
            </w:tr>
            <w:tr w14:paraId="312C395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335" w:hRule="atLeast"/>
                <w:jc w:val="center"/>
              </w:trPr>
              <w:tc>
                <w:tcPr>
                  <w:tcW w:w="817" w:type="pct"/>
                  <w:tcBorders>
                    <w:top w:val="single" w:color="000000" w:sz="4" w:space="0"/>
                    <w:left w:val="single" w:color="000000" w:sz="4" w:space="0"/>
                    <w:bottom w:val="single" w:color="000000" w:sz="4" w:space="0"/>
                    <w:right w:val="single" w:color="000000" w:sz="4" w:space="0"/>
                  </w:tcBorders>
                  <w:shd w:val="clear" w:color="auto" w:fill="auto"/>
                  <w:vAlign w:val="center"/>
                </w:tcPr>
                <w:p w14:paraId="5AE7E606">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rPr>
                      <w:rFonts w:ascii="宋体" w:hAnsi="宋体" w:eastAsia="宋体" w:cs="宋体"/>
                      <w:b w:val="0"/>
                      <w:bCs w:val="0"/>
                      <w:i w:val="0"/>
                      <w:iCs w:val="0"/>
                      <w:color w:val="000000"/>
                      <w:sz w:val="21"/>
                      <w:szCs w:val="21"/>
                      <w:u w:val="none"/>
                    </w:rPr>
                  </w:pPr>
                  <w:r>
                    <w:rPr>
                      <w:rFonts w:ascii="宋体" w:hAnsi="宋体" w:eastAsia="宋体" w:cs="宋体"/>
                      <w:b w:val="0"/>
                      <w:bCs w:val="0"/>
                      <w:i w:val="0"/>
                      <w:iCs w:val="0"/>
                      <w:color w:val="000000"/>
                      <w:kern w:val="0"/>
                      <w:sz w:val="21"/>
                      <w:szCs w:val="21"/>
                      <w:u w:val="none"/>
                      <w:lang w:val="en-US" w:eastAsia="zh-CN" w:bidi="ar"/>
                    </w:rPr>
                    <w:t>一般固废暂</w:t>
                  </w:r>
                  <w:r>
                    <w:rPr>
                      <w:rFonts w:ascii="宋体" w:hAnsi="宋体" w:eastAsia="宋体" w:cs="宋体"/>
                      <w:b w:val="0"/>
                      <w:bCs w:val="0"/>
                      <w:i w:val="0"/>
                      <w:iCs w:val="0"/>
                      <w:color w:val="000000"/>
                      <w:kern w:val="0"/>
                      <w:sz w:val="21"/>
                      <w:szCs w:val="21"/>
                      <w:u w:val="none"/>
                      <w:lang w:val="en-US" w:eastAsia="zh-CN" w:bidi="ar"/>
                    </w:rPr>
                    <w:br w:type="textWrapping"/>
                  </w:r>
                  <w:r>
                    <w:rPr>
                      <w:rFonts w:ascii="宋体" w:hAnsi="宋体" w:eastAsia="宋体" w:cs="宋体"/>
                      <w:b w:val="0"/>
                      <w:bCs w:val="0"/>
                      <w:i w:val="0"/>
                      <w:iCs w:val="0"/>
                      <w:color w:val="000000"/>
                      <w:kern w:val="0"/>
                      <w:sz w:val="21"/>
                      <w:szCs w:val="21"/>
                      <w:u w:val="none"/>
                      <w:lang w:val="en-US" w:eastAsia="zh-CN" w:bidi="ar"/>
                    </w:rPr>
                    <w:t>存场所</w:t>
                  </w:r>
                </w:p>
              </w:tc>
              <w:tc>
                <w:tcPr>
                  <w:tcW w:w="816" w:type="pct"/>
                  <w:tcBorders>
                    <w:top w:val="single" w:color="000000" w:sz="4" w:space="0"/>
                    <w:left w:val="single" w:color="000000" w:sz="4" w:space="0"/>
                    <w:bottom w:val="single" w:color="000000" w:sz="4" w:space="0"/>
                    <w:right w:val="single" w:color="000000" w:sz="4" w:space="0"/>
                  </w:tcBorders>
                  <w:shd w:val="clear" w:color="auto" w:fill="auto"/>
                  <w:vAlign w:val="center"/>
                </w:tcPr>
                <w:p w14:paraId="47C08AE7">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rPr>
                      <w:rFonts w:ascii="宋体" w:hAnsi="宋体" w:eastAsia="宋体" w:cs="宋体"/>
                      <w:b w:val="0"/>
                      <w:bCs w:val="0"/>
                      <w:i w:val="0"/>
                      <w:iCs w:val="0"/>
                      <w:color w:val="000000"/>
                      <w:sz w:val="21"/>
                      <w:szCs w:val="21"/>
                      <w:u w:val="none"/>
                    </w:rPr>
                  </w:pPr>
                  <w:r>
                    <w:rPr>
                      <w:rFonts w:ascii="宋体" w:hAnsi="宋体" w:eastAsia="宋体" w:cs="宋体"/>
                      <w:b w:val="0"/>
                      <w:bCs w:val="0"/>
                      <w:i w:val="0"/>
                      <w:iCs w:val="0"/>
                      <w:color w:val="000000"/>
                      <w:kern w:val="0"/>
                      <w:sz w:val="21"/>
                      <w:szCs w:val="21"/>
                      <w:u w:val="none"/>
                      <w:lang w:val="en-US" w:eastAsia="zh-CN" w:bidi="ar"/>
                    </w:rPr>
                    <w:t>提示标志</w:t>
                  </w:r>
                </w:p>
              </w:tc>
              <w:tc>
                <w:tcPr>
                  <w:tcW w:w="8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04A00915">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rPr>
                      <w:rFonts w:ascii="宋体" w:hAnsi="宋体" w:eastAsia="宋体" w:cs="宋体"/>
                      <w:b w:val="0"/>
                      <w:bCs w:val="0"/>
                      <w:i w:val="0"/>
                      <w:iCs w:val="0"/>
                      <w:color w:val="000000"/>
                      <w:sz w:val="21"/>
                      <w:szCs w:val="21"/>
                      <w:u w:val="none"/>
                    </w:rPr>
                  </w:pPr>
                  <w:r>
                    <w:rPr>
                      <w:rFonts w:ascii="宋体" w:hAnsi="宋体" w:eastAsia="宋体" w:cs="宋体"/>
                      <w:b w:val="0"/>
                      <w:bCs w:val="0"/>
                      <w:i w:val="0"/>
                      <w:iCs w:val="0"/>
                      <w:color w:val="000000"/>
                      <w:kern w:val="0"/>
                      <w:sz w:val="21"/>
                      <w:szCs w:val="21"/>
                      <w:u w:val="none"/>
                      <w:lang w:val="en-US" w:eastAsia="zh-CN" w:bidi="ar"/>
                    </w:rPr>
                    <w:t>正方形边框</w:t>
                  </w:r>
                </w:p>
              </w:tc>
              <w:tc>
                <w:tcPr>
                  <w:tcW w:w="825" w:type="pct"/>
                  <w:tcBorders>
                    <w:top w:val="single" w:color="000000" w:sz="4" w:space="0"/>
                    <w:left w:val="single" w:color="000000" w:sz="4" w:space="0"/>
                    <w:bottom w:val="single" w:color="000000" w:sz="4" w:space="0"/>
                    <w:right w:val="single" w:color="000000" w:sz="4" w:space="0"/>
                  </w:tcBorders>
                  <w:shd w:val="clear" w:color="auto" w:fill="auto"/>
                  <w:vAlign w:val="center"/>
                </w:tcPr>
                <w:p w14:paraId="39110C96">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rPr>
                      <w:rFonts w:ascii="宋体" w:hAnsi="宋体" w:eastAsia="宋体" w:cs="宋体"/>
                      <w:b w:val="0"/>
                      <w:bCs w:val="0"/>
                      <w:i w:val="0"/>
                      <w:iCs w:val="0"/>
                      <w:color w:val="000000"/>
                      <w:sz w:val="21"/>
                      <w:szCs w:val="21"/>
                      <w:u w:val="none"/>
                    </w:rPr>
                  </w:pPr>
                  <w:r>
                    <w:rPr>
                      <w:rFonts w:ascii="宋体" w:hAnsi="宋体" w:eastAsia="宋体" w:cs="宋体"/>
                      <w:b w:val="0"/>
                      <w:bCs w:val="0"/>
                      <w:i w:val="0"/>
                      <w:iCs w:val="0"/>
                      <w:color w:val="000000"/>
                      <w:kern w:val="0"/>
                      <w:sz w:val="21"/>
                      <w:szCs w:val="21"/>
                      <w:u w:val="none"/>
                      <w:lang w:val="en-US" w:eastAsia="zh-CN" w:bidi="ar"/>
                    </w:rPr>
                    <w:t>绿色</w:t>
                  </w:r>
                </w:p>
              </w:tc>
              <w:tc>
                <w:tcPr>
                  <w:tcW w:w="820" w:type="pct"/>
                  <w:tcBorders>
                    <w:top w:val="single" w:color="000000" w:sz="4" w:space="0"/>
                    <w:left w:val="single" w:color="000000" w:sz="4" w:space="0"/>
                    <w:bottom w:val="single" w:color="000000" w:sz="4" w:space="0"/>
                    <w:right w:val="single" w:color="000000" w:sz="4" w:space="0"/>
                  </w:tcBorders>
                  <w:shd w:val="clear" w:color="auto" w:fill="auto"/>
                  <w:vAlign w:val="center"/>
                </w:tcPr>
                <w:p w14:paraId="67F73D4B">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center"/>
                    <w:rPr>
                      <w:rFonts w:ascii="宋体" w:hAnsi="宋体" w:eastAsia="宋体" w:cs="宋体"/>
                      <w:b w:val="0"/>
                      <w:bCs w:val="0"/>
                      <w:i w:val="0"/>
                      <w:iCs w:val="0"/>
                      <w:color w:val="000000"/>
                      <w:sz w:val="21"/>
                      <w:szCs w:val="21"/>
                      <w:u w:val="none"/>
                    </w:rPr>
                  </w:pPr>
                  <w:r>
                    <w:rPr>
                      <w:rFonts w:ascii="宋体" w:hAnsi="宋体" w:eastAsia="宋体" w:cs="宋体"/>
                      <w:b w:val="0"/>
                      <w:bCs w:val="0"/>
                      <w:i w:val="0"/>
                      <w:iCs w:val="0"/>
                      <w:color w:val="000000"/>
                      <w:kern w:val="0"/>
                      <w:sz w:val="21"/>
                      <w:szCs w:val="21"/>
                      <w:u w:val="none"/>
                      <w:lang w:val="en-US" w:eastAsia="zh-CN" w:bidi="ar"/>
                    </w:rPr>
                    <w:t>白色</w:t>
                  </w:r>
                </w:p>
              </w:tc>
              <w:tc>
                <w:tcPr>
                  <w:tcW w:w="899" w:type="pct"/>
                  <w:tcBorders>
                    <w:top w:val="single" w:color="000000" w:sz="4" w:space="0"/>
                    <w:left w:val="single" w:color="000000" w:sz="4" w:space="0"/>
                    <w:bottom w:val="single" w:color="000000" w:sz="4" w:space="0"/>
                    <w:right w:val="single" w:color="000000" w:sz="4" w:space="0"/>
                  </w:tcBorders>
                  <w:shd w:val="clear" w:color="auto" w:fill="auto"/>
                  <w:vAlign w:val="center"/>
                </w:tcPr>
                <w:p w14:paraId="17EDBD92">
                  <w:pPr>
                    <w:keepNext w:val="0"/>
                    <w:keepLines w:val="0"/>
                    <w:pageBreakBefore w:val="0"/>
                    <w:widowControl/>
                    <w:suppressLineNumbers w:val="0"/>
                    <w:kinsoku/>
                    <w:wordWrap/>
                    <w:overflowPunct/>
                    <w:topLinePunct w:val="0"/>
                    <w:autoSpaceDE/>
                    <w:autoSpaceDN/>
                    <w:bidi w:val="0"/>
                    <w:adjustRightInd/>
                    <w:snapToGrid/>
                    <w:spacing w:after="0" w:line="240" w:lineRule="auto"/>
                    <w:ind w:left="0" w:leftChars="0" w:right="0" w:rightChars="0" w:firstLine="0" w:firstLineChars="0"/>
                    <w:jc w:val="center"/>
                    <w:textAlignment w:val="top"/>
                    <w:rPr>
                      <w:rFonts w:ascii="Arial" w:hAnsi="Arial" w:cs="Arial"/>
                      <w:b w:val="0"/>
                      <w:bCs w:val="0"/>
                      <w:i w:val="0"/>
                      <w:iCs w:val="0"/>
                      <w:color w:val="000000"/>
                      <w:sz w:val="21"/>
                      <w:szCs w:val="21"/>
                      <w:u w:val="none"/>
                    </w:rPr>
                  </w:pPr>
                  <w:r>
                    <w:rPr>
                      <w:rFonts w:hint="default" w:ascii="Arial" w:hAnsi="Arial" w:eastAsia="宋体" w:cs="Arial"/>
                      <w:b w:val="0"/>
                      <w:bCs w:val="0"/>
                      <w:i w:val="0"/>
                      <w:iCs w:val="0"/>
                      <w:color w:val="000000"/>
                      <w:kern w:val="0"/>
                      <w:sz w:val="21"/>
                      <w:szCs w:val="21"/>
                      <w:u w:val="none"/>
                      <w:bdr w:val="single" w:color="000000" w:sz="4" w:space="0"/>
                      <w:lang w:val="en-US" w:eastAsia="zh-CN" w:bidi="ar"/>
                    </w:rPr>
                    <w:drawing>
                      <wp:anchor distT="0" distB="0" distL="114300" distR="114300" simplePos="0" relativeHeight="251679744" behindDoc="0" locked="0" layoutInCell="1" allowOverlap="1">
                        <wp:simplePos x="0" y="0"/>
                        <wp:positionH relativeFrom="column">
                          <wp:posOffset>45720</wp:posOffset>
                        </wp:positionH>
                        <wp:positionV relativeFrom="paragraph">
                          <wp:posOffset>25400</wp:posOffset>
                        </wp:positionV>
                        <wp:extent cx="787400" cy="781050"/>
                        <wp:effectExtent l="0" t="0" r="12700" b="0"/>
                        <wp:wrapNone/>
                        <wp:docPr id="47" name="image1"/>
                        <wp:cNvGraphicFramePr/>
                        <a:graphic xmlns:a="http://schemas.openxmlformats.org/drawingml/2006/main">
                          <a:graphicData uri="http://schemas.openxmlformats.org/drawingml/2006/picture">
                            <pic:pic xmlns:pic="http://schemas.openxmlformats.org/drawingml/2006/picture">
                              <pic:nvPicPr>
                                <pic:cNvPr id="47" name="image1"/>
                                <pic:cNvPicPr/>
                              </pic:nvPicPr>
                              <pic:blipFill>
                                <a:blip r:embed="rId51"/>
                                <a:stretch>
                                  <a:fillRect/>
                                </a:stretch>
                              </pic:blipFill>
                              <pic:spPr>
                                <a:xfrm>
                                  <a:off x="0" y="0"/>
                                  <a:ext cx="787400" cy="781050"/>
                                </a:xfrm>
                                <a:prstGeom prst="rect">
                                  <a:avLst/>
                                </a:prstGeom>
                                <a:noFill/>
                                <a:ln>
                                  <a:noFill/>
                                </a:ln>
                              </pic:spPr>
                            </pic:pic>
                          </a:graphicData>
                        </a:graphic>
                      </wp:anchor>
                    </w:drawing>
                  </w:r>
                </w:p>
              </w:tc>
            </w:tr>
          </w:tbl>
          <w:p w14:paraId="1F01F1E4">
            <w:pPr>
              <w:pStyle w:val="771"/>
              <w:bidi w:val="0"/>
            </w:pPr>
            <w:r>
              <w:t>建设项目强化废物产生、收集、贮运各环节的管理，杜绝固废在厂区内的散失、渗漏。做好固体废物在厂区内的收集和储存相关防护工作，收集后进行有效处置。建立完善的规章制度，以降低固体废物散落对周围环境的影响。</w:t>
            </w:r>
          </w:p>
          <w:p w14:paraId="28A97A84">
            <w:pPr>
              <w:pStyle w:val="771"/>
              <w:bidi w:val="0"/>
              <w:rPr>
                <w:color w:val="auto"/>
                <w:kern w:val="2"/>
                <w:szCs w:val="24"/>
              </w:rPr>
            </w:pPr>
            <w:r>
              <w:t>综上所述，经采取上述措施后，本项目固废均可得到有效处置，处置率100%，符合环保要求，不会对周围环境造成不良影响。</w:t>
            </w:r>
          </w:p>
          <w:p w14:paraId="27D9173C">
            <w:pPr>
              <w:pStyle w:val="771"/>
              <w:bidi w:val="0"/>
              <w:ind w:left="0" w:leftChars="0" w:firstLine="0" w:firstLineChars="0"/>
              <w:rPr>
                <w:rFonts w:hint="eastAsia"/>
                <w:b/>
                <w:bCs/>
                <w:lang w:val="en-US" w:eastAsia="zh-CN"/>
              </w:rPr>
            </w:pPr>
            <w:r>
              <w:rPr>
                <w:rFonts w:hint="eastAsia"/>
                <w:b/>
                <w:bCs/>
                <w:lang w:val="en-US" w:eastAsia="zh-CN"/>
              </w:rPr>
              <w:t>4.6生态环境影响</w:t>
            </w:r>
          </w:p>
          <w:p w14:paraId="2A75C86D">
            <w:pPr>
              <w:pStyle w:val="771"/>
              <w:bidi w:val="0"/>
            </w:pPr>
            <w:r>
              <w:rPr>
                <w:rFonts w:hint="eastAsia"/>
                <w:lang w:val="en-US" w:eastAsia="zh-CN"/>
              </w:rPr>
              <w:t>根据生态环境部办公厅</w:t>
            </w:r>
            <w:r>
              <w:rPr>
                <w:rFonts w:hint="default"/>
                <w:lang w:val="en-US" w:eastAsia="zh-CN"/>
              </w:rPr>
              <w:t>2020</w:t>
            </w:r>
            <w:r>
              <w:rPr>
                <w:rFonts w:hint="eastAsia"/>
                <w:lang w:val="en-US" w:eastAsia="zh-CN"/>
              </w:rPr>
              <w:t>年</w:t>
            </w:r>
            <w:r>
              <w:rPr>
                <w:rFonts w:hint="default"/>
                <w:lang w:val="en-US" w:eastAsia="zh-CN"/>
              </w:rPr>
              <w:t>12</w:t>
            </w:r>
            <w:r>
              <w:rPr>
                <w:rFonts w:hint="eastAsia"/>
                <w:lang w:val="en-US" w:eastAsia="zh-CN"/>
              </w:rPr>
              <w:t>月</w:t>
            </w:r>
            <w:r>
              <w:rPr>
                <w:rFonts w:hint="default"/>
                <w:lang w:val="en-US" w:eastAsia="zh-CN"/>
              </w:rPr>
              <w:t>24</w:t>
            </w:r>
            <w:r>
              <w:rPr>
                <w:rFonts w:hint="eastAsia"/>
                <w:lang w:val="en-US" w:eastAsia="zh-CN"/>
              </w:rPr>
              <w:t>日印发的《建设项目环境影响报告表编制技术指南（污染影响类）（试行）》中具体编制要求</w:t>
            </w:r>
            <w:r>
              <w:rPr>
                <w:rFonts w:hint="default"/>
                <w:lang w:val="en-US" w:eastAsia="zh-CN"/>
              </w:rPr>
              <w:t>“</w:t>
            </w:r>
            <w:r>
              <w:rPr>
                <w:rFonts w:hint="eastAsia"/>
                <w:lang w:val="en-US" w:eastAsia="zh-CN"/>
              </w:rPr>
              <w:t>产业园区外建设项目新增用地且用地范围内有生态环境敏感的，应明确环保措施</w:t>
            </w:r>
            <w:r>
              <w:rPr>
                <w:rFonts w:hint="default"/>
                <w:lang w:val="en-US" w:eastAsia="zh-CN"/>
              </w:rPr>
              <w:t>”</w:t>
            </w:r>
            <w:r>
              <w:rPr>
                <w:rFonts w:hint="eastAsia"/>
                <w:lang w:val="en-US" w:eastAsia="zh-CN"/>
              </w:rPr>
              <w:t>，本项目位于淮南经济技术开发区高端装备产业园内，不属于新增用地且用地范围内无生态环境敏感保护目标，不做生态环境影响分析。</w:t>
            </w:r>
          </w:p>
          <w:p w14:paraId="08CDE6C2">
            <w:pPr>
              <w:pStyle w:val="771"/>
              <w:bidi w:val="0"/>
              <w:ind w:left="0" w:leftChars="0" w:firstLine="0" w:firstLineChars="0"/>
              <w:rPr>
                <w:rFonts w:hint="eastAsia"/>
                <w:b/>
                <w:bCs/>
                <w:lang w:eastAsia="zh-CN"/>
              </w:rPr>
            </w:pPr>
            <w:r>
              <w:rPr>
                <w:b/>
                <w:bCs/>
              </w:rPr>
              <w:t>4.</w:t>
            </w:r>
            <w:r>
              <w:rPr>
                <w:rFonts w:hint="eastAsia"/>
                <w:b/>
                <w:bCs/>
                <w:lang w:val="en-US" w:eastAsia="zh-CN"/>
              </w:rPr>
              <w:t>7</w:t>
            </w:r>
            <w:r>
              <w:rPr>
                <w:b/>
                <w:bCs/>
              </w:rPr>
              <w:t>土壤、地下水</w:t>
            </w:r>
            <w:r>
              <w:rPr>
                <w:rFonts w:hint="eastAsia"/>
                <w:b/>
                <w:bCs/>
                <w:lang w:eastAsia="zh-CN"/>
              </w:rPr>
              <w:t>环境影响分析</w:t>
            </w:r>
          </w:p>
          <w:p w14:paraId="131CA23A">
            <w:pPr>
              <w:pStyle w:val="771"/>
              <w:bidi w:val="0"/>
              <w:rPr>
                <w:color w:val="auto"/>
                <w:kern w:val="2"/>
                <w:szCs w:val="24"/>
              </w:rPr>
            </w:pPr>
            <w:r>
              <w:rPr>
                <w:rFonts w:hint="eastAsia"/>
              </w:rPr>
              <w:t>根据《环境影响评价技术导则 地下水环境》（HJ610-2016），本项目在其附录 A 地下水环境评价行业分类表中“其他食品制造”行业类别中，地下水环境影响评价项目类别为Ⅳ类，可不开展地下水环境影响评价工作；同时根据《环境影响评价技术导则 土壤环境（试行）》（HJ964-2018），本项目在其附录A地下水环境评价行业分类表中无分属类别，可不开展土壤环境影响评价。项目车间地面均会硬化处理，项目无污染土壤及地下水环境的途径，不会对土壤及地下水环境产生影响。</w:t>
            </w:r>
          </w:p>
          <w:p w14:paraId="2DADF593">
            <w:pPr>
              <w:spacing w:after="0" w:line="360" w:lineRule="auto"/>
              <w:rPr>
                <w:rFonts w:ascii="Times New Roman" w:hAnsi="Times New Roman" w:eastAsia="宋体" w:cs="Times New Roman"/>
                <w:b/>
                <w:bCs/>
                <w:color w:val="auto"/>
                <w:kern w:val="2"/>
                <w:szCs w:val="24"/>
              </w:rPr>
            </w:pPr>
            <w:r>
              <w:rPr>
                <w:rFonts w:ascii="Times New Roman" w:hAnsi="Times New Roman" w:eastAsia="宋体" w:cs="Times New Roman"/>
                <w:b/>
                <w:bCs/>
                <w:color w:val="auto"/>
                <w:kern w:val="2"/>
                <w:szCs w:val="24"/>
              </w:rPr>
              <w:t>4.</w:t>
            </w:r>
            <w:r>
              <w:rPr>
                <w:rFonts w:hint="eastAsia" w:ascii="Times New Roman" w:hAnsi="Times New Roman" w:eastAsia="宋体" w:cs="Times New Roman"/>
                <w:b/>
                <w:bCs/>
                <w:color w:val="auto"/>
                <w:kern w:val="2"/>
                <w:szCs w:val="24"/>
                <w:lang w:val="en-US" w:eastAsia="zh-CN"/>
              </w:rPr>
              <w:t>8</w:t>
            </w:r>
            <w:r>
              <w:rPr>
                <w:rFonts w:ascii="Times New Roman" w:hAnsi="Times New Roman" w:eastAsia="宋体" w:cs="Times New Roman"/>
                <w:b/>
                <w:bCs/>
                <w:color w:val="auto"/>
                <w:kern w:val="2"/>
                <w:szCs w:val="24"/>
              </w:rPr>
              <w:t xml:space="preserve"> </w:t>
            </w:r>
            <w:r>
              <w:rPr>
                <w:rFonts w:hint="eastAsia" w:ascii="Times New Roman" w:hAnsi="Times New Roman" w:eastAsia="宋体" w:cs="Times New Roman"/>
                <w:b/>
                <w:bCs/>
                <w:color w:val="auto"/>
                <w:kern w:val="2"/>
                <w:szCs w:val="24"/>
              </w:rPr>
              <w:t>环境风险</w:t>
            </w:r>
          </w:p>
          <w:p w14:paraId="05F160A5">
            <w:pPr>
              <w:pStyle w:val="771"/>
              <w:bidi w:val="0"/>
              <w:rPr>
                <w:rFonts w:hint="eastAsia" w:ascii="Times New Roman" w:hAnsi="Times New Roman" w:eastAsia="宋体" w:cs="Times New Roman"/>
                <w:color w:val="auto"/>
                <w:kern w:val="2"/>
                <w:szCs w:val="24"/>
              </w:rPr>
            </w:pPr>
            <w:r>
              <w:rPr>
                <w:rFonts w:hint="eastAsia"/>
                <w:lang w:val="en-US" w:eastAsia="zh-CN"/>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出科学依据。本次环境风险评价根据《建设项目环境风险评价技术导则》（</w:t>
            </w:r>
            <w:r>
              <w:rPr>
                <w:rFonts w:hint="default"/>
                <w:lang w:val="en-US" w:eastAsia="zh-CN"/>
              </w:rPr>
              <w:t>HJ169-2018</w:t>
            </w:r>
            <w:r>
              <w:rPr>
                <w:rFonts w:hint="eastAsia"/>
                <w:lang w:val="en-US" w:eastAsia="zh-CN"/>
              </w:rPr>
              <w:t>）进行，主要内容包括风险源调查、环境敏感目标调查、环境风险潜势初判、风险识别、环境风险分析、环境风险防范措施及应急要求等。</w:t>
            </w:r>
          </w:p>
          <w:p w14:paraId="08C5D197">
            <w:pPr>
              <w:pStyle w:val="771"/>
              <w:bidi w:val="0"/>
              <w:rPr>
                <w:rFonts w:hint="eastAsia"/>
                <w:b/>
                <w:bCs/>
                <w:lang w:eastAsia="zh-CN"/>
              </w:rPr>
            </w:pPr>
            <w:r>
              <w:rPr>
                <w:rFonts w:hint="eastAsia"/>
                <w:b/>
                <w:bCs/>
              </w:rPr>
              <w:t>4.</w:t>
            </w:r>
            <w:r>
              <w:rPr>
                <w:rFonts w:hint="eastAsia"/>
                <w:b/>
                <w:bCs/>
                <w:lang w:val="en-US" w:eastAsia="zh-CN"/>
              </w:rPr>
              <w:t>8</w:t>
            </w:r>
            <w:r>
              <w:rPr>
                <w:rFonts w:hint="eastAsia"/>
                <w:b/>
                <w:bCs/>
              </w:rPr>
              <w:t>.</w:t>
            </w:r>
            <w:r>
              <w:rPr>
                <w:rFonts w:hint="eastAsia"/>
                <w:b/>
                <w:bCs/>
                <w:lang w:val="en-US" w:eastAsia="zh-CN"/>
              </w:rPr>
              <w:t>1</w:t>
            </w:r>
            <w:r>
              <w:rPr>
                <w:rFonts w:hint="eastAsia"/>
                <w:b/>
                <w:bCs/>
                <w:lang w:eastAsia="zh-CN"/>
              </w:rPr>
              <w:t>风险调查</w:t>
            </w:r>
          </w:p>
          <w:p w14:paraId="4B1AC27B">
            <w:pPr>
              <w:pStyle w:val="771"/>
              <w:bidi w:val="0"/>
              <w:rPr>
                <w:rFonts w:hint="eastAsia"/>
                <w:lang w:eastAsia="zh-CN"/>
              </w:rPr>
            </w:pPr>
            <w:r>
              <w:rPr>
                <w:rFonts w:hint="eastAsia"/>
                <w:lang w:eastAsia="zh-CN"/>
              </w:rPr>
              <w:t>对照《危险化学品重大危险源辨识》（</w:t>
            </w:r>
            <w:r>
              <w:rPr>
                <w:rFonts w:hint="eastAsia"/>
                <w:lang w:val="en-US" w:eastAsia="zh-CN"/>
              </w:rPr>
              <w:t>GB18218-2018</w:t>
            </w:r>
            <w:r>
              <w:rPr>
                <w:rFonts w:hint="eastAsia"/>
                <w:lang w:eastAsia="zh-CN"/>
              </w:rPr>
              <w:t>）及</w:t>
            </w:r>
            <w:r>
              <w:t>《建设项目环境风险评价技术导则》（HJ169</w:t>
            </w:r>
            <w:r>
              <w:rPr>
                <w:rFonts w:hint="eastAsia"/>
                <w:lang w:val="en-US" w:eastAsia="zh-CN"/>
              </w:rPr>
              <w:t>-</w:t>
            </w:r>
            <w:r>
              <w:t>2018）</w:t>
            </w:r>
            <w:r>
              <w:rPr>
                <w:rFonts w:hint="eastAsia"/>
                <w:lang w:eastAsia="zh-CN"/>
              </w:rPr>
              <w:t>，</w:t>
            </w:r>
            <w:r>
              <w:rPr>
                <w:rFonts w:hint="eastAsia"/>
              </w:rPr>
              <w:t>本项目</w:t>
            </w:r>
            <w:r>
              <w:rPr>
                <w:rFonts w:hint="eastAsia"/>
                <w:lang w:eastAsia="zh-CN"/>
              </w:rPr>
              <w:t>不涉及风险物质，环境风险潜势为Ⅰ，开展简单分析。</w:t>
            </w:r>
          </w:p>
          <w:p w14:paraId="48CA205E">
            <w:pPr>
              <w:pStyle w:val="771"/>
              <w:bidi w:val="0"/>
            </w:pPr>
            <w:r>
              <w:rPr>
                <w:rFonts w:hint="eastAsia"/>
                <w:lang w:val="en-US" w:eastAsia="zh-CN"/>
              </w:rPr>
              <w:t>风险识别范围包括生产过程中所涉及的物质风险识别和生产设施风险识别。物质风险识别范围：主要原材料及辅助材料、燃料、中间产品、最终产品以及生产过程排放的</w:t>
            </w:r>
            <w:r>
              <w:rPr>
                <w:rFonts w:hint="default"/>
                <w:lang w:val="en-US" w:eastAsia="zh-CN"/>
              </w:rPr>
              <w:t>“</w:t>
            </w:r>
            <w:r>
              <w:rPr>
                <w:rFonts w:hint="eastAsia"/>
                <w:lang w:val="en-US" w:eastAsia="zh-CN"/>
              </w:rPr>
              <w:t>三废</w:t>
            </w:r>
            <w:r>
              <w:rPr>
                <w:rFonts w:hint="default"/>
                <w:lang w:val="en-US" w:eastAsia="zh-CN"/>
              </w:rPr>
              <w:t>”</w:t>
            </w:r>
            <w:r>
              <w:rPr>
                <w:rFonts w:hint="eastAsia"/>
                <w:lang w:val="en-US" w:eastAsia="zh-CN"/>
              </w:rPr>
              <w:t>污染物等。生产设施风险识别范围：主要生产装置、贮运系统、公用工程系统、工程环保设施及辅助生产设施等。受影响的环境要素识别：应当根据有毒有害物质排放途径确定，如大气环境、水环境、土壤、生态环境等，明确受影响的环境保护目标。</w:t>
            </w:r>
          </w:p>
          <w:p w14:paraId="3C65775D">
            <w:pPr>
              <w:pStyle w:val="771"/>
              <w:bidi w:val="0"/>
            </w:pPr>
            <w:r>
              <w:rPr>
                <w:rFonts w:hint="eastAsia"/>
                <w:lang w:val="en-US" w:eastAsia="zh-CN"/>
              </w:rPr>
              <w:t>①物质危险性识别：项目不涉及风险物质。</w:t>
            </w:r>
          </w:p>
          <w:p w14:paraId="0995C161">
            <w:pPr>
              <w:pStyle w:val="771"/>
              <w:bidi w:val="0"/>
            </w:pPr>
            <w:r>
              <w:rPr>
                <w:rFonts w:hint="eastAsia"/>
                <w:lang w:val="en-US" w:eastAsia="zh-CN"/>
              </w:rPr>
              <w:t>②生产设施风险识别：生产设施风险识别是通过对生产装置、贮运系统、公用工程系统、工程环保设施及辅助生产设施等运行过程中存在的危险因素和可能发生的风险类型进行识别。</w:t>
            </w:r>
          </w:p>
          <w:p w14:paraId="4563C31A">
            <w:pPr>
              <w:pStyle w:val="771"/>
              <w:bidi w:val="0"/>
            </w:pPr>
            <w:r>
              <w:rPr>
                <w:rFonts w:hint="eastAsia"/>
                <w:lang w:val="en-US" w:eastAsia="zh-CN"/>
              </w:rPr>
              <w:t>本项目涉及面粉等粉状原辅料的使用，一般情况下，盛放在袋子里不会燃烧爆炸。但是生产车间在进行拆包投料过程中，可能会造成所在室内粉尘浓度增大，如遇明火可能发生粉尘爆炸。面粉本身是具有可燃性的，含有碳氢氧元素。由于面粉是小颗粒状的，干燥状态下，一旦遇到明火，很容易与氧气充分接触，这个时候，它的可燃性就将发挥到极致。每个面粉小颗粒周围都有大量的氧气助燃，一瞬间，热量不能迅速释放，就会产生爆炸。火灾、爆炸后带来一定的次生环境风险，如消防废水、浓烟等。</w:t>
            </w:r>
          </w:p>
          <w:p w14:paraId="4AF5A4C2">
            <w:pPr>
              <w:pStyle w:val="771"/>
              <w:bidi w:val="0"/>
              <w:rPr>
                <w:rFonts w:hint="eastAsia"/>
                <w:b/>
                <w:bCs/>
                <w:lang w:val="en-US" w:eastAsia="zh-CN"/>
              </w:rPr>
            </w:pPr>
            <w:r>
              <w:rPr>
                <w:rFonts w:hint="eastAsia"/>
                <w:b/>
                <w:bCs/>
                <w:lang w:val="en-US" w:eastAsia="zh-CN"/>
              </w:rPr>
              <w:t>4.8.2环境风险分析</w:t>
            </w:r>
          </w:p>
          <w:p w14:paraId="303D6824">
            <w:pPr>
              <w:pStyle w:val="771"/>
              <w:bidi w:val="0"/>
            </w:pPr>
            <w:r>
              <w:rPr>
                <w:rFonts w:hint="eastAsia"/>
                <w:lang w:val="en-US" w:eastAsia="zh-CN"/>
              </w:rPr>
              <w:t>企业发生火灾爆炸事故时，火势会迅速蔓延至整个车间内。在火灾过程中，物体燃烧后产生高温和烟雾可以使人体受到伤害，甚至危及人的生命；火灾会毁坏物资，造成经济损失；火灾中释放的烟气将对周围大气环境造成一定的污染。</w:t>
            </w:r>
          </w:p>
          <w:p w14:paraId="499797A6">
            <w:pPr>
              <w:pStyle w:val="771"/>
              <w:bidi w:val="0"/>
            </w:pPr>
            <w:r>
              <w:rPr>
                <w:rFonts w:hint="eastAsia"/>
                <w:lang w:val="en-US" w:eastAsia="zh-CN"/>
              </w:rPr>
              <w:t>火灾事故其发生带有明显的随机性和偶然性。这类事故的出现对环境的影响将会持续一定的时间，带来的后果也较为严重。</w:t>
            </w:r>
          </w:p>
          <w:p w14:paraId="5D2DAFA2">
            <w:pPr>
              <w:pStyle w:val="771"/>
              <w:bidi w:val="0"/>
            </w:pPr>
            <w:r>
              <w:rPr>
                <w:rFonts w:hint="eastAsia"/>
                <w:lang w:val="en-US" w:eastAsia="zh-CN"/>
              </w:rPr>
              <w:t>1、火灾导致的次生大气环境污染事故影响分析</w:t>
            </w:r>
          </w:p>
          <w:p w14:paraId="5CE554CF">
            <w:pPr>
              <w:pStyle w:val="771"/>
              <w:bidi w:val="0"/>
            </w:pPr>
            <w:r>
              <w:rPr>
                <w:rFonts w:hint="eastAsia"/>
                <w:lang w:val="en-US" w:eastAsia="zh-CN"/>
              </w:rPr>
              <w:t>当火灾发生时，燃烧产生的烟气短时间内会对厂内员工有较大的影响，并随着时间扩散，对项目周边的企业和居民产生一定影响。各种影响如下：</w:t>
            </w:r>
          </w:p>
          <w:p w14:paraId="086C6159">
            <w:pPr>
              <w:pStyle w:val="771"/>
              <w:bidi w:val="0"/>
            </w:pPr>
            <w:r>
              <w:rPr>
                <w:rFonts w:hint="eastAsia"/>
                <w:lang w:val="en-US" w:eastAsia="zh-CN"/>
              </w:rPr>
              <w:t xml:space="preserve">燃烧时产生的烟气中含有大量的一氧化碳，一氧化碳随空气进入人体后，经肺泡进入血液循环，能与血液中红细胞的血红蛋白，血液外的肌红蛋白和含二价铁的细胞呼吸酶等形成可逆性结合。高浓度一氧化碳可引起急性中毒，中毒者经常出现脉弱，呼吸变慢等精神性衰弱症状。燃烧事故发生后，先是对近距离目标影响最大，且危害程度也大，随着时间的推移，逐渐对远处产生影响，但危害程度逐渐减小。 </w:t>
            </w:r>
          </w:p>
          <w:p w14:paraId="1D35B21D">
            <w:pPr>
              <w:pStyle w:val="771"/>
              <w:bidi w:val="0"/>
            </w:pPr>
            <w:r>
              <w:rPr>
                <w:rFonts w:hint="eastAsia"/>
                <w:lang w:val="en-US" w:eastAsia="zh-CN"/>
              </w:rPr>
              <w:t xml:space="preserve">2、火灾导致的次生水环境污染事故影响分析 </w:t>
            </w:r>
          </w:p>
          <w:p w14:paraId="44ECE715">
            <w:pPr>
              <w:pStyle w:val="771"/>
              <w:bidi w:val="0"/>
              <w:rPr>
                <w:rFonts w:hint="default"/>
                <w:lang w:val="en-US"/>
              </w:rPr>
            </w:pPr>
            <w:r>
              <w:rPr>
                <w:rFonts w:hint="eastAsia"/>
                <w:lang w:val="en-US" w:eastAsia="zh-CN"/>
              </w:rPr>
              <w:t>企业火灾事故导致的次生水环境事故主要是：火灾事故产生的洗消废水进入园区雨水管网，由雨水管网排出园区外，造成水质污染。</w:t>
            </w:r>
            <w:r>
              <w:rPr>
                <w:color w:val="auto"/>
              </w:rPr>
              <w:t>事故状况下，</w:t>
            </w:r>
            <w:r>
              <w:rPr>
                <w:rFonts w:hint="eastAsia"/>
                <w:color w:val="auto"/>
                <w:lang w:eastAsia="zh-CN"/>
              </w:rPr>
              <w:t>本</w:t>
            </w:r>
            <w:r>
              <w:rPr>
                <w:rFonts w:hint="eastAsia"/>
                <w:color w:val="auto"/>
                <w:lang w:val="en-US" w:eastAsia="zh-CN"/>
              </w:rPr>
              <w:t>项目事故废水进入</w:t>
            </w:r>
            <w:r>
              <w:rPr>
                <w:color w:val="auto"/>
              </w:rPr>
              <w:t>雨水系统，送至</w:t>
            </w:r>
            <w:r>
              <w:rPr>
                <w:rFonts w:hint="eastAsia"/>
                <w:color w:val="auto"/>
                <w:lang w:val="en-US" w:eastAsia="zh-CN"/>
              </w:rPr>
              <w:t>装备产业园区</w:t>
            </w:r>
            <w:r>
              <w:rPr>
                <w:color w:val="auto"/>
              </w:rPr>
              <w:t>事故池</w:t>
            </w:r>
            <w:r>
              <w:rPr>
                <w:rFonts w:hint="eastAsia"/>
                <w:lang w:val="en-US" w:eastAsia="zh-CN"/>
              </w:rPr>
              <w:t>（容积1100m</w:t>
            </w:r>
            <w:r>
              <w:rPr>
                <w:rFonts w:hint="eastAsia"/>
                <w:vertAlign w:val="superscript"/>
                <w:lang w:val="en-US" w:eastAsia="zh-CN"/>
              </w:rPr>
              <w:t>3</w:t>
            </w:r>
            <w:r>
              <w:rPr>
                <w:rFonts w:hint="eastAsia"/>
                <w:lang w:val="en-US" w:eastAsia="zh-CN"/>
              </w:rPr>
              <w:t>）</w:t>
            </w:r>
            <w:r>
              <w:rPr>
                <w:color w:val="auto"/>
              </w:rPr>
              <w:t>。事故</w:t>
            </w:r>
            <w:r>
              <w:rPr>
                <w:rFonts w:hint="eastAsia"/>
                <w:color w:val="auto"/>
                <w:lang w:val="en-US" w:eastAsia="zh-CN"/>
              </w:rPr>
              <w:t>结束后，应急</w:t>
            </w:r>
            <w:r>
              <w:rPr>
                <w:color w:val="auto"/>
              </w:rPr>
              <w:t>池收集的事故水通过泵分批分次送</w:t>
            </w:r>
            <w:r>
              <w:rPr>
                <w:rFonts w:hint="eastAsia" w:cs="Times New Roman"/>
                <w:color w:val="auto"/>
                <w:szCs w:val="21"/>
                <w:lang w:val="en-US" w:eastAsia="zh-CN"/>
              </w:rPr>
              <w:t>淮南经济技术开发区高端装备产业园污水处理站</w:t>
            </w:r>
            <w:r>
              <w:rPr>
                <w:color w:val="auto"/>
              </w:rPr>
              <w:t>处理，处理达到接管标准后排</w:t>
            </w:r>
            <w:r>
              <w:rPr>
                <w:rFonts w:hint="eastAsia"/>
                <w:color w:val="auto"/>
              </w:rPr>
              <w:t>入</w:t>
            </w:r>
            <w:r>
              <w:rPr>
                <w:rFonts w:hint="eastAsia"/>
                <w:color w:val="auto"/>
                <w:lang w:eastAsia="zh-CN"/>
              </w:rPr>
              <w:t>淮南经济技术开发区工业</w:t>
            </w:r>
            <w:r>
              <w:rPr>
                <w:color w:val="auto"/>
              </w:rPr>
              <w:t>污水处理厂集中处理。</w:t>
            </w:r>
          </w:p>
          <w:p w14:paraId="6EA15B42">
            <w:pPr>
              <w:pStyle w:val="771"/>
              <w:bidi w:val="0"/>
              <w:rPr>
                <w:b/>
                <w:bCs/>
              </w:rPr>
            </w:pPr>
            <w:r>
              <w:rPr>
                <w:rFonts w:hint="eastAsia"/>
                <w:b/>
                <w:bCs/>
                <w:lang w:val="en-US" w:eastAsia="zh-CN"/>
              </w:rPr>
              <w:t>4.8.3环境风险防范措施及应急要求</w:t>
            </w:r>
          </w:p>
          <w:p w14:paraId="5DCEB66D">
            <w:pPr>
              <w:pStyle w:val="771"/>
              <w:bidi w:val="0"/>
            </w:pPr>
            <w:r>
              <w:rPr>
                <w:rFonts w:hint="eastAsia"/>
                <w:lang w:val="en-US" w:eastAsia="zh-CN"/>
              </w:rPr>
              <w:t>本项目环境风险防范措施重点在防火上，项目需做到以下防治措施：</w:t>
            </w:r>
          </w:p>
          <w:p w14:paraId="6F62BF36">
            <w:pPr>
              <w:pStyle w:val="771"/>
              <w:bidi w:val="0"/>
            </w:pPr>
            <w:r>
              <w:rPr>
                <w:rFonts w:hint="eastAsia"/>
                <w:lang w:val="en-US" w:eastAsia="zh-CN"/>
              </w:rPr>
              <w:t>①厂区设置明显禁火标志牌，厂内严禁烟火，严格执行《建筑设计防火规范》（</w:t>
            </w:r>
            <w:r>
              <w:rPr>
                <w:rFonts w:hint="default"/>
                <w:lang w:val="en-US" w:eastAsia="zh-CN"/>
              </w:rPr>
              <w:t>GB50016-2014</w:t>
            </w:r>
            <w:r>
              <w:rPr>
                <w:rFonts w:hint="eastAsia"/>
                <w:lang w:val="en-US" w:eastAsia="zh-CN"/>
              </w:rPr>
              <w:t>）、《仓库防火安全管理规则》相关要求。</w:t>
            </w:r>
          </w:p>
          <w:p w14:paraId="14F9D5A9">
            <w:pPr>
              <w:pStyle w:val="771"/>
              <w:bidi w:val="0"/>
            </w:pPr>
            <w:r>
              <w:rPr>
                <w:rFonts w:hint="eastAsia"/>
                <w:lang w:val="en-US" w:eastAsia="zh-CN"/>
              </w:rPr>
              <w:t>②合理布局，电器设备满足防爆要求，并配备紧急泄压装置、消防、防护器材等。</w:t>
            </w:r>
          </w:p>
          <w:p w14:paraId="7E08AAF6">
            <w:pPr>
              <w:pStyle w:val="771"/>
              <w:bidi w:val="0"/>
            </w:pPr>
            <w:r>
              <w:rPr>
                <w:rFonts w:hint="eastAsia"/>
                <w:lang w:val="en-US" w:eastAsia="zh-CN"/>
              </w:rPr>
              <w:t>③开展各种形式的安全教育和宣传，提高员工安全意识的自我防护能力，配备必要足量的应急救护设备，如防毒面具、防毒口罩等，并做好应急救护设备的定期检查维修，确保救护设备的安全性能。</w:t>
            </w:r>
          </w:p>
          <w:p w14:paraId="7AB0B37B">
            <w:pPr>
              <w:pStyle w:val="771"/>
              <w:bidi w:val="0"/>
            </w:pPr>
            <w:r>
              <w:rPr>
                <w:rFonts w:hint="eastAsia"/>
                <w:lang w:val="en-US" w:eastAsia="zh-CN"/>
              </w:rPr>
              <w:t>④进行电路、电气检查，消除安全隐患；项目内的电气装置必须符合国家现行的有关电气设计和施工安装验收标准规范的规定；当使用日光灯等低温照明灯具和其他防燃型照明灯具时，应当对镇流器采取隔热、散热等防火保护措施，确保安全；生产车间必须按照国家有关防雷设计安装规范的规定，设置防雷装置，并定期检测，保证有效。</w:t>
            </w:r>
          </w:p>
          <w:p w14:paraId="17AE7E03">
            <w:pPr>
              <w:pStyle w:val="771"/>
              <w:bidi w:val="0"/>
              <w:rPr>
                <w:rFonts w:hint="eastAsia"/>
                <w:lang w:val="en-US" w:eastAsia="zh-CN"/>
              </w:rPr>
            </w:pPr>
            <w:r>
              <w:rPr>
                <w:rFonts w:hint="eastAsia"/>
                <w:lang w:val="en-US" w:eastAsia="zh-CN"/>
              </w:rPr>
              <w:t>⑤加强厂房清洁及厂房内空气净化，减少积尘及降低空气中面粉粉尘浓度。</w:t>
            </w:r>
          </w:p>
          <w:p w14:paraId="1A0CC934">
            <w:pPr>
              <w:pStyle w:val="771"/>
              <w:bidi w:val="0"/>
              <w:rPr>
                <w:rFonts w:hint="eastAsia"/>
                <w:lang w:val="en-US" w:eastAsia="zh-CN"/>
              </w:rPr>
            </w:pPr>
            <w:r>
              <w:rPr>
                <w:rFonts w:hint="eastAsia"/>
                <w:lang w:val="en-US" w:eastAsia="zh-CN"/>
              </w:rPr>
              <w:t>⑥应按照相关要求规范对原辅材料的使用，加强对员工的教育培训。</w:t>
            </w:r>
          </w:p>
          <w:p w14:paraId="4CBE894E">
            <w:pPr>
              <w:pStyle w:val="771"/>
              <w:bidi w:val="0"/>
              <w:rPr>
                <w:rFonts w:hint="default"/>
                <w:b/>
                <w:bCs/>
                <w:lang w:val="en-US" w:eastAsia="zh-CN"/>
              </w:rPr>
            </w:pPr>
            <w:r>
              <w:rPr>
                <w:rFonts w:hint="default"/>
                <w:b/>
                <w:bCs/>
                <w:lang w:val="en-US" w:eastAsia="zh-CN"/>
              </w:rPr>
              <w:t>4.</w:t>
            </w:r>
            <w:r>
              <w:rPr>
                <w:rFonts w:hint="eastAsia"/>
                <w:b/>
                <w:bCs/>
                <w:lang w:val="en-US" w:eastAsia="zh-CN"/>
              </w:rPr>
              <w:t>8</w:t>
            </w:r>
            <w:r>
              <w:rPr>
                <w:rFonts w:hint="default"/>
                <w:b/>
                <w:bCs/>
                <w:lang w:val="en-US" w:eastAsia="zh-CN"/>
              </w:rPr>
              <w:t>.4环境风险评价结论</w:t>
            </w:r>
          </w:p>
          <w:p w14:paraId="4B79B18D">
            <w:pPr>
              <w:pStyle w:val="771"/>
              <w:bidi w:val="0"/>
              <w:rPr>
                <w:rFonts w:hint="eastAsia"/>
                <w:lang w:val="en-US" w:eastAsia="zh-CN"/>
              </w:rPr>
            </w:pPr>
            <w:r>
              <w:rPr>
                <w:rFonts w:hint="eastAsia"/>
                <w:lang w:val="en-US" w:eastAsia="zh-CN"/>
              </w:rPr>
              <w:t>本项目环境风险潜势为</w:t>
            </w:r>
            <w:r>
              <w:rPr>
                <w:rFonts w:hint="default"/>
                <w:lang w:val="en-US" w:eastAsia="zh-CN"/>
              </w:rPr>
              <w:t>I</w:t>
            </w:r>
            <w:r>
              <w:rPr>
                <w:rFonts w:hint="eastAsia"/>
                <w:lang w:val="en-US" w:eastAsia="zh-CN"/>
              </w:rPr>
              <w:t>，潜在危险性较小。建设单位应按照相关要求，做好风险防范和减缓措施，杜绝环境风险事故的发生。只要企业严格按照有关规范标准、规范及条例的要求，认真落实环境风险防范措施，则环境风险对周围环境的影响是可以接受的。</w:t>
            </w:r>
          </w:p>
          <w:p w14:paraId="67E3F17D">
            <w:pPr>
              <w:pStyle w:val="771"/>
              <w:bidi w:val="0"/>
              <w:ind w:left="0" w:leftChars="0" w:firstLine="0" w:firstLineChars="0"/>
              <w:rPr>
                <w:b/>
                <w:bCs/>
              </w:rPr>
            </w:pPr>
            <w:r>
              <w:rPr>
                <w:b/>
                <w:bCs/>
              </w:rPr>
              <w:t>4.</w:t>
            </w:r>
            <w:r>
              <w:rPr>
                <w:rFonts w:hint="eastAsia"/>
                <w:b/>
                <w:bCs/>
                <w:lang w:val="en-US" w:eastAsia="zh-CN"/>
              </w:rPr>
              <w:t>9</w:t>
            </w:r>
            <w:r>
              <w:rPr>
                <w:b/>
                <w:bCs/>
              </w:rPr>
              <w:t xml:space="preserve"> </w:t>
            </w:r>
            <w:r>
              <w:rPr>
                <w:rFonts w:hint="eastAsia"/>
                <w:b/>
                <w:bCs/>
              </w:rPr>
              <w:t>电磁辐射环境影响分析</w:t>
            </w:r>
          </w:p>
          <w:p w14:paraId="2EB43655">
            <w:pPr>
              <w:pStyle w:val="771"/>
              <w:bidi w:val="0"/>
            </w:pPr>
            <w:r>
              <w:rPr>
                <w:rFonts w:hint="eastAsia"/>
              </w:rPr>
              <w:t>本项目不属于电磁辐射类项目，无电磁辐射污染，因此无需进行电磁辐射环境影响分析。</w:t>
            </w:r>
          </w:p>
          <w:p w14:paraId="780B13F1">
            <w:pPr>
              <w:pStyle w:val="771"/>
              <w:bidi w:val="0"/>
              <w:ind w:left="0" w:leftChars="0" w:firstLine="0" w:firstLineChars="0"/>
              <w:rPr>
                <w:b/>
                <w:bCs/>
              </w:rPr>
            </w:pPr>
            <w:r>
              <w:rPr>
                <w:rFonts w:hint="eastAsia"/>
                <w:b/>
                <w:bCs/>
              </w:rPr>
              <w:t>4.10</w:t>
            </w:r>
            <w:r>
              <w:rPr>
                <w:b/>
                <w:bCs/>
              </w:rPr>
              <w:t xml:space="preserve"> </w:t>
            </w:r>
            <w:r>
              <w:rPr>
                <w:rFonts w:hint="eastAsia"/>
                <w:b/>
                <w:bCs/>
              </w:rPr>
              <w:t>项目环保措施汇总及投资</w:t>
            </w:r>
          </w:p>
          <w:p w14:paraId="5C08EDD3">
            <w:pPr>
              <w:pStyle w:val="771"/>
              <w:keepNext w:val="0"/>
              <w:keepLines w:val="0"/>
              <w:pageBreakBefore w:val="0"/>
              <w:widowControl w:val="0"/>
              <w:kinsoku/>
              <w:wordWrap/>
              <w:overflowPunct/>
              <w:topLinePunct w:val="0"/>
              <w:autoSpaceDE/>
              <w:autoSpaceDN/>
              <w:bidi w:val="0"/>
              <w:adjustRightInd w:val="0"/>
              <w:snapToGrid w:val="0"/>
              <w:textAlignment w:val="auto"/>
              <w:rPr>
                <w:bCs/>
                <w:color w:val="auto"/>
              </w:rPr>
            </w:pPr>
            <w:r>
              <w:rPr>
                <w:rFonts w:hint="eastAsia"/>
              </w:rPr>
              <w:t>本</w:t>
            </w:r>
            <w:r>
              <w:t>项目</w:t>
            </w:r>
            <w:r>
              <w:rPr>
                <w:rFonts w:hint="eastAsia"/>
                <w:lang w:eastAsia="zh-CN"/>
              </w:rPr>
              <w:t>总投资</w:t>
            </w:r>
            <w:r>
              <w:rPr>
                <w:rFonts w:hint="eastAsia"/>
                <w:lang w:val="en-US" w:eastAsia="zh-CN"/>
              </w:rPr>
              <w:t>3000万元，</w:t>
            </w:r>
            <w:r>
              <w:t>环保投资为</w:t>
            </w:r>
            <w:r>
              <w:rPr>
                <w:rFonts w:hint="eastAsia"/>
                <w:lang w:val="en-US" w:eastAsia="zh-CN"/>
              </w:rPr>
              <w:t>28</w:t>
            </w:r>
            <w:r>
              <w:t>万元，占总投资的</w:t>
            </w:r>
            <w:r>
              <w:rPr>
                <w:rFonts w:hint="eastAsia"/>
                <w:lang w:val="en-US" w:eastAsia="zh-CN"/>
              </w:rPr>
              <w:t>0.93</w:t>
            </w:r>
            <w:r>
              <w:t>%，环保投资估算详见下表：</w:t>
            </w:r>
          </w:p>
          <w:p w14:paraId="78BA8C8F">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表 </w:t>
            </w:r>
            <w:r>
              <w:rPr>
                <w:rFonts w:hint="eastAsia"/>
                <w:lang w:val="en-US" w:eastAsia="zh-CN"/>
              </w:rPr>
              <w:t>4</w:t>
            </w:r>
            <w:r>
              <w:rPr>
                <w:rFonts w:hint="eastAsia"/>
                <w:lang w:eastAsia="zh-CN"/>
              </w:rPr>
              <w:t>-</w:t>
            </w:r>
            <w:r>
              <w:rPr>
                <w:rFonts w:hint="eastAsia"/>
                <w:lang w:val="en-US" w:eastAsia="zh-CN"/>
              </w:rPr>
              <w:t xml:space="preserve">11 </w:t>
            </w:r>
            <w:r>
              <w:rPr>
                <w:color w:val="auto"/>
              </w:rPr>
              <w:t>环保投资一览表</w:t>
            </w:r>
          </w:p>
          <w:tbl>
            <w:tblPr>
              <w:tblStyle w:val="24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280"/>
              <w:gridCol w:w="2251"/>
              <w:gridCol w:w="3389"/>
              <w:gridCol w:w="1580"/>
            </w:tblGrid>
            <w:tr w14:paraId="69C5F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80" w:type="dxa"/>
                  <w:vAlign w:val="center"/>
                </w:tcPr>
                <w:p w14:paraId="424312BD">
                  <w:pPr>
                    <w:pStyle w:val="286"/>
                    <w:framePr w:hSpace="0" w:wrap="auto" w:vAnchor="margin" w:hAnchor="text" w:xAlign="left" w:yAlign="inline"/>
                    <w:rPr>
                      <w:color w:val="auto"/>
                    </w:rPr>
                  </w:pPr>
                  <w:r>
                    <w:rPr>
                      <w:color w:val="auto"/>
                    </w:rPr>
                    <w:t>类别</w:t>
                  </w:r>
                </w:p>
              </w:tc>
              <w:tc>
                <w:tcPr>
                  <w:tcW w:w="2251" w:type="dxa"/>
                  <w:vAlign w:val="center"/>
                </w:tcPr>
                <w:p w14:paraId="2232A737">
                  <w:pPr>
                    <w:pStyle w:val="286"/>
                    <w:framePr w:hSpace="0" w:wrap="auto" w:vAnchor="margin" w:hAnchor="text" w:xAlign="left" w:yAlign="inline"/>
                    <w:rPr>
                      <w:rFonts w:hint="eastAsia" w:eastAsia="宋体"/>
                      <w:color w:val="auto"/>
                      <w:lang w:eastAsia="zh-CN"/>
                    </w:rPr>
                  </w:pPr>
                  <w:r>
                    <w:rPr>
                      <w:rFonts w:hint="eastAsia"/>
                      <w:color w:val="auto"/>
                      <w:lang w:eastAsia="zh-CN"/>
                    </w:rPr>
                    <w:t>污染物</w:t>
                  </w:r>
                </w:p>
              </w:tc>
              <w:tc>
                <w:tcPr>
                  <w:tcW w:w="3389" w:type="dxa"/>
                  <w:vAlign w:val="center"/>
                </w:tcPr>
                <w:p w14:paraId="0E968AC6">
                  <w:pPr>
                    <w:pStyle w:val="286"/>
                    <w:framePr w:hSpace="0" w:wrap="auto" w:vAnchor="margin" w:hAnchor="text" w:xAlign="left" w:yAlign="inline"/>
                    <w:rPr>
                      <w:color w:val="auto"/>
                    </w:rPr>
                  </w:pPr>
                  <w:r>
                    <w:rPr>
                      <w:color w:val="auto"/>
                    </w:rPr>
                    <w:t>环保投资内容</w:t>
                  </w:r>
                </w:p>
              </w:tc>
              <w:tc>
                <w:tcPr>
                  <w:tcW w:w="1580" w:type="dxa"/>
                  <w:vAlign w:val="center"/>
                </w:tcPr>
                <w:p w14:paraId="0C45B88F">
                  <w:pPr>
                    <w:pStyle w:val="286"/>
                    <w:framePr w:hSpace="0" w:wrap="auto" w:vAnchor="margin" w:hAnchor="text" w:xAlign="left" w:yAlign="inline"/>
                    <w:rPr>
                      <w:color w:val="auto"/>
                    </w:rPr>
                  </w:pPr>
                  <w:r>
                    <w:rPr>
                      <w:color w:val="auto"/>
                    </w:rPr>
                    <w:t>投资额（万元）</w:t>
                  </w:r>
                </w:p>
              </w:tc>
            </w:tr>
            <w:tr w14:paraId="3DECD9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80" w:type="dxa"/>
                  <w:vAlign w:val="center"/>
                </w:tcPr>
                <w:p w14:paraId="6A6EE2BC">
                  <w:pPr>
                    <w:pStyle w:val="286"/>
                    <w:framePr w:hSpace="0" w:wrap="auto" w:vAnchor="margin" w:hAnchor="text" w:xAlign="left" w:yAlign="inline"/>
                    <w:rPr>
                      <w:color w:val="auto"/>
                    </w:rPr>
                  </w:pPr>
                  <w:r>
                    <w:rPr>
                      <w:color w:val="auto"/>
                    </w:rPr>
                    <w:t>废气</w:t>
                  </w:r>
                  <w:r>
                    <w:t>治理</w:t>
                  </w:r>
                </w:p>
              </w:tc>
              <w:tc>
                <w:tcPr>
                  <w:tcW w:w="2251" w:type="dxa"/>
                  <w:vAlign w:val="center"/>
                </w:tcPr>
                <w:p w14:paraId="3AFD2DEC">
                  <w:pPr>
                    <w:pStyle w:val="286"/>
                    <w:framePr w:hSpace="0" w:wrap="auto" w:vAnchor="margin" w:hAnchor="text" w:xAlign="left" w:yAlign="inline"/>
                    <w:rPr>
                      <w:rFonts w:hint="eastAsia" w:eastAsia="宋体"/>
                      <w:color w:val="auto"/>
                      <w:lang w:eastAsia="zh-CN"/>
                    </w:rPr>
                  </w:pPr>
                  <w:r>
                    <w:rPr>
                      <w:rFonts w:hint="eastAsia"/>
                      <w:color w:val="auto"/>
                      <w:lang w:eastAsia="zh-CN"/>
                    </w:rPr>
                    <w:t>投料粉尘</w:t>
                  </w:r>
                </w:p>
              </w:tc>
              <w:tc>
                <w:tcPr>
                  <w:tcW w:w="3389" w:type="dxa"/>
                  <w:vAlign w:val="center"/>
                </w:tcPr>
                <w:p w14:paraId="1DD79898">
                  <w:pPr>
                    <w:keepNext w:val="0"/>
                    <w:keepLines w:val="0"/>
                    <w:pageBreakBefore w:val="0"/>
                    <w:widowControl/>
                    <w:suppressLineNumbers w:val="0"/>
                    <w:kinsoku/>
                    <w:wordWrap/>
                    <w:overflowPunct/>
                    <w:topLinePunct w:val="0"/>
                    <w:autoSpaceDE/>
                    <w:autoSpaceDN/>
                    <w:bidi w:val="0"/>
                    <w:adjustRightInd w:val="0"/>
                    <w:snapToGrid w:val="0"/>
                    <w:spacing w:after="0" w:line="240" w:lineRule="auto"/>
                    <w:jc w:val="left"/>
                    <w:textAlignment w:val="auto"/>
                    <w:rPr>
                      <w:color w:val="auto"/>
                    </w:rPr>
                  </w:pPr>
                  <w:r>
                    <w:rPr>
                      <w:rFonts w:hint="default" w:ascii="Times New Roman" w:hAnsi="Times New Roman" w:eastAsia="宋体" w:cs="Times New Roman"/>
                      <w:color w:val="auto"/>
                      <w:sz w:val="18"/>
                      <w:szCs w:val="18"/>
                      <w:highlight w:val="none"/>
                      <w:vertAlign w:val="baseline"/>
                      <w:lang w:val="en-US" w:eastAsia="zh-CN"/>
                    </w:rPr>
                    <w:t>本项目投料口上方布设集气罩并连通集气管道接入布袋除尘器+加强设备密闭</w:t>
                  </w:r>
                  <w:r>
                    <w:rPr>
                      <w:rFonts w:hint="eastAsia" w:cs="Times New Roman"/>
                      <w:color w:val="auto"/>
                      <w:sz w:val="18"/>
                      <w:szCs w:val="18"/>
                      <w:highlight w:val="none"/>
                      <w:vertAlign w:val="baseline"/>
                      <w:lang w:val="en-US" w:eastAsia="zh-CN"/>
                    </w:rPr>
                    <w:t>。</w:t>
                  </w:r>
                </w:p>
              </w:tc>
              <w:tc>
                <w:tcPr>
                  <w:tcW w:w="1580" w:type="dxa"/>
                  <w:vAlign w:val="center"/>
                </w:tcPr>
                <w:p w14:paraId="7305BB3C">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10</w:t>
                  </w:r>
                </w:p>
              </w:tc>
            </w:tr>
            <w:tr w14:paraId="6C116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80" w:type="dxa"/>
                  <w:vMerge w:val="restart"/>
                  <w:vAlign w:val="center"/>
                </w:tcPr>
                <w:p w14:paraId="151C4C43">
                  <w:pPr>
                    <w:pStyle w:val="286"/>
                    <w:framePr w:hSpace="0" w:wrap="auto" w:vAnchor="margin" w:hAnchor="text" w:xAlign="left" w:yAlign="inline"/>
                    <w:rPr>
                      <w:color w:val="auto"/>
                    </w:rPr>
                  </w:pPr>
                  <w:r>
                    <w:rPr>
                      <w:color w:val="auto"/>
                    </w:rPr>
                    <w:t>废水</w:t>
                  </w:r>
                  <w:r>
                    <w:t>治理</w:t>
                  </w:r>
                </w:p>
              </w:tc>
              <w:tc>
                <w:tcPr>
                  <w:tcW w:w="2251" w:type="dxa"/>
                  <w:vAlign w:val="center"/>
                </w:tcPr>
                <w:p w14:paraId="79A6595D">
                  <w:pPr>
                    <w:pStyle w:val="286"/>
                    <w:framePr w:hSpace="0" w:wrap="auto" w:vAnchor="margin" w:hAnchor="text" w:xAlign="left" w:yAlign="inline"/>
                    <w:rPr>
                      <w:color w:val="auto"/>
                    </w:rPr>
                  </w:pPr>
                  <w:r>
                    <w:rPr>
                      <w:color w:val="auto"/>
                    </w:rPr>
                    <w:t>生活污水</w:t>
                  </w:r>
                </w:p>
              </w:tc>
              <w:tc>
                <w:tcPr>
                  <w:tcW w:w="3389" w:type="dxa"/>
                  <w:vAlign w:val="center"/>
                </w:tcPr>
                <w:p w14:paraId="7DBF395F">
                  <w:pPr>
                    <w:pStyle w:val="286"/>
                    <w:framePr w:hSpace="0" w:wrap="auto" w:vAnchor="margin" w:hAnchor="text" w:xAlign="left" w:yAlign="inline"/>
                    <w:rPr>
                      <w:rFonts w:hint="eastAsia" w:eastAsia="宋体"/>
                      <w:color w:val="auto"/>
                      <w:lang w:eastAsia="zh-CN"/>
                    </w:rPr>
                  </w:pPr>
                  <w:r>
                    <w:rPr>
                      <w:rFonts w:hint="eastAsia"/>
                      <w:color w:val="auto"/>
                      <w:lang w:eastAsia="zh-CN"/>
                    </w:rPr>
                    <w:t>依托园区化粪池处理</w:t>
                  </w:r>
                </w:p>
              </w:tc>
              <w:tc>
                <w:tcPr>
                  <w:tcW w:w="1580" w:type="dxa"/>
                  <w:vAlign w:val="center"/>
                </w:tcPr>
                <w:p w14:paraId="2C08E3A1">
                  <w:pPr>
                    <w:pStyle w:val="286"/>
                    <w:framePr w:hSpace="0" w:wrap="auto" w:vAnchor="margin" w:hAnchor="text" w:xAlign="left" w:yAlign="inline"/>
                    <w:rPr>
                      <w:color w:val="auto"/>
                    </w:rPr>
                  </w:pPr>
                  <w:r>
                    <w:rPr>
                      <w:color w:val="auto"/>
                    </w:rPr>
                    <w:t>0</w:t>
                  </w:r>
                </w:p>
              </w:tc>
            </w:tr>
            <w:tr w14:paraId="7F356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80" w:type="dxa"/>
                  <w:vMerge w:val="continue"/>
                  <w:vAlign w:val="center"/>
                </w:tcPr>
                <w:p w14:paraId="72248CFB">
                  <w:pPr>
                    <w:pStyle w:val="286"/>
                    <w:framePr w:hSpace="0" w:wrap="auto" w:vAnchor="margin" w:hAnchor="text" w:xAlign="left" w:yAlign="inline"/>
                    <w:rPr>
                      <w:color w:val="auto"/>
                    </w:rPr>
                  </w:pPr>
                </w:p>
              </w:tc>
              <w:tc>
                <w:tcPr>
                  <w:tcW w:w="2251" w:type="dxa"/>
                  <w:vAlign w:val="center"/>
                </w:tcPr>
                <w:p w14:paraId="7F417017">
                  <w:pPr>
                    <w:pStyle w:val="286"/>
                    <w:framePr w:hSpace="0" w:wrap="auto" w:vAnchor="margin" w:hAnchor="text" w:xAlign="left" w:yAlign="inline"/>
                    <w:rPr>
                      <w:rFonts w:hint="eastAsia" w:eastAsia="宋体"/>
                      <w:color w:val="auto"/>
                      <w:lang w:eastAsia="zh-CN"/>
                    </w:rPr>
                  </w:pPr>
                  <w:r>
                    <w:rPr>
                      <w:color w:val="auto"/>
                    </w:rPr>
                    <w:t>生产废水</w:t>
                  </w:r>
                  <w:r>
                    <w:rPr>
                      <w:rFonts w:hint="eastAsia"/>
                      <w:color w:val="auto"/>
                      <w:lang w:eastAsia="zh-CN"/>
                    </w:rPr>
                    <w:t>（洗米废水、设备清洗废水、地面保洁废水）</w:t>
                  </w:r>
                </w:p>
              </w:tc>
              <w:tc>
                <w:tcPr>
                  <w:tcW w:w="3389" w:type="dxa"/>
                  <w:vAlign w:val="center"/>
                </w:tcPr>
                <w:p w14:paraId="0C762CC0">
                  <w:pPr>
                    <w:pStyle w:val="286"/>
                    <w:framePr w:hSpace="0" w:wrap="auto" w:vAnchor="margin" w:hAnchor="text" w:xAlign="left" w:yAlign="inline"/>
                    <w:rPr>
                      <w:rFonts w:hint="eastAsia" w:eastAsia="宋体"/>
                      <w:color w:val="auto"/>
                      <w:lang w:eastAsia="zh-CN"/>
                    </w:rPr>
                  </w:pPr>
                  <w:r>
                    <w:rPr>
                      <w:rFonts w:hint="eastAsia"/>
                      <w:lang w:eastAsia="zh-CN"/>
                    </w:rPr>
                    <w:t>油水分离池和</w:t>
                  </w:r>
                  <w:r>
                    <w:rPr>
                      <w:rFonts w:hint="eastAsia"/>
                      <w:color w:val="auto"/>
                      <w:spacing w:val="-3"/>
                      <w:lang w:eastAsia="zh-CN"/>
                    </w:rPr>
                    <w:t>沉淀池</w:t>
                  </w:r>
                </w:p>
              </w:tc>
              <w:tc>
                <w:tcPr>
                  <w:tcW w:w="1580" w:type="dxa"/>
                  <w:vAlign w:val="center"/>
                </w:tcPr>
                <w:p w14:paraId="2C9F881C">
                  <w:pPr>
                    <w:pStyle w:val="286"/>
                    <w:framePr w:hSpace="0" w:wrap="auto" w:vAnchor="margin" w:hAnchor="text" w:xAlign="left" w:yAlign="inline"/>
                    <w:rPr>
                      <w:rFonts w:hint="eastAsia" w:eastAsia="宋体"/>
                      <w:color w:val="auto"/>
                      <w:lang w:eastAsia="zh-CN"/>
                    </w:rPr>
                  </w:pPr>
                  <w:r>
                    <w:rPr>
                      <w:rFonts w:hint="eastAsia"/>
                      <w:color w:val="auto"/>
                      <w:lang w:val="en-US" w:eastAsia="zh-CN"/>
                    </w:rPr>
                    <w:t>5</w:t>
                  </w:r>
                </w:p>
              </w:tc>
            </w:tr>
            <w:tr w14:paraId="618012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80" w:type="dxa"/>
                  <w:vAlign w:val="center"/>
                </w:tcPr>
                <w:p w14:paraId="3E29A5DC">
                  <w:pPr>
                    <w:pStyle w:val="286"/>
                    <w:framePr w:hSpace="0" w:wrap="auto" w:vAnchor="margin" w:hAnchor="text" w:xAlign="left" w:yAlign="inline"/>
                    <w:rPr>
                      <w:color w:val="auto"/>
                    </w:rPr>
                  </w:pPr>
                  <w:r>
                    <w:rPr>
                      <w:color w:val="auto"/>
                    </w:rPr>
                    <w:t>噪声</w:t>
                  </w:r>
                  <w:r>
                    <w:t>治理</w:t>
                  </w:r>
                </w:p>
              </w:tc>
              <w:tc>
                <w:tcPr>
                  <w:tcW w:w="2251" w:type="dxa"/>
                  <w:vAlign w:val="center"/>
                </w:tcPr>
                <w:p w14:paraId="5ECCC8E7">
                  <w:pPr>
                    <w:pStyle w:val="286"/>
                    <w:framePr w:hSpace="0" w:wrap="auto" w:vAnchor="margin" w:hAnchor="text" w:xAlign="left" w:yAlign="inline"/>
                    <w:rPr>
                      <w:color w:val="auto"/>
                    </w:rPr>
                  </w:pPr>
                  <w:r>
                    <w:rPr>
                      <w:color w:val="auto"/>
                    </w:rPr>
                    <w:t>噪声</w:t>
                  </w:r>
                </w:p>
              </w:tc>
              <w:tc>
                <w:tcPr>
                  <w:tcW w:w="3389" w:type="dxa"/>
                  <w:vAlign w:val="center"/>
                </w:tcPr>
                <w:p w14:paraId="714439E7">
                  <w:pPr>
                    <w:pStyle w:val="286"/>
                    <w:framePr w:hSpace="0" w:wrap="auto" w:vAnchor="margin" w:hAnchor="text" w:xAlign="left" w:yAlign="inline"/>
                    <w:rPr>
                      <w:color w:val="auto"/>
                    </w:rPr>
                  </w:pPr>
                  <w:r>
                    <w:rPr>
                      <w:color w:val="auto"/>
                    </w:rPr>
                    <w:t>降噪设施、隔振措施</w:t>
                  </w:r>
                </w:p>
              </w:tc>
              <w:tc>
                <w:tcPr>
                  <w:tcW w:w="1580" w:type="dxa"/>
                  <w:vAlign w:val="center"/>
                </w:tcPr>
                <w:p w14:paraId="616E5A03">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10</w:t>
                  </w:r>
                </w:p>
              </w:tc>
            </w:tr>
            <w:tr w14:paraId="3A18B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80" w:type="dxa"/>
                  <w:vMerge w:val="restart"/>
                  <w:vAlign w:val="center"/>
                </w:tcPr>
                <w:p w14:paraId="0943A107">
                  <w:pPr>
                    <w:pStyle w:val="286"/>
                    <w:framePr w:hSpace="0" w:wrap="auto" w:vAnchor="margin" w:hAnchor="text" w:xAlign="left" w:yAlign="inline"/>
                    <w:rPr>
                      <w:color w:val="auto"/>
                    </w:rPr>
                  </w:pPr>
                  <w:r>
                    <w:rPr>
                      <w:color w:val="auto"/>
                    </w:rPr>
                    <w:t>固废</w:t>
                  </w:r>
                </w:p>
              </w:tc>
              <w:tc>
                <w:tcPr>
                  <w:tcW w:w="2251" w:type="dxa"/>
                  <w:vAlign w:val="center"/>
                </w:tcPr>
                <w:p w14:paraId="02854FC1">
                  <w:pPr>
                    <w:pStyle w:val="286"/>
                    <w:framePr w:hSpace="0" w:wrap="auto" w:vAnchor="margin" w:hAnchor="text" w:xAlign="left" w:yAlign="inline"/>
                    <w:rPr>
                      <w:rFonts w:hint="eastAsia" w:eastAsia="宋体"/>
                      <w:color w:val="auto"/>
                      <w:lang w:eastAsia="zh-CN"/>
                    </w:rPr>
                  </w:pPr>
                  <w:r>
                    <w:rPr>
                      <w:rFonts w:hint="eastAsia"/>
                      <w:color w:val="auto"/>
                      <w:lang w:eastAsia="zh-CN"/>
                    </w:rPr>
                    <w:t>生活垃圾</w:t>
                  </w:r>
                </w:p>
              </w:tc>
              <w:tc>
                <w:tcPr>
                  <w:tcW w:w="3389" w:type="dxa"/>
                  <w:vAlign w:val="center"/>
                </w:tcPr>
                <w:p w14:paraId="4F515A28">
                  <w:pPr>
                    <w:pStyle w:val="286"/>
                    <w:framePr w:hSpace="0" w:wrap="auto" w:vAnchor="margin" w:hAnchor="text" w:xAlign="left" w:yAlign="inline"/>
                    <w:rPr>
                      <w:rFonts w:hint="eastAsia" w:eastAsia="宋体"/>
                      <w:color w:val="auto"/>
                      <w:lang w:eastAsia="zh-CN"/>
                    </w:rPr>
                  </w:pPr>
                  <w:r>
                    <w:rPr>
                      <w:rFonts w:hint="eastAsia"/>
                      <w:color w:val="auto"/>
                      <w:lang w:eastAsia="zh-CN"/>
                    </w:rPr>
                    <w:t>由环卫部门统一清运</w:t>
                  </w:r>
                </w:p>
              </w:tc>
              <w:tc>
                <w:tcPr>
                  <w:tcW w:w="1580" w:type="dxa"/>
                  <w:vMerge w:val="restart"/>
                  <w:vAlign w:val="center"/>
                </w:tcPr>
                <w:p w14:paraId="7EFC8F77">
                  <w:pPr>
                    <w:pStyle w:val="286"/>
                    <w:framePr w:hSpace="0" w:wrap="auto" w:vAnchor="margin" w:hAnchor="text" w:xAlign="left" w:yAlign="inline"/>
                    <w:rPr>
                      <w:rFonts w:hint="eastAsia" w:eastAsia="宋体"/>
                      <w:color w:val="auto"/>
                      <w:lang w:eastAsia="zh-CN"/>
                    </w:rPr>
                  </w:pPr>
                  <w:r>
                    <w:rPr>
                      <w:rFonts w:hint="eastAsia"/>
                      <w:color w:val="auto"/>
                      <w:lang w:val="en-US" w:eastAsia="zh-CN"/>
                    </w:rPr>
                    <w:t>3</w:t>
                  </w:r>
                </w:p>
              </w:tc>
            </w:tr>
            <w:tr w14:paraId="50AB8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80" w:type="dxa"/>
                  <w:vMerge w:val="continue"/>
                  <w:vAlign w:val="center"/>
                </w:tcPr>
                <w:p w14:paraId="0EDF992D">
                  <w:pPr>
                    <w:pStyle w:val="286"/>
                    <w:framePr w:hSpace="0" w:wrap="auto" w:vAnchor="margin" w:hAnchor="text" w:xAlign="left" w:yAlign="inline"/>
                    <w:rPr>
                      <w:color w:val="auto"/>
                    </w:rPr>
                  </w:pPr>
                </w:p>
              </w:tc>
              <w:tc>
                <w:tcPr>
                  <w:tcW w:w="2251" w:type="dxa"/>
                  <w:vAlign w:val="center"/>
                </w:tcPr>
                <w:p w14:paraId="5B7149B3">
                  <w:pPr>
                    <w:pStyle w:val="286"/>
                    <w:framePr w:hSpace="0" w:wrap="auto" w:vAnchor="margin" w:hAnchor="text" w:xAlign="left" w:yAlign="inline"/>
                    <w:rPr>
                      <w:rFonts w:hint="eastAsia" w:eastAsia="宋体"/>
                      <w:color w:val="auto"/>
                      <w:lang w:eastAsia="zh-CN"/>
                    </w:rPr>
                  </w:pPr>
                  <w:r>
                    <w:rPr>
                      <w:rFonts w:hint="eastAsia"/>
                      <w:color w:val="auto"/>
                      <w:lang w:eastAsia="zh-CN"/>
                    </w:rPr>
                    <w:t>废包装袋</w:t>
                  </w:r>
                </w:p>
              </w:tc>
              <w:tc>
                <w:tcPr>
                  <w:tcW w:w="3389" w:type="dxa"/>
                  <w:vAlign w:val="center"/>
                </w:tcPr>
                <w:p w14:paraId="3F87EDC4">
                  <w:pPr>
                    <w:pStyle w:val="286"/>
                    <w:framePr w:hSpace="0" w:wrap="auto" w:vAnchor="margin" w:hAnchor="text" w:xAlign="left" w:yAlign="inline"/>
                    <w:rPr>
                      <w:rFonts w:hint="eastAsia" w:eastAsia="宋体"/>
                      <w:color w:val="auto"/>
                      <w:lang w:eastAsia="zh-CN"/>
                    </w:rPr>
                  </w:pPr>
                  <w:r>
                    <w:rPr>
                      <w:rFonts w:hint="eastAsia"/>
                      <w:color w:val="auto"/>
                      <w:lang w:eastAsia="zh-CN"/>
                    </w:rPr>
                    <w:t>外售给物资回收公司</w:t>
                  </w:r>
                </w:p>
              </w:tc>
              <w:tc>
                <w:tcPr>
                  <w:tcW w:w="1580" w:type="dxa"/>
                  <w:vMerge w:val="continue"/>
                  <w:vAlign w:val="center"/>
                </w:tcPr>
                <w:p w14:paraId="5B397FCC">
                  <w:pPr>
                    <w:pStyle w:val="286"/>
                    <w:framePr w:hSpace="0" w:wrap="auto" w:vAnchor="margin" w:hAnchor="text" w:xAlign="left" w:yAlign="inline"/>
                    <w:rPr>
                      <w:rFonts w:hint="eastAsia"/>
                      <w:color w:val="auto"/>
                      <w:lang w:val="en-US" w:eastAsia="zh-CN"/>
                    </w:rPr>
                  </w:pPr>
                </w:p>
              </w:tc>
            </w:tr>
            <w:tr w14:paraId="3F71D0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80" w:type="dxa"/>
                  <w:vMerge w:val="continue"/>
                  <w:vAlign w:val="center"/>
                </w:tcPr>
                <w:p w14:paraId="274EA226">
                  <w:pPr>
                    <w:pStyle w:val="286"/>
                    <w:framePr w:hSpace="0" w:wrap="auto" w:vAnchor="margin" w:hAnchor="text" w:xAlign="left" w:yAlign="inline"/>
                    <w:rPr>
                      <w:color w:val="auto"/>
                    </w:rPr>
                  </w:pPr>
                </w:p>
              </w:tc>
              <w:tc>
                <w:tcPr>
                  <w:tcW w:w="2251" w:type="dxa"/>
                  <w:vAlign w:val="center"/>
                </w:tcPr>
                <w:p w14:paraId="1169B60A">
                  <w:pPr>
                    <w:pStyle w:val="286"/>
                    <w:framePr w:hSpace="0" w:wrap="auto" w:vAnchor="margin" w:hAnchor="text" w:xAlign="left" w:yAlign="inline"/>
                    <w:rPr>
                      <w:rFonts w:hint="eastAsia" w:eastAsia="宋体"/>
                      <w:color w:val="auto"/>
                      <w:lang w:eastAsia="zh-CN"/>
                    </w:rPr>
                  </w:pPr>
                  <w:r>
                    <w:rPr>
                      <w:rFonts w:hint="eastAsia"/>
                      <w:color w:val="auto"/>
                      <w:lang w:eastAsia="zh-CN"/>
                    </w:rPr>
                    <w:t>边角料、不合格产品</w:t>
                  </w:r>
                </w:p>
              </w:tc>
              <w:tc>
                <w:tcPr>
                  <w:tcW w:w="3389" w:type="dxa"/>
                  <w:vAlign w:val="center"/>
                </w:tcPr>
                <w:p w14:paraId="37FD9887">
                  <w:pPr>
                    <w:pStyle w:val="286"/>
                    <w:framePr w:hSpace="0" w:wrap="auto" w:vAnchor="margin" w:hAnchor="text" w:xAlign="left" w:yAlign="inline"/>
                    <w:rPr>
                      <w:rFonts w:hint="eastAsia"/>
                      <w:color w:val="auto"/>
                    </w:rPr>
                  </w:pPr>
                  <w:r>
                    <w:rPr>
                      <w:rFonts w:hint="eastAsia"/>
                      <w:color w:val="auto"/>
                      <w:lang w:eastAsia="zh-CN"/>
                    </w:rPr>
                    <w:t>外售作为饲料生产</w:t>
                  </w:r>
                </w:p>
              </w:tc>
              <w:tc>
                <w:tcPr>
                  <w:tcW w:w="1580" w:type="dxa"/>
                  <w:vMerge w:val="continue"/>
                  <w:vAlign w:val="center"/>
                </w:tcPr>
                <w:p w14:paraId="03C50269">
                  <w:pPr>
                    <w:pStyle w:val="286"/>
                    <w:framePr w:hSpace="0" w:wrap="auto" w:vAnchor="margin" w:hAnchor="text" w:xAlign="left" w:yAlign="inline"/>
                    <w:rPr>
                      <w:rFonts w:hint="eastAsia"/>
                      <w:color w:val="auto"/>
                      <w:lang w:val="en-US" w:eastAsia="zh-CN"/>
                    </w:rPr>
                  </w:pPr>
                </w:p>
              </w:tc>
            </w:tr>
            <w:tr w14:paraId="7B9F4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80" w:type="dxa"/>
                  <w:vMerge w:val="continue"/>
                  <w:vAlign w:val="center"/>
                </w:tcPr>
                <w:p w14:paraId="0353B2F5">
                  <w:pPr>
                    <w:pStyle w:val="286"/>
                    <w:framePr w:hSpace="0" w:wrap="auto" w:vAnchor="margin" w:hAnchor="text" w:xAlign="left" w:yAlign="inline"/>
                    <w:rPr>
                      <w:color w:val="auto"/>
                    </w:rPr>
                  </w:pPr>
                </w:p>
              </w:tc>
              <w:tc>
                <w:tcPr>
                  <w:tcW w:w="2251" w:type="dxa"/>
                  <w:vAlign w:val="center"/>
                </w:tcPr>
                <w:p w14:paraId="24F4F791">
                  <w:pPr>
                    <w:pStyle w:val="286"/>
                    <w:framePr w:hSpace="0" w:wrap="auto" w:vAnchor="margin" w:hAnchor="text" w:xAlign="left" w:yAlign="inline"/>
                    <w:rPr>
                      <w:rFonts w:hint="eastAsia"/>
                      <w:color w:val="auto"/>
                      <w:lang w:eastAsia="zh-CN"/>
                    </w:rPr>
                  </w:pPr>
                  <w:r>
                    <w:rPr>
                      <w:rFonts w:hint="eastAsia"/>
                      <w:color w:val="auto"/>
                      <w:lang w:eastAsia="zh-CN"/>
                    </w:rPr>
                    <w:t>车间布袋收集粉尘</w:t>
                  </w:r>
                </w:p>
              </w:tc>
              <w:tc>
                <w:tcPr>
                  <w:tcW w:w="3389" w:type="dxa"/>
                  <w:vAlign w:val="center"/>
                </w:tcPr>
                <w:p w14:paraId="10A8FA5C">
                  <w:pPr>
                    <w:pStyle w:val="286"/>
                    <w:framePr w:hSpace="0" w:wrap="auto" w:vAnchor="margin" w:hAnchor="text" w:xAlign="left" w:yAlign="inline"/>
                    <w:rPr>
                      <w:rFonts w:hint="eastAsia" w:eastAsia="宋体"/>
                      <w:color w:val="auto"/>
                      <w:lang w:eastAsia="zh-CN"/>
                    </w:rPr>
                  </w:pPr>
                  <w:r>
                    <w:rPr>
                      <w:rFonts w:hint="eastAsia"/>
                      <w:color w:val="auto"/>
                      <w:lang w:eastAsia="zh-CN"/>
                    </w:rPr>
                    <w:t>外售作为饲料生产</w:t>
                  </w:r>
                </w:p>
              </w:tc>
              <w:tc>
                <w:tcPr>
                  <w:tcW w:w="1580" w:type="dxa"/>
                  <w:vMerge w:val="continue"/>
                  <w:vAlign w:val="center"/>
                </w:tcPr>
                <w:p w14:paraId="3E869C64">
                  <w:pPr>
                    <w:pStyle w:val="286"/>
                    <w:framePr w:hSpace="0" w:wrap="auto" w:vAnchor="margin" w:hAnchor="text" w:xAlign="left" w:yAlign="inline"/>
                    <w:rPr>
                      <w:rFonts w:hint="eastAsia"/>
                      <w:color w:val="auto"/>
                      <w:lang w:val="en-US" w:eastAsia="zh-CN"/>
                    </w:rPr>
                  </w:pPr>
                </w:p>
              </w:tc>
            </w:tr>
            <w:tr w14:paraId="4FD4B2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80" w:type="dxa"/>
                  <w:vMerge w:val="continue"/>
                  <w:vAlign w:val="center"/>
                </w:tcPr>
                <w:p w14:paraId="5D3B01D3">
                  <w:pPr>
                    <w:pStyle w:val="286"/>
                    <w:framePr w:hSpace="0" w:wrap="auto" w:vAnchor="margin" w:hAnchor="text" w:xAlign="left" w:yAlign="inline"/>
                    <w:rPr>
                      <w:color w:val="auto"/>
                    </w:rPr>
                  </w:pPr>
                </w:p>
              </w:tc>
              <w:tc>
                <w:tcPr>
                  <w:tcW w:w="2251" w:type="dxa"/>
                  <w:vAlign w:val="center"/>
                </w:tcPr>
                <w:p w14:paraId="78789DAC">
                  <w:pPr>
                    <w:pStyle w:val="286"/>
                    <w:framePr w:hSpace="0" w:wrap="auto" w:vAnchor="margin" w:hAnchor="text" w:xAlign="left" w:yAlign="inline"/>
                    <w:rPr>
                      <w:rFonts w:hint="eastAsia"/>
                      <w:color w:val="auto"/>
                      <w:lang w:eastAsia="zh-CN"/>
                    </w:rPr>
                  </w:pPr>
                  <w:r>
                    <w:rPr>
                      <w:rFonts w:hint="eastAsia"/>
                      <w:color w:val="auto"/>
                      <w:lang w:eastAsia="zh-CN"/>
                    </w:rPr>
                    <w:t>沉淀池沉渣</w:t>
                  </w:r>
                </w:p>
              </w:tc>
              <w:tc>
                <w:tcPr>
                  <w:tcW w:w="3389" w:type="dxa"/>
                  <w:vAlign w:val="center"/>
                </w:tcPr>
                <w:p w14:paraId="3BD39603">
                  <w:pPr>
                    <w:pStyle w:val="286"/>
                    <w:framePr w:hSpace="0" w:wrap="auto" w:vAnchor="margin" w:hAnchor="text" w:xAlign="left" w:yAlign="inline"/>
                    <w:rPr>
                      <w:rFonts w:hint="eastAsia"/>
                      <w:color w:val="auto"/>
                      <w:lang w:eastAsia="zh-CN"/>
                    </w:rPr>
                  </w:pPr>
                  <w:r>
                    <w:rPr>
                      <w:rFonts w:hint="eastAsia"/>
                      <w:color w:val="auto"/>
                      <w:lang w:eastAsia="zh-CN"/>
                    </w:rPr>
                    <w:t>环卫部门定期清掏</w:t>
                  </w:r>
                </w:p>
              </w:tc>
              <w:tc>
                <w:tcPr>
                  <w:tcW w:w="1580" w:type="dxa"/>
                  <w:vMerge w:val="continue"/>
                  <w:vAlign w:val="center"/>
                </w:tcPr>
                <w:p w14:paraId="2033FB2D">
                  <w:pPr>
                    <w:pStyle w:val="286"/>
                    <w:framePr w:hSpace="0" w:wrap="auto" w:vAnchor="margin" w:hAnchor="text" w:xAlign="left" w:yAlign="inline"/>
                    <w:rPr>
                      <w:rFonts w:hint="eastAsia"/>
                      <w:color w:val="auto"/>
                      <w:lang w:val="en-US" w:eastAsia="zh-CN"/>
                    </w:rPr>
                  </w:pPr>
                </w:p>
              </w:tc>
            </w:tr>
            <w:tr w14:paraId="781AB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1280" w:type="dxa"/>
                  <w:vMerge w:val="continue"/>
                  <w:vAlign w:val="center"/>
                </w:tcPr>
                <w:p w14:paraId="5DE204A3">
                  <w:pPr>
                    <w:pStyle w:val="286"/>
                    <w:framePr w:hSpace="0" w:wrap="auto" w:vAnchor="margin" w:hAnchor="text" w:xAlign="left" w:yAlign="inline"/>
                    <w:rPr>
                      <w:color w:val="auto"/>
                    </w:rPr>
                  </w:pPr>
                </w:p>
              </w:tc>
              <w:tc>
                <w:tcPr>
                  <w:tcW w:w="2251" w:type="dxa"/>
                  <w:vAlign w:val="center"/>
                </w:tcPr>
                <w:p w14:paraId="698BFCD7">
                  <w:pPr>
                    <w:pStyle w:val="286"/>
                    <w:framePr w:hSpace="0" w:wrap="auto" w:vAnchor="margin" w:hAnchor="text" w:xAlign="left" w:yAlign="inline"/>
                    <w:rPr>
                      <w:rFonts w:hint="eastAsia"/>
                      <w:color w:val="auto"/>
                      <w:lang w:eastAsia="zh-CN"/>
                    </w:rPr>
                  </w:pPr>
                  <w:r>
                    <w:rPr>
                      <w:rFonts w:hint="eastAsia"/>
                      <w:color w:val="auto"/>
                      <w:lang w:eastAsia="zh-CN"/>
                    </w:rPr>
                    <w:t>废培养基</w:t>
                  </w:r>
                </w:p>
              </w:tc>
              <w:tc>
                <w:tcPr>
                  <w:tcW w:w="3389" w:type="dxa"/>
                  <w:vAlign w:val="center"/>
                </w:tcPr>
                <w:p w14:paraId="2A002662">
                  <w:pPr>
                    <w:pStyle w:val="286"/>
                    <w:framePr w:hSpace="0" w:wrap="auto" w:vAnchor="margin" w:hAnchor="text" w:xAlign="left" w:yAlign="inline"/>
                    <w:rPr>
                      <w:rFonts w:hint="eastAsia"/>
                      <w:color w:val="auto"/>
                      <w:lang w:eastAsia="zh-CN"/>
                    </w:rPr>
                  </w:pPr>
                  <w:r>
                    <w:rPr>
                      <w:rFonts w:hint="eastAsia"/>
                      <w:color w:val="auto"/>
                      <w:lang w:eastAsia="zh-CN"/>
                    </w:rPr>
                    <w:t>由环卫部门统一清理</w:t>
                  </w:r>
                </w:p>
              </w:tc>
              <w:tc>
                <w:tcPr>
                  <w:tcW w:w="1580" w:type="dxa"/>
                  <w:vMerge w:val="continue"/>
                  <w:vAlign w:val="center"/>
                </w:tcPr>
                <w:p w14:paraId="07443224">
                  <w:pPr>
                    <w:pStyle w:val="286"/>
                    <w:framePr w:hSpace="0" w:wrap="auto" w:vAnchor="margin" w:hAnchor="text" w:xAlign="left" w:yAlign="inline"/>
                    <w:rPr>
                      <w:rFonts w:hint="eastAsia"/>
                      <w:color w:val="auto"/>
                      <w:lang w:val="en-US" w:eastAsia="zh-CN"/>
                    </w:rPr>
                  </w:pPr>
                </w:p>
              </w:tc>
            </w:tr>
            <w:tr w14:paraId="3CC7A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3" w:hRule="atLeast"/>
                <w:jc w:val="center"/>
              </w:trPr>
              <w:tc>
                <w:tcPr>
                  <w:tcW w:w="6920" w:type="dxa"/>
                  <w:gridSpan w:val="3"/>
                  <w:vAlign w:val="center"/>
                </w:tcPr>
                <w:p w14:paraId="0AA28204">
                  <w:pPr>
                    <w:pStyle w:val="286"/>
                    <w:framePr w:hSpace="0" w:wrap="auto" w:vAnchor="margin" w:hAnchor="text" w:xAlign="left" w:yAlign="inline"/>
                    <w:rPr>
                      <w:color w:val="auto"/>
                    </w:rPr>
                  </w:pPr>
                  <w:r>
                    <w:rPr>
                      <w:color w:val="auto"/>
                    </w:rPr>
                    <w:t>合计</w:t>
                  </w:r>
                </w:p>
              </w:tc>
              <w:tc>
                <w:tcPr>
                  <w:tcW w:w="1580" w:type="dxa"/>
                  <w:vAlign w:val="center"/>
                </w:tcPr>
                <w:p w14:paraId="17629A57">
                  <w:pPr>
                    <w:pStyle w:val="286"/>
                    <w:framePr w:hSpace="0" w:wrap="auto" w:vAnchor="margin" w:hAnchor="text" w:xAlign="left" w:yAlign="inline"/>
                    <w:rPr>
                      <w:rFonts w:hint="default" w:eastAsia="宋体"/>
                      <w:color w:val="auto"/>
                      <w:lang w:val="en-US" w:eastAsia="zh-CN"/>
                    </w:rPr>
                  </w:pPr>
                  <w:r>
                    <w:rPr>
                      <w:rFonts w:hint="eastAsia"/>
                      <w:color w:val="auto"/>
                      <w:lang w:val="en-US" w:eastAsia="zh-CN"/>
                    </w:rPr>
                    <w:t>28</w:t>
                  </w:r>
                </w:p>
              </w:tc>
            </w:tr>
          </w:tbl>
          <w:p w14:paraId="78E2F2C3">
            <w:pPr>
              <w:pStyle w:val="771"/>
              <w:bidi w:val="0"/>
              <w:ind w:left="0" w:leftChars="0" w:firstLine="0" w:firstLineChars="0"/>
              <w:rPr>
                <w:rFonts w:hint="eastAsia"/>
                <w:b/>
                <w:bCs/>
                <w:lang w:val="en-US" w:eastAsia="zh-CN"/>
              </w:rPr>
            </w:pPr>
            <w:r>
              <w:rPr>
                <w:rFonts w:hint="eastAsia"/>
                <w:b/>
                <w:bCs/>
                <w:lang w:val="en-US" w:eastAsia="zh-CN"/>
              </w:rPr>
              <w:t>4.11排污许可管理类别</w:t>
            </w:r>
          </w:p>
          <w:p w14:paraId="70557C51">
            <w:pPr>
              <w:pStyle w:val="771"/>
              <w:bidi w:val="0"/>
            </w:pPr>
            <w:r>
              <w:t>根据安徽省生态环境厅于2021年1月30日发布的《安徽省生态环境厅关于统筹做好固定污染源排污许可日常监管工作的通知》（皖环发〔2021〕7号），属于现行《固定污染源排污许可分类管理名录》内重点管理和简化管理的行业，在环评文件中应明确</w:t>
            </w:r>
            <w:r>
              <w:rPr>
                <w:rFonts w:hint="eastAsia"/>
              </w:rPr>
              <w:t>“</w:t>
            </w:r>
            <w:r>
              <w:t>建设项目环境影响评价与排污许可联动内容</w:t>
            </w:r>
            <w:r>
              <w:rPr>
                <w:rFonts w:hint="eastAsia"/>
              </w:rPr>
              <w:t>”</w:t>
            </w:r>
            <w:r>
              <w:t>。</w:t>
            </w:r>
          </w:p>
          <w:p w14:paraId="10742B85">
            <w:pPr>
              <w:pStyle w:val="771"/>
              <w:bidi w:val="0"/>
            </w:pPr>
            <w:r>
              <w:t>根据《国民经济行业分类》（GB4754-2017），本项目行业类别为：</w:t>
            </w:r>
            <w:r>
              <w:rPr>
                <w:rFonts w:hint="eastAsia"/>
                <w:lang w:eastAsia="zh-CN"/>
              </w:rPr>
              <w:t>C1431米、面制品制造</w:t>
            </w:r>
            <w:r>
              <w:t>；对照《固定污染源排污许可分类管理名录》（2019年版），本项目属于《名录》中：</w:t>
            </w:r>
            <w:r>
              <w:rPr>
                <w:rFonts w:hint="eastAsia"/>
                <w:lang w:eastAsia="zh-CN"/>
              </w:rPr>
              <w:t>九</w:t>
            </w:r>
            <w:r>
              <w:rPr>
                <w:rFonts w:hint="eastAsia"/>
              </w:rPr>
              <w:t>、</w:t>
            </w:r>
            <w:r>
              <w:rPr>
                <w:rFonts w:hint="eastAsia"/>
                <w:lang w:eastAsia="zh-CN"/>
              </w:rPr>
              <w:t>食品制造业</w:t>
            </w:r>
            <w:r>
              <w:rPr>
                <w:rFonts w:hint="eastAsia"/>
                <w:lang w:val="en-US" w:eastAsia="zh-CN"/>
              </w:rPr>
              <w:t>14</w:t>
            </w:r>
            <w:r>
              <w:rPr>
                <w:rFonts w:hint="eastAsia"/>
              </w:rPr>
              <w:t>-</w:t>
            </w:r>
            <w:r>
              <w:rPr>
                <w:rFonts w:hint="eastAsia"/>
                <w:lang w:val="en-US" w:eastAsia="zh-CN"/>
              </w:rPr>
              <w:t>17、方便食品制造143</w:t>
            </w:r>
            <w:r>
              <w:rPr>
                <w:rFonts w:hint="eastAsia"/>
              </w:rPr>
              <w:t>中“</w:t>
            </w:r>
            <w:r>
              <w:rPr>
                <w:rFonts w:hint="eastAsia"/>
                <w:lang w:eastAsia="zh-CN"/>
              </w:rPr>
              <w:t>米、面制品制造</w:t>
            </w:r>
            <w:r>
              <w:rPr>
                <w:rFonts w:hint="eastAsia"/>
                <w:lang w:val="en-US" w:eastAsia="zh-CN"/>
              </w:rPr>
              <w:t>1431</w:t>
            </w:r>
            <w:r>
              <w:rPr>
                <w:rFonts w:hint="eastAsia"/>
              </w:rPr>
              <w:t>”，属简化管理。</w:t>
            </w:r>
          </w:p>
          <w:p w14:paraId="20A33AAB">
            <w:pPr>
              <w:pStyle w:val="17"/>
              <w:keepNext w:val="0"/>
              <w:keepLines w:val="0"/>
              <w:pageBreakBefore w:val="0"/>
              <w:kinsoku/>
              <w:wordWrap/>
              <w:overflowPunct/>
              <w:topLinePunct w:val="0"/>
              <w:autoSpaceDE/>
              <w:autoSpaceDN/>
              <w:bidi w:val="0"/>
              <w:adjustRightInd w:val="0"/>
              <w:snapToGrid w:val="0"/>
              <w:spacing w:after="0" w:line="240" w:lineRule="auto"/>
              <w:textAlignment w:val="auto"/>
              <w:rPr>
                <w:rFonts w:hint="eastAsia" w:eastAsia="宋体"/>
                <w:lang w:val="en-US" w:eastAsia="zh-CN"/>
              </w:rPr>
            </w:pPr>
            <w:r>
              <w:t xml:space="preserve">表 </w:t>
            </w:r>
            <w:r>
              <w:rPr>
                <w:rFonts w:hint="eastAsia"/>
                <w:lang w:val="en-US" w:eastAsia="zh-CN"/>
              </w:rPr>
              <w:t>4</w:t>
            </w:r>
            <w:r>
              <w:rPr>
                <w:rFonts w:hint="eastAsia"/>
                <w:lang w:eastAsia="zh-CN"/>
              </w:rPr>
              <w:t>-</w:t>
            </w:r>
            <w:r>
              <w:rPr>
                <w:rFonts w:hint="eastAsia"/>
                <w:lang w:val="en-US" w:eastAsia="zh-CN"/>
              </w:rPr>
              <w:t>1</w:t>
            </w:r>
            <w:r>
              <w:fldChar w:fldCharType="begin"/>
            </w:r>
            <w:r>
              <w:instrText xml:space="preserve"> SEQ 表 \* ARABIC \s 1 </w:instrText>
            </w:r>
            <w:r>
              <w:fldChar w:fldCharType="separate"/>
            </w:r>
            <w:r>
              <w:t>2</w:t>
            </w:r>
            <w:r>
              <w:fldChar w:fldCharType="end"/>
            </w:r>
            <w:r>
              <w:rPr>
                <w:rFonts w:hint="eastAsia"/>
                <w:lang w:val="en-US" w:eastAsia="zh-CN"/>
              </w:rPr>
              <w:t xml:space="preserve"> </w:t>
            </w:r>
            <w:r>
              <w:t>《固定污染源排污许可分类管理名录》（2019年版）</w:t>
            </w:r>
          </w:p>
          <w:tbl>
            <w:tblPr>
              <w:tblStyle w:val="5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80"/>
              <w:gridCol w:w="1850"/>
              <w:gridCol w:w="963"/>
              <w:gridCol w:w="3912"/>
              <w:gridCol w:w="1095"/>
            </w:tblGrid>
            <w:tr w14:paraId="2D19A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80" w:type="dxa"/>
                  <w:vAlign w:val="center"/>
                </w:tcPr>
                <w:p w14:paraId="51A9A1BB">
                  <w:pPr>
                    <w:pStyle w:val="75"/>
                    <w:ind w:left="0" w:leftChars="0" w:right="0" w:rightChars="0" w:firstLine="0" w:firstLineChars="0"/>
                    <w:jc w:val="center"/>
                    <w:rPr>
                      <w:sz w:val="18"/>
                      <w:szCs w:val="18"/>
                    </w:rPr>
                  </w:pPr>
                  <w:r>
                    <w:rPr>
                      <w:rFonts w:hint="eastAsia"/>
                      <w:sz w:val="18"/>
                      <w:szCs w:val="18"/>
                    </w:rPr>
                    <w:t>序号</w:t>
                  </w:r>
                </w:p>
              </w:tc>
              <w:tc>
                <w:tcPr>
                  <w:tcW w:w="1850" w:type="dxa"/>
                  <w:vAlign w:val="center"/>
                </w:tcPr>
                <w:p w14:paraId="7D7E22FD">
                  <w:pPr>
                    <w:pStyle w:val="75"/>
                    <w:ind w:left="0" w:leftChars="0" w:right="0" w:rightChars="0" w:firstLine="0" w:firstLineChars="0"/>
                    <w:jc w:val="center"/>
                    <w:rPr>
                      <w:sz w:val="18"/>
                      <w:szCs w:val="18"/>
                    </w:rPr>
                  </w:pPr>
                  <w:r>
                    <w:rPr>
                      <w:rFonts w:hint="eastAsia"/>
                      <w:sz w:val="18"/>
                      <w:szCs w:val="18"/>
                    </w:rPr>
                    <w:t>行业类别</w:t>
                  </w:r>
                </w:p>
              </w:tc>
              <w:tc>
                <w:tcPr>
                  <w:tcW w:w="963" w:type="dxa"/>
                  <w:vAlign w:val="center"/>
                </w:tcPr>
                <w:p w14:paraId="3056FB9A">
                  <w:pPr>
                    <w:pStyle w:val="75"/>
                    <w:ind w:left="0" w:leftChars="0" w:right="0" w:rightChars="0" w:firstLine="0" w:firstLineChars="0"/>
                    <w:jc w:val="center"/>
                    <w:rPr>
                      <w:sz w:val="18"/>
                      <w:szCs w:val="18"/>
                    </w:rPr>
                  </w:pPr>
                  <w:r>
                    <w:rPr>
                      <w:rFonts w:hint="eastAsia"/>
                      <w:sz w:val="18"/>
                      <w:szCs w:val="18"/>
                    </w:rPr>
                    <w:t>重点管理</w:t>
                  </w:r>
                </w:p>
              </w:tc>
              <w:tc>
                <w:tcPr>
                  <w:tcW w:w="3912" w:type="dxa"/>
                  <w:vAlign w:val="center"/>
                </w:tcPr>
                <w:p w14:paraId="0C238993">
                  <w:pPr>
                    <w:pStyle w:val="75"/>
                    <w:ind w:left="0" w:leftChars="0" w:right="0" w:rightChars="0" w:firstLine="0" w:firstLineChars="0"/>
                    <w:jc w:val="center"/>
                    <w:rPr>
                      <w:sz w:val="18"/>
                      <w:szCs w:val="18"/>
                    </w:rPr>
                  </w:pPr>
                  <w:r>
                    <w:rPr>
                      <w:rFonts w:hint="eastAsia"/>
                      <w:sz w:val="18"/>
                      <w:szCs w:val="18"/>
                    </w:rPr>
                    <w:t>简化管理</w:t>
                  </w:r>
                </w:p>
              </w:tc>
              <w:tc>
                <w:tcPr>
                  <w:tcW w:w="1095" w:type="dxa"/>
                  <w:vAlign w:val="center"/>
                </w:tcPr>
                <w:p w14:paraId="55154BFF">
                  <w:pPr>
                    <w:pStyle w:val="75"/>
                    <w:ind w:left="0" w:leftChars="0" w:right="0" w:rightChars="0" w:firstLine="0" w:firstLineChars="0"/>
                    <w:jc w:val="center"/>
                    <w:rPr>
                      <w:sz w:val="18"/>
                      <w:szCs w:val="18"/>
                    </w:rPr>
                  </w:pPr>
                  <w:r>
                    <w:rPr>
                      <w:rFonts w:hint="eastAsia"/>
                      <w:sz w:val="18"/>
                      <w:szCs w:val="18"/>
                    </w:rPr>
                    <w:t>登记管理</w:t>
                  </w:r>
                </w:p>
              </w:tc>
            </w:tr>
            <w:tr w14:paraId="370BC9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500" w:type="dxa"/>
                  <w:gridSpan w:val="5"/>
                  <w:vAlign w:val="center"/>
                </w:tcPr>
                <w:p w14:paraId="7519F550">
                  <w:pPr>
                    <w:pStyle w:val="75"/>
                    <w:ind w:left="0" w:leftChars="0" w:right="0" w:rightChars="0" w:firstLine="0" w:firstLineChars="0"/>
                    <w:jc w:val="both"/>
                    <w:rPr>
                      <w:sz w:val="18"/>
                      <w:szCs w:val="18"/>
                    </w:rPr>
                  </w:pPr>
                  <w:r>
                    <w:rPr>
                      <w:rFonts w:hint="eastAsia"/>
                      <w:sz w:val="18"/>
                      <w:szCs w:val="18"/>
                      <w:lang w:eastAsia="zh-CN"/>
                    </w:rPr>
                    <w:t>九</w:t>
                  </w:r>
                  <w:r>
                    <w:rPr>
                      <w:rFonts w:hint="eastAsia"/>
                      <w:sz w:val="18"/>
                      <w:szCs w:val="18"/>
                    </w:rPr>
                    <w:t>、</w:t>
                  </w:r>
                  <w:r>
                    <w:rPr>
                      <w:rFonts w:hint="eastAsia"/>
                      <w:sz w:val="18"/>
                      <w:szCs w:val="18"/>
                      <w:lang w:eastAsia="zh-CN"/>
                    </w:rPr>
                    <w:t>食品制造业</w:t>
                  </w:r>
                  <w:r>
                    <w:rPr>
                      <w:rFonts w:hint="eastAsia"/>
                      <w:sz w:val="18"/>
                      <w:szCs w:val="18"/>
                      <w:lang w:val="en-US" w:eastAsia="zh-CN"/>
                    </w:rPr>
                    <w:t>14</w:t>
                  </w:r>
                </w:p>
              </w:tc>
            </w:tr>
            <w:tr w14:paraId="0B24C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680" w:type="dxa"/>
                  <w:vAlign w:val="center"/>
                </w:tcPr>
                <w:p w14:paraId="4117502E">
                  <w:pPr>
                    <w:pStyle w:val="75"/>
                    <w:ind w:left="0" w:leftChars="0" w:right="0" w:rightChars="0" w:firstLine="0" w:firstLineChars="0"/>
                    <w:jc w:val="center"/>
                    <w:rPr>
                      <w:rFonts w:hint="default" w:eastAsia="宋体"/>
                      <w:sz w:val="18"/>
                      <w:szCs w:val="18"/>
                      <w:lang w:val="en-US" w:eastAsia="zh-CN"/>
                    </w:rPr>
                  </w:pPr>
                  <w:r>
                    <w:rPr>
                      <w:rFonts w:hint="eastAsia"/>
                      <w:sz w:val="18"/>
                      <w:szCs w:val="18"/>
                      <w:lang w:val="en-US" w:eastAsia="zh-CN"/>
                    </w:rPr>
                    <w:t>17</w:t>
                  </w:r>
                </w:p>
              </w:tc>
              <w:tc>
                <w:tcPr>
                  <w:tcW w:w="1850" w:type="dxa"/>
                  <w:vAlign w:val="center"/>
                </w:tcPr>
                <w:p w14:paraId="7FE2492B">
                  <w:pPr>
                    <w:keepNext w:val="0"/>
                    <w:keepLines w:val="0"/>
                    <w:pageBreakBefore w:val="0"/>
                    <w:widowControl/>
                    <w:suppressLineNumbers w:val="0"/>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rPr>
                      <w:sz w:val="18"/>
                      <w:szCs w:val="18"/>
                    </w:rPr>
                  </w:pPr>
                  <w:r>
                    <w:rPr>
                      <w:rFonts w:hint="eastAsia" w:ascii="宋体" w:hAnsi="宋体" w:eastAsia="宋体" w:cs="宋体"/>
                      <w:color w:val="000000"/>
                      <w:kern w:val="0"/>
                      <w:sz w:val="18"/>
                      <w:szCs w:val="18"/>
                      <w:lang w:val="en-US" w:eastAsia="zh-CN" w:bidi="ar"/>
                    </w:rPr>
                    <w:t>方便食品制造143，其他食品制造149</w:t>
                  </w:r>
                </w:p>
              </w:tc>
              <w:tc>
                <w:tcPr>
                  <w:tcW w:w="963" w:type="dxa"/>
                  <w:vAlign w:val="center"/>
                </w:tcPr>
                <w:p w14:paraId="5BDCE85F">
                  <w:pPr>
                    <w:pStyle w:val="75"/>
                    <w:ind w:left="0" w:leftChars="0" w:right="0" w:rightChars="0" w:firstLine="0" w:firstLineChars="0"/>
                    <w:jc w:val="center"/>
                    <w:rPr>
                      <w:sz w:val="18"/>
                      <w:szCs w:val="18"/>
                    </w:rPr>
                  </w:pPr>
                  <w:r>
                    <w:rPr>
                      <w:rFonts w:hint="eastAsia"/>
                      <w:sz w:val="18"/>
                      <w:szCs w:val="18"/>
                    </w:rPr>
                    <w:t>/</w:t>
                  </w:r>
                </w:p>
              </w:tc>
              <w:tc>
                <w:tcPr>
                  <w:tcW w:w="3912" w:type="dxa"/>
                  <w:vAlign w:val="center"/>
                </w:tcPr>
                <w:p w14:paraId="642BCE0B">
                  <w:pPr>
                    <w:keepNext w:val="0"/>
                    <w:keepLines w:val="0"/>
                    <w:pageBreakBefore w:val="0"/>
                    <w:widowControl/>
                    <w:suppressLineNumbers w:val="0"/>
                    <w:kinsoku/>
                    <w:wordWrap/>
                    <w:overflowPunct/>
                    <w:topLinePunct w:val="0"/>
                    <w:autoSpaceDE/>
                    <w:autoSpaceDN/>
                    <w:bidi w:val="0"/>
                    <w:adjustRightInd/>
                    <w:snapToGrid w:val="0"/>
                    <w:spacing w:after="0" w:line="240" w:lineRule="auto"/>
                    <w:ind w:left="0" w:leftChars="0" w:right="0" w:rightChars="0" w:firstLine="0" w:firstLineChars="0"/>
                    <w:jc w:val="center"/>
                    <w:textAlignment w:val="auto"/>
                    <w:rPr>
                      <w:sz w:val="18"/>
                      <w:szCs w:val="18"/>
                    </w:rPr>
                  </w:pPr>
                  <w:r>
                    <w:rPr>
                      <w:rFonts w:hint="eastAsia" w:ascii="宋体" w:hAnsi="宋体" w:eastAsia="宋体" w:cs="宋体"/>
                      <w:color w:val="000000"/>
                      <w:kern w:val="0"/>
                      <w:sz w:val="18"/>
                      <w:szCs w:val="18"/>
                      <w:lang w:val="en-US" w:eastAsia="zh-CN" w:bidi="ar"/>
                    </w:rPr>
                    <w:t>米、面制品制造1431，速冻食品制造1432，方便面制造1433，其他方便食品制造1439，食品及饲料添加剂制造1495，以上均不含手工制作、单纯混合或者分装的</w:t>
                  </w:r>
                </w:p>
              </w:tc>
              <w:tc>
                <w:tcPr>
                  <w:tcW w:w="1095" w:type="dxa"/>
                  <w:vAlign w:val="center"/>
                </w:tcPr>
                <w:p w14:paraId="1445AC65">
                  <w:pPr>
                    <w:pStyle w:val="75"/>
                    <w:ind w:left="0" w:leftChars="0" w:right="0" w:rightChars="0" w:firstLine="0" w:firstLineChars="0"/>
                    <w:jc w:val="center"/>
                    <w:rPr>
                      <w:sz w:val="18"/>
                      <w:szCs w:val="18"/>
                    </w:rPr>
                  </w:pPr>
                  <w:r>
                    <w:rPr>
                      <w:rFonts w:hint="eastAsia"/>
                      <w:sz w:val="18"/>
                      <w:szCs w:val="18"/>
                    </w:rPr>
                    <w:t>其他</w:t>
                  </w:r>
                </w:p>
              </w:tc>
            </w:tr>
          </w:tbl>
          <w:p w14:paraId="33FE2108">
            <w:pPr>
              <w:pStyle w:val="771"/>
              <w:bidi w:val="0"/>
              <w:ind w:left="0" w:leftChars="0" w:firstLine="0" w:firstLineChars="0"/>
              <w:rPr>
                <w:rFonts w:hint="eastAsia"/>
                <w:b/>
                <w:bCs/>
                <w:lang w:eastAsia="zh-CN"/>
              </w:rPr>
            </w:pPr>
            <w:r>
              <w:rPr>
                <w:rFonts w:hint="eastAsia"/>
                <w:b/>
                <w:bCs/>
                <w:lang w:val="en-US" w:eastAsia="zh-CN"/>
              </w:rPr>
              <w:t>4.12</w:t>
            </w:r>
            <w:r>
              <w:rPr>
                <w:rFonts w:hint="eastAsia"/>
                <w:b/>
                <w:bCs/>
                <w:lang w:eastAsia="zh-CN"/>
              </w:rPr>
              <w:t>三同时验收</w:t>
            </w:r>
          </w:p>
          <w:p w14:paraId="3CD27D1A">
            <w:pPr>
              <w:pStyle w:val="771"/>
              <w:bidi w:val="0"/>
              <w:rPr>
                <w:rFonts w:hint="eastAsia"/>
              </w:rPr>
            </w:pPr>
            <w:r>
              <w:rPr>
                <w:rFonts w:hint="eastAsia"/>
              </w:rPr>
              <w:t>根据《建设项目环境保护管理条例》（2017年7月16日修订），建设项目设计和施工中应严格落实“三同时”制度，建设单位应按照国家及本市有关法律法规、建设项目竣工环境保护验收技术规范、建设项目环境影响报告书（表）和审批决定等要求，自主开展相关验收工作。建设项目配套建设的环境保护设施经验收合格，方可投入生产或者使用；未经验收或者验收不合格的，不得投入生产或者使用。</w:t>
            </w:r>
          </w:p>
          <w:p w14:paraId="39331D14">
            <w:pPr>
              <w:pStyle w:val="771"/>
              <w:bidi w:val="0"/>
              <w:rPr>
                <w:rFonts w:hint="eastAsia"/>
              </w:rPr>
            </w:pPr>
            <w:r>
              <w:rPr>
                <w:rFonts w:hint="eastAsia"/>
              </w:rPr>
              <w:t>建设单位是建设项目竣工环境保护验收的责任主体，应当按照《建设项目竣工环境保护验收暂行办法》（国环规环评〔2017〕4号）、《建设项目竣工环境保护验收技术指南污染影响类》（生态环境部办公厅2018年5月16日印发）规定的程序和标准，组织对配套建设的环境保护设施进行验收，编制验收报告，公开相关信息，接受社会监督，确保建设项目需要配套建设的环境保护设施与主体工程同时投产或者使用，并对验收内容、结论和所公开信息的真实性、准确性和完整性负责，不得在验收中弄虚作假。</w:t>
            </w:r>
          </w:p>
          <w:p w14:paraId="473DC684">
            <w:pPr>
              <w:pStyle w:val="771"/>
              <w:bidi w:val="0"/>
              <w:rPr>
                <w:rFonts w:hint="default"/>
                <w:lang w:val="en-US" w:eastAsia="zh-CN"/>
              </w:rPr>
            </w:pPr>
            <w:r>
              <w:rPr>
                <w:rFonts w:hint="eastAsia"/>
              </w:rPr>
              <w:t>建设项目竣工后，除需要取得排污许可证的水和大气污染防治设施外，其他环境保护设施的验收期限一般不超过3个月，需要对该类环境保护设施进行调试或者调整的，验收期限可以适当延期，但最长不超过12个月。根据《排污许可证管理暂行规定》，建设单位属于排污许可管理范围内，应持证排污，禁止无证排污或不按证排污。</w:t>
            </w:r>
          </w:p>
        </w:tc>
      </w:tr>
      <w:bookmarkEnd w:id="29"/>
    </w:tbl>
    <w:p w14:paraId="1DCE4C40">
      <w:pPr>
        <w:pStyle w:val="772"/>
        <w:bidi w:val="0"/>
      </w:pPr>
      <w:bookmarkStart w:id="35" w:name="_Toc69030997"/>
      <w:bookmarkStart w:id="36" w:name="_Hlk174970178"/>
    </w:p>
    <w:p w14:paraId="342F8B48">
      <w:pPr>
        <w:pStyle w:val="772"/>
        <w:bidi w:val="0"/>
        <w:sectPr>
          <w:pgSz w:w="11906" w:h="16838"/>
          <w:pgMar w:top="1440" w:right="1418" w:bottom="1440" w:left="1418" w:header="851" w:footer="851" w:gutter="0"/>
          <w:pgNumType w:fmt="decimal"/>
          <w:cols w:space="720" w:num="1"/>
          <w:docGrid w:linePitch="312" w:charSpace="0"/>
        </w:sectPr>
      </w:pPr>
    </w:p>
    <w:p w14:paraId="49BDBD3C">
      <w:pPr>
        <w:pStyle w:val="772"/>
        <w:bidi w:val="0"/>
      </w:pPr>
      <w:r>
        <w:t>五、</w:t>
      </w:r>
      <w:bookmarkStart w:id="37" w:name="_Hlk54167917"/>
      <w:r>
        <w:t>环境保护措施监督检查清单</w:t>
      </w:r>
      <w:bookmarkEnd w:id="35"/>
      <w:bookmarkEnd w:id="37"/>
      <w:bookmarkStart w:id="45" w:name="_GoBack"/>
      <w:bookmarkEnd w:id="45"/>
    </w:p>
    <w:tbl>
      <w:tblPr>
        <w:tblStyle w:val="57"/>
        <w:tblpPr w:vertAnchor="text" w:tblpXSpec="center" w:tblpY="1"/>
        <w:tblOverlap w:val="never"/>
        <w:tblW w:w="5000" w:type="pct"/>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57" w:type="dxa"/>
          <w:bottom w:w="0" w:type="dxa"/>
          <w:right w:w="57" w:type="dxa"/>
        </w:tblCellMar>
      </w:tblPr>
      <w:tblGrid>
        <w:gridCol w:w="1532"/>
        <w:gridCol w:w="1334"/>
        <w:gridCol w:w="1295"/>
        <w:gridCol w:w="2446"/>
        <w:gridCol w:w="2577"/>
      </w:tblGrid>
      <w:tr w14:paraId="5A2E55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80" w:hRule="atLeast"/>
        </w:trPr>
        <w:tc>
          <w:tcPr>
            <w:tcW w:w="1532" w:type="dxa"/>
            <w:tcBorders>
              <w:tl2br w:val="single" w:color="auto" w:sz="4" w:space="0"/>
            </w:tcBorders>
            <w:vAlign w:val="center"/>
          </w:tcPr>
          <w:p w14:paraId="0F1177CC">
            <w:pPr>
              <w:adjustRightInd w:val="0"/>
              <w:snapToGrid w:val="0"/>
              <w:spacing w:after="0" w:line="240" w:lineRule="auto"/>
              <w:jc w:val="right"/>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内容</w:t>
            </w:r>
          </w:p>
          <w:p w14:paraId="2C2D8E26">
            <w:pPr>
              <w:adjustRightInd w:val="0"/>
              <w:snapToGrid w:val="0"/>
              <w:spacing w:after="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要素</w:t>
            </w:r>
          </w:p>
        </w:tc>
        <w:tc>
          <w:tcPr>
            <w:tcW w:w="1334" w:type="dxa"/>
            <w:vAlign w:val="center"/>
          </w:tcPr>
          <w:p w14:paraId="6AB314C1">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排放口（编号、名称）/污染源</w:t>
            </w:r>
          </w:p>
        </w:tc>
        <w:tc>
          <w:tcPr>
            <w:tcW w:w="1295" w:type="dxa"/>
            <w:vAlign w:val="center"/>
          </w:tcPr>
          <w:p w14:paraId="73301EDB">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污染物项目</w:t>
            </w:r>
          </w:p>
        </w:tc>
        <w:tc>
          <w:tcPr>
            <w:tcW w:w="2446" w:type="dxa"/>
            <w:vAlign w:val="center"/>
          </w:tcPr>
          <w:p w14:paraId="181CA33C">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环境保护措施</w:t>
            </w:r>
          </w:p>
        </w:tc>
        <w:tc>
          <w:tcPr>
            <w:tcW w:w="2577" w:type="dxa"/>
            <w:vAlign w:val="center"/>
          </w:tcPr>
          <w:p w14:paraId="1DAEE906">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执行标准</w:t>
            </w:r>
          </w:p>
        </w:tc>
      </w:tr>
      <w:tr w14:paraId="0A9396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80" w:hRule="atLeast"/>
        </w:trPr>
        <w:tc>
          <w:tcPr>
            <w:tcW w:w="1532" w:type="dxa"/>
            <w:vAlign w:val="center"/>
          </w:tcPr>
          <w:p w14:paraId="3E9EBCBE">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大气环境</w:t>
            </w:r>
          </w:p>
        </w:tc>
        <w:tc>
          <w:tcPr>
            <w:tcW w:w="1334" w:type="dxa"/>
            <w:vAlign w:val="center"/>
          </w:tcPr>
          <w:p w14:paraId="6ABB96FE">
            <w:pPr>
              <w:adjustRightInd w:val="0"/>
              <w:snapToGrid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投料粉尘</w:t>
            </w:r>
          </w:p>
        </w:tc>
        <w:tc>
          <w:tcPr>
            <w:tcW w:w="1295" w:type="dxa"/>
            <w:vAlign w:val="center"/>
          </w:tcPr>
          <w:p w14:paraId="399C8389">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颗粒物</w:t>
            </w:r>
          </w:p>
        </w:tc>
        <w:tc>
          <w:tcPr>
            <w:tcW w:w="2446" w:type="dxa"/>
            <w:vAlign w:val="center"/>
          </w:tcPr>
          <w:p w14:paraId="446F02E0">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本项目投料口上方布设集气罩并连通集气管道接入布袋除尘器+加强设备密闭</w:t>
            </w:r>
            <w:r>
              <w:rPr>
                <w:rFonts w:hint="eastAsia" w:ascii="Times New Roman" w:hAnsi="Times New Roman" w:eastAsia="宋体" w:cs="Times New Roman"/>
                <w:color w:val="auto"/>
                <w:sz w:val="21"/>
                <w:szCs w:val="21"/>
                <w:lang w:val="en-US" w:eastAsia="zh-CN"/>
              </w:rPr>
              <w:t>。</w:t>
            </w:r>
          </w:p>
        </w:tc>
        <w:tc>
          <w:tcPr>
            <w:tcW w:w="2577" w:type="dxa"/>
            <w:vAlign w:val="center"/>
          </w:tcPr>
          <w:p w14:paraId="71CE18A0">
            <w:pPr>
              <w:adjustRightInd w:val="0"/>
              <w:snapToGrid w:val="0"/>
              <w:spacing w:after="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《大气污染物综合排放标准》（GB16297-1996）表2排放限值。</w:t>
            </w:r>
          </w:p>
        </w:tc>
      </w:tr>
      <w:tr w14:paraId="4554144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80" w:hRule="atLeast"/>
        </w:trPr>
        <w:tc>
          <w:tcPr>
            <w:tcW w:w="1532" w:type="dxa"/>
            <w:vAlign w:val="center"/>
          </w:tcPr>
          <w:p w14:paraId="7AEEEB52">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地表水环境</w:t>
            </w:r>
          </w:p>
        </w:tc>
        <w:tc>
          <w:tcPr>
            <w:tcW w:w="1334" w:type="dxa"/>
            <w:vAlign w:val="center"/>
          </w:tcPr>
          <w:p w14:paraId="3AC692AA">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bidi="ar"/>
              </w:rPr>
              <w:t>厂区总排口（DW001）</w:t>
            </w:r>
          </w:p>
        </w:tc>
        <w:tc>
          <w:tcPr>
            <w:tcW w:w="1295" w:type="dxa"/>
            <w:vAlign w:val="center"/>
          </w:tcPr>
          <w:p w14:paraId="6EF5508F">
            <w:pPr>
              <w:adjustRightInd w:val="0"/>
              <w:snapToGrid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pH、COD、氨氮、SS、总磷、</w:t>
            </w:r>
            <w:r>
              <w:rPr>
                <w:rFonts w:hint="default" w:ascii="Times New Roman" w:hAnsi="Times New Roman" w:eastAsia="宋体" w:cs="Times New Roman"/>
                <w:color w:val="auto"/>
                <w:sz w:val="21"/>
                <w:szCs w:val="21"/>
                <w:lang w:eastAsia="zh-CN"/>
              </w:rPr>
              <w:t>动植物油</w:t>
            </w:r>
          </w:p>
        </w:tc>
        <w:tc>
          <w:tcPr>
            <w:tcW w:w="2446" w:type="dxa"/>
            <w:vAlign w:val="center"/>
          </w:tcPr>
          <w:p w14:paraId="54205EC1">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生活污水依托产业园内化粪池预处理</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生产废水经</w:t>
            </w:r>
            <w:r>
              <w:rPr>
                <w:rFonts w:hint="default" w:ascii="Times New Roman" w:hAnsi="Times New Roman" w:eastAsia="宋体" w:cs="Times New Roman"/>
                <w:sz w:val="21"/>
                <w:szCs w:val="21"/>
                <w:lang w:eastAsia="zh-CN"/>
              </w:rPr>
              <w:t>油水分离池和</w:t>
            </w:r>
            <w:r>
              <w:rPr>
                <w:rFonts w:hint="default" w:ascii="Times New Roman" w:hAnsi="Times New Roman" w:eastAsia="宋体" w:cs="Times New Roman"/>
                <w:color w:val="auto"/>
                <w:sz w:val="21"/>
                <w:szCs w:val="21"/>
                <w:lang w:eastAsia="zh-CN"/>
              </w:rPr>
              <w:t>沉淀池</w:t>
            </w:r>
            <w:r>
              <w:rPr>
                <w:rFonts w:hint="default" w:ascii="Times New Roman" w:hAnsi="Times New Roman" w:eastAsia="宋体" w:cs="Times New Roman"/>
                <w:color w:val="auto"/>
                <w:sz w:val="21"/>
                <w:szCs w:val="21"/>
              </w:rPr>
              <w:t>处理后</w:t>
            </w:r>
            <w:r>
              <w:rPr>
                <w:rFonts w:hint="default" w:ascii="Times New Roman" w:hAnsi="Times New Roman" w:eastAsia="宋体" w:cs="Times New Roman"/>
                <w:color w:val="auto"/>
                <w:sz w:val="21"/>
                <w:szCs w:val="21"/>
                <w:lang w:eastAsia="zh-CN"/>
              </w:rPr>
              <w:t>汇同生活污水</w:t>
            </w:r>
            <w:r>
              <w:rPr>
                <w:rFonts w:hint="default" w:ascii="Times New Roman" w:hAnsi="Times New Roman" w:eastAsia="宋体" w:cs="Times New Roman"/>
                <w:color w:val="auto"/>
                <w:sz w:val="21"/>
                <w:szCs w:val="21"/>
              </w:rPr>
              <w:t>纳管排入产业园内污水管网，然后</w:t>
            </w:r>
            <w:r>
              <w:rPr>
                <w:rFonts w:hint="default" w:ascii="Times New Roman" w:hAnsi="Times New Roman" w:eastAsia="宋体" w:cs="Times New Roman"/>
                <w:color w:val="auto"/>
                <w:sz w:val="21"/>
                <w:szCs w:val="21"/>
                <w:lang w:eastAsia="zh-CN"/>
              </w:rPr>
              <w:t>由</w:t>
            </w:r>
            <w:r>
              <w:rPr>
                <w:rFonts w:hint="default" w:ascii="Times New Roman" w:hAnsi="Times New Roman" w:eastAsia="宋体" w:cs="Times New Roman"/>
                <w:color w:val="auto"/>
                <w:sz w:val="21"/>
                <w:szCs w:val="21"/>
              </w:rPr>
              <w:t>市政污水管网</w:t>
            </w:r>
            <w:r>
              <w:rPr>
                <w:rFonts w:hint="default" w:ascii="Times New Roman" w:hAnsi="Times New Roman" w:eastAsia="宋体" w:cs="Times New Roman"/>
                <w:color w:val="auto"/>
                <w:sz w:val="21"/>
                <w:szCs w:val="21"/>
                <w:lang w:eastAsia="zh-CN"/>
              </w:rPr>
              <w:t>排入</w:t>
            </w:r>
            <w:r>
              <w:rPr>
                <w:rFonts w:hint="default" w:ascii="Times New Roman" w:hAnsi="Times New Roman" w:eastAsia="宋体" w:cs="Times New Roman"/>
                <w:color w:val="auto"/>
                <w:sz w:val="21"/>
                <w:szCs w:val="21"/>
              </w:rPr>
              <w:t>淮南经开区工业污水处理厂处理。</w:t>
            </w:r>
          </w:p>
        </w:tc>
        <w:tc>
          <w:tcPr>
            <w:tcW w:w="2577" w:type="dxa"/>
            <w:vAlign w:val="center"/>
          </w:tcPr>
          <w:p w14:paraId="78E00606">
            <w:pPr>
              <w:adjustRightInd w:val="0"/>
              <w:snapToGrid w:val="0"/>
              <w:spacing w:after="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《污水综合排放标准》（GB8978-1996）中三级标准和淮南经开区工业污水处理厂接管标准从严执行。</w:t>
            </w:r>
          </w:p>
        </w:tc>
      </w:tr>
      <w:tr w14:paraId="063A6B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80" w:hRule="atLeast"/>
        </w:trPr>
        <w:tc>
          <w:tcPr>
            <w:tcW w:w="1532" w:type="dxa"/>
            <w:vAlign w:val="center"/>
          </w:tcPr>
          <w:p w14:paraId="459BE58D">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声环境</w:t>
            </w:r>
          </w:p>
        </w:tc>
        <w:tc>
          <w:tcPr>
            <w:tcW w:w="1334" w:type="dxa"/>
            <w:vAlign w:val="center"/>
          </w:tcPr>
          <w:p w14:paraId="08C23DAC">
            <w:pPr>
              <w:adjustRightInd w:val="0"/>
              <w:snapToGrid w:val="0"/>
              <w:spacing w:after="0"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rPr>
              <w:t>生产</w:t>
            </w:r>
            <w:r>
              <w:rPr>
                <w:rFonts w:hint="default" w:ascii="Times New Roman" w:hAnsi="Times New Roman" w:eastAsia="宋体" w:cs="Times New Roman"/>
                <w:color w:val="auto"/>
                <w:sz w:val="21"/>
                <w:szCs w:val="21"/>
                <w:lang w:eastAsia="zh-CN"/>
              </w:rPr>
              <w:t>设备</w:t>
            </w:r>
          </w:p>
        </w:tc>
        <w:tc>
          <w:tcPr>
            <w:tcW w:w="1295" w:type="dxa"/>
            <w:vAlign w:val="center"/>
          </w:tcPr>
          <w:p w14:paraId="1EC4B518">
            <w:pPr>
              <w:adjustRightInd w:val="0"/>
              <w:snapToGrid w:val="0"/>
              <w:spacing w:after="0"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eastAsia="zh-CN"/>
              </w:rPr>
              <w:t>等效</w:t>
            </w:r>
            <w:r>
              <w:rPr>
                <w:rFonts w:hint="default" w:ascii="Times New Roman" w:hAnsi="Times New Roman" w:eastAsia="宋体" w:cs="Times New Roman"/>
                <w:color w:val="auto"/>
                <w:sz w:val="21"/>
                <w:szCs w:val="21"/>
                <w:lang w:val="en-US" w:eastAsia="zh-CN"/>
              </w:rPr>
              <w:t>A声级</w:t>
            </w:r>
          </w:p>
        </w:tc>
        <w:tc>
          <w:tcPr>
            <w:tcW w:w="2446" w:type="dxa"/>
            <w:vAlign w:val="center"/>
          </w:tcPr>
          <w:p w14:paraId="7B6429BD">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优先选用</w:t>
            </w:r>
            <w:r>
              <w:rPr>
                <w:rFonts w:hint="default" w:ascii="Times New Roman" w:hAnsi="Times New Roman" w:eastAsia="宋体" w:cs="Times New Roman"/>
                <w:color w:val="auto"/>
                <w:sz w:val="21"/>
                <w:szCs w:val="21"/>
                <w:lang w:eastAsia="zh-CN"/>
              </w:rPr>
              <w:t>高效</w:t>
            </w:r>
            <w:r>
              <w:rPr>
                <w:rFonts w:hint="default" w:ascii="Times New Roman" w:hAnsi="Times New Roman" w:eastAsia="宋体" w:cs="Times New Roman"/>
                <w:color w:val="auto"/>
                <w:sz w:val="21"/>
                <w:szCs w:val="21"/>
              </w:rPr>
              <w:t>低噪声设备，部分设备安装减振垫，加强设备养护</w:t>
            </w:r>
            <w:r>
              <w:rPr>
                <w:rFonts w:hint="default" w:ascii="Times New Roman" w:hAnsi="Times New Roman" w:eastAsia="宋体" w:cs="Times New Roman"/>
                <w:color w:val="auto"/>
                <w:sz w:val="21"/>
                <w:szCs w:val="21"/>
                <w:lang w:eastAsia="zh-CN"/>
              </w:rPr>
              <w:t>，墙体隔声等</w:t>
            </w:r>
            <w:r>
              <w:rPr>
                <w:rFonts w:hint="default" w:ascii="Times New Roman" w:hAnsi="Times New Roman" w:eastAsia="宋体" w:cs="Times New Roman"/>
                <w:color w:val="auto"/>
                <w:sz w:val="21"/>
                <w:szCs w:val="21"/>
              </w:rPr>
              <w:t>。</w:t>
            </w:r>
          </w:p>
        </w:tc>
        <w:tc>
          <w:tcPr>
            <w:tcW w:w="2577" w:type="dxa"/>
            <w:vAlign w:val="center"/>
          </w:tcPr>
          <w:p w14:paraId="4CA23790">
            <w:pPr>
              <w:adjustRightInd w:val="0"/>
              <w:snapToGrid w:val="0"/>
              <w:spacing w:after="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《工业企业厂界环境噪声排放标准》</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GB12348-2008</w:t>
            </w:r>
            <w:r>
              <w:rPr>
                <w:rFonts w:hint="default" w:ascii="Times New Roman" w:hAnsi="Times New Roman" w:eastAsia="宋体" w:cs="Times New Roman"/>
                <w:color w:val="auto"/>
                <w:sz w:val="21"/>
                <w:szCs w:val="21"/>
                <w:lang w:eastAsia="zh-CN"/>
              </w:rPr>
              <w:t>）</w:t>
            </w:r>
            <w:r>
              <w:rPr>
                <w:rFonts w:hint="default" w:ascii="Times New Roman" w:hAnsi="Times New Roman" w:eastAsia="宋体" w:cs="Times New Roman"/>
                <w:color w:val="auto"/>
                <w:sz w:val="21"/>
                <w:szCs w:val="21"/>
              </w:rPr>
              <w:t>中3类标准。</w:t>
            </w:r>
          </w:p>
        </w:tc>
      </w:tr>
      <w:tr w14:paraId="0026C7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384" w:hRule="atLeast"/>
        </w:trPr>
        <w:tc>
          <w:tcPr>
            <w:tcW w:w="1532" w:type="dxa"/>
            <w:vAlign w:val="center"/>
          </w:tcPr>
          <w:p w14:paraId="0A3CCAB4">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电磁辐射</w:t>
            </w:r>
          </w:p>
        </w:tc>
        <w:tc>
          <w:tcPr>
            <w:tcW w:w="7652" w:type="dxa"/>
            <w:gridSpan w:val="4"/>
            <w:vAlign w:val="center"/>
          </w:tcPr>
          <w:p w14:paraId="593923FF">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w:t>
            </w:r>
          </w:p>
        </w:tc>
      </w:tr>
      <w:tr w14:paraId="54D210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1266" w:hRule="atLeast"/>
        </w:trPr>
        <w:tc>
          <w:tcPr>
            <w:tcW w:w="1532" w:type="dxa"/>
            <w:vAlign w:val="center"/>
          </w:tcPr>
          <w:p w14:paraId="6ACDC458">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固体废物</w:t>
            </w:r>
          </w:p>
        </w:tc>
        <w:tc>
          <w:tcPr>
            <w:tcW w:w="7652" w:type="dxa"/>
            <w:gridSpan w:val="4"/>
            <w:vAlign w:val="center"/>
          </w:tcPr>
          <w:p w14:paraId="72F24F1D">
            <w:pPr>
              <w:adjustRightInd w:val="0"/>
              <w:snapToGrid w:val="0"/>
              <w:spacing w:after="0" w:line="24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一般工业固体</w:t>
            </w:r>
            <w:r>
              <w:rPr>
                <w:rFonts w:hint="default" w:ascii="Times New Roman" w:hAnsi="Times New Roman" w:eastAsia="宋体" w:cs="Times New Roman"/>
                <w:color w:val="auto"/>
                <w:sz w:val="21"/>
                <w:szCs w:val="21"/>
                <w:lang w:eastAsia="zh-CN"/>
              </w:rPr>
              <w:t>废物收集暂存于一般固废间后由物资公司回收，废包装袋收集后外售物资回收单位；边角料、不合格产品、</w:t>
            </w:r>
            <w:r>
              <w:rPr>
                <w:rFonts w:hint="eastAsia" w:cs="Times New Roman"/>
                <w:color w:val="auto"/>
                <w:sz w:val="21"/>
                <w:szCs w:val="21"/>
                <w:lang w:eastAsia="zh-CN"/>
              </w:rPr>
              <w:t>收集</w:t>
            </w:r>
            <w:r>
              <w:rPr>
                <w:rFonts w:hint="default" w:ascii="Times New Roman" w:hAnsi="Times New Roman" w:eastAsia="宋体" w:cs="Times New Roman"/>
                <w:color w:val="auto"/>
                <w:sz w:val="21"/>
                <w:szCs w:val="21"/>
                <w:lang w:eastAsia="zh-CN"/>
              </w:rPr>
              <w:t>的面粉粉尘收集后外售作为饲料生产；沉淀池沉渣由环卫部门定期清掏，</w:t>
            </w:r>
            <w:r>
              <w:rPr>
                <w:rFonts w:hint="eastAsia" w:cs="Times New Roman"/>
                <w:color w:val="auto"/>
                <w:sz w:val="21"/>
                <w:szCs w:val="21"/>
                <w:lang w:eastAsia="zh-CN"/>
              </w:rPr>
              <w:t>废培养基交由环卫部门统一清理；</w:t>
            </w:r>
            <w:r>
              <w:rPr>
                <w:rFonts w:hint="default" w:ascii="Times New Roman" w:hAnsi="Times New Roman" w:eastAsia="宋体" w:cs="Times New Roman"/>
                <w:color w:val="auto"/>
                <w:sz w:val="21"/>
                <w:szCs w:val="21"/>
                <w:lang w:eastAsia="zh-CN"/>
              </w:rPr>
              <w:t>生活垃圾由环卫部门统一清运。在</w:t>
            </w:r>
            <w:r>
              <w:rPr>
                <w:rFonts w:hint="default" w:ascii="Times New Roman" w:hAnsi="Times New Roman" w:eastAsia="宋体" w:cs="Times New Roman"/>
                <w:color w:val="auto"/>
                <w:sz w:val="21"/>
                <w:szCs w:val="21"/>
              </w:rPr>
              <w:t>厂房</w:t>
            </w:r>
            <w:r>
              <w:rPr>
                <w:rFonts w:hint="eastAsia" w:cs="Times New Roman"/>
                <w:color w:val="auto"/>
                <w:sz w:val="21"/>
                <w:szCs w:val="21"/>
                <w:lang w:val="en-US" w:eastAsia="zh-CN"/>
              </w:rPr>
              <w:t>西</w:t>
            </w:r>
            <w:r>
              <w:rPr>
                <w:rFonts w:hint="default" w:ascii="Times New Roman" w:hAnsi="Times New Roman" w:eastAsia="宋体" w:cs="Times New Roman"/>
                <w:color w:val="auto"/>
                <w:sz w:val="21"/>
                <w:szCs w:val="21"/>
              </w:rPr>
              <w:t>南侧</w:t>
            </w:r>
            <w:r>
              <w:rPr>
                <w:rFonts w:hint="default" w:ascii="Times New Roman" w:hAnsi="Times New Roman" w:eastAsia="宋体" w:cs="Times New Roman"/>
                <w:color w:val="auto"/>
                <w:sz w:val="21"/>
                <w:szCs w:val="21"/>
                <w:lang w:eastAsia="zh-CN"/>
              </w:rPr>
              <w:t>建设一间</w:t>
            </w:r>
            <w:r>
              <w:rPr>
                <w:rFonts w:hint="default" w:ascii="Times New Roman" w:hAnsi="Times New Roman" w:eastAsia="宋体" w:cs="Times New Roman"/>
                <w:color w:val="auto"/>
                <w:sz w:val="21"/>
                <w:szCs w:val="21"/>
                <w:lang w:val="en-US" w:eastAsia="zh-CN"/>
              </w:rPr>
              <w:t>6.93m</w:t>
            </w:r>
            <w:r>
              <w:rPr>
                <w:rFonts w:hint="default" w:ascii="Times New Roman" w:hAnsi="Times New Roman" w:eastAsia="宋体" w:cs="Times New Roman"/>
                <w:color w:val="auto"/>
                <w:sz w:val="21"/>
                <w:szCs w:val="21"/>
                <w:vertAlign w:val="superscript"/>
                <w:lang w:val="en-US" w:eastAsia="zh-CN"/>
              </w:rPr>
              <w:t>2</w:t>
            </w:r>
            <w:r>
              <w:rPr>
                <w:rFonts w:hint="default" w:ascii="Times New Roman" w:hAnsi="Times New Roman" w:eastAsia="宋体" w:cs="Times New Roman"/>
                <w:color w:val="auto"/>
                <w:sz w:val="21"/>
                <w:szCs w:val="21"/>
                <w:lang w:val="en-US" w:eastAsia="zh-CN"/>
              </w:rPr>
              <w:t>一般固废间，</w:t>
            </w:r>
            <w:r>
              <w:rPr>
                <w:rFonts w:hint="default" w:ascii="Times New Roman" w:hAnsi="Times New Roman" w:eastAsia="宋体" w:cs="Times New Roman"/>
                <w:color w:val="auto"/>
                <w:sz w:val="21"/>
                <w:szCs w:val="21"/>
                <w:lang w:eastAsia="zh-CN"/>
              </w:rPr>
              <w:t>用于存储生产过程中产生的一般工业固体废物</w:t>
            </w:r>
            <w:r>
              <w:rPr>
                <w:rFonts w:hint="default" w:ascii="Times New Roman" w:hAnsi="Times New Roman" w:eastAsia="宋体" w:cs="Times New Roman"/>
                <w:color w:val="auto"/>
                <w:sz w:val="21"/>
                <w:szCs w:val="21"/>
              </w:rPr>
              <w:t>。</w:t>
            </w:r>
          </w:p>
        </w:tc>
      </w:tr>
      <w:tr w14:paraId="5AFBF4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580" w:hRule="atLeast"/>
        </w:trPr>
        <w:tc>
          <w:tcPr>
            <w:tcW w:w="1532" w:type="dxa"/>
            <w:vAlign w:val="center"/>
          </w:tcPr>
          <w:p w14:paraId="19CB5B64">
            <w:pPr>
              <w:adjustRightInd w:val="0"/>
              <w:snapToGrid w:val="0"/>
              <w:spacing w:after="0" w:line="240" w:lineRule="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土壤及地下水污染防治措施</w:t>
            </w:r>
          </w:p>
        </w:tc>
        <w:tc>
          <w:tcPr>
            <w:tcW w:w="7652" w:type="dxa"/>
            <w:gridSpan w:val="4"/>
            <w:vAlign w:val="center"/>
          </w:tcPr>
          <w:p w14:paraId="297DD25D">
            <w:pPr>
              <w:adjustRightInd w:val="0"/>
              <w:snapToGrid w:val="0"/>
              <w:spacing w:after="0" w:line="240" w:lineRule="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项目车间地面均会硬化且采取防渗措施，确保废水不发生泄漏从而污染地下水及土壤。</w:t>
            </w:r>
          </w:p>
        </w:tc>
      </w:tr>
      <w:tr w14:paraId="6A7D8A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407" w:hRule="atLeast"/>
        </w:trPr>
        <w:tc>
          <w:tcPr>
            <w:tcW w:w="1532" w:type="dxa"/>
            <w:vAlign w:val="center"/>
          </w:tcPr>
          <w:p w14:paraId="0EE96815">
            <w:pPr>
              <w:adjustRightInd w:val="0"/>
              <w:snapToGrid w:val="0"/>
              <w:spacing w:after="0" w:line="240" w:lineRule="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生态保护措施</w:t>
            </w:r>
          </w:p>
        </w:tc>
        <w:tc>
          <w:tcPr>
            <w:tcW w:w="7652" w:type="dxa"/>
            <w:gridSpan w:val="4"/>
            <w:vAlign w:val="center"/>
          </w:tcPr>
          <w:p w14:paraId="2B4AAA8C">
            <w:pPr>
              <w:adjustRightInd w:val="0"/>
              <w:snapToGrid w:val="0"/>
              <w:spacing w:after="0" w:line="240" w:lineRule="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w:t>
            </w:r>
          </w:p>
        </w:tc>
      </w:tr>
      <w:tr w14:paraId="4ED37B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850" w:hRule="atLeast"/>
        </w:trPr>
        <w:tc>
          <w:tcPr>
            <w:tcW w:w="1532" w:type="dxa"/>
            <w:vAlign w:val="center"/>
          </w:tcPr>
          <w:p w14:paraId="6D2B184B">
            <w:pPr>
              <w:adjustRightInd w:val="0"/>
              <w:snapToGrid w:val="0"/>
              <w:spacing w:after="0" w:line="240" w:lineRule="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环境风险防范措施</w:t>
            </w:r>
          </w:p>
        </w:tc>
        <w:tc>
          <w:tcPr>
            <w:tcW w:w="7652" w:type="dxa"/>
            <w:gridSpan w:val="4"/>
            <w:vAlign w:val="center"/>
          </w:tcPr>
          <w:p w14:paraId="479C3614">
            <w:pPr>
              <w:adjustRightInd w:val="0"/>
              <w:snapToGrid w:val="0"/>
              <w:spacing w:after="0" w:line="240" w:lineRule="auto"/>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val="en-US" w:eastAsia="zh-CN"/>
              </w:rPr>
              <w:t>厂区设置明显禁火标志牌，厂内严禁烟火，严格执行《建筑设计防火规范》（GB50016-2014）、《仓库防火安全管理规则》相关要求；生产所用的电气设备、开关须采用安全防爆型，定期检查电气设备，防止短路、漏电等情况产生；同时，应在项目区内配备消防栓、消防器材等；加强厂房清洁及厂房内空气净化，减少积尘及降低空气中粉尘浓度；加强管理，防止发生火灾。</w:t>
            </w:r>
          </w:p>
        </w:tc>
      </w:tr>
      <w:tr w14:paraId="2C9FEC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57" w:type="dxa"/>
            <w:bottom w:w="0" w:type="dxa"/>
            <w:right w:w="57" w:type="dxa"/>
          </w:tblCellMar>
        </w:tblPrEx>
        <w:trPr>
          <w:trHeight w:val="680" w:hRule="atLeast"/>
        </w:trPr>
        <w:tc>
          <w:tcPr>
            <w:tcW w:w="1532" w:type="dxa"/>
            <w:vAlign w:val="center"/>
          </w:tcPr>
          <w:p w14:paraId="2233D0FB">
            <w:pPr>
              <w:adjustRightInd w:val="0"/>
              <w:snapToGrid w:val="0"/>
              <w:spacing w:after="0"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其他环境管理要求</w:t>
            </w:r>
          </w:p>
        </w:tc>
        <w:tc>
          <w:tcPr>
            <w:tcW w:w="7652" w:type="dxa"/>
            <w:gridSpan w:val="4"/>
            <w:vAlign w:val="center"/>
          </w:tcPr>
          <w:p w14:paraId="6D077A33">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中华人民共和国环境保护法》明确指出，我国环境保护的任务是保证在社会主义现代化建设中，合理利用自然资源，防止环境污染和生态破坏，为人民创造清洁适宜的生活和劳动环境，保护人民健康，促进经济发展。</w:t>
            </w:r>
          </w:p>
          <w:p w14:paraId="7C185419">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因此，本建设单位设立环境管理机构，负责项目运营期的环境管理工作，其主要的职责与功能如下：</w:t>
            </w:r>
          </w:p>
          <w:p w14:paraId="25EC1BBD">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本项目属于</w:t>
            </w:r>
            <w:r>
              <w:rPr>
                <w:rFonts w:hint="eastAsia" w:ascii="Times New Roman" w:cs="Times New Roman"/>
                <w:sz w:val="21"/>
                <w:szCs w:val="21"/>
                <w:lang w:val="en-US" w:eastAsia="zh-CN"/>
              </w:rPr>
              <w:t>C</w:t>
            </w:r>
            <w:r>
              <w:rPr>
                <w:rFonts w:hint="default" w:ascii="Times New Roman" w:hAnsi="Times New Roman" w:eastAsia="宋体" w:cs="Times New Roman"/>
                <w:sz w:val="21"/>
                <w:szCs w:val="21"/>
                <w:lang w:val="en-US" w:eastAsia="zh-CN"/>
              </w:rPr>
              <w:t>1431</w:t>
            </w:r>
            <w:r>
              <w:rPr>
                <w:rFonts w:hint="default" w:ascii="Times New Roman" w:hAnsi="Times New Roman" w:eastAsia="宋体" w:cs="Times New Roman"/>
                <w:sz w:val="21"/>
                <w:szCs w:val="21"/>
                <w:lang w:eastAsia="zh-CN"/>
              </w:rPr>
              <w:t>米、面制品制造</w:t>
            </w:r>
            <w:r>
              <w:rPr>
                <w:rFonts w:hint="default" w:ascii="Times New Roman" w:hAnsi="Times New Roman" w:eastAsia="宋体" w:cs="Times New Roman"/>
                <w:sz w:val="21"/>
                <w:szCs w:val="21"/>
              </w:rPr>
              <w:t>；对照《固定污染源排污许可分类管理名录》（2019年版），本项目属于《名录》中：</w:t>
            </w:r>
            <w:r>
              <w:rPr>
                <w:rFonts w:hint="default" w:ascii="Times New Roman" w:hAnsi="Times New Roman" w:eastAsia="宋体" w:cs="Times New Roman"/>
                <w:sz w:val="21"/>
                <w:szCs w:val="21"/>
                <w:lang w:eastAsia="zh-CN"/>
              </w:rPr>
              <w:t>九</w:t>
            </w:r>
            <w:r>
              <w:rPr>
                <w:rFonts w:hint="default" w:ascii="Times New Roman" w:hAnsi="Times New Roman" w:eastAsia="宋体" w:cs="Times New Roman"/>
                <w:sz w:val="21"/>
                <w:szCs w:val="21"/>
              </w:rPr>
              <w:t>、</w:t>
            </w:r>
            <w:r>
              <w:rPr>
                <w:rFonts w:hint="default" w:ascii="Times New Roman" w:hAnsi="Times New Roman" w:eastAsia="宋体" w:cs="Times New Roman"/>
                <w:sz w:val="21"/>
                <w:szCs w:val="21"/>
                <w:lang w:eastAsia="zh-CN"/>
              </w:rPr>
              <w:t>食品制造业</w:t>
            </w:r>
            <w:r>
              <w:rPr>
                <w:rFonts w:hint="default" w:ascii="Times New Roman" w:hAnsi="Times New Roman" w:eastAsia="宋体" w:cs="Times New Roman"/>
                <w:sz w:val="21"/>
                <w:szCs w:val="21"/>
                <w:lang w:val="en-US" w:eastAsia="zh-CN"/>
              </w:rPr>
              <w:t>14</w:t>
            </w:r>
            <w:r>
              <w:rPr>
                <w:rFonts w:hint="default" w:ascii="Times New Roman" w:hAnsi="Times New Roman" w:eastAsia="宋体" w:cs="Times New Roman"/>
                <w:sz w:val="21"/>
                <w:szCs w:val="21"/>
              </w:rPr>
              <w:t>-</w:t>
            </w:r>
            <w:r>
              <w:rPr>
                <w:rFonts w:hint="default" w:ascii="Times New Roman" w:hAnsi="Times New Roman" w:eastAsia="宋体" w:cs="Times New Roman"/>
                <w:sz w:val="21"/>
                <w:szCs w:val="21"/>
                <w:lang w:val="en-US" w:eastAsia="zh-CN"/>
              </w:rPr>
              <w:t>17、方便食品制造143</w:t>
            </w:r>
            <w:r>
              <w:rPr>
                <w:rFonts w:hint="default" w:ascii="Times New Roman" w:hAnsi="Times New Roman" w:eastAsia="宋体" w:cs="Times New Roman"/>
                <w:sz w:val="21"/>
                <w:szCs w:val="21"/>
              </w:rPr>
              <w:t>中“</w:t>
            </w:r>
            <w:r>
              <w:rPr>
                <w:rFonts w:hint="default" w:ascii="Times New Roman" w:hAnsi="Times New Roman" w:eastAsia="宋体" w:cs="Times New Roman"/>
                <w:sz w:val="21"/>
                <w:szCs w:val="21"/>
                <w:lang w:eastAsia="zh-CN"/>
              </w:rPr>
              <w:t>米、面制品制造</w:t>
            </w:r>
            <w:r>
              <w:rPr>
                <w:rFonts w:hint="default" w:ascii="Times New Roman" w:hAnsi="Times New Roman" w:eastAsia="宋体" w:cs="Times New Roman"/>
                <w:sz w:val="21"/>
                <w:szCs w:val="21"/>
                <w:lang w:val="en-US" w:eastAsia="zh-CN"/>
              </w:rPr>
              <w:t>1431</w:t>
            </w:r>
            <w:r>
              <w:rPr>
                <w:rFonts w:hint="default" w:ascii="Times New Roman" w:hAnsi="Times New Roman" w:eastAsia="宋体" w:cs="Times New Roman"/>
                <w:sz w:val="21"/>
                <w:szCs w:val="21"/>
              </w:rPr>
              <w:t>”，实行</w:t>
            </w:r>
            <w:r>
              <w:rPr>
                <w:rFonts w:hint="default" w:ascii="Times New Roman" w:hAnsi="Times New Roman" w:eastAsia="宋体" w:cs="Times New Roman"/>
                <w:sz w:val="21"/>
                <w:szCs w:val="21"/>
                <w:lang w:eastAsia="zh-CN"/>
              </w:rPr>
              <w:t>简化</w:t>
            </w:r>
            <w:r>
              <w:rPr>
                <w:rFonts w:hint="default" w:ascii="Times New Roman" w:hAnsi="Times New Roman" w:eastAsia="宋体" w:cs="Times New Roman"/>
                <w:sz w:val="21"/>
                <w:szCs w:val="21"/>
              </w:rPr>
              <w:t>管理。</w:t>
            </w:r>
          </w:p>
          <w:p w14:paraId="0F0EE10D">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规范化设置排污口；按照《安徽省生态环境厅关于统筹做好固定污染源排污许可日常监管工作的通知》（皖环发〔2021〕7号）等要求，企业应在实际排污前申领排污许可证。</w:t>
            </w:r>
          </w:p>
          <w:p w14:paraId="095999BF">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（1）排污口管理：</w:t>
            </w:r>
          </w:p>
          <w:p w14:paraId="18F99D3E">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建设单位应在各排污口处设立较明显的排污口标志牌，其上应注明主要排放污染物的名称以警示周围群众；</w:t>
            </w:r>
          </w:p>
          <w:p w14:paraId="7767E1E6">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建设单位应如实填写《中华人民共和国规范化排污口标志登记证》的有关内容，由环保主管部门签发登记证；</w:t>
            </w:r>
          </w:p>
          <w:p w14:paraId="25CED206">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规范化排污口的有关设置属环保设施，建设单位必须负责日常的维护保养，任何单位和个人不得擅自拆除，如果需要变更的必须报环境监察部门同意并办理变更手续；</w:t>
            </w:r>
          </w:p>
          <w:p w14:paraId="41AEFFCB">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建设单位应将有关排污口的情况，如：排污口的性质、编号，排污口的位置；主要排放的污染物种类、数量、浓度、排放规律、排放去向；污染治理设施的运行情况等进行建档管理，并报送环保主管部门备案。</w:t>
            </w:r>
          </w:p>
          <w:p w14:paraId="79E8FD3F">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（2）台账的管理：</w:t>
            </w:r>
          </w:p>
          <w:p w14:paraId="3E299E32">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根据生产特点和污染物排放特点，按照排污口和有组织排放源进行记录。台账记录保存期限不少于五年。</w:t>
            </w:r>
          </w:p>
          <w:p w14:paraId="11E7C868">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（3）严格执行各项环境管理制度，保证各排污口的正常运行；</w:t>
            </w:r>
          </w:p>
          <w:p w14:paraId="0F6C6520">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（4）对各项环保设施操作、维护定量考核，建立环保设施运行档案；</w:t>
            </w:r>
          </w:p>
          <w:p w14:paraId="7BCB05F1">
            <w:pPr>
              <w:pStyle w:val="75"/>
              <w:widowControl/>
              <w:adjustRightInd/>
              <w:snapToGrid/>
              <w:ind w:firstLine="420" w:firstLineChars="200"/>
              <w:jc w:val="left"/>
              <w:rPr>
                <w:rFonts w:hint="default" w:ascii="Times New Roman" w:hAnsi="Times New Roman" w:eastAsia="宋体" w:cs="Times New Roman"/>
                <w:sz w:val="21"/>
                <w:szCs w:val="21"/>
              </w:rPr>
            </w:pPr>
            <w:r>
              <w:rPr>
                <w:rFonts w:hint="default" w:ascii="Times New Roman" w:hAnsi="Times New Roman" w:eastAsia="宋体" w:cs="Times New Roman"/>
                <w:sz w:val="21"/>
                <w:szCs w:val="21"/>
              </w:rPr>
              <w:t>（5）按规定程序实施竣工环境保护验收，验收合格方可投入生产。</w:t>
            </w:r>
          </w:p>
          <w:p w14:paraId="4083F989">
            <w:pPr>
              <w:pStyle w:val="75"/>
              <w:widowControl/>
              <w:adjustRightInd/>
              <w:snapToGrid/>
              <w:ind w:firstLine="420" w:firstLineChars="200"/>
              <w:jc w:val="left"/>
              <w:rPr>
                <w:rFonts w:hint="default" w:ascii="Times New Roman" w:hAnsi="Times New Roman" w:eastAsia="宋体" w:cs="Times New Roman"/>
                <w:sz w:val="21"/>
                <w:szCs w:val="21"/>
              </w:rPr>
            </w:pPr>
          </w:p>
          <w:p w14:paraId="2208C36E">
            <w:pPr>
              <w:pStyle w:val="75"/>
              <w:widowControl/>
              <w:adjustRightInd/>
              <w:snapToGrid/>
              <w:ind w:firstLine="420" w:firstLineChars="200"/>
              <w:jc w:val="left"/>
              <w:rPr>
                <w:rFonts w:hint="default" w:ascii="Times New Roman" w:hAnsi="Times New Roman" w:eastAsia="宋体" w:cs="Times New Roman"/>
                <w:sz w:val="21"/>
                <w:szCs w:val="21"/>
              </w:rPr>
            </w:pPr>
          </w:p>
          <w:p w14:paraId="243F54AB">
            <w:pPr>
              <w:adjustRightInd w:val="0"/>
              <w:snapToGrid w:val="0"/>
              <w:spacing w:after="0" w:line="240" w:lineRule="auto"/>
              <w:rPr>
                <w:rFonts w:hint="default" w:ascii="Times New Roman" w:hAnsi="Times New Roman" w:eastAsia="宋体" w:cs="Times New Roman"/>
                <w:color w:val="auto"/>
                <w:sz w:val="21"/>
                <w:szCs w:val="21"/>
              </w:rPr>
            </w:pPr>
          </w:p>
        </w:tc>
      </w:tr>
      <w:bookmarkEnd w:id="36"/>
    </w:tbl>
    <w:p w14:paraId="0E4C55A8">
      <w:pPr>
        <w:pStyle w:val="51"/>
        <w:spacing w:before="120" w:beforeLines="50" w:beforeAutospacing="0" w:after="0" w:afterAutospacing="0" w:line="360" w:lineRule="auto"/>
        <w:jc w:val="center"/>
        <w:rPr>
          <w:rFonts w:ascii="Times New Roman" w:hAnsi="Times New Roman"/>
          <w:snapToGrid w:val="0"/>
          <w:color w:val="0000FF"/>
        </w:rPr>
        <w:sectPr>
          <w:headerReference r:id="rId17" w:type="default"/>
          <w:pgSz w:w="11906" w:h="16838"/>
          <w:pgMar w:top="1440" w:right="1418" w:bottom="1440" w:left="1418" w:header="851" w:footer="851" w:gutter="0"/>
          <w:pgNumType w:fmt="decimal"/>
          <w:cols w:space="720" w:num="1"/>
          <w:docGrid w:linePitch="312" w:charSpace="0"/>
        </w:sectPr>
      </w:pPr>
    </w:p>
    <w:p w14:paraId="217ED810">
      <w:pPr>
        <w:pStyle w:val="5"/>
        <w:bidi w:val="0"/>
        <w:spacing w:after="0" w:line="240" w:lineRule="auto"/>
        <w:rPr>
          <w:rFonts w:ascii="Times New Roman" w:hAnsi="Times New Roman"/>
          <w:snapToGrid w:val="0"/>
          <w:color w:val="auto"/>
          <w:szCs w:val="30"/>
        </w:rPr>
      </w:pPr>
      <w:bookmarkStart w:id="38" w:name="_Toc69030998"/>
      <w:r>
        <w:t>六、结论</w:t>
      </w:r>
      <w:bookmarkEnd w:id="38"/>
    </w:p>
    <w:tbl>
      <w:tblPr>
        <w:tblStyle w:val="5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6"/>
      </w:tblGrid>
      <w:tr w14:paraId="7BB4E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336" w:type="dxa"/>
          </w:tcPr>
          <w:p w14:paraId="1A33A2F9">
            <w:pPr>
              <w:pStyle w:val="771"/>
              <w:bidi w:val="0"/>
            </w:pPr>
            <w:r>
              <w:t>本项目为</w:t>
            </w:r>
            <w:r>
              <w:rPr>
                <w:rFonts w:hint="eastAsia"/>
                <w:lang w:eastAsia="zh-CN"/>
              </w:rPr>
              <w:t>安徽京麦源食品有限公司生湿米面制品深加工智能化工厂项目</w:t>
            </w:r>
            <w:r>
              <w:t>，选址于</w:t>
            </w:r>
            <w:r>
              <w:rPr>
                <w:rFonts w:hint="eastAsia"/>
              </w:rPr>
              <w:t>淮南经济技术开发区</w:t>
            </w:r>
            <w:r>
              <w:rPr>
                <w:rFonts w:hint="eastAsia"/>
                <w:lang w:eastAsia="zh-CN"/>
              </w:rPr>
              <w:t>高端装备产业园内</w:t>
            </w:r>
            <w:r>
              <w:rPr>
                <w:rFonts w:hint="eastAsia"/>
                <w:lang w:val="en-US" w:eastAsia="zh-CN"/>
              </w:rPr>
              <w:t>X4号楼一层</w:t>
            </w:r>
            <w:r>
              <w:t>，符合国家及地方产业政策，选址符合用地规划要求；项目生产过程中产生的污染在采取有效的治理措施之后，对周围环境影响较小，不会改变当地环境质量现状；同时本项目对周边环境产生的影响较小，事故风险水平可被接受。</w:t>
            </w:r>
          </w:p>
          <w:p w14:paraId="49FFF709">
            <w:pPr>
              <w:pStyle w:val="771"/>
              <w:bidi w:val="0"/>
              <w:rPr>
                <w:color w:val="auto"/>
              </w:rPr>
            </w:pPr>
            <w:r>
              <w:t>因此，</w:t>
            </w:r>
            <w:r>
              <w:rPr>
                <w:rFonts w:hint="eastAsia"/>
              </w:rPr>
              <w:t>在认真执行三同时、设计方案及环评中提出的污染防治措施后，在方案不变的情况下，产生的污染物对环境的影响可接受，不会降低项目区域环境功能，从环境保护的角度分析，该项目的建设是可行的。</w:t>
            </w:r>
          </w:p>
        </w:tc>
      </w:tr>
    </w:tbl>
    <w:p w14:paraId="6508D1E5">
      <w:pPr>
        <w:spacing w:after="0"/>
        <w:rPr>
          <w:color w:val="0000FF"/>
        </w:rPr>
        <w:sectPr>
          <w:headerReference r:id="rId18" w:type="default"/>
          <w:pgSz w:w="11906" w:h="16838"/>
          <w:pgMar w:top="1440" w:right="1418" w:bottom="1440" w:left="1418" w:header="851" w:footer="851" w:gutter="0"/>
          <w:pgNumType w:fmt="decimal"/>
          <w:cols w:space="720" w:num="1"/>
          <w:docGrid w:linePitch="312" w:charSpace="0"/>
        </w:sectPr>
      </w:pPr>
    </w:p>
    <w:p w14:paraId="1E693D32">
      <w:pPr>
        <w:pStyle w:val="51"/>
        <w:adjustRightInd w:val="0"/>
        <w:snapToGrid w:val="0"/>
        <w:spacing w:before="0" w:beforeAutospacing="0" w:after="0" w:afterAutospacing="0" w:line="460" w:lineRule="exact"/>
        <w:jc w:val="both"/>
        <w:outlineLvl w:val="0"/>
        <w:rPr>
          <w:rFonts w:ascii="Times New Roman" w:hAnsi="Times New Roman"/>
          <w:b/>
          <w:snapToGrid w:val="0"/>
          <w:color w:val="auto"/>
          <w:sz w:val="28"/>
          <w:szCs w:val="28"/>
        </w:rPr>
      </w:pPr>
      <w:bookmarkStart w:id="39" w:name="_Toc69030999"/>
      <w:bookmarkStart w:id="40" w:name="_Hlk174093839"/>
      <w:r>
        <w:rPr>
          <w:rFonts w:ascii="Times New Roman" w:hAnsi="Times New Roman"/>
          <w:b/>
          <w:snapToGrid w:val="0"/>
          <w:color w:val="auto"/>
          <w:sz w:val="28"/>
          <w:szCs w:val="28"/>
        </w:rPr>
        <w:t>附表</w:t>
      </w:r>
      <w:bookmarkEnd w:id="39"/>
      <w:bookmarkStart w:id="41" w:name="_Toc67775558"/>
      <w:bookmarkStart w:id="42" w:name="_Toc69031000"/>
    </w:p>
    <w:p w14:paraId="465D7C6F">
      <w:pPr>
        <w:pStyle w:val="51"/>
        <w:adjustRightInd w:val="0"/>
        <w:snapToGrid w:val="0"/>
        <w:spacing w:before="0" w:beforeAutospacing="0" w:after="0" w:afterAutospacing="0" w:line="360" w:lineRule="auto"/>
        <w:ind w:left="5280" w:leftChars="2200"/>
        <w:jc w:val="both"/>
        <w:outlineLvl w:val="0"/>
        <w:rPr>
          <w:rFonts w:ascii="Times New Roman" w:hAnsi="Times New Roman"/>
          <w:b/>
          <w:snapToGrid w:val="0"/>
          <w:color w:val="auto"/>
          <w:sz w:val="28"/>
          <w:szCs w:val="28"/>
        </w:rPr>
      </w:pPr>
      <w:bookmarkStart w:id="43" w:name="OLE_LINK2"/>
      <w:r>
        <w:rPr>
          <w:rFonts w:ascii="Times New Roman" w:hAnsi="Times New Roman"/>
          <w:b/>
          <w:snapToGrid w:val="0"/>
          <w:color w:val="auto"/>
          <w:sz w:val="32"/>
          <w:szCs w:val="32"/>
        </w:rPr>
        <w:t>建设项目污染物排放量汇总表</w:t>
      </w:r>
      <w:bookmarkEnd w:id="41"/>
      <w:bookmarkEnd w:id="42"/>
      <w:bookmarkEnd w:id="43"/>
    </w:p>
    <w:tbl>
      <w:tblPr>
        <w:tblStyle w:val="57"/>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395"/>
        <w:gridCol w:w="1596"/>
        <w:gridCol w:w="1442"/>
        <w:gridCol w:w="1202"/>
        <w:gridCol w:w="1601"/>
        <w:gridCol w:w="1469"/>
        <w:gridCol w:w="1539"/>
        <w:gridCol w:w="1817"/>
        <w:gridCol w:w="1426"/>
      </w:tblGrid>
      <w:tr w14:paraId="12EAC8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tcBorders>
              <w:tl2br w:val="single" w:color="auto" w:sz="4" w:space="0"/>
            </w:tcBorders>
            <w:tcMar>
              <w:left w:w="28" w:type="dxa"/>
              <w:right w:w="28" w:type="dxa"/>
            </w:tcMar>
            <w:vAlign w:val="center"/>
          </w:tcPr>
          <w:p w14:paraId="0B7B7CED">
            <w:pPr>
              <w:adjustRightInd w:val="0"/>
              <w:snapToGrid w:val="0"/>
              <w:spacing w:after="0" w:line="240" w:lineRule="auto"/>
              <w:jc w:val="right"/>
              <w:rPr>
                <w:bCs/>
                <w:color w:val="auto"/>
                <w:kern w:val="2"/>
                <w:sz w:val="21"/>
                <w:szCs w:val="21"/>
              </w:rPr>
            </w:pPr>
            <w:r>
              <w:rPr>
                <w:bCs/>
                <w:color w:val="auto"/>
                <w:kern w:val="2"/>
                <w:sz w:val="21"/>
                <w:szCs w:val="21"/>
              </w:rPr>
              <w:t>项目</w:t>
            </w:r>
          </w:p>
          <w:p w14:paraId="1B745855">
            <w:pPr>
              <w:adjustRightInd w:val="0"/>
              <w:snapToGrid w:val="0"/>
              <w:spacing w:after="0" w:line="240" w:lineRule="auto"/>
              <w:jc w:val="left"/>
              <w:rPr>
                <w:bCs/>
                <w:color w:val="auto"/>
                <w:kern w:val="2"/>
                <w:sz w:val="21"/>
                <w:szCs w:val="21"/>
              </w:rPr>
            </w:pPr>
            <w:r>
              <w:rPr>
                <w:bCs/>
                <w:color w:val="auto"/>
                <w:kern w:val="2"/>
                <w:sz w:val="21"/>
                <w:szCs w:val="21"/>
              </w:rPr>
              <w:t>分类</w:t>
            </w:r>
          </w:p>
        </w:tc>
        <w:tc>
          <w:tcPr>
            <w:tcW w:w="591" w:type="pct"/>
            <w:tcMar>
              <w:left w:w="28" w:type="dxa"/>
              <w:right w:w="28" w:type="dxa"/>
            </w:tcMar>
            <w:vAlign w:val="center"/>
          </w:tcPr>
          <w:p w14:paraId="596D6C40">
            <w:pPr>
              <w:adjustRightInd w:val="0"/>
              <w:snapToGrid w:val="0"/>
              <w:spacing w:after="0" w:line="240" w:lineRule="auto"/>
              <w:jc w:val="center"/>
              <w:rPr>
                <w:bCs/>
                <w:color w:val="auto"/>
                <w:kern w:val="2"/>
                <w:sz w:val="21"/>
                <w:szCs w:val="21"/>
              </w:rPr>
            </w:pPr>
            <w:r>
              <w:rPr>
                <w:bCs/>
                <w:color w:val="auto"/>
                <w:kern w:val="2"/>
                <w:sz w:val="21"/>
                <w:szCs w:val="21"/>
              </w:rPr>
              <w:t>污染物名称</w:t>
            </w:r>
          </w:p>
        </w:tc>
        <w:tc>
          <w:tcPr>
            <w:tcW w:w="534" w:type="pct"/>
            <w:tcMar>
              <w:left w:w="28" w:type="dxa"/>
              <w:right w:w="28" w:type="dxa"/>
            </w:tcMar>
            <w:vAlign w:val="center"/>
          </w:tcPr>
          <w:p w14:paraId="55DEB601">
            <w:pPr>
              <w:adjustRightInd w:val="0"/>
              <w:snapToGrid w:val="0"/>
              <w:spacing w:after="0" w:line="240" w:lineRule="auto"/>
              <w:jc w:val="center"/>
              <w:rPr>
                <w:bCs/>
                <w:color w:val="auto"/>
                <w:kern w:val="2"/>
                <w:sz w:val="21"/>
                <w:szCs w:val="21"/>
              </w:rPr>
            </w:pPr>
            <w:r>
              <w:rPr>
                <w:bCs/>
                <w:color w:val="auto"/>
                <w:kern w:val="2"/>
                <w:sz w:val="21"/>
                <w:szCs w:val="21"/>
              </w:rPr>
              <w:t>现有工程排放量（固体废物产生量）</w:t>
            </w:r>
            <w:r>
              <w:rPr>
                <w:bCs/>
                <w:color w:val="auto"/>
                <w:kern w:val="2"/>
                <w:sz w:val="21"/>
                <w:szCs w:val="21"/>
              </w:rPr>
              <w:fldChar w:fldCharType="begin"/>
            </w:r>
            <w:r>
              <w:rPr>
                <w:bCs/>
                <w:color w:val="auto"/>
                <w:kern w:val="2"/>
                <w:sz w:val="21"/>
                <w:szCs w:val="21"/>
              </w:rPr>
              <w:instrText xml:space="preserve"> = 1 \* GB3 \* MERGEFORMAT </w:instrText>
            </w:r>
            <w:r>
              <w:rPr>
                <w:bCs/>
                <w:color w:val="auto"/>
                <w:kern w:val="2"/>
                <w:sz w:val="21"/>
                <w:szCs w:val="21"/>
              </w:rPr>
              <w:fldChar w:fldCharType="separate"/>
            </w:r>
            <w:r>
              <w:rPr>
                <w:rFonts w:hint="eastAsia" w:ascii="宋体" w:hAnsi="宋体" w:cs="宋体"/>
                <w:bCs/>
                <w:color w:val="auto"/>
                <w:kern w:val="2"/>
                <w:sz w:val="21"/>
                <w:szCs w:val="21"/>
              </w:rPr>
              <w:t>①</w:t>
            </w:r>
            <w:r>
              <w:rPr>
                <w:bCs/>
                <w:color w:val="auto"/>
                <w:kern w:val="2"/>
                <w:sz w:val="21"/>
                <w:szCs w:val="21"/>
              </w:rPr>
              <w:fldChar w:fldCharType="end"/>
            </w:r>
          </w:p>
        </w:tc>
        <w:tc>
          <w:tcPr>
            <w:tcW w:w="445" w:type="pct"/>
            <w:tcMar>
              <w:left w:w="28" w:type="dxa"/>
              <w:right w:w="28" w:type="dxa"/>
            </w:tcMar>
            <w:vAlign w:val="center"/>
          </w:tcPr>
          <w:p w14:paraId="5BF92DA3">
            <w:pPr>
              <w:adjustRightInd w:val="0"/>
              <w:snapToGrid w:val="0"/>
              <w:spacing w:after="0" w:line="240" w:lineRule="auto"/>
              <w:jc w:val="center"/>
              <w:rPr>
                <w:bCs/>
                <w:color w:val="auto"/>
                <w:kern w:val="2"/>
                <w:sz w:val="21"/>
                <w:szCs w:val="21"/>
              </w:rPr>
            </w:pPr>
            <w:r>
              <w:rPr>
                <w:bCs/>
                <w:color w:val="auto"/>
                <w:kern w:val="2"/>
                <w:sz w:val="21"/>
                <w:szCs w:val="21"/>
              </w:rPr>
              <w:t>现有工程许可排放量</w:t>
            </w:r>
          </w:p>
          <w:p w14:paraId="0158A7ED">
            <w:pPr>
              <w:adjustRightInd w:val="0"/>
              <w:snapToGrid w:val="0"/>
              <w:spacing w:after="0" w:line="240" w:lineRule="auto"/>
              <w:jc w:val="center"/>
              <w:rPr>
                <w:bCs/>
                <w:color w:val="auto"/>
                <w:kern w:val="2"/>
                <w:sz w:val="21"/>
                <w:szCs w:val="21"/>
              </w:rPr>
            </w:pPr>
            <w:r>
              <w:rPr>
                <w:bCs/>
                <w:color w:val="auto"/>
                <w:kern w:val="2"/>
                <w:sz w:val="21"/>
                <w:szCs w:val="21"/>
              </w:rPr>
              <w:fldChar w:fldCharType="begin"/>
            </w:r>
            <w:r>
              <w:rPr>
                <w:bCs/>
                <w:color w:val="auto"/>
                <w:kern w:val="2"/>
                <w:sz w:val="21"/>
                <w:szCs w:val="21"/>
              </w:rPr>
              <w:instrText xml:space="preserve"> = 2 \* GB3 \* MERGEFORMAT </w:instrText>
            </w:r>
            <w:r>
              <w:rPr>
                <w:bCs/>
                <w:color w:val="auto"/>
                <w:kern w:val="2"/>
                <w:sz w:val="21"/>
                <w:szCs w:val="21"/>
              </w:rPr>
              <w:fldChar w:fldCharType="separate"/>
            </w:r>
            <w:r>
              <w:rPr>
                <w:rFonts w:hint="eastAsia" w:ascii="宋体" w:hAnsi="宋体" w:cs="宋体"/>
                <w:bCs/>
                <w:color w:val="auto"/>
                <w:kern w:val="2"/>
                <w:sz w:val="21"/>
                <w:szCs w:val="21"/>
              </w:rPr>
              <w:t>②</w:t>
            </w:r>
            <w:r>
              <w:rPr>
                <w:bCs/>
                <w:color w:val="auto"/>
                <w:kern w:val="2"/>
                <w:sz w:val="21"/>
                <w:szCs w:val="21"/>
              </w:rPr>
              <w:fldChar w:fldCharType="end"/>
            </w:r>
          </w:p>
        </w:tc>
        <w:tc>
          <w:tcPr>
            <w:tcW w:w="593" w:type="pct"/>
            <w:tcMar>
              <w:left w:w="28" w:type="dxa"/>
              <w:right w:w="28" w:type="dxa"/>
            </w:tcMar>
            <w:vAlign w:val="center"/>
          </w:tcPr>
          <w:p w14:paraId="412EDD2E">
            <w:pPr>
              <w:adjustRightInd w:val="0"/>
              <w:snapToGrid w:val="0"/>
              <w:spacing w:after="0" w:line="240" w:lineRule="auto"/>
              <w:jc w:val="center"/>
              <w:rPr>
                <w:bCs/>
                <w:color w:val="auto"/>
                <w:kern w:val="2"/>
                <w:sz w:val="21"/>
                <w:szCs w:val="21"/>
              </w:rPr>
            </w:pPr>
            <w:r>
              <w:rPr>
                <w:bCs/>
                <w:color w:val="auto"/>
                <w:kern w:val="2"/>
                <w:sz w:val="21"/>
                <w:szCs w:val="21"/>
              </w:rPr>
              <w:t>在建工程排放量（固体废物产生量）</w:t>
            </w:r>
            <w:r>
              <w:rPr>
                <w:bCs/>
                <w:color w:val="auto"/>
                <w:kern w:val="2"/>
                <w:sz w:val="21"/>
                <w:szCs w:val="21"/>
              </w:rPr>
              <w:fldChar w:fldCharType="begin"/>
            </w:r>
            <w:r>
              <w:rPr>
                <w:bCs/>
                <w:color w:val="auto"/>
                <w:kern w:val="2"/>
                <w:sz w:val="21"/>
                <w:szCs w:val="21"/>
              </w:rPr>
              <w:instrText xml:space="preserve"> = 3 \* GB3 \* MERGEFORMAT </w:instrText>
            </w:r>
            <w:r>
              <w:rPr>
                <w:bCs/>
                <w:color w:val="auto"/>
                <w:kern w:val="2"/>
                <w:sz w:val="21"/>
                <w:szCs w:val="21"/>
              </w:rPr>
              <w:fldChar w:fldCharType="separate"/>
            </w:r>
            <w:r>
              <w:rPr>
                <w:rFonts w:hint="eastAsia" w:ascii="宋体" w:hAnsi="宋体" w:cs="宋体"/>
                <w:bCs/>
                <w:color w:val="auto"/>
                <w:kern w:val="2"/>
                <w:sz w:val="21"/>
                <w:szCs w:val="21"/>
              </w:rPr>
              <w:t>③</w:t>
            </w:r>
            <w:r>
              <w:rPr>
                <w:bCs/>
                <w:color w:val="auto"/>
                <w:kern w:val="2"/>
                <w:sz w:val="21"/>
                <w:szCs w:val="21"/>
              </w:rPr>
              <w:fldChar w:fldCharType="end"/>
            </w:r>
          </w:p>
        </w:tc>
        <w:tc>
          <w:tcPr>
            <w:tcW w:w="544" w:type="pct"/>
            <w:tcMar>
              <w:left w:w="28" w:type="dxa"/>
              <w:right w:w="28" w:type="dxa"/>
            </w:tcMar>
            <w:vAlign w:val="center"/>
          </w:tcPr>
          <w:p w14:paraId="3DE7FC63">
            <w:pPr>
              <w:adjustRightInd w:val="0"/>
              <w:snapToGrid w:val="0"/>
              <w:spacing w:after="0" w:line="240" w:lineRule="auto"/>
              <w:jc w:val="center"/>
              <w:rPr>
                <w:bCs/>
                <w:color w:val="auto"/>
                <w:kern w:val="2"/>
                <w:sz w:val="21"/>
                <w:szCs w:val="21"/>
              </w:rPr>
            </w:pPr>
            <w:r>
              <w:rPr>
                <w:bCs/>
                <w:color w:val="auto"/>
                <w:kern w:val="2"/>
                <w:sz w:val="21"/>
                <w:szCs w:val="21"/>
              </w:rPr>
              <w:t>本项目排放量（固体废物产生量）</w:t>
            </w:r>
            <w:r>
              <w:rPr>
                <w:bCs/>
                <w:color w:val="auto"/>
                <w:kern w:val="2"/>
                <w:sz w:val="21"/>
                <w:szCs w:val="21"/>
              </w:rPr>
              <w:fldChar w:fldCharType="begin"/>
            </w:r>
            <w:r>
              <w:rPr>
                <w:bCs/>
                <w:color w:val="auto"/>
                <w:kern w:val="2"/>
                <w:sz w:val="21"/>
                <w:szCs w:val="21"/>
              </w:rPr>
              <w:instrText xml:space="preserve"> = 4 \* GB3 \* MERGEFORMAT </w:instrText>
            </w:r>
            <w:r>
              <w:rPr>
                <w:bCs/>
                <w:color w:val="auto"/>
                <w:kern w:val="2"/>
                <w:sz w:val="21"/>
                <w:szCs w:val="21"/>
              </w:rPr>
              <w:fldChar w:fldCharType="separate"/>
            </w:r>
            <w:r>
              <w:rPr>
                <w:rFonts w:hint="eastAsia" w:ascii="宋体" w:hAnsi="宋体" w:cs="宋体"/>
                <w:bCs/>
                <w:color w:val="auto"/>
                <w:kern w:val="2"/>
                <w:sz w:val="21"/>
                <w:szCs w:val="21"/>
              </w:rPr>
              <w:t>④</w:t>
            </w:r>
            <w:r>
              <w:rPr>
                <w:bCs/>
                <w:color w:val="auto"/>
                <w:kern w:val="2"/>
                <w:sz w:val="21"/>
                <w:szCs w:val="21"/>
              </w:rPr>
              <w:fldChar w:fldCharType="end"/>
            </w:r>
          </w:p>
        </w:tc>
        <w:tc>
          <w:tcPr>
            <w:tcW w:w="570" w:type="pct"/>
            <w:tcMar>
              <w:left w:w="28" w:type="dxa"/>
              <w:right w:w="28" w:type="dxa"/>
            </w:tcMar>
            <w:vAlign w:val="center"/>
          </w:tcPr>
          <w:p w14:paraId="07CA3CA2">
            <w:pPr>
              <w:adjustRightInd w:val="0"/>
              <w:snapToGrid w:val="0"/>
              <w:spacing w:after="0" w:line="240" w:lineRule="auto"/>
              <w:jc w:val="center"/>
              <w:rPr>
                <w:bCs/>
                <w:color w:val="auto"/>
                <w:kern w:val="2"/>
                <w:sz w:val="21"/>
                <w:szCs w:val="21"/>
              </w:rPr>
            </w:pPr>
            <w:r>
              <w:rPr>
                <w:bCs/>
                <w:color w:val="auto"/>
                <w:kern w:val="2"/>
                <w:sz w:val="21"/>
                <w:szCs w:val="21"/>
              </w:rPr>
              <w:t>以新带老削减量（新建项目不填）</w:t>
            </w:r>
            <w:r>
              <w:rPr>
                <w:bCs/>
                <w:color w:val="auto"/>
                <w:kern w:val="2"/>
                <w:sz w:val="21"/>
                <w:szCs w:val="21"/>
              </w:rPr>
              <w:fldChar w:fldCharType="begin"/>
            </w:r>
            <w:r>
              <w:rPr>
                <w:bCs/>
                <w:color w:val="auto"/>
                <w:kern w:val="2"/>
                <w:sz w:val="21"/>
                <w:szCs w:val="21"/>
              </w:rPr>
              <w:instrText xml:space="preserve"> = 5 \* GB3 \* MERGEFORMAT </w:instrText>
            </w:r>
            <w:r>
              <w:rPr>
                <w:bCs/>
                <w:color w:val="auto"/>
                <w:kern w:val="2"/>
                <w:sz w:val="21"/>
                <w:szCs w:val="21"/>
              </w:rPr>
              <w:fldChar w:fldCharType="separate"/>
            </w:r>
            <w:r>
              <w:rPr>
                <w:rFonts w:hint="eastAsia" w:ascii="宋体" w:hAnsi="宋体" w:cs="宋体"/>
                <w:bCs/>
                <w:color w:val="auto"/>
                <w:kern w:val="2"/>
                <w:sz w:val="21"/>
                <w:szCs w:val="21"/>
              </w:rPr>
              <w:t>⑤</w:t>
            </w:r>
            <w:r>
              <w:rPr>
                <w:bCs/>
                <w:color w:val="auto"/>
                <w:kern w:val="2"/>
                <w:sz w:val="21"/>
                <w:szCs w:val="21"/>
              </w:rPr>
              <w:fldChar w:fldCharType="end"/>
            </w:r>
          </w:p>
        </w:tc>
        <w:tc>
          <w:tcPr>
            <w:tcW w:w="673" w:type="pct"/>
            <w:tcMar>
              <w:left w:w="28" w:type="dxa"/>
              <w:right w:w="28" w:type="dxa"/>
            </w:tcMar>
            <w:vAlign w:val="center"/>
          </w:tcPr>
          <w:p w14:paraId="7484BE15">
            <w:pPr>
              <w:adjustRightInd w:val="0"/>
              <w:snapToGrid w:val="0"/>
              <w:spacing w:after="0" w:line="240" w:lineRule="auto"/>
              <w:jc w:val="center"/>
              <w:rPr>
                <w:bCs/>
                <w:color w:val="auto"/>
                <w:kern w:val="2"/>
                <w:sz w:val="21"/>
                <w:szCs w:val="21"/>
              </w:rPr>
            </w:pPr>
            <w:r>
              <w:rPr>
                <w:bCs/>
                <w:color w:val="auto"/>
                <w:kern w:val="2"/>
                <w:sz w:val="21"/>
                <w:szCs w:val="21"/>
              </w:rPr>
              <w:t>本项目建成后全厂排放量（固体废物产生量）</w:t>
            </w:r>
            <w:r>
              <w:rPr>
                <w:bCs/>
                <w:color w:val="auto"/>
                <w:kern w:val="2"/>
                <w:sz w:val="21"/>
                <w:szCs w:val="21"/>
              </w:rPr>
              <w:fldChar w:fldCharType="begin"/>
            </w:r>
            <w:r>
              <w:rPr>
                <w:bCs/>
                <w:color w:val="auto"/>
                <w:kern w:val="2"/>
                <w:sz w:val="21"/>
                <w:szCs w:val="21"/>
              </w:rPr>
              <w:instrText xml:space="preserve"> = 6 \* GB3 \* MERGEFORMAT </w:instrText>
            </w:r>
            <w:r>
              <w:rPr>
                <w:bCs/>
                <w:color w:val="auto"/>
                <w:kern w:val="2"/>
                <w:sz w:val="21"/>
                <w:szCs w:val="21"/>
              </w:rPr>
              <w:fldChar w:fldCharType="separate"/>
            </w:r>
            <w:r>
              <w:rPr>
                <w:rFonts w:hint="eastAsia" w:ascii="宋体" w:hAnsi="宋体" w:cs="宋体"/>
                <w:bCs/>
                <w:color w:val="auto"/>
                <w:kern w:val="2"/>
                <w:sz w:val="21"/>
                <w:szCs w:val="21"/>
              </w:rPr>
              <w:t>⑥</w:t>
            </w:r>
            <w:r>
              <w:rPr>
                <w:bCs/>
                <w:color w:val="auto"/>
                <w:kern w:val="2"/>
                <w:sz w:val="21"/>
                <w:szCs w:val="21"/>
              </w:rPr>
              <w:fldChar w:fldCharType="end"/>
            </w:r>
          </w:p>
        </w:tc>
        <w:tc>
          <w:tcPr>
            <w:tcW w:w="528" w:type="pct"/>
            <w:tcMar>
              <w:left w:w="28" w:type="dxa"/>
              <w:right w:w="28" w:type="dxa"/>
            </w:tcMar>
            <w:vAlign w:val="center"/>
          </w:tcPr>
          <w:p w14:paraId="237D246A">
            <w:pPr>
              <w:adjustRightInd w:val="0"/>
              <w:snapToGrid w:val="0"/>
              <w:spacing w:after="0" w:line="240" w:lineRule="auto"/>
              <w:jc w:val="center"/>
              <w:rPr>
                <w:bCs/>
                <w:color w:val="auto"/>
                <w:kern w:val="2"/>
                <w:sz w:val="21"/>
                <w:szCs w:val="21"/>
              </w:rPr>
            </w:pPr>
            <w:r>
              <w:rPr>
                <w:bCs/>
                <w:color w:val="auto"/>
                <w:kern w:val="2"/>
                <w:sz w:val="21"/>
                <w:szCs w:val="21"/>
              </w:rPr>
              <w:t>变化量</w:t>
            </w:r>
            <w:r>
              <w:rPr>
                <w:bCs/>
                <w:color w:val="auto"/>
                <w:kern w:val="2"/>
                <w:sz w:val="21"/>
                <w:szCs w:val="21"/>
              </w:rPr>
              <w:fldChar w:fldCharType="begin"/>
            </w:r>
            <w:r>
              <w:rPr>
                <w:bCs/>
                <w:color w:val="auto"/>
                <w:kern w:val="2"/>
                <w:sz w:val="21"/>
                <w:szCs w:val="21"/>
              </w:rPr>
              <w:instrText xml:space="preserve"> = 7 \* GB3 \* MERGEFORMAT </w:instrText>
            </w:r>
            <w:r>
              <w:rPr>
                <w:bCs/>
                <w:color w:val="auto"/>
                <w:kern w:val="2"/>
                <w:sz w:val="21"/>
                <w:szCs w:val="21"/>
              </w:rPr>
              <w:fldChar w:fldCharType="separate"/>
            </w:r>
            <w:r>
              <w:rPr>
                <w:rFonts w:hint="eastAsia" w:ascii="宋体" w:hAnsi="宋体" w:cs="宋体"/>
                <w:bCs/>
                <w:color w:val="auto"/>
                <w:kern w:val="2"/>
                <w:sz w:val="21"/>
                <w:szCs w:val="21"/>
              </w:rPr>
              <w:t>⑦</w:t>
            </w:r>
            <w:r>
              <w:rPr>
                <w:bCs/>
                <w:color w:val="auto"/>
                <w:kern w:val="2"/>
                <w:sz w:val="21"/>
                <w:szCs w:val="21"/>
              </w:rPr>
              <w:fldChar w:fldCharType="end"/>
            </w:r>
          </w:p>
        </w:tc>
      </w:tr>
      <w:tr w14:paraId="068355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Align w:val="center"/>
          </w:tcPr>
          <w:p w14:paraId="542844F0">
            <w:pPr>
              <w:adjustRightInd w:val="0"/>
              <w:snapToGrid w:val="0"/>
              <w:spacing w:after="0" w:line="240" w:lineRule="auto"/>
              <w:jc w:val="center"/>
              <w:rPr>
                <w:color w:val="auto"/>
                <w:kern w:val="2"/>
                <w:sz w:val="21"/>
                <w:szCs w:val="21"/>
              </w:rPr>
            </w:pPr>
            <w:r>
              <w:rPr>
                <w:color w:val="auto"/>
                <w:kern w:val="2"/>
                <w:sz w:val="21"/>
                <w:szCs w:val="21"/>
              </w:rPr>
              <w:t>废气</w:t>
            </w:r>
          </w:p>
        </w:tc>
        <w:tc>
          <w:tcPr>
            <w:tcW w:w="591" w:type="pct"/>
            <w:vAlign w:val="center"/>
          </w:tcPr>
          <w:p w14:paraId="27E97AB0">
            <w:pPr>
              <w:adjustRightInd w:val="0"/>
              <w:snapToGrid w:val="0"/>
              <w:spacing w:after="0" w:line="240" w:lineRule="auto"/>
              <w:jc w:val="center"/>
              <w:rPr>
                <w:color w:val="auto"/>
                <w:kern w:val="2"/>
                <w:sz w:val="21"/>
                <w:szCs w:val="21"/>
              </w:rPr>
            </w:pPr>
            <w:r>
              <w:rPr>
                <w:color w:val="auto"/>
                <w:kern w:val="2"/>
                <w:sz w:val="21"/>
                <w:szCs w:val="21"/>
              </w:rPr>
              <w:t>颗粒物</w:t>
            </w:r>
          </w:p>
        </w:tc>
        <w:tc>
          <w:tcPr>
            <w:tcW w:w="534" w:type="pct"/>
            <w:vAlign w:val="center"/>
          </w:tcPr>
          <w:p w14:paraId="43148110">
            <w:pPr>
              <w:adjustRightInd w:val="0"/>
              <w:snapToGrid w:val="0"/>
              <w:spacing w:after="0" w:line="240" w:lineRule="auto"/>
              <w:jc w:val="center"/>
              <w:rPr>
                <w:color w:val="0000FF"/>
                <w:kern w:val="2"/>
                <w:sz w:val="21"/>
                <w:szCs w:val="21"/>
              </w:rPr>
            </w:pPr>
          </w:p>
        </w:tc>
        <w:tc>
          <w:tcPr>
            <w:tcW w:w="445" w:type="pct"/>
            <w:vAlign w:val="center"/>
          </w:tcPr>
          <w:p w14:paraId="04A81576">
            <w:pPr>
              <w:adjustRightInd w:val="0"/>
              <w:snapToGrid w:val="0"/>
              <w:spacing w:after="0" w:line="240" w:lineRule="auto"/>
              <w:jc w:val="center"/>
              <w:rPr>
                <w:color w:val="0000FF"/>
                <w:kern w:val="2"/>
                <w:sz w:val="21"/>
                <w:szCs w:val="21"/>
              </w:rPr>
            </w:pPr>
          </w:p>
        </w:tc>
        <w:tc>
          <w:tcPr>
            <w:tcW w:w="593" w:type="pct"/>
            <w:vAlign w:val="center"/>
          </w:tcPr>
          <w:p w14:paraId="3F4C10C1">
            <w:pPr>
              <w:adjustRightInd w:val="0"/>
              <w:snapToGrid w:val="0"/>
              <w:spacing w:after="0" w:line="240" w:lineRule="auto"/>
              <w:jc w:val="center"/>
              <w:rPr>
                <w:color w:val="0000FF"/>
                <w:kern w:val="2"/>
                <w:sz w:val="21"/>
                <w:szCs w:val="21"/>
              </w:rPr>
            </w:pPr>
          </w:p>
        </w:tc>
        <w:tc>
          <w:tcPr>
            <w:tcW w:w="544" w:type="pct"/>
            <w:vAlign w:val="center"/>
          </w:tcPr>
          <w:p w14:paraId="642BA17D">
            <w:pPr>
              <w:adjustRightInd w:val="0"/>
              <w:snapToGrid w:val="0"/>
              <w:spacing w:after="0" w:line="240" w:lineRule="auto"/>
              <w:jc w:val="center"/>
              <w:rPr>
                <w:rFonts w:hint="default" w:ascii="Times New Roman" w:hAnsi="Times New Roman" w:eastAsia="宋体" w:cs="Times New Roman"/>
                <w:color w:val="auto"/>
                <w:kern w:val="2"/>
                <w:sz w:val="21"/>
                <w:szCs w:val="21"/>
                <w:lang w:val="en-US" w:eastAsia="zh-CN"/>
              </w:rPr>
            </w:pPr>
            <w:r>
              <w:rPr>
                <w:rFonts w:hint="default" w:ascii="Times New Roman" w:hAnsi="Times New Roman" w:cs="Times New Roman"/>
                <w:color w:val="auto"/>
                <w:kern w:val="2"/>
                <w:sz w:val="21"/>
                <w:szCs w:val="21"/>
                <w:lang w:val="en-US" w:eastAsia="zh-CN"/>
              </w:rPr>
              <w:t>0.038</w:t>
            </w:r>
          </w:p>
        </w:tc>
        <w:tc>
          <w:tcPr>
            <w:tcW w:w="570" w:type="pct"/>
            <w:vAlign w:val="center"/>
          </w:tcPr>
          <w:p w14:paraId="78DF2F65">
            <w:pPr>
              <w:adjustRightInd w:val="0"/>
              <w:snapToGrid w:val="0"/>
              <w:spacing w:after="0" w:line="240" w:lineRule="auto"/>
              <w:jc w:val="center"/>
              <w:rPr>
                <w:rFonts w:hint="default" w:ascii="Times New Roman" w:hAnsi="Times New Roman" w:cs="Times New Roman"/>
                <w:color w:val="auto"/>
                <w:kern w:val="2"/>
                <w:sz w:val="21"/>
                <w:szCs w:val="21"/>
              </w:rPr>
            </w:pPr>
          </w:p>
        </w:tc>
        <w:tc>
          <w:tcPr>
            <w:tcW w:w="1817" w:type="dxa"/>
            <w:vAlign w:val="center"/>
          </w:tcPr>
          <w:p w14:paraId="252A209E">
            <w:pPr>
              <w:adjustRightInd w:val="0"/>
              <w:snapToGrid w:val="0"/>
              <w:spacing w:after="0" w:line="240" w:lineRule="auto"/>
              <w:jc w:val="center"/>
              <w:rPr>
                <w:rFonts w:hint="default" w:ascii="Times New Roman" w:hAnsi="Times New Roman" w:cs="Times New Roman"/>
                <w:color w:val="auto"/>
                <w:kern w:val="2"/>
                <w:sz w:val="21"/>
                <w:szCs w:val="21"/>
              </w:rPr>
            </w:pPr>
            <w:r>
              <w:rPr>
                <w:rFonts w:hint="default" w:ascii="Times New Roman" w:hAnsi="Times New Roman" w:cs="Times New Roman"/>
                <w:color w:val="auto"/>
                <w:kern w:val="2"/>
                <w:sz w:val="21"/>
                <w:szCs w:val="21"/>
                <w:lang w:val="en-US" w:eastAsia="zh-CN"/>
              </w:rPr>
              <w:t>0.038</w:t>
            </w:r>
          </w:p>
        </w:tc>
        <w:tc>
          <w:tcPr>
            <w:tcW w:w="1426" w:type="dxa"/>
            <w:vAlign w:val="center"/>
          </w:tcPr>
          <w:p w14:paraId="5C3208AA">
            <w:pPr>
              <w:adjustRightInd w:val="0"/>
              <w:snapToGrid w:val="0"/>
              <w:spacing w:after="0" w:line="240" w:lineRule="auto"/>
              <w:jc w:val="center"/>
              <w:rPr>
                <w:rFonts w:hint="default" w:ascii="Times New Roman" w:hAnsi="Times New Roman" w:cs="Times New Roman"/>
                <w:color w:val="auto"/>
                <w:kern w:val="2"/>
                <w:sz w:val="21"/>
                <w:szCs w:val="21"/>
              </w:rPr>
            </w:pPr>
            <w:r>
              <w:rPr>
                <w:rFonts w:hint="eastAsia" w:cs="Times New Roman"/>
                <w:color w:val="auto"/>
                <w:kern w:val="2"/>
                <w:sz w:val="21"/>
                <w:szCs w:val="21"/>
                <w:lang w:val="en-US" w:eastAsia="zh-CN"/>
              </w:rPr>
              <w:t>+</w:t>
            </w:r>
            <w:r>
              <w:rPr>
                <w:rFonts w:hint="default" w:ascii="Times New Roman" w:hAnsi="Times New Roman" w:cs="Times New Roman"/>
                <w:color w:val="auto"/>
                <w:kern w:val="2"/>
                <w:sz w:val="21"/>
                <w:szCs w:val="21"/>
                <w:lang w:val="en-US" w:eastAsia="zh-CN"/>
              </w:rPr>
              <w:t>0.038</w:t>
            </w:r>
          </w:p>
        </w:tc>
      </w:tr>
      <w:tr w14:paraId="6DC2D6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restart"/>
            <w:vAlign w:val="center"/>
          </w:tcPr>
          <w:p w14:paraId="445AC948">
            <w:pPr>
              <w:adjustRightInd w:val="0"/>
              <w:snapToGrid w:val="0"/>
              <w:spacing w:after="0" w:line="240" w:lineRule="auto"/>
              <w:jc w:val="center"/>
              <w:rPr>
                <w:color w:val="auto"/>
                <w:kern w:val="2"/>
                <w:sz w:val="21"/>
                <w:szCs w:val="21"/>
              </w:rPr>
            </w:pPr>
            <w:r>
              <w:rPr>
                <w:color w:val="auto"/>
                <w:kern w:val="2"/>
                <w:sz w:val="21"/>
                <w:szCs w:val="21"/>
              </w:rPr>
              <w:t>废水</w:t>
            </w:r>
          </w:p>
        </w:tc>
        <w:tc>
          <w:tcPr>
            <w:tcW w:w="591" w:type="pct"/>
            <w:tcBorders>
              <w:top w:val="single" w:color="auto" w:sz="4" w:space="0"/>
            </w:tcBorders>
            <w:vAlign w:val="center"/>
          </w:tcPr>
          <w:p w14:paraId="1E5D282A">
            <w:pPr>
              <w:adjustRightInd w:val="0"/>
              <w:snapToGrid w:val="0"/>
              <w:spacing w:after="0" w:line="240" w:lineRule="auto"/>
              <w:jc w:val="center"/>
              <w:rPr>
                <w:color w:val="auto"/>
                <w:kern w:val="2"/>
                <w:sz w:val="21"/>
                <w:szCs w:val="21"/>
              </w:rPr>
            </w:pPr>
            <w:r>
              <w:rPr>
                <w:color w:val="auto"/>
                <w:kern w:val="2"/>
                <w:sz w:val="21"/>
                <w:szCs w:val="21"/>
              </w:rPr>
              <w:t>COD</w:t>
            </w:r>
          </w:p>
        </w:tc>
        <w:tc>
          <w:tcPr>
            <w:tcW w:w="534" w:type="pct"/>
            <w:vAlign w:val="center"/>
          </w:tcPr>
          <w:p w14:paraId="76DA8F33">
            <w:pPr>
              <w:adjustRightInd w:val="0"/>
              <w:snapToGrid w:val="0"/>
              <w:spacing w:after="0" w:line="240" w:lineRule="auto"/>
              <w:jc w:val="center"/>
              <w:rPr>
                <w:color w:val="0000FF"/>
                <w:kern w:val="2"/>
                <w:sz w:val="21"/>
                <w:szCs w:val="21"/>
                <w:highlight w:val="yellow"/>
              </w:rPr>
            </w:pPr>
          </w:p>
        </w:tc>
        <w:tc>
          <w:tcPr>
            <w:tcW w:w="445" w:type="pct"/>
            <w:vAlign w:val="center"/>
          </w:tcPr>
          <w:p w14:paraId="39B47D5B">
            <w:pPr>
              <w:adjustRightInd w:val="0"/>
              <w:snapToGrid w:val="0"/>
              <w:spacing w:after="0" w:line="240" w:lineRule="auto"/>
              <w:jc w:val="center"/>
              <w:rPr>
                <w:color w:val="0000FF"/>
                <w:kern w:val="2"/>
                <w:sz w:val="21"/>
                <w:szCs w:val="21"/>
                <w:highlight w:val="yellow"/>
              </w:rPr>
            </w:pPr>
          </w:p>
        </w:tc>
        <w:tc>
          <w:tcPr>
            <w:tcW w:w="593" w:type="pct"/>
            <w:vAlign w:val="center"/>
          </w:tcPr>
          <w:p w14:paraId="5C39E034">
            <w:pPr>
              <w:adjustRightInd w:val="0"/>
              <w:snapToGrid w:val="0"/>
              <w:spacing w:after="0" w:line="240" w:lineRule="auto"/>
              <w:jc w:val="center"/>
              <w:rPr>
                <w:color w:val="0000FF"/>
                <w:kern w:val="2"/>
                <w:sz w:val="21"/>
                <w:szCs w:val="21"/>
                <w:highlight w:val="yellow"/>
              </w:rPr>
            </w:pPr>
          </w:p>
        </w:tc>
        <w:tc>
          <w:tcPr>
            <w:tcW w:w="1469" w:type="dxa"/>
            <w:vAlign w:val="center"/>
          </w:tcPr>
          <w:p w14:paraId="335B040E">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i w:val="0"/>
                <w:iCs w:val="0"/>
                <w:color w:val="000000"/>
                <w:kern w:val="0"/>
                <w:sz w:val="21"/>
                <w:szCs w:val="21"/>
                <w:u w:val="none"/>
                <w:lang w:val="en-US" w:eastAsia="zh-CN" w:bidi="ar"/>
              </w:rPr>
              <w:t>0.3311</w:t>
            </w:r>
          </w:p>
        </w:tc>
        <w:tc>
          <w:tcPr>
            <w:tcW w:w="570" w:type="pct"/>
            <w:vAlign w:val="center"/>
          </w:tcPr>
          <w:p w14:paraId="45B76CC5">
            <w:pPr>
              <w:adjustRightInd w:val="0"/>
              <w:snapToGrid w:val="0"/>
              <w:spacing w:after="0" w:line="240" w:lineRule="auto"/>
              <w:jc w:val="center"/>
              <w:rPr>
                <w:rFonts w:hint="default" w:ascii="Times New Roman" w:hAnsi="Times New Roman" w:cs="Times New Roman"/>
                <w:color w:val="auto"/>
                <w:kern w:val="2"/>
                <w:sz w:val="21"/>
                <w:szCs w:val="21"/>
                <w:highlight w:val="yellow"/>
              </w:rPr>
            </w:pPr>
          </w:p>
        </w:tc>
        <w:tc>
          <w:tcPr>
            <w:tcW w:w="1817" w:type="dxa"/>
            <w:vAlign w:val="center"/>
          </w:tcPr>
          <w:p w14:paraId="28D499AF">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cs="Times New Roman"/>
                <w:color w:val="auto"/>
                <w:sz w:val="21"/>
                <w:szCs w:val="21"/>
              </w:rPr>
            </w:pPr>
            <w:r>
              <w:rPr>
                <w:rFonts w:hint="default" w:ascii="Times New Roman" w:hAnsi="Times New Roman" w:cs="Times New Roman"/>
                <w:i w:val="0"/>
                <w:iCs w:val="0"/>
                <w:color w:val="000000"/>
                <w:kern w:val="0"/>
                <w:sz w:val="21"/>
                <w:szCs w:val="21"/>
                <w:u w:val="none"/>
                <w:lang w:val="en-US" w:eastAsia="zh-CN" w:bidi="ar"/>
              </w:rPr>
              <w:t>0.3311</w:t>
            </w:r>
          </w:p>
        </w:tc>
        <w:tc>
          <w:tcPr>
            <w:tcW w:w="1426" w:type="dxa"/>
            <w:vAlign w:val="center"/>
          </w:tcPr>
          <w:p w14:paraId="7F18996D">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cs="Times New Roman"/>
                <w:color w:val="auto"/>
                <w:sz w:val="21"/>
                <w:szCs w:val="21"/>
              </w:rPr>
            </w:pPr>
            <w:r>
              <w:rPr>
                <w:rFonts w:hint="eastAsia" w:cs="Times New Roman"/>
                <w:i w:val="0"/>
                <w:iCs w:val="0"/>
                <w:color w:val="000000"/>
                <w:kern w:val="0"/>
                <w:sz w:val="21"/>
                <w:szCs w:val="21"/>
                <w:u w:val="none"/>
                <w:lang w:val="en-US" w:eastAsia="zh-CN" w:bidi="ar"/>
              </w:rPr>
              <w:t>+</w:t>
            </w:r>
            <w:r>
              <w:rPr>
                <w:rFonts w:hint="default" w:ascii="Times New Roman" w:hAnsi="Times New Roman" w:cs="Times New Roman"/>
                <w:i w:val="0"/>
                <w:iCs w:val="0"/>
                <w:color w:val="000000"/>
                <w:kern w:val="0"/>
                <w:sz w:val="21"/>
                <w:szCs w:val="21"/>
                <w:u w:val="none"/>
                <w:lang w:val="en-US" w:eastAsia="zh-CN" w:bidi="ar"/>
              </w:rPr>
              <w:t>0.3311</w:t>
            </w:r>
          </w:p>
        </w:tc>
      </w:tr>
      <w:tr w14:paraId="37C916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continue"/>
            <w:vAlign w:val="center"/>
          </w:tcPr>
          <w:p w14:paraId="5813629B">
            <w:pPr>
              <w:adjustRightInd w:val="0"/>
              <w:snapToGrid w:val="0"/>
              <w:spacing w:after="0" w:line="240" w:lineRule="auto"/>
              <w:jc w:val="center"/>
              <w:rPr>
                <w:color w:val="auto"/>
                <w:kern w:val="2"/>
                <w:sz w:val="21"/>
                <w:szCs w:val="21"/>
              </w:rPr>
            </w:pPr>
          </w:p>
        </w:tc>
        <w:tc>
          <w:tcPr>
            <w:tcW w:w="591" w:type="pct"/>
            <w:tcBorders>
              <w:top w:val="single" w:color="auto" w:sz="4" w:space="0"/>
            </w:tcBorders>
            <w:vAlign w:val="center"/>
          </w:tcPr>
          <w:p w14:paraId="6821E92E">
            <w:pPr>
              <w:adjustRightInd w:val="0"/>
              <w:snapToGrid w:val="0"/>
              <w:spacing w:after="0" w:line="240" w:lineRule="auto"/>
              <w:jc w:val="center"/>
              <w:rPr>
                <w:color w:val="auto"/>
                <w:kern w:val="2"/>
                <w:sz w:val="21"/>
                <w:szCs w:val="21"/>
              </w:rPr>
            </w:pPr>
            <w:r>
              <w:rPr>
                <w:color w:val="auto"/>
                <w:kern w:val="2"/>
                <w:sz w:val="21"/>
                <w:szCs w:val="21"/>
              </w:rPr>
              <w:t>SS</w:t>
            </w:r>
          </w:p>
        </w:tc>
        <w:tc>
          <w:tcPr>
            <w:tcW w:w="534" w:type="pct"/>
            <w:vAlign w:val="center"/>
          </w:tcPr>
          <w:p w14:paraId="77FB74EE">
            <w:pPr>
              <w:adjustRightInd w:val="0"/>
              <w:snapToGrid w:val="0"/>
              <w:spacing w:after="0" w:line="240" w:lineRule="auto"/>
              <w:jc w:val="center"/>
              <w:rPr>
                <w:color w:val="0000FF"/>
                <w:kern w:val="2"/>
                <w:sz w:val="21"/>
                <w:szCs w:val="21"/>
                <w:highlight w:val="yellow"/>
              </w:rPr>
            </w:pPr>
          </w:p>
        </w:tc>
        <w:tc>
          <w:tcPr>
            <w:tcW w:w="445" w:type="pct"/>
            <w:vAlign w:val="center"/>
          </w:tcPr>
          <w:p w14:paraId="04C1CBE5">
            <w:pPr>
              <w:adjustRightInd w:val="0"/>
              <w:snapToGrid w:val="0"/>
              <w:spacing w:after="0" w:line="240" w:lineRule="auto"/>
              <w:jc w:val="center"/>
              <w:rPr>
                <w:color w:val="0000FF"/>
                <w:kern w:val="2"/>
                <w:sz w:val="21"/>
                <w:szCs w:val="21"/>
                <w:highlight w:val="yellow"/>
              </w:rPr>
            </w:pPr>
          </w:p>
        </w:tc>
        <w:tc>
          <w:tcPr>
            <w:tcW w:w="593" w:type="pct"/>
            <w:vAlign w:val="center"/>
          </w:tcPr>
          <w:p w14:paraId="19B7C65E">
            <w:pPr>
              <w:adjustRightInd w:val="0"/>
              <w:snapToGrid w:val="0"/>
              <w:spacing w:after="0" w:line="240" w:lineRule="auto"/>
              <w:jc w:val="center"/>
              <w:rPr>
                <w:color w:val="0000FF"/>
                <w:kern w:val="2"/>
                <w:sz w:val="21"/>
                <w:szCs w:val="21"/>
                <w:highlight w:val="yellow"/>
              </w:rPr>
            </w:pPr>
          </w:p>
        </w:tc>
        <w:tc>
          <w:tcPr>
            <w:tcW w:w="1469" w:type="dxa"/>
            <w:vAlign w:val="center"/>
          </w:tcPr>
          <w:p w14:paraId="3A41C423">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cs="Times New Roman"/>
                <w:color w:val="auto"/>
                <w:sz w:val="21"/>
                <w:szCs w:val="21"/>
              </w:rPr>
            </w:pPr>
            <w:r>
              <w:rPr>
                <w:rFonts w:hint="default" w:ascii="Times New Roman" w:hAnsi="Times New Roman" w:cs="Times New Roman"/>
                <w:i w:val="0"/>
                <w:iCs w:val="0"/>
                <w:color w:val="000000"/>
                <w:kern w:val="0"/>
                <w:sz w:val="21"/>
                <w:szCs w:val="21"/>
                <w:u w:val="none"/>
                <w:lang w:val="en-US" w:eastAsia="zh-CN" w:bidi="ar"/>
              </w:rPr>
              <w:t>0.1370</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570" w:type="pct"/>
            <w:vAlign w:val="center"/>
          </w:tcPr>
          <w:p w14:paraId="080E5134">
            <w:pPr>
              <w:widowControl/>
              <w:adjustRightInd w:val="0"/>
              <w:snapToGrid w:val="0"/>
              <w:spacing w:after="0" w:line="240" w:lineRule="auto"/>
              <w:jc w:val="center"/>
              <w:rPr>
                <w:rFonts w:hint="default" w:ascii="Times New Roman" w:hAnsi="Times New Roman" w:cs="Times New Roman"/>
                <w:color w:val="auto"/>
                <w:sz w:val="21"/>
                <w:szCs w:val="21"/>
              </w:rPr>
            </w:pPr>
          </w:p>
        </w:tc>
        <w:tc>
          <w:tcPr>
            <w:tcW w:w="1817" w:type="dxa"/>
            <w:vAlign w:val="center"/>
          </w:tcPr>
          <w:p w14:paraId="284DED3E">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cs="Times New Roman"/>
                <w:color w:val="auto"/>
                <w:sz w:val="21"/>
                <w:szCs w:val="21"/>
              </w:rPr>
            </w:pPr>
            <w:r>
              <w:rPr>
                <w:rFonts w:hint="default" w:ascii="Times New Roman" w:hAnsi="Times New Roman" w:cs="Times New Roman"/>
                <w:i w:val="0"/>
                <w:iCs w:val="0"/>
                <w:color w:val="000000"/>
                <w:kern w:val="0"/>
                <w:sz w:val="21"/>
                <w:szCs w:val="21"/>
                <w:u w:val="none"/>
                <w:lang w:val="en-US" w:eastAsia="zh-CN" w:bidi="ar"/>
              </w:rPr>
              <w:t>0.1370</w:t>
            </w:r>
            <w:r>
              <w:rPr>
                <w:rFonts w:hint="default" w:ascii="Times New Roman" w:hAnsi="Times New Roman" w:eastAsia="宋体" w:cs="Times New Roman"/>
                <w:i w:val="0"/>
                <w:iCs w:val="0"/>
                <w:color w:val="000000"/>
                <w:kern w:val="0"/>
                <w:sz w:val="21"/>
                <w:szCs w:val="21"/>
                <w:u w:val="none"/>
                <w:lang w:val="en-US" w:eastAsia="zh-CN" w:bidi="ar"/>
              </w:rPr>
              <w:t xml:space="preserve"> </w:t>
            </w:r>
          </w:p>
        </w:tc>
        <w:tc>
          <w:tcPr>
            <w:tcW w:w="1426" w:type="dxa"/>
            <w:vAlign w:val="center"/>
          </w:tcPr>
          <w:p w14:paraId="50932396">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cs="Times New Roman"/>
                <w:color w:val="auto"/>
                <w:sz w:val="21"/>
                <w:szCs w:val="21"/>
              </w:rPr>
            </w:pPr>
            <w:r>
              <w:rPr>
                <w:rFonts w:hint="eastAsia" w:cs="Times New Roman"/>
                <w:i w:val="0"/>
                <w:iCs w:val="0"/>
                <w:color w:val="000000"/>
                <w:kern w:val="0"/>
                <w:sz w:val="21"/>
                <w:szCs w:val="21"/>
                <w:u w:val="none"/>
                <w:lang w:val="en-US" w:eastAsia="zh-CN" w:bidi="ar"/>
              </w:rPr>
              <w:t>+</w:t>
            </w:r>
            <w:r>
              <w:rPr>
                <w:rFonts w:hint="default" w:ascii="Times New Roman" w:hAnsi="Times New Roman" w:cs="Times New Roman"/>
                <w:i w:val="0"/>
                <w:iCs w:val="0"/>
                <w:color w:val="000000"/>
                <w:kern w:val="0"/>
                <w:sz w:val="21"/>
                <w:szCs w:val="21"/>
                <w:u w:val="none"/>
                <w:lang w:val="en-US" w:eastAsia="zh-CN" w:bidi="ar"/>
              </w:rPr>
              <w:t>0.1370</w:t>
            </w:r>
            <w:r>
              <w:rPr>
                <w:rFonts w:hint="default" w:ascii="Times New Roman" w:hAnsi="Times New Roman" w:eastAsia="宋体" w:cs="Times New Roman"/>
                <w:i w:val="0"/>
                <w:iCs w:val="0"/>
                <w:color w:val="000000"/>
                <w:kern w:val="0"/>
                <w:sz w:val="21"/>
                <w:szCs w:val="21"/>
                <w:u w:val="none"/>
                <w:lang w:val="en-US" w:eastAsia="zh-CN" w:bidi="ar"/>
              </w:rPr>
              <w:t xml:space="preserve"> </w:t>
            </w:r>
          </w:p>
        </w:tc>
      </w:tr>
      <w:tr w14:paraId="2EFC1EB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17" w:type="pct"/>
            <w:vMerge w:val="continue"/>
            <w:vAlign w:val="center"/>
          </w:tcPr>
          <w:p w14:paraId="38821982">
            <w:pPr>
              <w:adjustRightInd w:val="0"/>
              <w:snapToGrid w:val="0"/>
              <w:spacing w:after="0" w:line="240" w:lineRule="auto"/>
              <w:jc w:val="center"/>
              <w:rPr>
                <w:color w:val="auto"/>
                <w:kern w:val="2"/>
                <w:sz w:val="21"/>
                <w:szCs w:val="21"/>
              </w:rPr>
            </w:pPr>
          </w:p>
        </w:tc>
        <w:tc>
          <w:tcPr>
            <w:tcW w:w="591" w:type="pct"/>
            <w:tcBorders>
              <w:top w:val="single" w:color="auto" w:sz="4" w:space="0"/>
            </w:tcBorders>
            <w:vAlign w:val="center"/>
          </w:tcPr>
          <w:p w14:paraId="50386BB0">
            <w:pPr>
              <w:adjustRightInd w:val="0"/>
              <w:snapToGrid w:val="0"/>
              <w:spacing w:after="0" w:line="240" w:lineRule="auto"/>
              <w:jc w:val="center"/>
              <w:rPr>
                <w:color w:val="auto"/>
                <w:kern w:val="2"/>
                <w:sz w:val="21"/>
                <w:szCs w:val="21"/>
              </w:rPr>
            </w:pPr>
            <w:r>
              <w:rPr>
                <w:rFonts w:hint="eastAsia"/>
                <w:color w:val="auto"/>
                <w:kern w:val="2"/>
                <w:sz w:val="21"/>
                <w:szCs w:val="21"/>
              </w:rPr>
              <w:t>氨氮</w:t>
            </w:r>
          </w:p>
        </w:tc>
        <w:tc>
          <w:tcPr>
            <w:tcW w:w="534" w:type="pct"/>
            <w:vAlign w:val="center"/>
          </w:tcPr>
          <w:p w14:paraId="1F88285D">
            <w:pPr>
              <w:adjustRightInd w:val="0"/>
              <w:snapToGrid w:val="0"/>
              <w:spacing w:after="0" w:line="240" w:lineRule="auto"/>
              <w:jc w:val="center"/>
              <w:rPr>
                <w:color w:val="0000FF"/>
                <w:kern w:val="2"/>
                <w:sz w:val="21"/>
                <w:szCs w:val="21"/>
                <w:highlight w:val="yellow"/>
              </w:rPr>
            </w:pPr>
          </w:p>
        </w:tc>
        <w:tc>
          <w:tcPr>
            <w:tcW w:w="445" w:type="pct"/>
            <w:vAlign w:val="center"/>
          </w:tcPr>
          <w:p w14:paraId="45814111">
            <w:pPr>
              <w:adjustRightInd w:val="0"/>
              <w:snapToGrid w:val="0"/>
              <w:spacing w:after="0" w:line="240" w:lineRule="auto"/>
              <w:jc w:val="center"/>
              <w:rPr>
                <w:color w:val="0000FF"/>
                <w:kern w:val="2"/>
                <w:sz w:val="21"/>
                <w:szCs w:val="21"/>
                <w:highlight w:val="yellow"/>
              </w:rPr>
            </w:pPr>
          </w:p>
        </w:tc>
        <w:tc>
          <w:tcPr>
            <w:tcW w:w="593" w:type="pct"/>
            <w:vAlign w:val="center"/>
          </w:tcPr>
          <w:p w14:paraId="0AA9F562">
            <w:pPr>
              <w:adjustRightInd w:val="0"/>
              <w:snapToGrid w:val="0"/>
              <w:spacing w:after="0" w:line="240" w:lineRule="auto"/>
              <w:jc w:val="center"/>
              <w:rPr>
                <w:color w:val="0000FF"/>
                <w:kern w:val="2"/>
                <w:sz w:val="21"/>
                <w:szCs w:val="21"/>
                <w:highlight w:val="yellow"/>
              </w:rPr>
            </w:pPr>
          </w:p>
        </w:tc>
        <w:tc>
          <w:tcPr>
            <w:tcW w:w="1469" w:type="dxa"/>
            <w:vAlign w:val="center"/>
          </w:tcPr>
          <w:p w14:paraId="353759AA">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0.0140 </w:t>
            </w:r>
          </w:p>
        </w:tc>
        <w:tc>
          <w:tcPr>
            <w:tcW w:w="570" w:type="pct"/>
            <w:vAlign w:val="center"/>
          </w:tcPr>
          <w:p w14:paraId="277796EA">
            <w:pPr>
              <w:widowControl/>
              <w:adjustRightInd w:val="0"/>
              <w:snapToGrid w:val="0"/>
              <w:spacing w:after="0" w:line="240" w:lineRule="auto"/>
              <w:jc w:val="center"/>
              <w:rPr>
                <w:rFonts w:hint="default" w:ascii="Times New Roman" w:hAnsi="Times New Roman" w:cs="Times New Roman"/>
                <w:color w:val="auto"/>
                <w:sz w:val="21"/>
                <w:szCs w:val="21"/>
              </w:rPr>
            </w:pPr>
          </w:p>
        </w:tc>
        <w:tc>
          <w:tcPr>
            <w:tcW w:w="1817" w:type="dxa"/>
            <w:vAlign w:val="center"/>
          </w:tcPr>
          <w:p w14:paraId="31E565C7">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0.0140 </w:t>
            </w:r>
          </w:p>
        </w:tc>
        <w:tc>
          <w:tcPr>
            <w:tcW w:w="1426" w:type="dxa"/>
            <w:vAlign w:val="center"/>
          </w:tcPr>
          <w:p w14:paraId="487E43CE">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cs="Times New Roman"/>
                <w:color w:val="auto"/>
                <w:sz w:val="21"/>
                <w:szCs w:val="21"/>
              </w:rPr>
            </w:pP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0.0140 </w:t>
            </w:r>
          </w:p>
        </w:tc>
      </w:tr>
      <w:tr w14:paraId="203CBD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continue"/>
            <w:vAlign w:val="center"/>
          </w:tcPr>
          <w:p w14:paraId="214DDBA3">
            <w:pPr>
              <w:adjustRightInd w:val="0"/>
              <w:snapToGrid w:val="0"/>
              <w:spacing w:after="0" w:line="240" w:lineRule="auto"/>
              <w:jc w:val="center"/>
              <w:rPr>
                <w:color w:val="auto"/>
                <w:kern w:val="2"/>
                <w:sz w:val="21"/>
                <w:szCs w:val="21"/>
              </w:rPr>
            </w:pPr>
          </w:p>
        </w:tc>
        <w:tc>
          <w:tcPr>
            <w:tcW w:w="591" w:type="pct"/>
            <w:tcBorders>
              <w:top w:val="single" w:color="auto" w:sz="4" w:space="0"/>
            </w:tcBorders>
            <w:vAlign w:val="center"/>
          </w:tcPr>
          <w:p w14:paraId="02EB8BAE">
            <w:pPr>
              <w:adjustRightInd w:val="0"/>
              <w:snapToGrid w:val="0"/>
              <w:spacing w:after="0" w:line="240" w:lineRule="auto"/>
              <w:jc w:val="center"/>
              <w:rPr>
                <w:rFonts w:hint="eastAsia" w:eastAsia="宋体"/>
                <w:color w:val="auto"/>
                <w:kern w:val="2"/>
                <w:sz w:val="21"/>
                <w:szCs w:val="21"/>
                <w:lang w:eastAsia="zh-CN"/>
              </w:rPr>
            </w:pPr>
            <w:r>
              <w:rPr>
                <w:rFonts w:hint="eastAsia"/>
                <w:color w:val="auto"/>
                <w:kern w:val="2"/>
                <w:sz w:val="21"/>
                <w:szCs w:val="21"/>
                <w:lang w:eastAsia="zh-CN"/>
              </w:rPr>
              <w:t>动植物油</w:t>
            </w:r>
          </w:p>
        </w:tc>
        <w:tc>
          <w:tcPr>
            <w:tcW w:w="534" w:type="pct"/>
            <w:vAlign w:val="center"/>
          </w:tcPr>
          <w:p w14:paraId="215A4564">
            <w:pPr>
              <w:adjustRightInd w:val="0"/>
              <w:snapToGrid w:val="0"/>
              <w:spacing w:after="0" w:line="240" w:lineRule="auto"/>
              <w:jc w:val="center"/>
              <w:rPr>
                <w:color w:val="0000FF"/>
                <w:kern w:val="2"/>
                <w:sz w:val="21"/>
                <w:szCs w:val="21"/>
                <w:highlight w:val="yellow"/>
              </w:rPr>
            </w:pPr>
          </w:p>
        </w:tc>
        <w:tc>
          <w:tcPr>
            <w:tcW w:w="445" w:type="pct"/>
            <w:vAlign w:val="center"/>
          </w:tcPr>
          <w:p w14:paraId="1F24C322">
            <w:pPr>
              <w:adjustRightInd w:val="0"/>
              <w:snapToGrid w:val="0"/>
              <w:spacing w:after="0" w:line="240" w:lineRule="auto"/>
              <w:jc w:val="center"/>
              <w:rPr>
                <w:color w:val="0000FF"/>
                <w:kern w:val="2"/>
                <w:sz w:val="21"/>
                <w:szCs w:val="21"/>
                <w:highlight w:val="yellow"/>
              </w:rPr>
            </w:pPr>
          </w:p>
        </w:tc>
        <w:tc>
          <w:tcPr>
            <w:tcW w:w="593" w:type="pct"/>
            <w:vAlign w:val="center"/>
          </w:tcPr>
          <w:p w14:paraId="605EA380">
            <w:pPr>
              <w:adjustRightInd w:val="0"/>
              <w:snapToGrid w:val="0"/>
              <w:spacing w:after="0" w:line="240" w:lineRule="auto"/>
              <w:jc w:val="center"/>
              <w:rPr>
                <w:color w:val="0000FF"/>
                <w:kern w:val="2"/>
                <w:sz w:val="21"/>
                <w:szCs w:val="21"/>
                <w:highlight w:val="yellow"/>
              </w:rPr>
            </w:pPr>
          </w:p>
        </w:tc>
        <w:tc>
          <w:tcPr>
            <w:tcW w:w="1469" w:type="dxa"/>
            <w:vAlign w:val="center"/>
          </w:tcPr>
          <w:p w14:paraId="29B34F86">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 xml:space="preserve">0.0003 </w:t>
            </w:r>
          </w:p>
        </w:tc>
        <w:tc>
          <w:tcPr>
            <w:tcW w:w="570" w:type="pct"/>
            <w:vAlign w:val="center"/>
          </w:tcPr>
          <w:p w14:paraId="5EFEA257">
            <w:pPr>
              <w:widowControl/>
              <w:adjustRightInd w:val="0"/>
              <w:snapToGrid w:val="0"/>
              <w:spacing w:after="0" w:line="240" w:lineRule="auto"/>
              <w:jc w:val="center"/>
              <w:rPr>
                <w:rFonts w:hint="default" w:ascii="Times New Roman" w:hAnsi="Times New Roman" w:cs="Times New Roman"/>
                <w:color w:val="auto"/>
                <w:sz w:val="21"/>
                <w:szCs w:val="21"/>
              </w:rPr>
            </w:pPr>
          </w:p>
        </w:tc>
        <w:tc>
          <w:tcPr>
            <w:tcW w:w="1817" w:type="dxa"/>
            <w:vAlign w:val="center"/>
          </w:tcPr>
          <w:p w14:paraId="69A6DB90">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cs="Times New Roman"/>
                <w:color w:val="auto"/>
                <w:sz w:val="21"/>
                <w:szCs w:val="21"/>
              </w:rPr>
            </w:pPr>
            <w:r>
              <w:rPr>
                <w:rFonts w:hint="default" w:ascii="Times New Roman" w:hAnsi="Times New Roman" w:eastAsia="宋体" w:cs="Times New Roman"/>
                <w:i w:val="0"/>
                <w:iCs w:val="0"/>
                <w:color w:val="000000"/>
                <w:kern w:val="0"/>
                <w:sz w:val="21"/>
                <w:szCs w:val="21"/>
                <w:u w:val="none"/>
                <w:lang w:val="en-US" w:eastAsia="zh-CN" w:bidi="ar"/>
              </w:rPr>
              <w:t xml:space="preserve">0.0003 </w:t>
            </w:r>
          </w:p>
        </w:tc>
        <w:tc>
          <w:tcPr>
            <w:tcW w:w="1426" w:type="dxa"/>
            <w:vAlign w:val="center"/>
          </w:tcPr>
          <w:p w14:paraId="41421C19">
            <w:pPr>
              <w:keepNext w:val="0"/>
              <w:keepLines w:val="0"/>
              <w:pageBreakBefore w:val="0"/>
              <w:widowControl/>
              <w:suppressLineNumbers w:val="0"/>
              <w:kinsoku/>
              <w:wordWrap/>
              <w:overflowPunct/>
              <w:topLinePunct w:val="0"/>
              <w:autoSpaceDE/>
              <w:autoSpaceDN/>
              <w:bidi w:val="0"/>
              <w:adjustRightInd w:val="0"/>
              <w:snapToGrid w:val="0"/>
              <w:spacing w:after="0" w:line="240" w:lineRule="auto"/>
              <w:ind w:left="0" w:leftChars="0" w:right="0" w:rightChars="0" w:firstLine="0" w:firstLineChars="0"/>
              <w:jc w:val="center"/>
              <w:textAlignment w:val="center"/>
              <w:rPr>
                <w:rFonts w:hint="default" w:ascii="Times New Roman" w:hAnsi="Times New Roman" w:cs="Times New Roman"/>
                <w:color w:val="auto"/>
                <w:sz w:val="21"/>
                <w:szCs w:val="21"/>
              </w:rPr>
            </w:pPr>
            <w:r>
              <w:rPr>
                <w:rFonts w:hint="eastAsia" w:cs="Times New Roman"/>
                <w:i w:val="0"/>
                <w:iCs w:val="0"/>
                <w:color w:val="000000"/>
                <w:kern w:val="0"/>
                <w:sz w:val="21"/>
                <w:szCs w:val="21"/>
                <w:u w:val="none"/>
                <w:lang w:val="en-US" w:eastAsia="zh-CN" w:bidi="ar"/>
              </w:rPr>
              <w:t>+</w:t>
            </w:r>
            <w:r>
              <w:rPr>
                <w:rFonts w:hint="default" w:ascii="Times New Roman" w:hAnsi="Times New Roman" w:eastAsia="宋体" w:cs="Times New Roman"/>
                <w:i w:val="0"/>
                <w:iCs w:val="0"/>
                <w:color w:val="000000"/>
                <w:kern w:val="0"/>
                <w:sz w:val="21"/>
                <w:szCs w:val="21"/>
                <w:u w:val="none"/>
                <w:lang w:val="en-US" w:eastAsia="zh-CN" w:bidi="ar"/>
              </w:rPr>
              <w:t xml:space="preserve">0.0003 </w:t>
            </w:r>
          </w:p>
        </w:tc>
      </w:tr>
      <w:tr w14:paraId="30043A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restart"/>
            <w:vAlign w:val="center"/>
          </w:tcPr>
          <w:p w14:paraId="34AB1DF3">
            <w:pPr>
              <w:adjustRightInd w:val="0"/>
              <w:snapToGrid w:val="0"/>
              <w:spacing w:after="0" w:line="240" w:lineRule="auto"/>
              <w:jc w:val="center"/>
              <w:rPr>
                <w:color w:val="auto"/>
                <w:kern w:val="2"/>
                <w:sz w:val="21"/>
                <w:szCs w:val="21"/>
              </w:rPr>
            </w:pPr>
            <w:r>
              <w:rPr>
                <w:color w:val="auto"/>
                <w:kern w:val="2"/>
                <w:sz w:val="21"/>
                <w:szCs w:val="21"/>
              </w:rPr>
              <w:t>一般工业固体废物</w:t>
            </w:r>
          </w:p>
        </w:tc>
        <w:tc>
          <w:tcPr>
            <w:tcW w:w="591" w:type="pct"/>
            <w:vAlign w:val="center"/>
          </w:tcPr>
          <w:p w14:paraId="23A8D104">
            <w:pPr>
              <w:adjustRightInd w:val="0"/>
              <w:snapToGrid w:val="0"/>
              <w:spacing w:after="0" w:line="240" w:lineRule="auto"/>
              <w:jc w:val="center"/>
              <w:rPr>
                <w:rFonts w:hint="eastAsia" w:eastAsia="宋体"/>
                <w:color w:val="auto"/>
                <w:kern w:val="2"/>
                <w:sz w:val="21"/>
                <w:szCs w:val="21"/>
                <w:lang w:eastAsia="zh-CN"/>
              </w:rPr>
            </w:pPr>
            <w:r>
              <w:rPr>
                <w:rFonts w:hint="eastAsia"/>
                <w:color w:val="auto"/>
                <w:kern w:val="2"/>
                <w:sz w:val="21"/>
                <w:szCs w:val="21"/>
                <w:lang w:eastAsia="zh-CN"/>
              </w:rPr>
              <w:t>废包装袋</w:t>
            </w:r>
          </w:p>
        </w:tc>
        <w:tc>
          <w:tcPr>
            <w:tcW w:w="534" w:type="pct"/>
            <w:vAlign w:val="center"/>
          </w:tcPr>
          <w:p w14:paraId="1E6742D9">
            <w:pPr>
              <w:adjustRightInd w:val="0"/>
              <w:snapToGrid w:val="0"/>
              <w:spacing w:after="0" w:line="240" w:lineRule="auto"/>
              <w:jc w:val="center"/>
              <w:rPr>
                <w:color w:val="0000FF"/>
                <w:kern w:val="2"/>
                <w:sz w:val="21"/>
                <w:szCs w:val="21"/>
              </w:rPr>
            </w:pPr>
          </w:p>
        </w:tc>
        <w:tc>
          <w:tcPr>
            <w:tcW w:w="445" w:type="pct"/>
            <w:vAlign w:val="center"/>
          </w:tcPr>
          <w:p w14:paraId="7A7C41BD">
            <w:pPr>
              <w:adjustRightInd w:val="0"/>
              <w:snapToGrid w:val="0"/>
              <w:spacing w:after="0" w:line="240" w:lineRule="auto"/>
              <w:jc w:val="center"/>
              <w:rPr>
                <w:color w:val="0000FF"/>
                <w:kern w:val="2"/>
                <w:sz w:val="21"/>
                <w:szCs w:val="21"/>
              </w:rPr>
            </w:pPr>
          </w:p>
        </w:tc>
        <w:tc>
          <w:tcPr>
            <w:tcW w:w="593" w:type="pct"/>
            <w:vAlign w:val="center"/>
          </w:tcPr>
          <w:p w14:paraId="0BF2F7BC">
            <w:pPr>
              <w:adjustRightInd w:val="0"/>
              <w:snapToGrid w:val="0"/>
              <w:spacing w:after="0" w:line="240" w:lineRule="auto"/>
              <w:jc w:val="center"/>
              <w:rPr>
                <w:color w:val="0000FF"/>
                <w:kern w:val="2"/>
                <w:sz w:val="21"/>
                <w:szCs w:val="21"/>
              </w:rPr>
            </w:pPr>
          </w:p>
        </w:tc>
        <w:tc>
          <w:tcPr>
            <w:tcW w:w="1469" w:type="dxa"/>
            <w:shd w:val="clear" w:color="auto" w:fill="auto"/>
            <w:vAlign w:val="center"/>
          </w:tcPr>
          <w:p w14:paraId="03169562">
            <w:pPr>
              <w:pStyle w:val="286"/>
              <w:framePr w:hSpace="0" w:wrap="auto" w:vAnchor="margin" w:hAnchor="text" w:xAlign="left" w:yAlign="in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2.5</w:t>
            </w:r>
          </w:p>
        </w:tc>
        <w:tc>
          <w:tcPr>
            <w:tcW w:w="570" w:type="pct"/>
            <w:vAlign w:val="center"/>
          </w:tcPr>
          <w:p w14:paraId="146D78EA">
            <w:pPr>
              <w:adjustRightInd w:val="0"/>
              <w:snapToGrid w:val="0"/>
              <w:spacing w:after="0" w:line="240" w:lineRule="auto"/>
              <w:jc w:val="center"/>
              <w:rPr>
                <w:rFonts w:hint="default" w:ascii="Times New Roman" w:hAnsi="Times New Roman" w:cs="Times New Roman"/>
                <w:color w:val="auto"/>
                <w:kern w:val="2"/>
                <w:sz w:val="21"/>
                <w:szCs w:val="21"/>
              </w:rPr>
            </w:pPr>
          </w:p>
        </w:tc>
        <w:tc>
          <w:tcPr>
            <w:tcW w:w="1817" w:type="dxa"/>
            <w:vAlign w:val="center"/>
          </w:tcPr>
          <w:p w14:paraId="46C47836">
            <w:pPr>
              <w:pStyle w:val="286"/>
              <w:framePr w:hSpace="0" w:wrap="auto" w:vAnchor="margin" w:hAnchor="text" w:xAlign="left" w:yAlign="inline"/>
              <w:rPr>
                <w:rFonts w:hint="default" w:ascii="Times New Roman" w:hAnsi="Times New Roman" w:cs="Times New Roman"/>
                <w:color w:val="auto"/>
                <w:kern w:val="2"/>
                <w:sz w:val="21"/>
                <w:szCs w:val="21"/>
              </w:rPr>
            </w:pPr>
            <w:r>
              <w:rPr>
                <w:rFonts w:hint="default" w:ascii="Times New Roman" w:hAnsi="Times New Roman" w:cs="Times New Roman"/>
                <w:color w:val="auto"/>
                <w:sz w:val="21"/>
                <w:szCs w:val="21"/>
                <w:lang w:val="en-US" w:eastAsia="zh-CN"/>
              </w:rPr>
              <w:t>2.5</w:t>
            </w:r>
          </w:p>
        </w:tc>
        <w:tc>
          <w:tcPr>
            <w:tcW w:w="1426" w:type="dxa"/>
            <w:vAlign w:val="center"/>
          </w:tcPr>
          <w:p w14:paraId="7A4479DE">
            <w:pPr>
              <w:pStyle w:val="286"/>
              <w:framePr w:hSpace="0" w:wrap="auto" w:vAnchor="margin" w:hAnchor="text" w:xAlign="left" w:yAlign="inline"/>
              <w:rPr>
                <w:rFonts w:hint="default" w:ascii="Times New Roman" w:hAnsi="Times New Roman" w:cs="Times New Roman"/>
                <w:color w:val="auto"/>
                <w:kern w:val="2"/>
                <w:sz w:val="21"/>
                <w:szCs w:val="21"/>
              </w:rPr>
            </w:pP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2.5</w:t>
            </w:r>
          </w:p>
        </w:tc>
      </w:tr>
      <w:tr w14:paraId="04A337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continue"/>
            <w:vAlign w:val="center"/>
          </w:tcPr>
          <w:p w14:paraId="2D34D1A1">
            <w:pPr>
              <w:adjustRightInd w:val="0"/>
              <w:snapToGrid w:val="0"/>
              <w:spacing w:after="0" w:line="240" w:lineRule="auto"/>
              <w:jc w:val="center"/>
              <w:rPr>
                <w:color w:val="auto"/>
                <w:kern w:val="2"/>
                <w:sz w:val="21"/>
                <w:szCs w:val="21"/>
              </w:rPr>
            </w:pPr>
          </w:p>
        </w:tc>
        <w:tc>
          <w:tcPr>
            <w:tcW w:w="591" w:type="pct"/>
            <w:vAlign w:val="center"/>
          </w:tcPr>
          <w:p w14:paraId="5E5AE873">
            <w:pPr>
              <w:adjustRightInd w:val="0"/>
              <w:snapToGrid w:val="0"/>
              <w:spacing w:after="0" w:line="240" w:lineRule="auto"/>
              <w:jc w:val="center"/>
              <w:rPr>
                <w:rFonts w:hint="eastAsia" w:eastAsia="宋体"/>
                <w:color w:val="auto"/>
                <w:kern w:val="2"/>
                <w:sz w:val="21"/>
                <w:szCs w:val="21"/>
                <w:lang w:eastAsia="zh-CN"/>
              </w:rPr>
            </w:pPr>
            <w:r>
              <w:rPr>
                <w:rFonts w:hint="eastAsia"/>
                <w:color w:val="auto"/>
                <w:kern w:val="2"/>
                <w:sz w:val="21"/>
                <w:szCs w:val="21"/>
                <w:lang w:eastAsia="zh-CN"/>
              </w:rPr>
              <w:t>边角料、不合格产品</w:t>
            </w:r>
          </w:p>
        </w:tc>
        <w:tc>
          <w:tcPr>
            <w:tcW w:w="534" w:type="pct"/>
            <w:vAlign w:val="center"/>
          </w:tcPr>
          <w:p w14:paraId="6094713F">
            <w:pPr>
              <w:adjustRightInd w:val="0"/>
              <w:snapToGrid w:val="0"/>
              <w:spacing w:after="0" w:line="240" w:lineRule="auto"/>
              <w:jc w:val="center"/>
              <w:rPr>
                <w:color w:val="0000FF"/>
                <w:kern w:val="2"/>
                <w:sz w:val="21"/>
                <w:szCs w:val="21"/>
              </w:rPr>
            </w:pPr>
          </w:p>
        </w:tc>
        <w:tc>
          <w:tcPr>
            <w:tcW w:w="445" w:type="pct"/>
            <w:vAlign w:val="center"/>
          </w:tcPr>
          <w:p w14:paraId="39C96630">
            <w:pPr>
              <w:adjustRightInd w:val="0"/>
              <w:snapToGrid w:val="0"/>
              <w:spacing w:after="0" w:line="240" w:lineRule="auto"/>
              <w:jc w:val="center"/>
              <w:rPr>
                <w:color w:val="0000FF"/>
                <w:kern w:val="2"/>
                <w:sz w:val="21"/>
                <w:szCs w:val="21"/>
              </w:rPr>
            </w:pPr>
          </w:p>
        </w:tc>
        <w:tc>
          <w:tcPr>
            <w:tcW w:w="593" w:type="pct"/>
            <w:vAlign w:val="center"/>
          </w:tcPr>
          <w:p w14:paraId="7E621347">
            <w:pPr>
              <w:adjustRightInd w:val="0"/>
              <w:snapToGrid w:val="0"/>
              <w:spacing w:after="0" w:line="240" w:lineRule="auto"/>
              <w:jc w:val="center"/>
              <w:rPr>
                <w:color w:val="0000FF"/>
                <w:kern w:val="2"/>
                <w:sz w:val="21"/>
                <w:szCs w:val="21"/>
              </w:rPr>
            </w:pPr>
          </w:p>
        </w:tc>
        <w:tc>
          <w:tcPr>
            <w:tcW w:w="1469" w:type="dxa"/>
            <w:shd w:val="clear" w:color="auto" w:fill="auto"/>
            <w:vAlign w:val="center"/>
          </w:tcPr>
          <w:p w14:paraId="138A94D0">
            <w:pPr>
              <w:pStyle w:val="286"/>
              <w:framePr w:hSpace="0" w:wrap="auto" w:vAnchor="margin" w:hAnchor="text" w:xAlign="left" w:yAlign="in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2.6</w:t>
            </w:r>
          </w:p>
        </w:tc>
        <w:tc>
          <w:tcPr>
            <w:tcW w:w="570" w:type="pct"/>
            <w:vAlign w:val="center"/>
          </w:tcPr>
          <w:p w14:paraId="467BB984">
            <w:pPr>
              <w:adjustRightInd w:val="0"/>
              <w:snapToGrid w:val="0"/>
              <w:spacing w:after="0" w:line="240" w:lineRule="auto"/>
              <w:jc w:val="center"/>
              <w:rPr>
                <w:rFonts w:hint="default" w:ascii="Times New Roman" w:hAnsi="Times New Roman" w:cs="Times New Roman"/>
                <w:color w:val="auto"/>
                <w:kern w:val="2"/>
                <w:sz w:val="21"/>
                <w:szCs w:val="21"/>
              </w:rPr>
            </w:pPr>
          </w:p>
        </w:tc>
        <w:tc>
          <w:tcPr>
            <w:tcW w:w="1817" w:type="dxa"/>
            <w:vAlign w:val="center"/>
          </w:tcPr>
          <w:p w14:paraId="1388E183">
            <w:pPr>
              <w:pStyle w:val="286"/>
              <w:framePr w:hSpace="0" w:wrap="auto" w:vAnchor="margin" w:hAnchor="text" w:xAlign="left" w:yAlign="inline"/>
              <w:rPr>
                <w:rFonts w:hint="default" w:ascii="Times New Roman" w:hAnsi="Times New Roman" w:cs="Times New Roman"/>
                <w:color w:val="auto"/>
                <w:kern w:val="2"/>
                <w:sz w:val="21"/>
                <w:szCs w:val="21"/>
              </w:rPr>
            </w:pPr>
            <w:r>
              <w:rPr>
                <w:rFonts w:hint="default" w:ascii="Times New Roman" w:hAnsi="Times New Roman" w:cs="Times New Roman"/>
                <w:color w:val="auto"/>
                <w:sz w:val="21"/>
                <w:szCs w:val="21"/>
                <w:lang w:val="en-US" w:eastAsia="zh-CN"/>
              </w:rPr>
              <w:t>2.6</w:t>
            </w:r>
          </w:p>
        </w:tc>
        <w:tc>
          <w:tcPr>
            <w:tcW w:w="1426" w:type="dxa"/>
            <w:vAlign w:val="center"/>
          </w:tcPr>
          <w:p w14:paraId="054008EE">
            <w:pPr>
              <w:pStyle w:val="286"/>
              <w:framePr w:hSpace="0" w:wrap="auto" w:vAnchor="margin" w:hAnchor="text" w:xAlign="left" w:yAlign="inline"/>
              <w:rPr>
                <w:rFonts w:hint="default" w:ascii="Times New Roman" w:hAnsi="Times New Roman" w:cs="Times New Roman"/>
                <w:color w:val="auto"/>
                <w:kern w:val="2"/>
                <w:sz w:val="21"/>
                <w:szCs w:val="21"/>
              </w:rPr>
            </w:pP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2.6</w:t>
            </w:r>
          </w:p>
        </w:tc>
      </w:tr>
      <w:tr w14:paraId="162E62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continue"/>
            <w:vAlign w:val="center"/>
          </w:tcPr>
          <w:p w14:paraId="0499D291">
            <w:pPr>
              <w:adjustRightInd w:val="0"/>
              <w:snapToGrid w:val="0"/>
              <w:spacing w:after="0" w:line="240" w:lineRule="auto"/>
              <w:jc w:val="center"/>
              <w:rPr>
                <w:color w:val="auto"/>
                <w:kern w:val="2"/>
                <w:sz w:val="21"/>
                <w:szCs w:val="21"/>
              </w:rPr>
            </w:pPr>
          </w:p>
        </w:tc>
        <w:tc>
          <w:tcPr>
            <w:tcW w:w="591" w:type="pct"/>
            <w:vAlign w:val="center"/>
          </w:tcPr>
          <w:p w14:paraId="1C2FA532">
            <w:pPr>
              <w:adjustRightInd w:val="0"/>
              <w:snapToGrid w:val="0"/>
              <w:spacing w:after="0" w:line="240" w:lineRule="auto"/>
              <w:jc w:val="center"/>
              <w:rPr>
                <w:rFonts w:hint="eastAsia" w:eastAsia="宋体"/>
                <w:color w:val="auto"/>
                <w:kern w:val="2"/>
                <w:sz w:val="21"/>
                <w:szCs w:val="21"/>
                <w:lang w:eastAsia="zh-CN"/>
              </w:rPr>
            </w:pPr>
            <w:r>
              <w:rPr>
                <w:rFonts w:hint="eastAsia"/>
                <w:color w:val="auto"/>
                <w:kern w:val="2"/>
                <w:sz w:val="21"/>
                <w:szCs w:val="21"/>
                <w:lang w:eastAsia="zh-CN"/>
              </w:rPr>
              <w:t>车间布袋收集粉尘</w:t>
            </w:r>
          </w:p>
        </w:tc>
        <w:tc>
          <w:tcPr>
            <w:tcW w:w="534" w:type="pct"/>
            <w:vAlign w:val="center"/>
          </w:tcPr>
          <w:p w14:paraId="6AE1428F">
            <w:pPr>
              <w:adjustRightInd w:val="0"/>
              <w:snapToGrid w:val="0"/>
              <w:spacing w:after="0" w:line="240" w:lineRule="auto"/>
              <w:jc w:val="center"/>
              <w:rPr>
                <w:color w:val="0000FF"/>
                <w:kern w:val="2"/>
                <w:sz w:val="21"/>
                <w:szCs w:val="21"/>
              </w:rPr>
            </w:pPr>
          </w:p>
        </w:tc>
        <w:tc>
          <w:tcPr>
            <w:tcW w:w="445" w:type="pct"/>
            <w:vAlign w:val="center"/>
          </w:tcPr>
          <w:p w14:paraId="5EC34828">
            <w:pPr>
              <w:adjustRightInd w:val="0"/>
              <w:snapToGrid w:val="0"/>
              <w:spacing w:after="0" w:line="240" w:lineRule="auto"/>
              <w:jc w:val="center"/>
              <w:rPr>
                <w:color w:val="0000FF"/>
                <w:kern w:val="2"/>
                <w:sz w:val="21"/>
                <w:szCs w:val="21"/>
              </w:rPr>
            </w:pPr>
          </w:p>
        </w:tc>
        <w:tc>
          <w:tcPr>
            <w:tcW w:w="593" w:type="pct"/>
            <w:vAlign w:val="center"/>
          </w:tcPr>
          <w:p w14:paraId="04B40911">
            <w:pPr>
              <w:adjustRightInd w:val="0"/>
              <w:snapToGrid w:val="0"/>
              <w:spacing w:after="0" w:line="240" w:lineRule="auto"/>
              <w:jc w:val="center"/>
              <w:rPr>
                <w:color w:val="0000FF"/>
                <w:kern w:val="2"/>
                <w:sz w:val="21"/>
                <w:szCs w:val="21"/>
              </w:rPr>
            </w:pPr>
          </w:p>
        </w:tc>
        <w:tc>
          <w:tcPr>
            <w:tcW w:w="1469" w:type="dxa"/>
            <w:shd w:val="clear" w:color="auto" w:fill="auto"/>
            <w:vAlign w:val="center"/>
          </w:tcPr>
          <w:p w14:paraId="09CC7F2F">
            <w:pPr>
              <w:pStyle w:val="286"/>
              <w:framePr w:hSpace="0" w:wrap="auto" w:vAnchor="margin" w:hAnchor="text" w:xAlign="left" w:yAlign="in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0.07</w:t>
            </w:r>
          </w:p>
        </w:tc>
        <w:tc>
          <w:tcPr>
            <w:tcW w:w="570" w:type="pct"/>
            <w:vAlign w:val="center"/>
          </w:tcPr>
          <w:p w14:paraId="0537F5C9">
            <w:pPr>
              <w:adjustRightInd w:val="0"/>
              <w:snapToGrid w:val="0"/>
              <w:spacing w:after="0" w:line="240" w:lineRule="auto"/>
              <w:jc w:val="center"/>
              <w:rPr>
                <w:rFonts w:hint="default" w:ascii="Times New Roman" w:hAnsi="Times New Roman" w:cs="Times New Roman"/>
                <w:color w:val="auto"/>
                <w:kern w:val="2"/>
                <w:sz w:val="21"/>
                <w:szCs w:val="21"/>
              </w:rPr>
            </w:pPr>
          </w:p>
        </w:tc>
        <w:tc>
          <w:tcPr>
            <w:tcW w:w="1817" w:type="dxa"/>
            <w:vAlign w:val="center"/>
          </w:tcPr>
          <w:p w14:paraId="4EDCCCFA">
            <w:pPr>
              <w:pStyle w:val="286"/>
              <w:framePr w:hSpace="0" w:wrap="auto" w:vAnchor="margin" w:hAnchor="text" w:xAlign="left" w:yAlign="inline"/>
              <w:rPr>
                <w:rFonts w:hint="default" w:ascii="Times New Roman" w:hAnsi="Times New Roman" w:cs="Times New Roman"/>
                <w:color w:val="auto"/>
                <w:kern w:val="2"/>
                <w:sz w:val="21"/>
                <w:szCs w:val="21"/>
              </w:rPr>
            </w:pPr>
            <w:r>
              <w:rPr>
                <w:rFonts w:hint="default" w:ascii="Times New Roman" w:hAnsi="Times New Roman" w:cs="Times New Roman"/>
                <w:color w:val="auto"/>
                <w:sz w:val="21"/>
                <w:szCs w:val="21"/>
                <w:lang w:val="en-US" w:eastAsia="zh-CN"/>
              </w:rPr>
              <w:t>0.07</w:t>
            </w:r>
          </w:p>
        </w:tc>
        <w:tc>
          <w:tcPr>
            <w:tcW w:w="1426" w:type="dxa"/>
            <w:vAlign w:val="center"/>
          </w:tcPr>
          <w:p w14:paraId="07B06C10">
            <w:pPr>
              <w:pStyle w:val="286"/>
              <w:framePr w:hSpace="0" w:wrap="auto" w:vAnchor="margin" w:hAnchor="text" w:xAlign="left" w:yAlign="inline"/>
              <w:rPr>
                <w:rFonts w:hint="default" w:ascii="Times New Roman" w:hAnsi="Times New Roman" w:cs="Times New Roman"/>
                <w:color w:val="auto"/>
                <w:kern w:val="2"/>
                <w:sz w:val="21"/>
                <w:szCs w:val="21"/>
              </w:rPr>
            </w:pP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0.07</w:t>
            </w:r>
          </w:p>
        </w:tc>
      </w:tr>
      <w:tr w14:paraId="28EBC7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continue"/>
            <w:vAlign w:val="center"/>
          </w:tcPr>
          <w:p w14:paraId="0C765372">
            <w:pPr>
              <w:adjustRightInd w:val="0"/>
              <w:snapToGrid w:val="0"/>
              <w:spacing w:after="0" w:line="240" w:lineRule="auto"/>
              <w:jc w:val="center"/>
              <w:rPr>
                <w:color w:val="auto"/>
                <w:kern w:val="2"/>
                <w:sz w:val="21"/>
                <w:szCs w:val="21"/>
              </w:rPr>
            </w:pPr>
          </w:p>
        </w:tc>
        <w:tc>
          <w:tcPr>
            <w:tcW w:w="591" w:type="pct"/>
            <w:vAlign w:val="center"/>
          </w:tcPr>
          <w:p w14:paraId="326BE148">
            <w:pPr>
              <w:adjustRightInd w:val="0"/>
              <w:snapToGrid w:val="0"/>
              <w:spacing w:after="0" w:line="240" w:lineRule="auto"/>
              <w:jc w:val="center"/>
              <w:rPr>
                <w:rFonts w:hint="eastAsia" w:eastAsia="宋体"/>
                <w:color w:val="auto"/>
                <w:kern w:val="2"/>
                <w:sz w:val="21"/>
                <w:szCs w:val="21"/>
                <w:lang w:eastAsia="zh-CN"/>
              </w:rPr>
            </w:pPr>
            <w:r>
              <w:rPr>
                <w:rFonts w:hint="eastAsia"/>
                <w:color w:val="auto"/>
                <w:kern w:val="2"/>
                <w:sz w:val="21"/>
                <w:szCs w:val="21"/>
                <w:lang w:eastAsia="zh-CN"/>
              </w:rPr>
              <w:t>沉淀池沉渣</w:t>
            </w:r>
          </w:p>
        </w:tc>
        <w:tc>
          <w:tcPr>
            <w:tcW w:w="534" w:type="pct"/>
            <w:vAlign w:val="center"/>
          </w:tcPr>
          <w:p w14:paraId="6FAE48B7">
            <w:pPr>
              <w:adjustRightInd w:val="0"/>
              <w:snapToGrid w:val="0"/>
              <w:spacing w:after="0" w:line="240" w:lineRule="auto"/>
              <w:jc w:val="center"/>
              <w:rPr>
                <w:color w:val="0000FF"/>
                <w:kern w:val="2"/>
                <w:sz w:val="21"/>
                <w:szCs w:val="21"/>
              </w:rPr>
            </w:pPr>
          </w:p>
        </w:tc>
        <w:tc>
          <w:tcPr>
            <w:tcW w:w="445" w:type="pct"/>
            <w:vAlign w:val="center"/>
          </w:tcPr>
          <w:p w14:paraId="0C289237">
            <w:pPr>
              <w:adjustRightInd w:val="0"/>
              <w:snapToGrid w:val="0"/>
              <w:spacing w:after="0" w:line="240" w:lineRule="auto"/>
              <w:jc w:val="center"/>
              <w:rPr>
                <w:color w:val="0000FF"/>
                <w:kern w:val="2"/>
                <w:sz w:val="21"/>
                <w:szCs w:val="21"/>
              </w:rPr>
            </w:pPr>
          </w:p>
        </w:tc>
        <w:tc>
          <w:tcPr>
            <w:tcW w:w="593" w:type="pct"/>
            <w:vAlign w:val="center"/>
          </w:tcPr>
          <w:p w14:paraId="0B7DF3AB">
            <w:pPr>
              <w:adjustRightInd w:val="0"/>
              <w:snapToGrid w:val="0"/>
              <w:spacing w:after="0" w:line="240" w:lineRule="auto"/>
              <w:jc w:val="center"/>
              <w:rPr>
                <w:color w:val="0000FF"/>
                <w:kern w:val="2"/>
                <w:sz w:val="21"/>
                <w:szCs w:val="21"/>
              </w:rPr>
            </w:pPr>
          </w:p>
        </w:tc>
        <w:tc>
          <w:tcPr>
            <w:tcW w:w="1469" w:type="dxa"/>
            <w:shd w:val="clear" w:color="auto" w:fill="auto"/>
            <w:vAlign w:val="center"/>
          </w:tcPr>
          <w:p w14:paraId="79F9969F">
            <w:pPr>
              <w:pStyle w:val="286"/>
              <w:framePr w:hSpace="0" w:wrap="auto" w:vAnchor="margin" w:hAnchor="text" w:xAlign="left" w:yAlign="inline"/>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 w:val="21"/>
                <w:szCs w:val="21"/>
                <w:lang w:val="en-US" w:eastAsia="zh-CN"/>
              </w:rPr>
              <w:t>0.5</w:t>
            </w:r>
          </w:p>
        </w:tc>
        <w:tc>
          <w:tcPr>
            <w:tcW w:w="570" w:type="pct"/>
            <w:vAlign w:val="center"/>
          </w:tcPr>
          <w:p w14:paraId="7714581B">
            <w:pPr>
              <w:adjustRightInd w:val="0"/>
              <w:snapToGrid w:val="0"/>
              <w:spacing w:after="0" w:line="240" w:lineRule="auto"/>
              <w:jc w:val="center"/>
              <w:rPr>
                <w:rFonts w:hint="default" w:ascii="Times New Roman" w:hAnsi="Times New Roman" w:cs="Times New Roman"/>
                <w:color w:val="auto"/>
                <w:kern w:val="2"/>
                <w:sz w:val="21"/>
                <w:szCs w:val="21"/>
              </w:rPr>
            </w:pPr>
          </w:p>
        </w:tc>
        <w:tc>
          <w:tcPr>
            <w:tcW w:w="1817" w:type="dxa"/>
            <w:vAlign w:val="center"/>
          </w:tcPr>
          <w:p w14:paraId="6284F7DF">
            <w:pPr>
              <w:pStyle w:val="286"/>
              <w:framePr w:hSpace="0" w:wrap="auto" w:vAnchor="margin" w:hAnchor="text" w:xAlign="left" w:yAlign="inline"/>
              <w:rPr>
                <w:rFonts w:hint="default" w:ascii="Times New Roman" w:hAnsi="Times New Roman" w:cs="Times New Roman"/>
                <w:color w:val="auto"/>
                <w:kern w:val="2"/>
                <w:sz w:val="21"/>
                <w:szCs w:val="21"/>
              </w:rPr>
            </w:pPr>
            <w:r>
              <w:rPr>
                <w:rFonts w:hint="default" w:ascii="Times New Roman" w:hAnsi="Times New Roman" w:cs="Times New Roman"/>
                <w:color w:val="auto"/>
                <w:sz w:val="21"/>
                <w:szCs w:val="21"/>
                <w:lang w:val="en-US" w:eastAsia="zh-CN"/>
              </w:rPr>
              <w:t>0.5</w:t>
            </w:r>
          </w:p>
        </w:tc>
        <w:tc>
          <w:tcPr>
            <w:tcW w:w="1426" w:type="dxa"/>
            <w:vAlign w:val="center"/>
          </w:tcPr>
          <w:p w14:paraId="22260DCA">
            <w:pPr>
              <w:pStyle w:val="286"/>
              <w:framePr w:hSpace="0" w:wrap="auto" w:vAnchor="margin" w:hAnchor="text" w:xAlign="left" w:yAlign="inline"/>
              <w:rPr>
                <w:rFonts w:hint="default" w:ascii="Times New Roman" w:hAnsi="Times New Roman" w:cs="Times New Roman"/>
                <w:color w:val="auto"/>
                <w:kern w:val="2"/>
                <w:sz w:val="21"/>
                <w:szCs w:val="21"/>
              </w:rPr>
            </w:pP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0.5</w:t>
            </w:r>
          </w:p>
        </w:tc>
      </w:tr>
      <w:tr w14:paraId="1B7990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Merge w:val="continue"/>
            <w:vAlign w:val="center"/>
          </w:tcPr>
          <w:p w14:paraId="717CDB1D">
            <w:pPr>
              <w:adjustRightInd w:val="0"/>
              <w:snapToGrid w:val="0"/>
              <w:spacing w:after="0" w:line="240" w:lineRule="auto"/>
              <w:jc w:val="center"/>
              <w:rPr>
                <w:color w:val="auto"/>
                <w:kern w:val="2"/>
                <w:sz w:val="21"/>
                <w:szCs w:val="21"/>
              </w:rPr>
            </w:pPr>
          </w:p>
        </w:tc>
        <w:tc>
          <w:tcPr>
            <w:tcW w:w="591" w:type="pct"/>
            <w:vAlign w:val="center"/>
          </w:tcPr>
          <w:p w14:paraId="250ADC07">
            <w:pPr>
              <w:adjustRightInd w:val="0"/>
              <w:snapToGrid w:val="0"/>
              <w:spacing w:after="0" w:line="240" w:lineRule="auto"/>
              <w:jc w:val="center"/>
              <w:rPr>
                <w:rFonts w:hint="eastAsia"/>
                <w:color w:val="auto"/>
                <w:kern w:val="2"/>
                <w:sz w:val="21"/>
                <w:szCs w:val="21"/>
                <w:lang w:eastAsia="zh-CN"/>
              </w:rPr>
            </w:pPr>
            <w:r>
              <w:rPr>
                <w:rFonts w:hint="eastAsia"/>
                <w:color w:val="auto"/>
                <w:kern w:val="2"/>
                <w:sz w:val="21"/>
                <w:szCs w:val="21"/>
                <w:lang w:eastAsia="zh-CN"/>
              </w:rPr>
              <w:t>废培养基</w:t>
            </w:r>
          </w:p>
        </w:tc>
        <w:tc>
          <w:tcPr>
            <w:tcW w:w="534" w:type="pct"/>
            <w:vAlign w:val="center"/>
          </w:tcPr>
          <w:p w14:paraId="5EB28DBB">
            <w:pPr>
              <w:adjustRightInd w:val="0"/>
              <w:snapToGrid w:val="0"/>
              <w:spacing w:after="0" w:line="240" w:lineRule="auto"/>
              <w:jc w:val="center"/>
              <w:rPr>
                <w:color w:val="0000FF"/>
                <w:kern w:val="2"/>
                <w:sz w:val="21"/>
                <w:szCs w:val="21"/>
              </w:rPr>
            </w:pPr>
          </w:p>
        </w:tc>
        <w:tc>
          <w:tcPr>
            <w:tcW w:w="445" w:type="pct"/>
            <w:vAlign w:val="center"/>
          </w:tcPr>
          <w:p w14:paraId="54C625B8">
            <w:pPr>
              <w:adjustRightInd w:val="0"/>
              <w:snapToGrid w:val="0"/>
              <w:spacing w:after="0" w:line="240" w:lineRule="auto"/>
              <w:jc w:val="center"/>
              <w:rPr>
                <w:color w:val="0000FF"/>
                <w:kern w:val="2"/>
                <w:sz w:val="21"/>
                <w:szCs w:val="21"/>
              </w:rPr>
            </w:pPr>
          </w:p>
        </w:tc>
        <w:tc>
          <w:tcPr>
            <w:tcW w:w="593" w:type="pct"/>
            <w:vAlign w:val="center"/>
          </w:tcPr>
          <w:p w14:paraId="6BF30B80">
            <w:pPr>
              <w:adjustRightInd w:val="0"/>
              <w:snapToGrid w:val="0"/>
              <w:spacing w:after="0" w:line="240" w:lineRule="auto"/>
              <w:jc w:val="center"/>
              <w:rPr>
                <w:color w:val="0000FF"/>
                <w:kern w:val="2"/>
                <w:sz w:val="21"/>
                <w:szCs w:val="21"/>
              </w:rPr>
            </w:pPr>
          </w:p>
        </w:tc>
        <w:tc>
          <w:tcPr>
            <w:tcW w:w="1469" w:type="dxa"/>
            <w:shd w:val="clear" w:color="auto" w:fill="auto"/>
            <w:vAlign w:val="center"/>
          </w:tcPr>
          <w:p w14:paraId="50355B33">
            <w:pPr>
              <w:pStyle w:val="286"/>
              <w:framePr w:hSpace="0" w:wrap="auto" w:vAnchor="margin" w:hAnchor="text" w:xAlign="left" w:yAlign="in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0.002</w:t>
            </w:r>
          </w:p>
        </w:tc>
        <w:tc>
          <w:tcPr>
            <w:tcW w:w="570" w:type="pct"/>
            <w:vAlign w:val="center"/>
          </w:tcPr>
          <w:p w14:paraId="17E3A7A1">
            <w:pPr>
              <w:adjustRightInd w:val="0"/>
              <w:snapToGrid w:val="0"/>
              <w:spacing w:after="0" w:line="240" w:lineRule="auto"/>
              <w:jc w:val="center"/>
              <w:rPr>
                <w:rFonts w:hint="default" w:ascii="Times New Roman" w:hAnsi="Times New Roman" w:cs="Times New Roman"/>
                <w:color w:val="auto"/>
                <w:kern w:val="2"/>
                <w:sz w:val="21"/>
                <w:szCs w:val="21"/>
              </w:rPr>
            </w:pPr>
          </w:p>
        </w:tc>
        <w:tc>
          <w:tcPr>
            <w:tcW w:w="1817" w:type="dxa"/>
            <w:vAlign w:val="center"/>
          </w:tcPr>
          <w:p w14:paraId="7D1BBA96">
            <w:pPr>
              <w:pStyle w:val="286"/>
              <w:framePr w:hSpace="0" w:wrap="auto" w:vAnchor="margin" w:hAnchor="text" w:xAlign="left" w:yAlign="inline"/>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0.002</w:t>
            </w:r>
          </w:p>
        </w:tc>
        <w:tc>
          <w:tcPr>
            <w:tcW w:w="1426" w:type="dxa"/>
            <w:vAlign w:val="center"/>
          </w:tcPr>
          <w:p w14:paraId="055F4BF1">
            <w:pPr>
              <w:pStyle w:val="286"/>
              <w:framePr w:hSpace="0" w:wrap="auto" w:vAnchor="margin" w:hAnchor="text" w:xAlign="left" w:yAlign="inline"/>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0.002</w:t>
            </w:r>
          </w:p>
        </w:tc>
      </w:tr>
      <w:tr w14:paraId="4273D0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7" w:type="pct"/>
            <w:vAlign w:val="center"/>
          </w:tcPr>
          <w:p w14:paraId="785D50B3">
            <w:pPr>
              <w:adjustRightInd w:val="0"/>
              <w:snapToGrid w:val="0"/>
              <w:spacing w:after="0" w:line="240" w:lineRule="auto"/>
              <w:jc w:val="center"/>
              <w:rPr>
                <w:color w:val="auto"/>
                <w:kern w:val="2"/>
                <w:sz w:val="21"/>
                <w:szCs w:val="21"/>
              </w:rPr>
            </w:pPr>
            <w:r>
              <w:rPr>
                <w:rFonts w:hint="eastAsia"/>
                <w:color w:val="auto"/>
                <w:kern w:val="2"/>
                <w:sz w:val="21"/>
                <w:szCs w:val="21"/>
                <w:lang w:eastAsia="zh-CN"/>
              </w:rPr>
              <w:t>生活垃圾</w:t>
            </w:r>
          </w:p>
        </w:tc>
        <w:tc>
          <w:tcPr>
            <w:tcW w:w="591" w:type="pct"/>
            <w:vAlign w:val="center"/>
          </w:tcPr>
          <w:p w14:paraId="2EEDD093">
            <w:pPr>
              <w:adjustRightInd w:val="0"/>
              <w:snapToGrid w:val="0"/>
              <w:spacing w:after="0" w:line="240" w:lineRule="auto"/>
              <w:jc w:val="center"/>
              <w:rPr>
                <w:rFonts w:hint="eastAsia" w:eastAsia="宋体"/>
                <w:color w:val="auto"/>
                <w:kern w:val="2"/>
                <w:sz w:val="21"/>
                <w:szCs w:val="21"/>
                <w:lang w:eastAsia="zh-CN"/>
              </w:rPr>
            </w:pPr>
            <w:r>
              <w:rPr>
                <w:rFonts w:hint="eastAsia"/>
                <w:color w:val="auto"/>
                <w:kern w:val="2"/>
                <w:sz w:val="21"/>
                <w:szCs w:val="21"/>
                <w:lang w:eastAsia="zh-CN"/>
              </w:rPr>
              <w:t>生活垃圾</w:t>
            </w:r>
          </w:p>
        </w:tc>
        <w:tc>
          <w:tcPr>
            <w:tcW w:w="534" w:type="pct"/>
            <w:vAlign w:val="center"/>
          </w:tcPr>
          <w:p w14:paraId="74676074">
            <w:pPr>
              <w:adjustRightInd w:val="0"/>
              <w:snapToGrid w:val="0"/>
              <w:spacing w:after="0" w:line="240" w:lineRule="auto"/>
              <w:jc w:val="center"/>
              <w:rPr>
                <w:color w:val="0000FF"/>
                <w:kern w:val="2"/>
                <w:sz w:val="21"/>
                <w:szCs w:val="21"/>
              </w:rPr>
            </w:pPr>
          </w:p>
        </w:tc>
        <w:tc>
          <w:tcPr>
            <w:tcW w:w="445" w:type="pct"/>
            <w:vAlign w:val="center"/>
          </w:tcPr>
          <w:p w14:paraId="3CEC462A">
            <w:pPr>
              <w:adjustRightInd w:val="0"/>
              <w:snapToGrid w:val="0"/>
              <w:spacing w:after="0" w:line="240" w:lineRule="auto"/>
              <w:jc w:val="center"/>
              <w:rPr>
                <w:color w:val="0000FF"/>
                <w:kern w:val="2"/>
                <w:sz w:val="21"/>
                <w:szCs w:val="21"/>
              </w:rPr>
            </w:pPr>
          </w:p>
        </w:tc>
        <w:tc>
          <w:tcPr>
            <w:tcW w:w="593" w:type="pct"/>
            <w:vAlign w:val="center"/>
          </w:tcPr>
          <w:p w14:paraId="4F4C9532">
            <w:pPr>
              <w:adjustRightInd w:val="0"/>
              <w:snapToGrid w:val="0"/>
              <w:spacing w:after="0" w:line="240" w:lineRule="auto"/>
              <w:jc w:val="center"/>
              <w:rPr>
                <w:color w:val="0000FF"/>
                <w:kern w:val="2"/>
                <w:sz w:val="21"/>
                <w:szCs w:val="21"/>
              </w:rPr>
            </w:pPr>
          </w:p>
        </w:tc>
        <w:tc>
          <w:tcPr>
            <w:tcW w:w="1469" w:type="dxa"/>
            <w:vAlign w:val="center"/>
          </w:tcPr>
          <w:p w14:paraId="48047422">
            <w:pPr>
              <w:pStyle w:val="286"/>
              <w:framePr w:hSpace="0" w:wrap="auto" w:vAnchor="margin" w:hAnchor="text" w:xAlign="left" w:yAlign="inline"/>
              <w:rPr>
                <w:rFonts w:hint="default" w:ascii="Times New Roman" w:hAnsi="Times New Roman" w:eastAsia="宋体" w:cs="Times New Roman"/>
                <w:color w:val="auto"/>
                <w:kern w:val="2"/>
                <w:sz w:val="21"/>
                <w:szCs w:val="21"/>
                <w:lang w:eastAsia="zh-CN"/>
              </w:rPr>
            </w:pPr>
            <w:r>
              <w:rPr>
                <w:rFonts w:hint="default" w:ascii="Times New Roman" w:hAnsi="Times New Roman" w:cs="Times New Roman"/>
                <w:color w:val="auto"/>
                <w:sz w:val="21"/>
                <w:szCs w:val="21"/>
                <w:lang w:val="en-US" w:eastAsia="zh-CN"/>
              </w:rPr>
              <w:t>3</w:t>
            </w:r>
          </w:p>
        </w:tc>
        <w:tc>
          <w:tcPr>
            <w:tcW w:w="570" w:type="pct"/>
            <w:vAlign w:val="center"/>
          </w:tcPr>
          <w:p w14:paraId="6DE81570">
            <w:pPr>
              <w:adjustRightInd w:val="0"/>
              <w:snapToGrid w:val="0"/>
              <w:spacing w:after="0" w:line="240" w:lineRule="auto"/>
              <w:jc w:val="center"/>
              <w:rPr>
                <w:rFonts w:hint="default" w:ascii="Times New Roman" w:hAnsi="Times New Roman" w:cs="Times New Roman"/>
                <w:color w:val="auto"/>
                <w:kern w:val="2"/>
                <w:sz w:val="21"/>
                <w:szCs w:val="21"/>
              </w:rPr>
            </w:pPr>
          </w:p>
        </w:tc>
        <w:tc>
          <w:tcPr>
            <w:tcW w:w="1817" w:type="dxa"/>
            <w:vAlign w:val="center"/>
          </w:tcPr>
          <w:p w14:paraId="7B8B68C3">
            <w:pPr>
              <w:pStyle w:val="286"/>
              <w:framePr w:hSpace="0" w:wrap="auto" w:vAnchor="margin" w:hAnchor="text" w:xAlign="left" w:yAlign="inline"/>
              <w:rPr>
                <w:rFonts w:hint="default" w:ascii="Times New Roman" w:hAnsi="Times New Roman" w:cs="Times New Roman"/>
                <w:color w:val="auto"/>
                <w:kern w:val="2"/>
                <w:sz w:val="21"/>
                <w:szCs w:val="21"/>
              </w:rPr>
            </w:pPr>
            <w:r>
              <w:rPr>
                <w:rFonts w:hint="default" w:ascii="Times New Roman" w:hAnsi="Times New Roman" w:cs="Times New Roman"/>
                <w:color w:val="auto"/>
                <w:sz w:val="21"/>
                <w:szCs w:val="21"/>
                <w:lang w:val="en-US" w:eastAsia="zh-CN"/>
              </w:rPr>
              <w:t>3</w:t>
            </w:r>
          </w:p>
        </w:tc>
        <w:tc>
          <w:tcPr>
            <w:tcW w:w="1426" w:type="dxa"/>
            <w:vAlign w:val="center"/>
          </w:tcPr>
          <w:p w14:paraId="2E3F0371">
            <w:pPr>
              <w:pStyle w:val="286"/>
              <w:framePr w:hSpace="0" w:wrap="auto" w:vAnchor="margin" w:hAnchor="text" w:xAlign="left" w:yAlign="inline"/>
              <w:rPr>
                <w:rFonts w:hint="default" w:ascii="Times New Roman" w:hAnsi="Times New Roman" w:cs="Times New Roman"/>
                <w:color w:val="auto"/>
                <w:kern w:val="2"/>
                <w:sz w:val="21"/>
                <w:szCs w:val="21"/>
              </w:rPr>
            </w:pP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3</w:t>
            </w:r>
          </w:p>
        </w:tc>
      </w:tr>
    </w:tbl>
    <w:p w14:paraId="79FDC92B">
      <w:pPr>
        <w:pStyle w:val="75"/>
        <w:snapToGrid/>
        <w:spacing w:beforeLines="0" w:after="0" w:afterLines="0" w:line="440" w:lineRule="exact"/>
        <w:jc w:val="left"/>
        <w:rPr>
          <w:color w:val="auto"/>
          <w:lang w:val="en-US"/>
        </w:rPr>
      </w:pPr>
      <w:r>
        <w:rPr>
          <w:rFonts w:ascii="Times New Roman"/>
          <w:snapToGrid w:val="0"/>
          <w:color w:val="auto"/>
          <w:kern w:val="21"/>
        </w:rPr>
        <w:t>注</w:t>
      </w:r>
      <w:r>
        <w:rPr>
          <w:rFonts w:ascii="Times New Roman"/>
          <w:snapToGrid w:val="0"/>
          <w:color w:val="auto"/>
          <w:kern w:val="21"/>
          <w:lang w:val="en-US"/>
        </w:rPr>
        <w:t>：</w:t>
      </w:r>
      <w:r>
        <w:rPr>
          <w:rFonts w:ascii="Times New Roman"/>
          <w:snapToGrid w:val="0"/>
          <w:color w:val="auto"/>
          <w:kern w:val="21"/>
        </w:rPr>
        <w:fldChar w:fldCharType="begin"/>
      </w:r>
      <w:r>
        <w:rPr>
          <w:rFonts w:ascii="Times New Roman"/>
          <w:snapToGrid w:val="0"/>
          <w:color w:val="auto"/>
          <w:kern w:val="21"/>
          <w:lang w:val="en-US"/>
        </w:rPr>
        <w:instrText xml:space="preserve"> = 6 \* GB3 \* MERGEFORMAT </w:instrText>
      </w:r>
      <w:r>
        <w:rPr>
          <w:rFonts w:ascii="Times New Roman"/>
          <w:snapToGrid w:val="0"/>
          <w:color w:val="auto"/>
          <w:kern w:val="21"/>
        </w:rPr>
        <w:fldChar w:fldCharType="separate"/>
      </w:r>
      <w:r>
        <w:rPr>
          <w:rFonts w:hint="eastAsia" w:hAnsi="宋体" w:cs="宋体"/>
          <w:color w:val="auto"/>
          <w:lang w:val="en-US"/>
        </w:rPr>
        <w:t>⑥</w:t>
      </w:r>
      <w:r>
        <w:rPr>
          <w:rFonts w:ascii="Times New Roman"/>
          <w:snapToGrid w:val="0"/>
          <w:color w:val="auto"/>
          <w:kern w:val="21"/>
        </w:rPr>
        <w:fldChar w:fldCharType="end"/>
      </w:r>
      <w:r>
        <w:rPr>
          <w:rFonts w:ascii="Times New Roman"/>
          <w:snapToGrid w:val="0"/>
          <w:color w:val="auto"/>
          <w:kern w:val="21"/>
          <w:lang w:val="en-US"/>
        </w:rPr>
        <w:t>=</w:t>
      </w:r>
      <w:r>
        <w:rPr>
          <w:rFonts w:ascii="Times New Roman"/>
          <w:snapToGrid w:val="0"/>
          <w:color w:val="auto"/>
          <w:kern w:val="21"/>
        </w:rPr>
        <w:fldChar w:fldCharType="begin"/>
      </w:r>
      <w:r>
        <w:rPr>
          <w:rFonts w:ascii="Times New Roman"/>
          <w:snapToGrid w:val="0"/>
          <w:color w:val="auto"/>
          <w:kern w:val="21"/>
          <w:lang w:val="en-US"/>
        </w:rPr>
        <w:instrText xml:space="preserve"> = 1 \* GB3 \* MERGEFORMAT </w:instrText>
      </w:r>
      <w:r>
        <w:rPr>
          <w:rFonts w:ascii="Times New Roman"/>
          <w:snapToGrid w:val="0"/>
          <w:color w:val="auto"/>
          <w:kern w:val="21"/>
        </w:rPr>
        <w:fldChar w:fldCharType="separate"/>
      </w:r>
      <w:r>
        <w:rPr>
          <w:rFonts w:hint="eastAsia" w:hAnsi="宋体" w:cs="宋体"/>
          <w:color w:val="auto"/>
          <w:lang w:val="en-US"/>
        </w:rPr>
        <w:t>①</w:t>
      </w:r>
      <w:r>
        <w:rPr>
          <w:rFonts w:ascii="Times New Roman"/>
          <w:snapToGrid w:val="0"/>
          <w:color w:val="auto"/>
          <w:kern w:val="21"/>
        </w:rPr>
        <w:fldChar w:fldCharType="end"/>
      </w:r>
      <w:r>
        <w:rPr>
          <w:rFonts w:ascii="Times New Roman"/>
          <w:snapToGrid w:val="0"/>
          <w:color w:val="auto"/>
          <w:kern w:val="21"/>
          <w:lang w:val="en-US"/>
        </w:rPr>
        <w:t>+</w:t>
      </w:r>
      <w:r>
        <w:rPr>
          <w:rFonts w:ascii="Times New Roman"/>
          <w:snapToGrid w:val="0"/>
          <w:color w:val="auto"/>
          <w:kern w:val="21"/>
        </w:rPr>
        <w:fldChar w:fldCharType="begin"/>
      </w:r>
      <w:r>
        <w:rPr>
          <w:rFonts w:ascii="Times New Roman"/>
          <w:snapToGrid w:val="0"/>
          <w:color w:val="auto"/>
          <w:kern w:val="21"/>
          <w:lang w:val="en-US"/>
        </w:rPr>
        <w:instrText xml:space="preserve"> = 3 \* GB3 \* MERGEFORMAT </w:instrText>
      </w:r>
      <w:r>
        <w:rPr>
          <w:rFonts w:ascii="Times New Roman"/>
          <w:snapToGrid w:val="0"/>
          <w:color w:val="auto"/>
          <w:kern w:val="21"/>
        </w:rPr>
        <w:fldChar w:fldCharType="separate"/>
      </w:r>
      <w:r>
        <w:rPr>
          <w:rFonts w:hint="eastAsia" w:hAnsi="宋体" w:cs="宋体"/>
          <w:color w:val="auto"/>
          <w:lang w:val="en-US"/>
        </w:rPr>
        <w:t>③</w:t>
      </w:r>
      <w:r>
        <w:rPr>
          <w:rFonts w:ascii="Times New Roman"/>
          <w:snapToGrid w:val="0"/>
          <w:color w:val="auto"/>
          <w:kern w:val="21"/>
        </w:rPr>
        <w:fldChar w:fldCharType="end"/>
      </w:r>
      <w:r>
        <w:rPr>
          <w:rFonts w:ascii="Times New Roman"/>
          <w:snapToGrid w:val="0"/>
          <w:color w:val="auto"/>
          <w:kern w:val="21"/>
          <w:lang w:val="en-US"/>
        </w:rPr>
        <w:t>+</w:t>
      </w:r>
      <w:r>
        <w:rPr>
          <w:rFonts w:ascii="Times New Roman"/>
          <w:snapToGrid w:val="0"/>
          <w:color w:val="auto"/>
          <w:kern w:val="21"/>
        </w:rPr>
        <w:fldChar w:fldCharType="begin"/>
      </w:r>
      <w:r>
        <w:rPr>
          <w:rFonts w:ascii="Times New Roman"/>
          <w:snapToGrid w:val="0"/>
          <w:color w:val="auto"/>
          <w:kern w:val="21"/>
          <w:lang w:val="en-US"/>
        </w:rPr>
        <w:instrText xml:space="preserve"> = 4 \* GB3 \* MERGEFORMAT </w:instrText>
      </w:r>
      <w:r>
        <w:rPr>
          <w:rFonts w:ascii="Times New Roman"/>
          <w:snapToGrid w:val="0"/>
          <w:color w:val="auto"/>
          <w:kern w:val="21"/>
        </w:rPr>
        <w:fldChar w:fldCharType="separate"/>
      </w:r>
      <w:r>
        <w:rPr>
          <w:rFonts w:hint="eastAsia" w:hAnsi="宋体" w:cs="宋体"/>
          <w:color w:val="auto"/>
          <w:lang w:val="en-US"/>
        </w:rPr>
        <w:t>④</w:t>
      </w:r>
      <w:r>
        <w:rPr>
          <w:rFonts w:ascii="Times New Roman"/>
          <w:snapToGrid w:val="0"/>
          <w:color w:val="auto"/>
          <w:kern w:val="21"/>
        </w:rPr>
        <w:fldChar w:fldCharType="end"/>
      </w:r>
      <w:r>
        <w:rPr>
          <w:rFonts w:ascii="Times New Roman"/>
          <w:snapToGrid w:val="0"/>
          <w:color w:val="auto"/>
          <w:kern w:val="21"/>
          <w:lang w:val="en-US"/>
        </w:rPr>
        <w:t>-</w:t>
      </w:r>
      <w:r>
        <w:rPr>
          <w:rFonts w:ascii="Times New Roman"/>
          <w:snapToGrid w:val="0"/>
          <w:color w:val="auto"/>
          <w:kern w:val="21"/>
        </w:rPr>
        <w:fldChar w:fldCharType="begin"/>
      </w:r>
      <w:r>
        <w:rPr>
          <w:rFonts w:ascii="Times New Roman"/>
          <w:snapToGrid w:val="0"/>
          <w:color w:val="auto"/>
          <w:kern w:val="21"/>
          <w:lang w:val="en-US"/>
        </w:rPr>
        <w:instrText xml:space="preserve"> = 5 \* GB3 \* MERGEFORMAT </w:instrText>
      </w:r>
      <w:r>
        <w:rPr>
          <w:rFonts w:ascii="Times New Roman"/>
          <w:snapToGrid w:val="0"/>
          <w:color w:val="auto"/>
          <w:kern w:val="21"/>
        </w:rPr>
        <w:fldChar w:fldCharType="separate"/>
      </w:r>
      <w:r>
        <w:rPr>
          <w:rFonts w:hint="eastAsia" w:hAnsi="宋体" w:cs="宋体"/>
          <w:color w:val="auto"/>
          <w:lang w:val="en-US"/>
        </w:rPr>
        <w:t>⑤</w:t>
      </w:r>
      <w:r>
        <w:rPr>
          <w:rFonts w:ascii="Times New Roman"/>
          <w:snapToGrid w:val="0"/>
          <w:color w:val="auto"/>
          <w:kern w:val="21"/>
        </w:rPr>
        <w:fldChar w:fldCharType="end"/>
      </w:r>
      <w:r>
        <w:rPr>
          <w:rFonts w:ascii="Times New Roman"/>
          <w:snapToGrid w:val="0"/>
          <w:color w:val="auto"/>
          <w:kern w:val="21"/>
          <w:lang w:val="en-US"/>
        </w:rPr>
        <w:t>；</w:t>
      </w:r>
      <w:r>
        <w:rPr>
          <w:rFonts w:ascii="Times New Roman"/>
          <w:snapToGrid w:val="0"/>
          <w:color w:val="auto"/>
          <w:kern w:val="21"/>
        </w:rPr>
        <w:fldChar w:fldCharType="begin"/>
      </w:r>
      <w:r>
        <w:rPr>
          <w:rFonts w:ascii="Times New Roman"/>
          <w:snapToGrid w:val="0"/>
          <w:color w:val="auto"/>
          <w:kern w:val="21"/>
          <w:lang w:val="en-US"/>
        </w:rPr>
        <w:instrText xml:space="preserve"> = 7 \* GB3 \* MERGEFORMAT </w:instrText>
      </w:r>
      <w:r>
        <w:rPr>
          <w:rFonts w:ascii="Times New Roman"/>
          <w:snapToGrid w:val="0"/>
          <w:color w:val="auto"/>
          <w:kern w:val="21"/>
        </w:rPr>
        <w:fldChar w:fldCharType="separate"/>
      </w:r>
      <w:r>
        <w:rPr>
          <w:rFonts w:hint="eastAsia" w:hAnsi="宋体" w:cs="宋体"/>
          <w:color w:val="auto"/>
          <w:lang w:val="en-US"/>
        </w:rPr>
        <w:t>⑦</w:t>
      </w:r>
      <w:r>
        <w:rPr>
          <w:rFonts w:ascii="Times New Roman"/>
          <w:snapToGrid w:val="0"/>
          <w:color w:val="auto"/>
          <w:kern w:val="21"/>
        </w:rPr>
        <w:fldChar w:fldCharType="end"/>
      </w:r>
      <w:r>
        <w:rPr>
          <w:rFonts w:ascii="Times New Roman"/>
          <w:snapToGrid w:val="0"/>
          <w:color w:val="auto"/>
          <w:kern w:val="21"/>
          <w:lang w:val="en-US"/>
        </w:rPr>
        <w:t>=</w:t>
      </w:r>
      <w:r>
        <w:rPr>
          <w:rFonts w:ascii="Times New Roman"/>
          <w:snapToGrid w:val="0"/>
          <w:color w:val="auto"/>
          <w:kern w:val="21"/>
        </w:rPr>
        <w:fldChar w:fldCharType="begin"/>
      </w:r>
      <w:r>
        <w:rPr>
          <w:rFonts w:ascii="Times New Roman"/>
          <w:snapToGrid w:val="0"/>
          <w:color w:val="auto"/>
          <w:kern w:val="21"/>
          <w:lang w:val="en-US"/>
        </w:rPr>
        <w:instrText xml:space="preserve"> = 6 \* GB3 \* MERGEFORMAT </w:instrText>
      </w:r>
      <w:r>
        <w:rPr>
          <w:rFonts w:ascii="Times New Roman"/>
          <w:snapToGrid w:val="0"/>
          <w:color w:val="auto"/>
          <w:kern w:val="21"/>
        </w:rPr>
        <w:fldChar w:fldCharType="separate"/>
      </w:r>
      <w:r>
        <w:rPr>
          <w:rFonts w:hint="eastAsia" w:hAnsi="宋体" w:cs="宋体"/>
          <w:color w:val="auto"/>
          <w:lang w:val="en-US"/>
        </w:rPr>
        <w:t>⑥</w:t>
      </w:r>
      <w:r>
        <w:rPr>
          <w:rFonts w:ascii="Times New Roman"/>
          <w:snapToGrid w:val="0"/>
          <w:color w:val="auto"/>
          <w:kern w:val="21"/>
        </w:rPr>
        <w:fldChar w:fldCharType="end"/>
      </w:r>
      <w:r>
        <w:rPr>
          <w:rFonts w:ascii="Times New Roman"/>
          <w:snapToGrid w:val="0"/>
          <w:color w:val="auto"/>
          <w:kern w:val="21"/>
          <w:lang w:val="en-US"/>
        </w:rPr>
        <w:t>-</w:t>
      </w:r>
      <w:r>
        <w:rPr>
          <w:rFonts w:ascii="Times New Roman"/>
          <w:snapToGrid w:val="0"/>
          <w:color w:val="auto"/>
          <w:kern w:val="21"/>
        </w:rPr>
        <w:fldChar w:fldCharType="begin"/>
      </w:r>
      <w:r>
        <w:rPr>
          <w:rFonts w:ascii="Times New Roman"/>
          <w:snapToGrid w:val="0"/>
          <w:color w:val="auto"/>
          <w:kern w:val="21"/>
          <w:lang w:val="en-US"/>
        </w:rPr>
        <w:instrText xml:space="preserve"> = 1 \* GB3 \* MERGEFORMAT </w:instrText>
      </w:r>
      <w:r>
        <w:rPr>
          <w:rFonts w:ascii="Times New Roman"/>
          <w:snapToGrid w:val="0"/>
          <w:color w:val="auto"/>
          <w:kern w:val="21"/>
        </w:rPr>
        <w:fldChar w:fldCharType="separate"/>
      </w:r>
      <w:r>
        <w:rPr>
          <w:rFonts w:hint="eastAsia" w:hAnsi="宋体" w:cs="宋体"/>
          <w:color w:val="auto"/>
          <w:lang w:val="en-US"/>
        </w:rPr>
        <w:t>①</w:t>
      </w:r>
      <w:r>
        <w:rPr>
          <w:rFonts w:ascii="Times New Roman"/>
          <w:snapToGrid w:val="0"/>
          <w:color w:val="auto"/>
          <w:kern w:val="21"/>
        </w:rPr>
        <w:fldChar w:fldCharType="end"/>
      </w:r>
      <w:bookmarkEnd w:id="40"/>
      <w:r>
        <w:rPr>
          <w:rFonts w:ascii="Times New Roman"/>
          <w:snapToGrid w:val="0"/>
          <w:color w:val="auto"/>
          <w:kern w:val="21"/>
        </w:rPr>
        <w:t>；单位：t/a</w:t>
      </w:r>
    </w:p>
    <w:sectPr>
      <w:headerReference r:id="rId19" w:type="default"/>
      <w:pgSz w:w="16838" w:h="11906" w:orient="landscape"/>
      <w:pgMar w:top="851" w:right="1701" w:bottom="851" w:left="1701" w:header="567" w:footer="567" w:gutter="0"/>
      <w:pgNumType w:fmt="decimal"/>
      <w:cols w:space="720" w:num="1"/>
      <w:docGrid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roman"/>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libri Light">
    <w:panose1 w:val="020F0302020204030204"/>
    <w:charset w:val="00"/>
    <w:family w:val="swiss"/>
    <w:pitch w:val="default"/>
    <w:sig w:usb0="A00002EF" w:usb1="4000207B" w:usb2="00000000" w:usb3="00000000" w:csb0="2000019F" w:csb1="00000000"/>
  </w:font>
  <w:font w:name="仿宋_GB2312">
    <w:altName w:val="仿宋"/>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Arial Unicode MS">
    <w:altName w:val="宋体"/>
    <w:panose1 w:val="020B0604020202020204"/>
    <w:charset w:val="86"/>
    <w:family w:val="swiss"/>
    <w:pitch w:val="default"/>
    <w:sig w:usb0="00000000" w:usb1="00000000" w:usb2="0000007F" w:usb3="00000000" w:csb0="203F01FF" w:csb1="DFFF0000"/>
  </w:font>
  <w:font w:name="Cambria">
    <w:panose1 w:val="02040503050406030204"/>
    <w:charset w:val="00"/>
    <w:family w:val="roman"/>
    <w:pitch w:val="default"/>
    <w:sig w:usb0="E00002FF" w:usb1="400004FF" w:usb2="00000000" w:usb3="00000000" w:csb0="2000019F" w:csb1="00000000"/>
  </w:font>
  <w:font w:name="Consolas">
    <w:panose1 w:val="020B0609020204030204"/>
    <w:charset w:val="00"/>
    <w:family w:val="modern"/>
    <w:pitch w:val="default"/>
    <w:sig w:usb0="E10002FF" w:usb1="4000FCFF" w:usb2="00000009" w:usb3="00000000" w:csb0="6000019F" w:csb1="DFD70000"/>
  </w:font>
  <w:font w:name="TimesNewRoman">
    <w:altName w:val="Times New Roman"/>
    <w:panose1 w:val="00000000000000000000"/>
    <w:charset w:val="00"/>
    <w:family w:val="auto"/>
    <w:pitch w:val="default"/>
    <w:sig w:usb0="00000000" w:usb1="00000000" w:usb2="00000000" w:usb3="00000000" w:csb0="00040001" w:csb1="00000000"/>
  </w:font>
  <w:font w:name="华文中宋">
    <w:panose1 w:val="02010600040101010101"/>
    <w:charset w:val="86"/>
    <w:family w:val="auto"/>
    <w:pitch w:val="default"/>
    <w:sig w:usb0="00000287" w:usb1="080F0000" w:usb2="00000000" w:usb3="00000000" w:csb0="0004009F" w:csb1="DFD70000"/>
  </w:font>
  <w:font w:name="ºÚÌå">
    <w:altName w:val="Arial"/>
    <w:panose1 w:val="00000000000000000000"/>
    <w:charset w:val="00"/>
    <w:family w:val="swiss"/>
    <w:pitch w:val="default"/>
    <w:sig w:usb0="00000000" w:usb1="00000000" w:usb2="00000000" w:usb3="00000000" w:csb0="00000001"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swiss"/>
    <w:pitch w:val="default"/>
    <w:sig w:usb0="E1002EFF" w:usb1="C000605B" w:usb2="00000029" w:usb3="00000000" w:csb0="200101FF" w:csb1="20280000"/>
  </w:font>
  <w:font w:name="汉鼎简书宋">
    <w:altName w:val="宋体"/>
    <w:panose1 w:val="00000000000000000000"/>
    <w:charset w:val="86"/>
    <w:family w:val="modern"/>
    <w:pitch w:val="default"/>
    <w:sig w:usb0="00000000" w:usb1="00000000" w:usb2="00000010" w:usb3="00000000" w:csb0="00040000" w:csb1="00000000"/>
  </w:font>
  <w:font w:name="”“Times New Roman”“">
    <w:altName w:val="宋体"/>
    <w:panose1 w:val="00000000000000000000"/>
    <w:charset w:val="00"/>
    <w:family w:val="auto"/>
    <w:pitch w:val="default"/>
    <w:sig w:usb0="00000000" w:usb1="00000000" w:usb2="00000000" w:usb3="00000000" w:csb0="00000000" w:csb1="0000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10006FF" w:usb1="4000205B" w:usb2="00000010" w:usb3="00000000" w:csb0="2000019F"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等线">
    <w:panose1 w:val="02010600030101010101"/>
    <w:charset w:val="86"/>
    <w:family w:val="auto"/>
    <w:pitch w:val="default"/>
    <w:sig w:usb0="A00002BF" w:usb1="38CF7CFA" w:usb2="00000016" w:usb3="00000000" w:csb0="0004000F" w:csb1="00000000"/>
  </w:font>
  <w:font w:name="华文细黑">
    <w:panose1 w:val="02010600040101010101"/>
    <w:charset w:val="86"/>
    <w:family w:val="auto"/>
    <w:pitch w:val="default"/>
    <w:sig w:usb0="00000287" w:usb1="080F0000" w:usb2="00000000" w:usb3="00000000" w:csb0="0004009F" w:csb1="DFD70000"/>
  </w:font>
  <w:font w:name="方正姚体">
    <w:panose1 w:val="02010601030101010101"/>
    <w:charset w:val="86"/>
    <w:family w:val="auto"/>
    <w:pitch w:val="default"/>
    <w:sig w:usb0="00000003" w:usb1="080E0000" w:usb2="00000000" w:usb3="00000000" w:csb0="00040000" w:csb1="00000000"/>
  </w:font>
  <w:font w:name="TimesNewRomanPS-BoldMT">
    <w:altName w:val="微软雅黑"/>
    <w:panose1 w:val="00000000000000000000"/>
    <w:charset w:val="00"/>
    <w:family w:val="auto"/>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华文楷体">
    <w:panose1 w:val="02010600040101010101"/>
    <w:charset w:val="86"/>
    <w:family w:val="auto"/>
    <w:pitch w:val="default"/>
    <w:sig w:usb0="00000287" w:usb1="080F0000" w:usb2="00000000" w:usb3="00000000" w:csb0="0004009F" w:csb1="DFD70000"/>
  </w:font>
  <w:font w:name="新宋体">
    <w:panose1 w:val="02010609030101010101"/>
    <w:charset w:val="86"/>
    <w:family w:val="auto"/>
    <w:pitch w:val="default"/>
    <w:sig w:usb0="00000003" w:usb1="288F0000" w:usb2="00000006" w:usb3="00000000" w:csb0="00040001" w:csb1="00000000"/>
  </w:font>
  <w:font w:name="Gulim">
    <w:panose1 w:val="020B0600000101010101"/>
    <w:charset w:val="81"/>
    <w:family w:val="auto"/>
    <w:pitch w:val="default"/>
    <w:sig w:usb0="B00002AF" w:usb1="69D77CFB" w:usb2="00000030" w:usb3="00000000" w:csb0="4008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97783F">
    <w:pPr>
      <w:pStyle w:val="38"/>
      <w:framePr w:wrap="around" w:vAnchor="text" w:hAnchor="margin" w:xAlign="center" w:y="1"/>
      <w:rPr>
        <w:rStyle w:val="62"/>
      </w:rPr>
    </w:pPr>
    <w:r>
      <w:fldChar w:fldCharType="begin"/>
    </w:r>
    <w:r>
      <w:rPr>
        <w:rStyle w:val="62"/>
      </w:rPr>
      <w:instrText xml:space="preserve">PAGE  </w:instrText>
    </w:r>
    <w:r>
      <w:fldChar w:fldCharType="separate"/>
    </w:r>
    <w:r>
      <w:rPr>
        <w:rStyle w:val="62"/>
      </w:rPr>
      <w:t>- 1 -</w:t>
    </w:r>
    <w:r>
      <w:fldChar w:fldCharType="end"/>
    </w:r>
  </w:p>
  <w:p w14:paraId="56ECCF78">
    <w:pPr>
      <w:pStyle w:val="38"/>
      <w:ind w:right="360" w:firstLine="360"/>
    </w:pPr>
  </w:p>
  <w:p w14:paraId="55E00C7A"/>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F964B8">
    <w:pPr>
      <w:pStyle w:val="38"/>
    </w:pPr>
  </w:p>
  <w:p w14:paraId="6199936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3D3350">
    <w:pPr>
      <w:pStyle w:val="38"/>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44E3B2">
    <w:pPr>
      <w:pStyle w:val="38"/>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5AAC0B">
    <w:pPr>
      <w:pStyle w:val="38"/>
      <w:jc w:val="center"/>
    </w:pPr>
  </w:p>
  <w:p w14:paraId="1386FF36">
    <w:pPr>
      <w:pStyle w:val="38"/>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E0DE05">
    <w:pPr>
      <w:pStyle w:val="38"/>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82B922">
                          <w:pPr>
                            <w:pStyle w:val="3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xhYO8zAgAAYw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lTYphGx08/vp9+&#10;Ppx+fSM4g0CNCzPE3TtExvadbTE2w3nAYeLdVl6nLxgR+CHv8SKvaCPh6dJ0Mp3mcHH4hg3ws8fr&#10;zof4XlhNklFQj/51srLDJsQ+dAhJ2YxdS6W6HipDmoJevX6b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xhYO8zAgAAYwQAAA4AAAAAAAAAAQAgAAAAHwEAAGRycy9lMm9Eb2MueG1sUEsF&#10;BgAAAAAGAAYAWQEAAMQFAAAAAA==&#10;">
              <v:fill on="f" focussize="0,0"/>
              <v:stroke on="f" weight="0.5pt"/>
              <v:imagedata o:title=""/>
              <o:lock v:ext="edit" aspectratio="f"/>
              <v:textbox inset="0mm,0mm,0mm,0mm" style="mso-fit-shape-to-text:t;">
                <w:txbxContent>
                  <w:p w14:paraId="1282B922">
                    <w:pPr>
                      <w:pStyle w:val="3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8" w:lineRule="auto"/>
      </w:pPr>
      <w:r>
        <w:separator/>
      </w:r>
    </w:p>
  </w:footnote>
  <w:footnote w:type="continuationSeparator" w:id="1">
    <w:p>
      <w:pPr>
        <w:spacing w:before="0" w:after="0" w:line="278"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A0751F">
    <w:pPr>
      <w:pStyle w:val="39"/>
    </w:pPr>
  </w:p>
  <w:p w14:paraId="63BA08B7"/>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C7E2FA">
    <w:pPr>
      <w:pStyle w:val="39"/>
      <w:pBdr>
        <w:bottom w:val="single" w:color="auto" w:sz="6" w:space="4"/>
      </w:pBdr>
      <w:jc w:val="right"/>
      <w:rPr>
        <w:color w:val="000000" w:themeColor="text1"/>
        <w14:textFill>
          <w14:solidFill>
            <w14:schemeClr w14:val="tx1"/>
          </w14:solidFill>
        </w14:textFill>
      </w:rPr>
    </w:pPr>
    <w:r>
      <w:rPr>
        <w:rFonts w:hint="eastAsia"/>
        <w:color w:val="000000" w:themeColor="text1"/>
        <w14:textFill>
          <w14:solidFill>
            <w14:schemeClr w14:val="tx1"/>
          </w14:solidFill>
        </w14:textFill>
      </w:rPr>
      <w:t>一、建设项目基本情况</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734719">
    <w:pPr>
      <w:pStyle w:val="39"/>
      <w:pBdr>
        <w:bottom w:val="single" w:color="auto" w:sz="6" w:space="4"/>
      </w:pBdr>
      <w:jc w:val="right"/>
      <w:rPr>
        <w:color w:val="000000" w:themeColor="text1"/>
        <w14:textFill>
          <w14:solidFill>
            <w14:schemeClr w14:val="tx1"/>
          </w14:solidFill>
        </w14:textFill>
      </w:rPr>
    </w:pPr>
    <w:r>
      <w:rPr>
        <w:rFonts w:hint="eastAsia"/>
      </w:rPr>
      <w:t xml:space="preserve">               </w:t>
    </w:r>
    <w:r>
      <w:rPr>
        <w:rFonts w:hint="eastAsia"/>
        <w:color w:val="000000" w:themeColor="text1"/>
        <w14:textFill>
          <w14:solidFill>
            <w14:schemeClr w14:val="tx1"/>
          </w14:solidFill>
        </w14:textFill>
      </w:rPr>
      <w:t>二、建设项目工程分析</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DE720">
    <w:pPr>
      <w:pStyle w:val="39"/>
      <w:jc w:val="right"/>
    </w:pPr>
    <w:bookmarkStart w:id="44" w:name="_Toc10412"/>
    <w:r>
      <w:rPr>
        <w:rFonts w:hint="eastAsia"/>
      </w:rPr>
      <w:t>三、区域环境质量现状、环境保护目标及评价标准</w:t>
    </w:r>
    <w:bookmarkEnd w:id="44"/>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284109">
    <w:pPr>
      <w:pStyle w:val="39"/>
      <w:jc w:val="right"/>
      <w:rPr>
        <w:rFonts w:hint="eastAsia" w:eastAsia="宋体"/>
        <w:lang w:eastAsia="zh-CN"/>
      </w:rPr>
    </w:pPr>
    <w:r>
      <w:rPr>
        <w:rFonts w:hint="eastAsia"/>
        <w:lang w:eastAsia="zh-CN"/>
      </w:rPr>
      <w:t>四、主要环境影响和保护措施</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C22BC7">
    <w:pPr>
      <w:pStyle w:val="39"/>
      <w:pBdr>
        <w:bottom w:val="single" w:color="auto" w:sz="6" w:space="4"/>
      </w:pBdr>
      <w:jc w:val="right"/>
    </w:pPr>
    <w:r>
      <w:rPr>
        <w:rFonts w:hint="eastAsia"/>
      </w:rPr>
      <w:t xml:space="preserve">                          </w:t>
    </w:r>
    <w:r>
      <w:t>四、主要环境影响和保护措施</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7144AA">
    <w:pPr>
      <w:pStyle w:val="39"/>
      <w:pBdr>
        <w:bottom w:val="single" w:color="auto" w:sz="6" w:space="4"/>
      </w:pBdr>
      <w:jc w:val="right"/>
    </w:pPr>
    <w:r>
      <w:rPr>
        <w:rFonts w:hint="eastAsia"/>
      </w:rPr>
      <w:t xml:space="preserve">                          </w:t>
    </w:r>
    <w:r>
      <w:t>五、环境保护措施监督检查清单</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0B87DC">
    <w:pPr>
      <w:pStyle w:val="39"/>
      <w:pBdr>
        <w:bottom w:val="single" w:color="auto" w:sz="6" w:space="4"/>
      </w:pBdr>
      <w:jc w:val="right"/>
      <w:rPr>
        <w:rFonts w:hint="eastAsia" w:eastAsia="宋体"/>
        <w:lang w:eastAsia="zh-CN"/>
      </w:rPr>
    </w:pPr>
    <w:r>
      <w:rPr>
        <w:rFonts w:hint="eastAsia"/>
      </w:rPr>
      <w:t xml:space="preserve">                          </w:t>
    </w:r>
    <w:r>
      <w:rPr>
        <w:rFonts w:hint="eastAsia"/>
        <w:lang w:eastAsia="zh-CN"/>
      </w:rPr>
      <w:t>六、结论</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D350D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9FA8C7"/>
    <w:multiLevelType w:val="singleLevel"/>
    <w:tmpl w:val="829FA8C7"/>
    <w:lvl w:ilvl="0" w:tentative="0">
      <w:start w:val="1"/>
      <w:numFmt w:val="decimal"/>
      <w:pStyle w:val="423"/>
      <w:suff w:val="nothing"/>
      <w:lvlText w:val="%1"/>
      <w:lvlJc w:val="left"/>
      <w:pPr>
        <w:tabs>
          <w:tab w:val="left" w:pos="6142"/>
        </w:tabs>
      </w:pPr>
      <w:rPr>
        <w:rFonts w:hint="default" w:ascii="Times New Roman" w:hAnsi="Times New Roman" w:eastAsia="宋体" w:cs="仿宋_GB2312"/>
      </w:rPr>
    </w:lvl>
  </w:abstractNum>
  <w:abstractNum w:abstractNumId="1">
    <w:nsid w:val="FFFFFF89"/>
    <w:multiLevelType w:val="singleLevel"/>
    <w:tmpl w:val="FFFFFF89"/>
    <w:lvl w:ilvl="0" w:tentative="0">
      <w:start w:val="1"/>
      <w:numFmt w:val="bullet"/>
      <w:pStyle w:val="18"/>
      <w:lvlText w:val=""/>
      <w:lvlJc w:val="left"/>
      <w:pPr>
        <w:tabs>
          <w:tab w:val="left" w:pos="360"/>
        </w:tabs>
        <w:ind w:left="360" w:hanging="360" w:hangingChars="200"/>
      </w:pPr>
      <w:rPr>
        <w:rFonts w:hint="default" w:ascii="Wingdings" w:hAnsi="Wingdings"/>
      </w:rPr>
    </w:lvl>
  </w:abstractNum>
  <w:abstractNum w:abstractNumId="2">
    <w:nsid w:val="1CF64FBF"/>
    <w:multiLevelType w:val="multilevel"/>
    <w:tmpl w:val="1CF64FBF"/>
    <w:lvl w:ilvl="0" w:tentative="0">
      <w:start w:val="7"/>
      <w:numFmt w:val="japaneseCounting"/>
      <w:pStyle w:val="390"/>
      <w:lvlText w:val="%1、"/>
      <w:lvlJc w:val="left"/>
      <w:pPr>
        <w:ind w:left="510" w:hanging="510"/>
      </w:pPr>
      <w:rPr>
        <w:rFonts w:hint="default"/>
        <w:lang w:val="en-US"/>
      </w:rPr>
    </w:lvl>
    <w:lvl w:ilvl="1" w:tentative="0">
      <w:start w:val="7"/>
      <w:numFmt w:val="decimal"/>
      <w:suff w:val="nothing"/>
      <w:lvlText w:val="%2、"/>
      <w:lvlJc w:val="left"/>
      <w:pPr>
        <w:ind w:left="927" w:hanging="360"/>
      </w:pPr>
      <w:rPr>
        <w:rFonts w:hint="default"/>
      </w:rPr>
    </w:lvl>
    <w:lvl w:ilvl="2" w:tentative="0">
      <w:start w:val="1"/>
      <w:numFmt w:val="decimal"/>
      <w:suff w:val="space"/>
      <w:lvlText w:val="%3、"/>
      <w:lvlJc w:val="left"/>
      <w:pPr>
        <w:ind w:left="567" w:firstLine="0"/>
      </w:pPr>
      <w:rPr>
        <w:rFonts w:hint="default"/>
        <w:b/>
      </w:rPr>
    </w:lvl>
    <w:lvl w:ilvl="3" w:tentative="0">
      <w:start w:val="1"/>
      <w:numFmt w:val="decimalEnclosedCircle"/>
      <w:lvlText w:val="%4"/>
      <w:lvlJc w:val="left"/>
      <w:pPr>
        <w:ind w:left="1620" w:hanging="360"/>
      </w:pPr>
      <w:rPr>
        <w:rFonts w:hint="default"/>
      </w:r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357918B7"/>
    <w:multiLevelType w:val="multilevel"/>
    <w:tmpl w:val="357918B7"/>
    <w:lvl w:ilvl="0" w:tentative="0">
      <w:start w:val="1"/>
      <w:numFmt w:val="decimal"/>
      <w:pStyle w:val="594"/>
      <w:lvlText w:val="2.%1 "/>
      <w:lvlJc w:val="left"/>
      <w:pPr>
        <w:ind w:left="0" w:firstLine="0"/>
      </w:pPr>
      <w:rPr>
        <w:rFonts w:hint="eastAsia"/>
        <w:b/>
        <w:i w:val="0"/>
        <w:sz w:val="24"/>
      </w:rPr>
    </w:lvl>
    <w:lvl w:ilvl="1" w:tentative="0">
      <w:start w:val="1"/>
      <w:numFmt w:val="decimal"/>
      <w:pStyle w:val="595"/>
      <w:lvlText w:val="2.%2 "/>
      <w:lvlJc w:val="left"/>
      <w:pPr>
        <w:ind w:left="440" w:hanging="440"/>
      </w:pPr>
      <w:rPr>
        <w:rFonts w:hint="eastAsia"/>
      </w:rPr>
    </w:lvl>
    <w:lvl w:ilvl="2" w:tentative="0">
      <w:start w:val="1"/>
      <w:numFmt w:val="none"/>
      <w:pStyle w:val="596"/>
      <w:suff w:val="space"/>
      <w:lvlText w:val="2.1.1.1"/>
      <w:lvlJc w:val="left"/>
      <w:pPr>
        <w:ind w:left="0" w:firstLine="0"/>
      </w:pPr>
      <w:rPr>
        <w:rFonts w:hint="default" w:ascii="Times New Roman" w:hAnsi="Times New Roman" w:eastAsia="宋体"/>
        <w:b/>
        <w:i w:val="0"/>
        <w:sz w:val="24"/>
      </w:rPr>
    </w:lvl>
    <w:lvl w:ilvl="3" w:tentative="0">
      <w:start w:val="1"/>
      <w:numFmt w:val="none"/>
      <w:lvlText w:val=""/>
      <w:lvlJc w:val="left"/>
      <w:pPr>
        <w:ind w:left="0" w:firstLine="0"/>
      </w:pPr>
      <w:rPr>
        <w:rFonts w:hint="default" w:ascii="Times New Roman" w:hAnsi="Times New Roman" w:eastAsia="宋体"/>
        <w:b/>
        <w:i w:val="0"/>
      </w:rPr>
    </w:lvl>
    <w:lvl w:ilvl="4" w:tentative="0">
      <w:start w:val="1"/>
      <w:numFmt w:val="none"/>
      <w:suff w:val="space"/>
      <w:lvlText w:val=""/>
      <w:lvlJc w:val="left"/>
      <w:pPr>
        <w:ind w:left="0" w:firstLine="0"/>
      </w:pPr>
      <w:rPr>
        <w:rFonts w:hint="default" w:ascii="Times New Roman" w:hAnsi="Times New Roman" w:eastAsia="宋体"/>
        <w:b/>
        <w:i w:val="0"/>
        <w:sz w:val="24"/>
      </w:rPr>
    </w:lvl>
    <w:lvl w:ilvl="5" w:tentative="0">
      <w:start w:val="1"/>
      <w:numFmt w:val="none"/>
      <w:lvlText w:val=""/>
      <w:lvlJc w:val="left"/>
      <w:pPr>
        <w:ind w:left="0" w:firstLine="0"/>
      </w:pPr>
      <w:rPr>
        <w:rFonts w:hint="eastAsia"/>
      </w:rPr>
    </w:lvl>
    <w:lvl w:ilvl="6" w:tentative="0">
      <w:start w:val="1"/>
      <w:numFmt w:val="none"/>
      <w:lvlText w:val=""/>
      <w:lvlJc w:val="left"/>
      <w:pPr>
        <w:ind w:left="0" w:firstLine="0"/>
      </w:pPr>
      <w:rPr>
        <w:rFonts w:hint="eastAsia"/>
      </w:rPr>
    </w:lvl>
    <w:lvl w:ilvl="7" w:tentative="0">
      <w:start w:val="1"/>
      <w:numFmt w:val="none"/>
      <w:lvlText w:val=""/>
      <w:lvlJc w:val="left"/>
      <w:pPr>
        <w:ind w:left="0" w:firstLine="0"/>
      </w:pPr>
      <w:rPr>
        <w:rFonts w:hint="eastAsia"/>
      </w:rPr>
    </w:lvl>
    <w:lvl w:ilvl="8" w:tentative="0">
      <w:start w:val="1"/>
      <w:numFmt w:val="none"/>
      <w:lvlText w:val=""/>
      <w:lvlJc w:val="left"/>
      <w:pPr>
        <w:ind w:left="0" w:firstLine="0"/>
      </w:pPr>
      <w:rPr>
        <w:rFonts w:hint="eastAsia"/>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0"/>
  <w:displayHorizontalDrawingGridEvery w:val="1"/>
  <w:displayVerticalDrawingGridEvery w:val="1"/>
  <w:noPunctuationKerning w:val="1"/>
  <w:characterSpacingControl w:val="doNotCompress"/>
  <w:footnotePr>
    <w:footnote w:id="0"/>
    <w:footnote w:id="1"/>
  </w:footnotePr>
  <w:endnotePr>
    <w:endnote w:id="0"/>
    <w:endnote w:id="1"/>
  </w:endnotePr>
  <w:compat>
    <w:balanceSingleByteDoubleByteWidth/>
    <w:doNotLeaveBackslashAlon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mI0NGRhMzQ5NzUyYjE4OGQ5MDJmZWJhODE4N2QxMmEifQ=="/>
  </w:docVars>
  <w:rsids>
    <w:rsidRoot w:val="00172A27"/>
    <w:rsid w:val="000000DF"/>
    <w:rsid w:val="00000506"/>
    <w:rsid w:val="00000599"/>
    <w:rsid w:val="00000B23"/>
    <w:rsid w:val="00000BB9"/>
    <w:rsid w:val="00000D79"/>
    <w:rsid w:val="000011F6"/>
    <w:rsid w:val="0000130D"/>
    <w:rsid w:val="00001A52"/>
    <w:rsid w:val="00001C42"/>
    <w:rsid w:val="00002319"/>
    <w:rsid w:val="000024DA"/>
    <w:rsid w:val="00002905"/>
    <w:rsid w:val="00003330"/>
    <w:rsid w:val="0000334D"/>
    <w:rsid w:val="00003619"/>
    <w:rsid w:val="00003622"/>
    <w:rsid w:val="00004543"/>
    <w:rsid w:val="000051F0"/>
    <w:rsid w:val="000060B3"/>
    <w:rsid w:val="000067D1"/>
    <w:rsid w:val="00006CB7"/>
    <w:rsid w:val="0000747F"/>
    <w:rsid w:val="0000779F"/>
    <w:rsid w:val="000078C0"/>
    <w:rsid w:val="00007D63"/>
    <w:rsid w:val="00007EF2"/>
    <w:rsid w:val="000106B0"/>
    <w:rsid w:val="00010843"/>
    <w:rsid w:val="00010B2E"/>
    <w:rsid w:val="0001234E"/>
    <w:rsid w:val="00012844"/>
    <w:rsid w:val="00012DA9"/>
    <w:rsid w:val="000134E4"/>
    <w:rsid w:val="000138A5"/>
    <w:rsid w:val="00013E54"/>
    <w:rsid w:val="0001406C"/>
    <w:rsid w:val="00014322"/>
    <w:rsid w:val="000143EE"/>
    <w:rsid w:val="000147E8"/>
    <w:rsid w:val="0001524D"/>
    <w:rsid w:val="00015354"/>
    <w:rsid w:val="00015682"/>
    <w:rsid w:val="000158D3"/>
    <w:rsid w:val="00015BFD"/>
    <w:rsid w:val="000162CB"/>
    <w:rsid w:val="00016D76"/>
    <w:rsid w:val="00017542"/>
    <w:rsid w:val="0001779C"/>
    <w:rsid w:val="000179BD"/>
    <w:rsid w:val="00017EBB"/>
    <w:rsid w:val="00020644"/>
    <w:rsid w:val="00020865"/>
    <w:rsid w:val="00021660"/>
    <w:rsid w:val="0002168F"/>
    <w:rsid w:val="00022291"/>
    <w:rsid w:val="00022295"/>
    <w:rsid w:val="00022437"/>
    <w:rsid w:val="0002303E"/>
    <w:rsid w:val="000238FC"/>
    <w:rsid w:val="00023EDD"/>
    <w:rsid w:val="00024014"/>
    <w:rsid w:val="0002451D"/>
    <w:rsid w:val="00024B07"/>
    <w:rsid w:val="00024ED1"/>
    <w:rsid w:val="00024ED4"/>
    <w:rsid w:val="000250CF"/>
    <w:rsid w:val="00025477"/>
    <w:rsid w:val="00025944"/>
    <w:rsid w:val="00025BEF"/>
    <w:rsid w:val="00025C77"/>
    <w:rsid w:val="00025C7C"/>
    <w:rsid w:val="00025F87"/>
    <w:rsid w:val="0002668B"/>
    <w:rsid w:val="00026A16"/>
    <w:rsid w:val="00026C38"/>
    <w:rsid w:val="00027372"/>
    <w:rsid w:val="00027430"/>
    <w:rsid w:val="000275C5"/>
    <w:rsid w:val="00027A7B"/>
    <w:rsid w:val="00027E01"/>
    <w:rsid w:val="00027E6F"/>
    <w:rsid w:val="00027F38"/>
    <w:rsid w:val="000301D0"/>
    <w:rsid w:val="000305F2"/>
    <w:rsid w:val="00030A43"/>
    <w:rsid w:val="00031434"/>
    <w:rsid w:val="000314D3"/>
    <w:rsid w:val="000315F6"/>
    <w:rsid w:val="00031B10"/>
    <w:rsid w:val="000326D4"/>
    <w:rsid w:val="00033121"/>
    <w:rsid w:val="00033C38"/>
    <w:rsid w:val="00033CB5"/>
    <w:rsid w:val="00033D17"/>
    <w:rsid w:val="00034012"/>
    <w:rsid w:val="00034247"/>
    <w:rsid w:val="0003472D"/>
    <w:rsid w:val="00034E57"/>
    <w:rsid w:val="00035393"/>
    <w:rsid w:val="000354EC"/>
    <w:rsid w:val="000356AC"/>
    <w:rsid w:val="000357FA"/>
    <w:rsid w:val="0003590A"/>
    <w:rsid w:val="000359D9"/>
    <w:rsid w:val="000360FA"/>
    <w:rsid w:val="00036418"/>
    <w:rsid w:val="00036729"/>
    <w:rsid w:val="00036800"/>
    <w:rsid w:val="00037460"/>
    <w:rsid w:val="00037700"/>
    <w:rsid w:val="0003779C"/>
    <w:rsid w:val="000378D5"/>
    <w:rsid w:val="00037D36"/>
    <w:rsid w:val="000409B8"/>
    <w:rsid w:val="00040C63"/>
    <w:rsid w:val="00041C67"/>
    <w:rsid w:val="00041D58"/>
    <w:rsid w:val="00041F73"/>
    <w:rsid w:val="00042309"/>
    <w:rsid w:val="00042553"/>
    <w:rsid w:val="000428C1"/>
    <w:rsid w:val="00042DDD"/>
    <w:rsid w:val="00043061"/>
    <w:rsid w:val="0004364B"/>
    <w:rsid w:val="00043AF9"/>
    <w:rsid w:val="00044D2C"/>
    <w:rsid w:val="00045E77"/>
    <w:rsid w:val="000462A4"/>
    <w:rsid w:val="000462D7"/>
    <w:rsid w:val="0004646A"/>
    <w:rsid w:val="00046634"/>
    <w:rsid w:val="000500C7"/>
    <w:rsid w:val="000505A7"/>
    <w:rsid w:val="00050DB1"/>
    <w:rsid w:val="00050F00"/>
    <w:rsid w:val="00051241"/>
    <w:rsid w:val="00051578"/>
    <w:rsid w:val="000526C3"/>
    <w:rsid w:val="000529F6"/>
    <w:rsid w:val="0005316E"/>
    <w:rsid w:val="0005425B"/>
    <w:rsid w:val="00054C95"/>
    <w:rsid w:val="00055142"/>
    <w:rsid w:val="000551B0"/>
    <w:rsid w:val="000552ED"/>
    <w:rsid w:val="00055417"/>
    <w:rsid w:val="00055535"/>
    <w:rsid w:val="000558F9"/>
    <w:rsid w:val="00055C7A"/>
    <w:rsid w:val="00055D02"/>
    <w:rsid w:val="00055ECB"/>
    <w:rsid w:val="00055EEB"/>
    <w:rsid w:val="00056AD3"/>
    <w:rsid w:val="00056FD9"/>
    <w:rsid w:val="00060778"/>
    <w:rsid w:val="00060D2B"/>
    <w:rsid w:val="00060ED0"/>
    <w:rsid w:val="00060F25"/>
    <w:rsid w:val="00061052"/>
    <w:rsid w:val="000614D5"/>
    <w:rsid w:val="00061611"/>
    <w:rsid w:val="00061B15"/>
    <w:rsid w:val="00061B1F"/>
    <w:rsid w:val="00062058"/>
    <w:rsid w:val="000620FE"/>
    <w:rsid w:val="00062564"/>
    <w:rsid w:val="000626DD"/>
    <w:rsid w:val="000628C0"/>
    <w:rsid w:val="000628C9"/>
    <w:rsid w:val="000630E8"/>
    <w:rsid w:val="00063606"/>
    <w:rsid w:val="00063877"/>
    <w:rsid w:val="00063CF0"/>
    <w:rsid w:val="000641BE"/>
    <w:rsid w:val="000643A7"/>
    <w:rsid w:val="000645FA"/>
    <w:rsid w:val="00065D11"/>
    <w:rsid w:val="00065EA1"/>
    <w:rsid w:val="000662AC"/>
    <w:rsid w:val="0006645B"/>
    <w:rsid w:val="00066AF4"/>
    <w:rsid w:val="00066D0D"/>
    <w:rsid w:val="00067CEF"/>
    <w:rsid w:val="00067D9D"/>
    <w:rsid w:val="00067E59"/>
    <w:rsid w:val="00067EDB"/>
    <w:rsid w:val="00070087"/>
    <w:rsid w:val="00070B8B"/>
    <w:rsid w:val="0007190B"/>
    <w:rsid w:val="000720D1"/>
    <w:rsid w:val="0007218E"/>
    <w:rsid w:val="0007234E"/>
    <w:rsid w:val="000729B2"/>
    <w:rsid w:val="00072D61"/>
    <w:rsid w:val="00072DBE"/>
    <w:rsid w:val="00073039"/>
    <w:rsid w:val="0007304B"/>
    <w:rsid w:val="000733C4"/>
    <w:rsid w:val="00073605"/>
    <w:rsid w:val="0007386D"/>
    <w:rsid w:val="00073BF6"/>
    <w:rsid w:val="00073F07"/>
    <w:rsid w:val="0007409C"/>
    <w:rsid w:val="00074783"/>
    <w:rsid w:val="000752B9"/>
    <w:rsid w:val="00076936"/>
    <w:rsid w:val="00076BC3"/>
    <w:rsid w:val="000773F8"/>
    <w:rsid w:val="0007784B"/>
    <w:rsid w:val="00077900"/>
    <w:rsid w:val="000779E1"/>
    <w:rsid w:val="00077B0A"/>
    <w:rsid w:val="00077D8B"/>
    <w:rsid w:val="0008059A"/>
    <w:rsid w:val="0008070B"/>
    <w:rsid w:val="000810AC"/>
    <w:rsid w:val="00081691"/>
    <w:rsid w:val="00081A02"/>
    <w:rsid w:val="00081F8C"/>
    <w:rsid w:val="00082231"/>
    <w:rsid w:val="000823F7"/>
    <w:rsid w:val="0008251B"/>
    <w:rsid w:val="000826E0"/>
    <w:rsid w:val="00082766"/>
    <w:rsid w:val="000835DE"/>
    <w:rsid w:val="00083C62"/>
    <w:rsid w:val="00084058"/>
    <w:rsid w:val="0008439F"/>
    <w:rsid w:val="00084528"/>
    <w:rsid w:val="00084A3F"/>
    <w:rsid w:val="00084BB5"/>
    <w:rsid w:val="00084BF1"/>
    <w:rsid w:val="00086910"/>
    <w:rsid w:val="00086A76"/>
    <w:rsid w:val="00086E25"/>
    <w:rsid w:val="00086EAB"/>
    <w:rsid w:val="00086F2C"/>
    <w:rsid w:val="0008710F"/>
    <w:rsid w:val="000876CC"/>
    <w:rsid w:val="00087896"/>
    <w:rsid w:val="000901B7"/>
    <w:rsid w:val="0009061E"/>
    <w:rsid w:val="00090B2D"/>
    <w:rsid w:val="00091023"/>
    <w:rsid w:val="00091073"/>
    <w:rsid w:val="000915BF"/>
    <w:rsid w:val="000916DE"/>
    <w:rsid w:val="0009260F"/>
    <w:rsid w:val="0009271B"/>
    <w:rsid w:val="00092D38"/>
    <w:rsid w:val="00092F3B"/>
    <w:rsid w:val="00093493"/>
    <w:rsid w:val="0009377B"/>
    <w:rsid w:val="000938EA"/>
    <w:rsid w:val="0009401C"/>
    <w:rsid w:val="000940D1"/>
    <w:rsid w:val="000942FA"/>
    <w:rsid w:val="00094402"/>
    <w:rsid w:val="00094666"/>
    <w:rsid w:val="000951A9"/>
    <w:rsid w:val="0009524F"/>
    <w:rsid w:val="00095297"/>
    <w:rsid w:val="00095C66"/>
    <w:rsid w:val="000964DD"/>
    <w:rsid w:val="00096ACC"/>
    <w:rsid w:val="00096CD3"/>
    <w:rsid w:val="0009728E"/>
    <w:rsid w:val="0009750E"/>
    <w:rsid w:val="00097D76"/>
    <w:rsid w:val="00097EE1"/>
    <w:rsid w:val="000A0082"/>
    <w:rsid w:val="000A0110"/>
    <w:rsid w:val="000A035D"/>
    <w:rsid w:val="000A0AE1"/>
    <w:rsid w:val="000A1260"/>
    <w:rsid w:val="000A20C9"/>
    <w:rsid w:val="000A2597"/>
    <w:rsid w:val="000A26DC"/>
    <w:rsid w:val="000A3463"/>
    <w:rsid w:val="000A37F7"/>
    <w:rsid w:val="000A3900"/>
    <w:rsid w:val="000A40C8"/>
    <w:rsid w:val="000A4400"/>
    <w:rsid w:val="000A45D3"/>
    <w:rsid w:val="000A4DE4"/>
    <w:rsid w:val="000A4DEF"/>
    <w:rsid w:val="000A51C9"/>
    <w:rsid w:val="000A530A"/>
    <w:rsid w:val="000A5624"/>
    <w:rsid w:val="000A576D"/>
    <w:rsid w:val="000A63BA"/>
    <w:rsid w:val="000A643E"/>
    <w:rsid w:val="000A69EE"/>
    <w:rsid w:val="000A6BAB"/>
    <w:rsid w:val="000A6DB8"/>
    <w:rsid w:val="000A70F7"/>
    <w:rsid w:val="000A7221"/>
    <w:rsid w:val="000A7D52"/>
    <w:rsid w:val="000B002A"/>
    <w:rsid w:val="000B058F"/>
    <w:rsid w:val="000B07F5"/>
    <w:rsid w:val="000B0949"/>
    <w:rsid w:val="000B0D30"/>
    <w:rsid w:val="000B0D34"/>
    <w:rsid w:val="000B1338"/>
    <w:rsid w:val="000B1E7C"/>
    <w:rsid w:val="000B1FB2"/>
    <w:rsid w:val="000B2000"/>
    <w:rsid w:val="000B2210"/>
    <w:rsid w:val="000B22BE"/>
    <w:rsid w:val="000B2324"/>
    <w:rsid w:val="000B249B"/>
    <w:rsid w:val="000B2D7A"/>
    <w:rsid w:val="000B2F4C"/>
    <w:rsid w:val="000B39F2"/>
    <w:rsid w:val="000B3FEF"/>
    <w:rsid w:val="000B4467"/>
    <w:rsid w:val="000B4BD5"/>
    <w:rsid w:val="000B4C03"/>
    <w:rsid w:val="000B4DB9"/>
    <w:rsid w:val="000B4DE6"/>
    <w:rsid w:val="000B4F23"/>
    <w:rsid w:val="000B5306"/>
    <w:rsid w:val="000B53B7"/>
    <w:rsid w:val="000B5448"/>
    <w:rsid w:val="000B5454"/>
    <w:rsid w:val="000B555D"/>
    <w:rsid w:val="000B5A24"/>
    <w:rsid w:val="000B64A0"/>
    <w:rsid w:val="000B6BFA"/>
    <w:rsid w:val="000B72F4"/>
    <w:rsid w:val="000B78CE"/>
    <w:rsid w:val="000B7B70"/>
    <w:rsid w:val="000B7D78"/>
    <w:rsid w:val="000B7D79"/>
    <w:rsid w:val="000B7E58"/>
    <w:rsid w:val="000C09AC"/>
    <w:rsid w:val="000C09D6"/>
    <w:rsid w:val="000C0C9F"/>
    <w:rsid w:val="000C103E"/>
    <w:rsid w:val="000C131D"/>
    <w:rsid w:val="000C1455"/>
    <w:rsid w:val="000C1D1D"/>
    <w:rsid w:val="000C1E73"/>
    <w:rsid w:val="000C1FBE"/>
    <w:rsid w:val="000C27E6"/>
    <w:rsid w:val="000C299D"/>
    <w:rsid w:val="000C30E2"/>
    <w:rsid w:val="000C32ED"/>
    <w:rsid w:val="000C3394"/>
    <w:rsid w:val="000C37C1"/>
    <w:rsid w:val="000C390F"/>
    <w:rsid w:val="000C4130"/>
    <w:rsid w:val="000C417B"/>
    <w:rsid w:val="000C41E3"/>
    <w:rsid w:val="000C45B4"/>
    <w:rsid w:val="000C47B1"/>
    <w:rsid w:val="000C4AC8"/>
    <w:rsid w:val="000C4B48"/>
    <w:rsid w:val="000C505F"/>
    <w:rsid w:val="000C5146"/>
    <w:rsid w:val="000C5737"/>
    <w:rsid w:val="000C5B19"/>
    <w:rsid w:val="000C601A"/>
    <w:rsid w:val="000C623E"/>
    <w:rsid w:val="000C69F1"/>
    <w:rsid w:val="000C70FA"/>
    <w:rsid w:val="000C7132"/>
    <w:rsid w:val="000C71EA"/>
    <w:rsid w:val="000C7468"/>
    <w:rsid w:val="000C756E"/>
    <w:rsid w:val="000C767F"/>
    <w:rsid w:val="000D047B"/>
    <w:rsid w:val="000D0485"/>
    <w:rsid w:val="000D0839"/>
    <w:rsid w:val="000D116C"/>
    <w:rsid w:val="000D1C67"/>
    <w:rsid w:val="000D20C4"/>
    <w:rsid w:val="000D21E7"/>
    <w:rsid w:val="000D23B9"/>
    <w:rsid w:val="000D2628"/>
    <w:rsid w:val="000D2724"/>
    <w:rsid w:val="000D3281"/>
    <w:rsid w:val="000D3570"/>
    <w:rsid w:val="000D3B32"/>
    <w:rsid w:val="000D409B"/>
    <w:rsid w:val="000D44A6"/>
    <w:rsid w:val="000D46C0"/>
    <w:rsid w:val="000D4FFA"/>
    <w:rsid w:val="000D5494"/>
    <w:rsid w:val="000D5A44"/>
    <w:rsid w:val="000D5F6E"/>
    <w:rsid w:val="000D67EE"/>
    <w:rsid w:val="000D6CF2"/>
    <w:rsid w:val="000D6EED"/>
    <w:rsid w:val="000D7013"/>
    <w:rsid w:val="000D71A8"/>
    <w:rsid w:val="000D75B2"/>
    <w:rsid w:val="000D772F"/>
    <w:rsid w:val="000E07F5"/>
    <w:rsid w:val="000E0893"/>
    <w:rsid w:val="000E0A18"/>
    <w:rsid w:val="000E0B9B"/>
    <w:rsid w:val="000E0BCE"/>
    <w:rsid w:val="000E0ED8"/>
    <w:rsid w:val="000E1094"/>
    <w:rsid w:val="000E1250"/>
    <w:rsid w:val="000E15A4"/>
    <w:rsid w:val="000E166B"/>
    <w:rsid w:val="000E1766"/>
    <w:rsid w:val="000E1787"/>
    <w:rsid w:val="000E182D"/>
    <w:rsid w:val="000E1C7E"/>
    <w:rsid w:val="000E1DC5"/>
    <w:rsid w:val="000E2277"/>
    <w:rsid w:val="000E2278"/>
    <w:rsid w:val="000E29D9"/>
    <w:rsid w:val="000E2BB4"/>
    <w:rsid w:val="000E2DFD"/>
    <w:rsid w:val="000E31D0"/>
    <w:rsid w:val="000E31E1"/>
    <w:rsid w:val="000E3653"/>
    <w:rsid w:val="000E3B03"/>
    <w:rsid w:val="000E3ED2"/>
    <w:rsid w:val="000E3F82"/>
    <w:rsid w:val="000E4149"/>
    <w:rsid w:val="000E5050"/>
    <w:rsid w:val="000E570A"/>
    <w:rsid w:val="000E59A2"/>
    <w:rsid w:val="000E5ADF"/>
    <w:rsid w:val="000E5BD2"/>
    <w:rsid w:val="000E5FD8"/>
    <w:rsid w:val="000E6182"/>
    <w:rsid w:val="000E6186"/>
    <w:rsid w:val="000E6AE3"/>
    <w:rsid w:val="000E6BD2"/>
    <w:rsid w:val="000E6FA1"/>
    <w:rsid w:val="000E7043"/>
    <w:rsid w:val="000E747A"/>
    <w:rsid w:val="000E79B2"/>
    <w:rsid w:val="000F1373"/>
    <w:rsid w:val="000F199F"/>
    <w:rsid w:val="000F1D7D"/>
    <w:rsid w:val="000F22E0"/>
    <w:rsid w:val="000F250A"/>
    <w:rsid w:val="000F275F"/>
    <w:rsid w:val="000F3020"/>
    <w:rsid w:val="000F31BD"/>
    <w:rsid w:val="000F3485"/>
    <w:rsid w:val="000F34D2"/>
    <w:rsid w:val="000F3576"/>
    <w:rsid w:val="000F38AC"/>
    <w:rsid w:val="000F434F"/>
    <w:rsid w:val="000F5ACA"/>
    <w:rsid w:val="000F5BC0"/>
    <w:rsid w:val="000F6397"/>
    <w:rsid w:val="000F7043"/>
    <w:rsid w:val="000F7252"/>
    <w:rsid w:val="000F7679"/>
    <w:rsid w:val="000F76BA"/>
    <w:rsid w:val="000F7E64"/>
    <w:rsid w:val="00100F0F"/>
    <w:rsid w:val="00100FFF"/>
    <w:rsid w:val="00101176"/>
    <w:rsid w:val="00101653"/>
    <w:rsid w:val="001021E0"/>
    <w:rsid w:val="00102271"/>
    <w:rsid w:val="00102771"/>
    <w:rsid w:val="00102A73"/>
    <w:rsid w:val="00102CBF"/>
    <w:rsid w:val="00102F38"/>
    <w:rsid w:val="00104BED"/>
    <w:rsid w:val="00104C45"/>
    <w:rsid w:val="00104E4E"/>
    <w:rsid w:val="0010532A"/>
    <w:rsid w:val="0010549C"/>
    <w:rsid w:val="001054E3"/>
    <w:rsid w:val="00105655"/>
    <w:rsid w:val="00105692"/>
    <w:rsid w:val="00105743"/>
    <w:rsid w:val="00105AC5"/>
    <w:rsid w:val="00105B3A"/>
    <w:rsid w:val="00105BD7"/>
    <w:rsid w:val="00105CA6"/>
    <w:rsid w:val="00105D5E"/>
    <w:rsid w:val="00105F9C"/>
    <w:rsid w:val="0010603D"/>
    <w:rsid w:val="00106144"/>
    <w:rsid w:val="0010623F"/>
    <w:rsid w:val="001064F6"/>
    <w:rsid w:val="001070E2"/>
    <w:rsid w:val="001074FD"/>
    <w:rsid w:val="00107CBE"/>
    <w:rsid w:val="00110004"/>
    <w:rsid w:val="00110933"/>
    <w:rsid w:val="00110B9B"/>
    <w:rsid w:val="00110E0A"/>
    <w:rsid w:val="001111B5"/>
    <w:rsid w:val="00111923"/>
    <w:rsid w:val="00111935"/>
    <w:rsid w:val="00111D84"/>
    <w:rsid w:val="001121CC"/>
    <w:rsid w:val="0011230F"/>
    <w:rsid w:val="0011285A"/>
    <w:rsid w:val="0011297A"/>
    <w:rsid w:val="001129AC"/>
    <w:rsid w:val="00112A93"/>
    <w:rsid w:val="00112A9D"/>
    <w:rsid w:val="00112DE5"/>
    <w:rsid w:val="00113013"/>
    <w:rsid w:val="0011320F"/>
    <w:rsid w:val="001132BD"/>
    <w:rsid w:val="001139B1"/>
    <w:rsid w:val="00113BD6"/>
    <w:rsid w:val="00113EC7"/>
    <w:rsid w:val="00114079"/>
    <w:rsid w:val="00114185"/>
    <w:rsid w:val="001142CD"/>
    <w:rsid w:val="00114422"/>
    <w:rsid w:val="00114508"/>
    <w:rsid w:val="00114E36"/>
    <w:rsid w:val="0011523A"/>
    <w:rsid w:val="00115861"/>
    <w:rsid w:val="00115C99"/>
    <w:rsid w:val="0011661E"/>
    <w:rsid w:val="00116DDA"/>
    <w:rsid w:val="00116E78"/>
    <w:rsid w:val="00121855"/>
    <w:rsid w:val="001219D0"/>
    <w:rsid w:val="00122033"/>
    <w:rsid w:val="001222B0"/>
    <w:rsid w:val="00122E97"/>
    <w:rsid w:val="00122F3A"/>
    <w:rsid w:val="00123457"/>
    <w:rsid w:val="0012360F"/>
    <w:rsid w:val="00123652"/>
    <w:rsid w:val="00123A3D"/>
    <w:rsid w:val="00123CB9"/>
    <w:rsid w:val="00123F9C"/>
    <w:rsid w:val="0012405A"/>
    <w:rsid w:val="00124305"/>
    <w:rsid w:val="0012451F"/>
    <w:rsid w:val="001249E1"/>
    <w:rsid w:val="00124A13"/>
    <w:rsid w:val="00124D3F"/>
    <w:rsid w:val="00124F4B"/>
    <w:rsid w:val="00125E3B"/>
    <w:rsid w:val="00126386"/>
    <w:rsid w:val="001263BE"/>
    <w:rsid w:val="00127041"/>
    <w:rsid w:val="00127574"/>
    <w:rsid w:val="00127582"/>
    <w:rsid w:val="00127777"/>
    <w:rsid w:val="00127A5F"/>
    <w:rsid w:val="00127E92"/>
    <w:rsid w:val="001301AF"/>
    <w:rsid w:val="00130358"/>
    <w:rsid w:val="001303B9"/>
    <w:rsid w:val="001309AA"/>
    <w:rsid w:val="00130EAD"/>
    <w:rsid w:val="00131767"/>
    <w:rsid w:val="00131B0C"/>
    <w:rsid w:val="00131CAD"/>
    <w:rsid w:val="00131F42"/>
    <w:rsid w:val="0013277A"/>
    <w:rsid w:val="001329FC"/>
    <w:rsid w:val="00132DD0"/>
    <w:rsid w:val="00132E60"/>
    <w:rsid w:val="0013308D"/>
    <w:rsid w:val="001336AD"/>
    <w:rsid w:val="00133F6D"/>
    <w:rsid w:val="00134D13"/>
    <w:rsid w:val="00135479"/>
    <w:rsid w:val="001357F1"/>
    <w:rsid w:val="00135817"/>
    <w:rsid w:val="0013664B"/>
    <w:rsid w:val="00137FB6"/>
    <w:rsid w:val="00140059"/>
    <w:rsid w:val="001402A4"/>
    <w:rsid w:val="00140590"/>
    <w:rsid w:val="00140640"/>
    <w:rsid w:val="00140BE7"/>
    <w:rsid w:val="00140D53"/>
    <w:rsid w:val="00140FA8"/>
    <w:rsid w:val="0014136B"/>
    <w:rsid w:val="00142081"/>
    <w:rsid w:val="00142097"/>
    <w:rsid w:val="0014254B"/>
    <w:rsid w:val="001425E2"/>
    <w:rsid w:val="00142F34"/>
    <w:rsid w:val="00142FEB"/>
    <w:rsid w:val="00143259"/>
    <w:rsid w:val="00143A2D"/>
    <w:rsid w:val="00143DCA"/>
    <w:rsid w:val="00143F6B"/>
    <w:rsid w:val="00144ABB"/>
    <w:rsid w:val="0014512F"/>
    <w:rsid w:val="001451DD"/>
    <w:rsid w:val="001457C9"/>
    <w:rsid w:val="00145A41"/>
    <w:rsid w:val="001462D4"/>
    <w:rsid w:val="00146CE2"/>
    <w:rsid w:val="00147264"/>
    <w:rsid w:val="00147BF2"/>
    <w:rsid w:val="00147CAB"/>
    <w:rsid w:val="00147D0F"/>
    <w:rsid w:val="00147F04"/>
    <w:rsid w:val="0015034C"/>
    <w:rsid w:val="001512C1"/>
    <w:rsid w:val="00151675"/>
    <w:rsid w:val="0015172F"/>
    <w:rsid w:val="001518C8"/>
    <w:rsid w:val="00151C0F"/>
    <w:rsid w:val="00151CBA"/>
    <w:rsid w:val="00152660"/>
    <w:rsid w:val="001527F6"/>
    <w:rsid w:val="001528F3"/>
    <w:rsid w:val="0015365D"/>
    <w:rsid w:val="00153CA1"/>
    <w:rsid w:val="00154010"/>
    <w:rsid w:val="00154461"/>
    <w:rsid w:val="00154A3C"/>
    <w:rsid w:val="00155587"/>
    <w:rsid w:val="00155763"/>
    <w:rsid w:val="001565D9"/>
    <w:rsid w:val="00156A0A"/>
    <w:rsid w:val="00156D04"/>
    <w:rsid w:val="00156D4D"/>
    <w:rsid w:val="00156D5D"/>
    <w:rsid w:val="001573C7"/>
    <w:rsid w:val="00157435"/>
    <w:rsid w:val="001576EE"/>
    <w:rsid w:val="00157717"/>
    <w:rsid w:val="00157A38"/>
    <w:rsid w:val="00160162"/>
    <w:rsid w:val="0016059F"/>
    <w:rsid w:val="00160EBD"/>
    <w:rsid w:val="00161BDB"/>
    <w:rsid w:val="00162411"/>
    <w:rsid w:val="00162812"/>
    <w:rsid w:val="00163C22"/>
    <w:rsid w:val="00163ECF"/>
    <w:rsid w:val="00164182"/>
    <w:rsid w:val="00164589"/>
    <w:rsid w:val="00164B1B"/>
    <w:rsid w:val="00164F89"/>
    <w:rsid w:val="00165241"/>
    <w:rsid w:val="0016561C"/>
    <w:rsid w:val="00165D38"/>
    <w:rsid w:val="00165D76"/>
    <w:rsid w:val="00165FB5"/>
    <w:rsid w:val="00166586"/>
    <w:rsid w:val="00166671"/>
    <w:rsid w:val="0016681A"/>
    <w:rsid w:val="001668CA"/>
    <w:rsid w:val="00166D34"/>
    <w:rsid w:val="00166D41"/>
    <w:rsid w:val="0016741F"/>
    <w:rsid w:val="00167452"/>
    <w:rsid w:val="00167BEF"/>
    <w:rsid w:val="001707D2"/>
    <w:rsid w:val="00171038"/>
    <w:rsid w:val="00171481"/>
    <w:rsid w:val="00171930"/>
    <w:rsid w:val="00171BC3"/>
    <w:rsid w:val="00171C49"/>
    <w:rsid w:val="00171DB0"/>
    <w:rsid w:val="0017200A"/>
    <w:rsid w:val="0017251A"/>
    <w:rsid w:val="00172911"/>
    <w:rsid w:val="00172A27"/>
    <w:rsid w:val="00172E4A"/>
    <w:rsid w:val="0017324C"/>
    <w:rsid w:val="001733EB"/>
    <w:rsid w:val="0017398A"/>
    <w:rsid w:val="001739A2"/>
    <w:rsid w:val="00173AA8"/>
    <w:rsid w:val="00174215"/>
    <w:rsid w:val="00174712"/>
    <w:rsid w:val="0017504D"/>
    <w:rsid w:val="00175901"/>
    <w:rsid w:val="0017599F"/>
    <w:rsid w:val="0017621A"/>
    <w:rsid w:val="001762A4"/>
    <w:rsid w:val="0017671A"/>
    <w:rsid w:val="00176E58"/>
    <w:rsid w:val="00177422"/>
    <w:rsid w:val="00177733"/>
    <w:rsid w:val="0018000C"/>
    <w:rsid w:val="00180E58"/>
    <w:rsid w:val="00180FC2"/>
    <w:rsid w:val="00181992"/>
    <w:rsid w:val="00181A19"/>
    <w:rsid w:val="0018296A"/>
    <w:rsid w:val="00182ED0"/>
    <w:rsid w:val="00183002"/>
    <w:rsid w:val="0018326F"/>
    <w:rsid w:val="001835C0"/>
    <w:rsid w:val="001836D6"/>
    <w:rsid w:val="0018374B"/>
    <w:rsid w:val="001842AE"/>
    <w:rsid w:val="00184590"/>
    <w:rsid w:val="00184797"/>
    <w:rsid w:val="00184D13"/>
    <w:rsid w:val="00184F4E"/>
    <w:rsid w:val="0018511D"/>
    <w:rsid w:val="001855AA"/>
    <w:rsid w:val="00185D8F"/>
    <w:rsid w:val="00186266"/>
    <w:rsid w:val="0018649D"/>
    <w:rsid w:val="00186744"/>
    <w:rsid w:val="00186A06"/>
    <w:rsid w:val="00186D2C"/>
    <w:rsid w:val="001870D1"/>
    <w:rsid w:val="001873C8"/>
    <w:rsid w:val="00187603"/>
    <w:rsid w:val="0018781E"/>
    <w:rsid w:val="001878F4"/>
    <w:rsid w:val="00187C36"/>
    <w:rsid w:val="001902D7"/>
    <w:rsid w:val="00190424"/>
    <w:rsid w:val="00190969"/>
    <w:rsid w:val="00190CAE"/>
    <w:rsid w:val="00191347"/>
    <w:rsid w:val="0019138E"/>
    <w:rsid w:val="00191495"/>
    <w:rsid w:val="001919B9"/>
    <w:rsid w:val="00191AC8"/>
    <w:rsid w:val="00191EBB"/>
    <w:rsid w:val="00192071"/>
    <w:rsid w:val="00192440"/>
    <w:rsid w:val="001925CD"/>
    <w:rsid w:val="0019262D"/>
    <w:rsid w:val="001926E6"/>
    <w:rsid w:val="00192C70"/>
    <w:rsid w:val="00192ED7"/>
    <w:rsid w:val="00192F0C"/>
    <w:rsid w:val="001932AE"/>
    <w:rsid w:val="00193354"/>
    <w:rsid w:val="001943C0"/>
    <w:rsid w:val="00194429"/>
    <w:rsid w:val="001948A7"/>
    <w:rsid w:val="0019538E"/>
    <w:rsid w:val="001958D7"/>
    <w:rsid w:val="00196741"/>
    <w:rsid w:val="00196B9D"/>
    <w:rsid w:val="00196D08"/>
    <w:rsid w:val="00197236"/>
    <w:rsid w:val="00197293"/>
    <w:rsid w:val="0019773A"/>
    <w:rsid w:val="00197BCA"/>
    <w:rsid w:val="001A00D3"/>
    <w:rsid w:val="001A0C49"/>
    <w:rsid w:val="001A0C60"/>
    <w:rsid w:val="001A13AD"/>
    <w:rsid w:val="001A150C"/>
    <w:rsid w:val="001A170E"/>
    <w:rsid w:val="001A1820"/>
    <w:rsid w:val="001A1B35"/>
    <w:rsid w:val="001A2A40"/>
    <w:rsid w:val="001A2F9C"/>
    <w:rsid w:val="001A30CC"/>
    <w:rsid w:val="001A3E00"/>
    <w:rsid w:val="001A3F24"/>
    <w:rsid w:val="001A4820"/>
    <w:rsid w:val="001A48A2"/>
    <w:rsid w:val="001A4BC7"/>
    <w:rsid w:val="001A4BDE"/>
    <w:rsid w:val="001A50C6"/>
    <w:rsid w:val="001A5381"/>
    <w:rsid w:val="001A5E12"/>
    <w:rsid w:val="001A5E1F"/>
    <w:rsid w:val="001A65A0"/>
    <w:rsid w:val="001A6899"/>
    <w:rsid w:val="001A6932"/>
    <w:rsid w:val="001A6F5E"/>
    <w:rsid w:val="001A6F61"/>
    <w:rsid w:val="001A7357"/>
    <w:rsid w:val="001A79CB"/>
    <w:rsid w:val="001B00E0"/>
    <w:rsid w:val="001B010C"/>
    <w:rsid w:val="001B01CA"/>
    <w:rsid w:val="001B0B10"/>
    <w:rsid w:val="001B10B5"/>
    <w:rsid w:val="001B11EB"/>
    <w:rsid w:val="001B11F0"/>
    <w:rsid w:val="001B1263"/>
    <w:rsid w:val="001B1279"/>
    <w:rsid w:val="001B157E"/>
    <w:rsid w:val="001B1704"/>
    <w:rsid w:val="001B1E94"/>
    <w:rsid w:val="001B1EF3"/>
    <w:rsid w:val="001B238D"/>
    <w:rsid w:val="001B245C"/>
    <w:rsid w:val="001B2710"/>
    <w:rsid w:val="001B27A6"/>
    <w:rsid w:val="001B2A71"/>
    <w:rsid w:val="001B2CA7"/>
    <w:rsid w:val="001B2FB7"/>
    <w:rsid w:val="001B4198"/>
    <w:rsid w:val="001B4276"/>
    <w:rsid w:val="001B4525"/>
    <w:rsid w:val="001B453D"/>
    <w:rsid w:val="001B4802"/>
    <w:rsid w:val="001B48CC"/>
    <w:rsid w:val="001B49DD"/>
    <w:rsid w:val="001B4FF9"/>
    <w:rsid w:val="001B5952"/>
    <w:rsid w:val="001B5B8D"/>
    <w:rsid w:val="001B6322"/>
    <w:rsid w:val="001B66D1"/>
    <w:rsid w:val="001B6793"/>
    <w:rsid w:val="001B6A3E"/>
    <w:rsid w:val="001B6BF6"/>
    <w:rsid w:val="001B7200"/>
    <w:rsid w:val="001B72B8"/>
    <w:rsid w:val="001B781C"/>
    <w:rsid w:val="001B78C5"/>
    <w:rsid w:val="001C019E"/>
    <w:rsid w:val="001C0656"/>
    <w:rsid w:val="001C1127"/>
    <w:rsid w:val="001C1432"/>
    <w:rsid w:val="001C1631"/>
    <w:rsid w:val="001C16A4"/>
    <w:rsid w:val="001C23F2"/>
    <w:rsid w:val="001C2C83"/>
    <w:rsid w:val="001C2E52"/>
    <w:rsid w:val="001C30F4"/>
    <w:rsid w:val="001C3517"/>
    <w:rsid w:val="001C3A64"/>
    <w:rsid w:val="001C43AE"/>
    <w:rsid w:val="001C4C07"/>
    <w:rsid w:val="001C4D1C"/>
    <w:rsid w:val="001C4D57"/>
    <w:rsid w:val="001C5700"/>
    <w:rsid w:val="001C5F2C"/>
    <w:rsid w:val="001C635D"/>
    <w:rsid w:val="001C663F"/>
    <w:rsid w:val="001C69B3"/>
    <w:rsid w:val="001C69CF"/>
    <w:rsid w:val="001C69E3"/>
    <w:rsid w:val="001C6A84"/>
    <w:rsid w:val="001C70A8"/>
    <w:rsid w:val="001C734F"/>
    <w:rsid w:val="001C73E3"/>
    <w:rsid w:val="001C776A"/>
    <w:rsid w:val="001C7DF1"/>
    <w:rsid w:val="001C7E4D"/>
    <w:rsid w:val="001D034F"/>
    <w:rsid w:val="001D052B"/>
    <w:rsid w:val="001D13CF"/>
    <w:rsid w:val="001D13F0"/>
    <w:rsid w:val="001D1631"/>
    <w:rsid w:val="001D17E0"/>
    <w:rsid w:val="001D1BC9"/>
    <w:rsid w:val="001D1CB3"/>
    <w:rsid w:val="001D1E6A"/>
    <w:rsid w:val="001D217D"/>
    <w:rsid w:val="001D21AA"/>
    <w:rsid w:val="001D2952"/>
    <w:rsid w:val="001D2E38"/>
    <w:rsid w:val="001D3C82"/>
    <w:rsid w:val="001D3E2E"/>
    <w:rsid w:val="001D47B5"/>
    <w:rsid w:val="001D5272"/>
    <w:rsid w:val="001D5595"/>
    <w:rsid w:val="001D5B00"/>
    <w:rsid w:val="001D5C5E"/>
    <w:rsid w:val="001D6166"/>
    <w:rsid w:val="001D64EB"/>
    <w:rsid w:val="001D72DA"/>
    <w:rsid w:val="001D72E9"/>
    <w:rsid w:val="001D766E"/>
    <w:rsid w:val="001D7874"/>
    <w:rsid w:val="001D79E5"/>
    <w:rsid w:val="001D7BF8"/>
    <w:rsid w:val="001D7CBD"/>
    <w:rsid w:val="001D7F22"/>
    <w:rsid w:val="001E05EF"/>
    <w:rsid w:val="001E06B7"/>
    <w:rsid w:val="001E0B18"/>
    <w:rsid w:val="001E0C65"/>
    <w:rsid w:val="001E11CB"/>
    <w:rsid w:val="001E1A34"/>
    <w:rsid w:val="001E1EBC"/>
    <w:rsid w:val="001E1FB0"/>
    <w:rsid w:val="001E2129"/>
    <w:rsid w:val="001E246F"/>
    <w:rsid w:val="001E2897"/>
    <w:rsid w:val="001E2E05"/>
    <w:rsid w:val="001E305A"/>
    <w:rsid w:val="001E32C7"/>
    <w:rsid w:val="001E36A2"/>
    <w:rsid w:val="001E3D3E"/>
    <w:rsid w:val="001E4D98"/>
    <w:rsid w:val="001E4F0F"/>
    <w:rsid w:val="001E57C0"/>
    <w:rsid w:val="001E5EFD"/>
    <w:rsid w:val="001E6586"/>
    <w:rsid w:val="001E7A65"/>
    <w:rsid w:val="001E7FA5"/>
    <w:rsid w:val="001F0113"/>
    <w:rsid w:val="001F0787"/>
    <w:rsid w:val="001F0F17"/>
    <w:rsid w:val="001F12A8"/>
    <w:rsid w:val="001F1C78"/>
    <w:rsid w:val="001F24FD"/>
    <w:rsid w:val="001F2597"/>
    <w:rsid w:val="001F26D1"/>
    <w:rsid w:val="001F27F4"/>
    <w:rsid w:val="001F312D"/>
    <w:rsid w:val="001F331A"/>
    <w:rsid w:val="001F3347"/>
    <w:rsid w:val="001F342B"/>
    <w:rsid w:val="001F3446"/>
    <w:rsid w:val="001F3524"/>
    <w:rsid w:val="001F36A9"/>
    <w:rsid w:val="001F3A1A"/>
    <w:rsid w:val="001F45C5"/>
    <w:rsid w:val="001F48B8"/>
    <w:rsid w:val="001F4A32"/>
    <w:rsid w:val="001F4B2D"/>
    <w:rsid w:val="001F4CD4"/>
    <w:rsid w:val="001F5174"/>
    <w:rsid w:val="001F5F49"/>
    <w:rsid w:val="001F69E4"/>
    <w:rsid w:val="001F718E"/>
    <w:rsid w:val="001F73C9"/>
    <w:rsid w:val="001F745B"/>
    <w:rsid w:val="001F75F0"/>
    <w:rsid w:val="001F7D38"/>
    <w:rsid w:val="00200185"/>
    <w:rsid w:val="002003CC"/>
    <w:rsid w:val="002004AE"/>
    <w:rsid w:val="0020068D"/>
    <w:rsid w:val="002006E9"/>
    <w:rsid w:val="002008DA"/>
    <w:rsid w:val="002009A2"/>
    <w:rsid w:val="0020114A"/>
    <w:rsid w:val="002015FC"/>
    <w:rsid w:val="00201817"/>
    <w:rsid w:val="00201876"/>
    <w:rsid w:val="00201D5F"/>
    <w:rsid w:val="00202730"/>
    <w:rsid w:val="00202C64"/>
    <w:rsid w:val="00202CFE"/>
    <w:rsid w:val="00203369"/>
    <w:rsid w:val="00203861"/>
    <w:rsid w:val="00203B51"/>
    <w:rsid w:val="00203BF9"/>
    <w:rsid w:val="00203EFE"/>
    <w:rsid w:val="00205151"/>
    <w:rsid w:val="00205A4F"/>
    <w:rsid w:val="00205BEF"/>
    <w:rsid w:val="00205C2E"/>
    <w:rsid w:val="002068C0"/>
    <w:rsid w:val="00206BD2"/>
    <w:rsid w:val="00206C60"/>
    <w:rsid w:val="00206E8B"/>
    <w:rsid w:val="00207042"/>
    <w:rsid w:val="002073D6"/>
    <w:rsid w:val="00207D5B"/>
    <w:rsid w:val="00207FC4"/>
    <w:rsid w:val="002105A6"/>
    <w:rsid w:val="002107B5"/>
    <w:rsid w:val="002107C0"/>
    <w:rsid w:val="0021112C"/>
    <w:rsid w:val="00211A17"/>
    <w:rsid w:val="002125B4"/>
    <w:rsid w:val="00212E6E"/>
    <w:rsid w:val="00213700"/>
    <w:rsid w:val="00213AE6"/>
    <w:rsid w:val="00213B68"/>
    <w:rsid w:val="0021431F"/>
    <w:rsid w:val="00214459"/>
    <w:rsid w:val="00214518"/>
    <w:rsid w:val="0021493B"/>
    <w:rsid w:val="0021556B"/>
    <w:rsid w:val="002155B8"/>
    <w:rsid w:val="00215EA7"/>
    <w:rsid w:val="00215EEC"/>
    <w:rsid w:val="00216029"/>
    <w:rsid w:val="00216147"/>
    <w:rsid w:val="0021629B"/>
    <w:rsid w:val="00216379"/>
    <w:rsid w:val="002165FD"/>
    <w:rsid w:val="00216AD5"/>
    <w:rsid w:val="00216C76"/>
    <w:rsid w:val="00216D44"/>
    <w:rsid w:val="00216EB3"/>
    <w:rsid w:val="002170B6"/>
    <w:rsid w:val="0021756A"/>
    <w:rsid w:val="002175E9"/>
    <w:rsid w:val="002177B3"/>
    <w:rsid w:val="00217A96"/>
    <w:rsid w:val="00217AEB"/>
    <w:rsid w:val="0022076C"/>
    <w:rsid w:val="00220CA4"/>
    <w:rsid w:val="00220D15"/>
    <w:rsid w:val="00220D6B"/>
    <w:rsid w:val="00220DE5"/>
    <w:rsid w:val="00221191"/>
    <w:rsid w:val="0022122A"/>
    <w:rsid w:val="00221391"/>
    <w:rsid w:val="00221CA7"/>
    <w:rsid w:val="002223CC"/>
    <w:rsid w:val="00222AE3"/>
    <w:rsid w:val="002231DD"/>
    <w:rsid w:val="002232F0"/>
    <w:rsid w:val="002234A4"/>
    <w:rsid w:val="00223CD2"/>
    <w:rsid w:val="00224049"/>
    <w:rsid w:val="00224060"/>
    <w:rsid w:val="00224162"/>
    <w:rsid w:val="002241ED"/>
    <w:rsid w:val="002244E7"/>
    <w:rsid w:val="00224521"/>
    <w:rsid w:val="00224839"/>
    <w:rsid w:val="002249B2"/>
    <w:rsid w:val="00224B60"/>
    <w:rsid w:val="00225070"/>
    <w:rsid w:val="002256DF"/>
    <w:rsid w:val="00226087"/>
    <w:rsid w:val="002264DF"/>
    <w:rsid w:val="00226574"/>
    <w:rsid w:val="00226741"/>
    <w:rsid w:val="00226A71"/>
    <w:rsid w:val="00226A89"/>
    <w:rsid w:val="00227093"/>
    <w:rsid w:val="0022744A"/>
    <w:rsid w:val="002278EC"/>
    <w:rsid w:val="00227A1A"/>
    <w:rsid w:val="00227DB8"/>
    <w:rsid w:val="00227EC0"/>
    <w:rsid w:val="00230189"/>
    <w:rsid w:val="00230CE9"/>
    <w:rsid w:val="002310D9"/>
    <w:rsid w:val="002314B1"/>
    <w:rsid w:val="002319A5"/>
    <w:rsid w:val="00231B3F"/>
    <w:rsid w:val="0023280E"/>
    <w:rsid w:val="00232B81"/>
    <w:rsid w:val="00232DBC"/>
    <w:rsid w:val="00232E3D"/>
    <w:rsid w:val="00233393"/>
    <w:rsid w:val="00233439"/>
    <w:rsid w:val="00234C81"/>
    <w:rsid w:val="00235344"/>
    <w:rsid w:val="00235964"/>
    <w:rsid w:val="00235B68"/>
    <w:rsid w:val="00235DB4"/>
    <w:rsid w:val="00235FD9"/>
    <w:rsid w:val="0023621E"/>
    <w:rsid w:val="00236436"/>
    <w:rsid w:val="00236914"/>
    <w:rsid w:val="00236A85"/>
    <w:rsid w:val="002377D1"/>
    <w:rsid w:val="002378DB"/>
    <w:rsid w:val="002401BF"/>
    <w:rsid w:val="0024032C"/>
    <w:rsid w:val="002403E7"/>
    <w:rsid w:val="002408F3"/>
    <w:rsid w:val="00240904"/>
    <w:rsid w:val="00240BF6"/>
    <w:rsid w:val="00240C35"/>
    <w:rsid w:val="00241328"/>
    <w:rsid w:val="0024158B"/>
    <w:rsid w:val="002417F3"/>
    <w:rsid w:val="00241836"/>
    <w:rsid w:val="0024202B"/>
    <w:rsid w:val="00243CFC"/>
    <w:rsid w:val="00244757"/>
    <w:rsid w:val="00244FFD"/>
    <w:rsid w:val="00245397"/>
    <w:rsid w:val="002454EC"/>
    <w:rsid w:val="00245C94"/>
    <w:rsid w:val="00246B68"/>
    <w:rsid w:val="002473C7"/>
    <w:rsid w:val="0024741A"/>
    <w:rsid w:val="00247765"/>
    <w:rsid w:val="00247944"/>
    <w:rsid w:val="00247E28"/>
    <w:rsid w:val="00247EB7"/>
    <w:rsid w:val="00250175"/>
    <w:rsid w:val="002501CA"/>
    <w:rsid w:val="002506A0"/>
    <w:rsid w:val="002506BC"/>
    <w:rsid w:val="0025073B"/>
    <w:rsid w:val="00250F17"/>
    <w:rsid w:val="002510C6"/>
    <w:rsid w:val="00251851"/>
    <w:rsid w:val="00251930"/>
    <w:rsid w:val="00251AD3"/>
    <w:rsid w:val="00252E48"/>
    <w:rsid w:val="0025303B"/>
    <w:rsid w:val="00253540"/>
    <w:rsid w:val="002538F5"/>
    <w:rsid w:val="0025396B"/>
    <w:rsid w:val="00254146"/>
    <w:rsid w:val="002542B2"/>
    <w:rsid w:val="00254345"/>
    <w:rsid w:val="00255114"/>
    <w:rsid w:val="0025569B"/>
    <w:rsid w:val="0025575F"/>
    <w:rsid w:val="00255B6C"/>
    <w:rsid w:val="00256177"/>
    <w:rsid w:val="0025674F"/>
    <w:rsid w:val="002569F8"/>
    <w:rsid w:val="00256D21"/>
    <w:rsid w:val="002570A0"/>
    <w:rsid w:val="00257366"/>
    <w:rsid w:val="00257435"/>
    <w:rsid w:val="00257588"/>
    <w:rsid w:val="00257913"/>
    <w:rsid w:val="00257BA7"/>
    <w:rsid w:val="00257C57"/>
    <w:rsid w:val="0026017E"/>
    <w:rsid w:val="00260261"/>
    <w:rsid w:val="00260545"/>
    <w:rsid w:val="00260D03"/>
    <w:rsid w:val="00261071"/>
    <w:rsid w:val="0026127A"/>
    <w:rsid w:val="002614DA"/>
    <w:rsid w:val="00262100"/>
    <w:rsid w:val="00262B99"/>
    <w:rsid w:val="00262D3D"/>
    <w:rsid w:val="00262EE3"/>
    <w:rsid w:val="00262FBF"/>
    <w:rsid w:val="002631B8"/>
    <w:rsid w:val="00263993"/>
    <w:rsid w:val="00263B02"/>
    <w:rsid w:val="00263B1D"/>
    <w:rsid w:val="00263C36"/>
    <w:rsid w:val="00263C95"/>
    <w:rsid w:val="00263D57"/>
    <w:rsid w:val="002640D2"/>
    <w:rsid w:val="00264198"/>
    <w:rsid w:val="00264557"/>
    <w:rsid w:val="0026459B"/>
    <w:rsid w:val="00264B71"/>
    <w:rsid w:val="0026578D"/>
    <w:rsid w:val="00265B40"/>
    <w:rsid w:val="002667A2"/>
    <w:rsid w:val="00267203"/>
    <w:rsid w:val="002674CB"/>
    <w:rsid w:val="00267DB1"/>
    <w:rsid w:val="0027051C"/>
    <w:rsid w:val="002707A7"/>
    <w:rsid w:val="00270ADD"/>
    <w:rsid w:val="00270F04"/>
    <w:rsid w:val="002710DD"/>
    <w:rsid w:val="002715A0"/>
    <w:rsid w:val="0027254F"/>
    <w:rsid w:val="0027267C"/>
    <w:rsid w:val="002735A0"/>
    <w:rsid w:val="0027361F"/>
    <w:rsid w:val="002737F4"/>
    <w:rsid w:val="002739D6"/>
    <w:rsid w:val="00273F09"/>
    <w:rsid w:val="00274775"/>
    <w:rsid w:val="00274BCB"/>
    <w:rsid w:val="0027540A"/>
    <w:rsid w:val="0027558C"/>
    <w:rsid w:val="00275E9D"/>
    <w:rsid w:val="0027607C"/>
    <w:rsid w:val="00276647"/>
    <w:rsid w:val="00276F28"/>
    <w:rsid w:val="00277749"/>
    <w:rsid w:val="00277AA2"/>
    <w:rsid w:val="00277C1B"/>
    <w:rsid w:val="002805AB"/>
    <w:rsid w:val="002808AE"/>
    <w:rsid w:val="00280BA1"/>
    <w:rsid w:val="00280F7D"/>
    <w:rsid w:val="00281266"/>
    <w:rsid w:val="00281459"/>
    <w:rsid w:val="00281849"/>
    <w:rsid w:val="00281C6D"/>
    <w:rsid w:val="00281F36"/>
    <w:rsid w:val="00282142"/>
    <w:rsid w:val="0028242B"/>
    <w:rsid w:val="0028255D"/>
    <w:rsid w:val="00282911"/>
    <w:rsid w:val="00282BD0"/>
    <w:rsid w:val="00282ED9"/>
    <w:rsid w:val="002833D8"/>
    <w:rsid w:val="0028368A"/>
    <w:rsid w:val="00284090"/>
    <w:rsid w:val="00284204"/>
    <w:rsid w:val="0028422F"/>
    <w:rsid w:val="0028446D"/>
    <w:rsid w:val="002844D8"/>
    <w:rsid w:val="002848EF"/>
    <w:rsid w:val="00284AA9"/>
    <w:rsid w:val="00284AAF"/>
    <w:rsid w:val="00285229"/>
    <w:rsid w:val="002852B1"/>
    <w:rsid w:val="002852B7"/>
    <w:rsid w:val="002854D6"/>
    <w:rsid w:val="00285A78"/>
    <w:rsid w:val="00285C24"/>
    <w:rsid w:val="00285F92"/>
    <w:rsid w:val="00286267"/>
    <w:rsid w:val="002863BF"/>
    <w:rsid w:val="00286768"/>
    <w:rsid w:val="002867CE"/>
    <w:rsid w:val="002868D3"/>
    <w:rsid w:val="00286990"/>
    <w:rsid w:val="00286FD5"/>
    <w:rsid w:val="00287061"/>
    <w:rsid w:val="00287089"/>
    <w:rsid w:val="002876BD"/>
    <w:rsid w:val="00290113"/>
    <w:rsid w:val="00290469"/>
    <w:rsid w:val="00290491"/>
    <w:rsid w:val="00290D8B"/>
    <w:rsid w:val="00291773"/>
    <w:rsid w:val="00291850"/>
    <w:rsid w:val="00291921"/>
    <w:rsid w:val="00291966"/>
    <w:rsid w:val="00291A95"/>
    <w:rsid w:val="00291BF4"/>
    <w:rsid w:val="00291C67"/>
    <w:rsid w:val="00291EE3"/>
    <w:rsid w:val="0029206F"/>
    <w:rsid w:val="002925DF"/>
    <w:rsid w:val="00293ECE"/>
    <w:rsid w:val="002943FC"/>
    <w:rsid w:val="00294580"/>
    <w:rsid w:val="00294787"/>
    <w:rsid w:val="00294850"/>
    <w:rsid w:val="00295B1B"/>
    <w:rsid w:val="00295D1B"/>
    <w:rsid w:val="0029608B"/>
    <w:rsid w:val="002964DD"/>
    <w:rsid w:val="00296978"/>
    <w:rsid w:val="00296C13"/>
    <w:rsid w:val="002971EE"/>
    <w:rsid w:val="00297371"/>
    <w:rsid w:val="0029796F"/>
    <w:rsid w:val="00297C2E"/>
    <w:rsid w:val="002A0740"/>
    <w:rsid w:val="002A0759"/>
    <w:rsid w:val="002A168C"/>
    <w:rsid w:val="002A1FC6"/>
    <w:rsid w:val="002A26DF"/>
    <w:rsid w:val="002A2985"/>
    <w:rsid w:val="002A2DD1"/>
    <w:rsid w:val="002A2E05"/>
    <w:rsid w:val="002A3AA6"/>
    <w:rsid w:val="002A3B1F"/>
    <w:rsid w:val="002A3C42"/>
    <w:rsid w:val="002A3DC7"/>
    <w:rsid w:val="002A3F07"/>
    <w:rsid w:val="002A3F1D"/>
    <w:rsid w:val="002A43F4"/>
    <w:rsid w:val="002A44AA"/>
    <w:rsid w:val="002A4655"/>
    <w:rsid w:val="002A4AEB"/>
    <w:rsid w:val="002A4B16"/>
    <w:rsid w:val="002A4D01"/>
    <w:rsid w:val="002A50D8"/>
    <w:rsid w:val="002A5398"/>
    <w:rsid w:val="002A55BF"/>
    <w:rsid w:val="002A5616"/>
    <w:rsid w:val="002A5676"/>
    <w:rsid w:val="002A5B2E"/>
    <w:rsid w:val="002A6297"/>
    <w:rsid w:val="002A6D26"/>
    <w:rsid w:val="002A6EA8"/>
    <w:rsid w:val="002A702F"/>
    <w:rsid w:val="002A7166"/>
    <w:rsid w:val="002A7423"/>
    <w:rsid w:val="002A785E"/>
    <w:rsid w:val="002A7AE8"/>
    <w:rsid w:val="002A7AF9"/>
    <w:rsid w:val="002B0953"/>
    <w:rsid w:val="002B1300"/>
    <w:rsid w:val="002B16DD"/>
    <w:rsid w:val="002B197A"/>
    <w:rsid w:val="002B1DF3"/>
    <w:rsid w:val="002B1FA9"/>
    <w:rsid w:val="002B2884"/>
    <w:rsid w:val="002B3352"/>
    <w:rsid w:val="002B3974"/>
    <w:rsid w:val="002B413C"/>
    <w:rsid w:val="002B4628"/>
    <w:rsid w:val="002B49E2"/>
    <w:rsid w:val="002B4B85"/>
    <w:rsid w:val="002B4F03"/>
    <w:rsid w:val="002B5041"/>
    <w:rsid w:val="002B5883"/>
    <w:rsid w:val="002B5AF0"/>
    <w:rsid w:val="002B5D4B"/>
    <w:rsid w:val="002B6A28"/>
    <w:rsid w:val="002B6F8A"/>
    <w:rsid w:val="002B7276"/>
    <w:rsid w:val="002B7412"/>
    <w:rsid w:val="002B7660"/>
    <w:rsid w:val="002B7662"/>
    <w:rsid w:val="002B7A75"/>
    <w:rsid w:val="002B7B00"/>
    <w:rsid w:val="002B7C44"/>
    <w:rsid w:val="002B7DC4"/>
    <w:rsid w:val="002B7EB9"/>
    <w:rsid w:val="002C00DE"/>
    <w:rsid w:val="002C0369"/>
    <w:rsid w:val="002C03F9"/>
    <w:rsid w:val="002C049D"/>
    <w:rsid w:val="002C14F2"/>
    <w:rsid w:val="002C1A01"/>
    <w:rsid w:val="002C1C97"/>
    <w:rsid w:val="002C1FCC"/>
    <w:rsid w:val="002C2066"/>
    <w:rsid w:val="002C21E7"/>
    <w:rsid w:val="002C281C"/>
    <w:rsid w:val="002C2909"/>
    <w:rsid w:val="002C29FC"/>
    <w:rsid w:val="002C2B17"/>
    <w:rsid w:val="002C2CFC"/>
    <w:rsid w:val="002C39FA"/>
    <w:rsid w:val="002C4C0B"/>
    <w:rsid w:val="002C543F"/>
    <w:rsid w:val="002C5AEE"/>
    <w:rsid w:val="002C5B5D"/>
    <w:rsid w:val="002C64C6"/>
    <w:rsid w:val="002C748A"/>
    <w:rsid w:val="002C75E7"/>
    <w:rsid w:val="002D015F"/>
    <w:rsid w:val="002D10C8"/>
    <w:rsid w:val="002D1425"/>
    <w:rsid w:val="002D1B15"/>
    <w:rsid w:val="002D1FC2"/>
    <w:rsid w:val="002D2552"/>
    <w:rsid w:val="002D25D1"/>
    <w:rsid w:val="002D2EE3"/>
    <w:rsid w:val="002D3317"/>
    <w:rsid w:val="002D3C7B"/>
    <w:rsid w:val="002D3DD0"/>
    <w:rsid w:val="002D403B"/>
    <w:rsid w:val="002D40C3"/>
    <w:rsid w:val="002D4DB3"/>
    <w:rsid w:val="002D50B3"/>
    <w:rsid w:val="002D5C28"/>
    <w:rsid w:val="002D5E3F"/>
    <w:rsid w:val="002D70A4"/>
    <w:rsid w:val="002D755B"/>
    <w:rsid w:val="002D7748"/>
    <w:rsid w:val="002D7EE3"/>
    <w:rsid w:val="002E02A9"/>
    <w:rsid w:val="002E056A"/>
    <w:rsid w:val="002E05F6"/>
    <w:rsid w:val="002E10CA"/>
    <w:rsid w:val="002E10CD"/>
    <w:rsid w:val="002E178B"/>
    <w:rsid w:val="002E1AAB"/>
    <w:rsid w:val="002E1F3A"/>
    <w:rsid w:val="002E1FE6"/>
    <w:rsid w:val="002E27A4"/>
    <w:rsid w:val="002E298A"/>
    <w:rsid w:val="002E2BE8"/>
    <w:rsid w:val="002E3164"/>
    <w:rsid w:val="002E3486"/>
    <w:rsid w:val="002E395E"/>
    <w:rsid w:val="002E3CF9"/>
    <w:rsid w:val="002E3D17"/>
    <w:rsid w:val="002E3D5A"/>
    <w:rsid w:val="002E44A5"/>
    <w:rsid w:val="002E474A"/>
    <w:rsid w:val="002E4838"/>
    <w:rsid w:val="002E4905"/>
    <w:rsid w:val="002E4AB4"/>
    <w:rsid w:val="002E4B4D"/>
    <w:rsid w:val="002E4BAF"/>
    <w:rsid w:val="002E4BE1"/>
    <w:rsid w:val="002E4D3C"/>
    <w:rsid w:val="002E4F41"/>
    <w:rsid w:val="002E5232"/>
    <w:rsid w:val="002E54B9"/>
    <w:rsid w:val="002E585B"/>
    <w:rsid w:val="002E5F95"/>
    <w:rsid w:val="002E66D8"/>
    <w:rsid w:val="002E70E5"/>
    <w:rsid w:val="002E7187"/>
    <w:rsid w:val="002E7431"/>
    <w:rsid w:val="002E7497"/>
    <w:rsid w:val="002E797B"/>
    <w:rsid w:val="002E7A25"/>
    <w:rsid w:val="002F02BF"/>
    <w:rsid w:val="002F0FC4"/>
    <w:rsid w:val="002F171C"/>
    <w:rsid w:val="002F191E"/>
    <w:rsid w:val="002F3511"/>
    <w:rsid w:val="002F38B8"/>
    <w:rsid w:val="002F4255"/>
    <w:rsid w:val="002F4819"/>
    <w:rsid w:val="002F5014"/>
    <w:rsid w:val="002F50D0"/>
    <w:rsid w:val="002F5294"/>
    <w:rsid w:val="002F5A25"/>
    <w:rsid w:val="002F5EA7"/>
    <w:rsid w:val="002F5FA5"/>
    <w:rsid w:val="002F6329"/>
    <w:rsid w:val="002F6474"/>
    <w:rsid w:val="002F64F0"/>
    <w:rsid w:val="002F6B77"/>
    <w:rsid w:val="002F6BF5"/>
    <w:rsid w:val="002F6C58"/>
    <w:rsid w:val="002F7A43"/>
    <w:rsid w:val="00300A9E"/>
    <w:rsid w:val="00301108"/>
    <w:rsid w:val="003013B4"/>
    <w:rsid w:val="00301850"/>
    <w:rsid w:val="00301978"/>
    <w:rsid w:val="00301F38"/>
    <w:rsid w:val="00302C95"/>
    <w:rsid w:val="00302D3B"/>
    <w:rsid w:val="0030332C"/>
    <w:rsid w:val="00303CA8"/>
    <w:rsid w:val="00303F9C"/>
    <w:rsid w:val="003045ED"/>
    <w:rsid w:val="003049C8"/>
    <w:rsid w:val="00304EAB"/>
    <w:rsid w:val="00305129"/>
    <w:rsid w:val="003051C2"/>
    <w:rsid w:val="003054F1"/>
    <w:rsid w:val="00305CA0"/>
    <w:rsid w:val="00305CC0"/>
    <w:rsid w:val="00305D4D"/>
    <w:rsid w:val="00305E80"/>
    <w:rsid w:val="0030607E"/>
    <w:rsid w:val="003064CD"/>
    <w:rsid w:val="00306851"/>
    <w:rsid w:val="003069BF"/>
    <w:rsid w:val="00306EE1"/>
    <w:rsid w:val="00307089"/>
    <w:rsid w:val="0030790B"/>
    <w:rsid w:val="003079C5"/>
    <w:rsid w:val="00307B4D"/>
    <w:rsid w:val="0031017C"/>
    <w:rsid w:val="0031038A"/>
    <w:rsid w:val="00310DCE"/>
    <w:rsid w:val="00310E96"/>
    <w:rsid w:val="0031114E"/>
    <w:rsid w:val="003111CC"/>
    <w:rsid w:val="003113FC"/>
    <w:rsid w:val="00311727"/>
    <w:rsid w:val="00311A55"/>
    <w:rsid w:val="00311B09"/>
    <w:rsid w:val="00311B1E"/>
    <w:rsid w:val="00312296"/>
    <w:rsid w:val="003123AC"/>
    <w:rsid w:val="003128DD"/>
    <w:rsid w:val="00312F97"/>
    <w:rsid w:val="0031351E"/>
    <w:rsid w:val="00313BF7"/>
    <w:rsid w:val="003140BA"/>
    <w:rsid w:val="003144E3"/>
    <w:rsid w:val="00314A87"/>
    <w:rsid w:val="00314CC5"/>
    <w:rsid w:val="00314F0E"/>
    <w:rsid w:val="00315438"/>
    <w:rsid w:val="00315831"/>
    <w:rsid w:val="003159E6"/>
    <w:rsid w:val="00315B3A"/>
    <w:rsid w:val="00315F94"/>
    <w:rsid w:val="003162C6"/>
    <w:rsid w:val="0031680B"/>
    <w:rsid w:val="003169BF"/>
    <w:rsid w:val="00316A31"/>
    <w:rsid w:val="0031705B"/>
    <w:rsid w:val="0031758D"/>
    <w:rsid w:val="003175F5"/>
    <w:rsid w:val="00317A91"/>
    <w:rsid w:val="003205D6"/>
    <w:rsid w:val="00320CD4"/>
    <w:rsid w:val="00320FB1"/>
    <w:rsid w:val="00321106"/>
    <w:rsid w:val="003214FB"/>
    <w:rsid w:val="003217BE"/>
    <w:rsid w:val="00321A0C"/>
    <w:rsid w:val="00321D8E"/>
    <w:rsid w:val="00321F06"/>
    <w:rsid w:val="003221CB"/>
    <w:rsid w:val="003224F6"/>
    <w:rsid w:val="00322B93"/>
    <w:rsid w:val="00322C5C"/>
    <w:rsid w:val="0032307D"/>
    <w:rsid w:val="00323121"/>
    <w:rsid w:val="003233A7"/>
    <w:rsid w:val="003234A2"/>
    <w:rsid w:val="0032377B"/>
    <w:rsid w:val="00323919"/>
    <w:rsid w:val="00323B2E"/>
    <w:rsid w:val="00324048"/>
    <w:rsid w:val="003242B4"/>
    <w:rsid w:val="00324BA0"/>
    <w:rsid w:val="00324E92"/>
    <w:rsid w:val="00324EA5"/>
    <w:rsid w:val="00325329"/>
    <w:rsid w:val="0032554C"/>
    <w:rsid w:val="0032570E"/>
    <w:rsid w:val="00325928"/>
    <w:rsid w:val="003259F3"/>
    <w:rsid w:val="003260C8"/>
    <w:rsid w:val="003265E7"/>
    <w:rsid w:val="003269AB"/>
    <w:rsid w:val="00326A0B"/>
    <w:rsid w:val="00330F11"/>
    <w:rsid w:val="00331A77"/>
    <w:rsid w:val="00331B42"/>
    <w:rsid w:val="00331CB8"/>
    <w:rsid w:val="003323D4"/>
    <w:rsid w:val="00332863"/>
    <w:rsid w:val="00332E3B"/>
    <w:rsid w:val="00332FC3"/>
    <w:rsid w:val="0033314F"/>
    <w:rsid w:val="00333745"/>
    <w:rsid w:val="00333879"/>
    <w:rsid w:val="0033394F"/>
    <w:rsid w:val="00333A61"/>
    <w:rsid w:val="00333ABB"/>
    <w:rsid w:val="003341FA"/>
    <w:rsid w:val="003345FF"/>
    <w:rsid w:val="00334C4A"/>
    <w:rsid w:val="00334CE4"/>
    <w:rsid w:val="00335487"/>
    <w:rsid w:val="00335889"/>
    <w:rsid w:val="003359FF"/>
    <w:rsid w:val="00335FE1"/>
    <w:rsid w:val="0033684D"/>
    <w:rsid w:val="00337B42"/>
    <w:rsid w:val="00340076"/>
    <w:rsid w:val="00340526"/>
    <w:rsid w:val="00340DFF"/>
    <w:rsid w:val="00340EE1"/>
    <w:rsid w:val="00341643"/>
    <w:rsid w:val="00341B42"/>
    <w:rsid w:val="00341D98"/>
    <w:rsid w:val="00342782"/>
    <w:rsid w:val="003427EC"/>
    <w:rsid w:val="00342DAB"/>
    <w:rsid w:val="0034348F"/>
    <w:rsid w:val="00343867"/>
    <w:rsid w:val="00343B07"/>
    <w:rsid w:val="00343E3A"/>
    <w:rsid w:val="00343FA9"/>
    <w:rsid w:val="00344140"/>
    <w:rsid w:val="00344305"/>
    <w:rsid w:val="00344434"/>
    <w:rsid w:val="00344514"/>
    <w:rsid w:val="00344B63"/>
    <w:rsid w:val="0034514D"/>
    <w:rsid w:val="003457A7"/>
    <w:rsid w:val="00345959"/>
    <w:rsid w:val="00345A4D"/>
    <w:rsid w:val="003461C3"/>
    <w:rsid w:val="003469FE"/>
    <w:rsid w:val="00346B06"/>
    <w:rsid w:val="00347321"/>
    <w:rsid w:val="00347697"/>
    <w:rsid w:val="00347A9E"/>
    <w:rsid w:val="00347E39"/>
    <w:rsid w:val="0035009D"/>
    <w:rsid w:val="003504BB"/>
    <w:rsid w:val="003511CA"/>
    <w:rsid w:val="00351359"/>
    <w:rsid w:val="003518F9"/>
    <w:rsid w:val="00351B10"/>
    <w:rsid w:val="00351F2E"/>
    <w:rsid w:val="00352127"/>
    <w:rsid w:val="003522BF"/>
    <w:rsid w:val="003523C7"/>
    <w:rsid w:val="00352DA5"/>
    <w:rsid w:val="0035351F"/>
    <w:rsid w:val="003536A0"/>
    <w:rsid w:val="00353791"/>
    <w:rsid w:val="00353A2F"/>
    <w:rsid w:val="0035416F"/>
    <w:rsid w:val="003546C0"/>
    <w:rsid w:val="003547AD"/>
    <w:rsid w:val="003547AF"/>
    <w:rsid w:val="003549A2"/>
    <w:rsid w:val="00354E5A"/>
    <w:rsid w:val="003557DB"/>
    <w:rsid w:val="00355A20"/>
    <w:rsid w:val="00355FF6"/>
    <w:rsid w:val="0035655B"/>
    <w:rsid w:val="00356653"/>
    <w:rsid w:val="00356C9C"/>
    <w:rsid w:val="00356D40"/>
    <w:rsid w:val="0035743F"/>
    <w:rsid w:val="00357776"/>
    <w:rsid w:val="00357888"/>
    <w:rsid w:val="00357A8B"/>
    <w:rsid w:val="00357BE2"/>
    <w:rsid w:val="0036041F"/>
    <w:rsid w:val="0036170C"/>
    <w:rsid w:val="00361796"/>
    <w:rsid w:val="00361EE5"/>
    <w:rsid w:val="0036212B"/>
    <w:rsid w:val="003631B9"/>
    <w:rsid w:val="00363314"/>
    <w:rsid w:val="00363527"/>
    <w:rsid w:val="003638F0"/>
    <w:rsid w:val="00363AA1"/>
    <w:rsid w:val="00363AC9"/>
    <w:rsid w:val="0036405C"/>
    <w:rsid w:val="003648B5"/>
    <w:rsid w:val="00364C79"/>
    <w:rsid w:val="00364FC4"/>
    <w:rsid w:val="0036523B"/>
    <w:rsid w:val="0036558E"/>
    <w:rsid w:val="00365DB9"/>
    <w:rsid w:val="00365FD1"/>
    <w:rsid w:val="0036633A"/>
    <w:rsid w:val="0036638D"/>
    <w:rsid w:val="003667D0"/>
    <w:rsid w:val="003669CC"/>
    <w:rsid w:val="00366AC3"/>
    <w:rsid w:val="00366B5F"/>
    <w:rsid w:val="00366E05"/>
    <w:rsid w:val="00366E0F"/>
    <w:rsid w:val="0036712D"/>
    <w:rsid w:val="00367254"/>
    <w:rsid w:val="003672EA"/>
    <w:rsid w:val="00367908"/>
    <w:rsid w:val="00367E79"/>
    <w:rsid w:val="00370830"/>
    <w:rsid w:val="00370945"/>
    <w:rsid w:val="00370A57"/>
    <w:rsid w:val="003715FD"/>
    <w:rsid w:val="00371A09"/>
    <w:rsid w:val="00371A56"/>
    <w:rsid w:val="00372150"/>
    <w:rsid w:val="00372191"/>
    <w:rsid w:val="0037234E"/>
    <w:rsid w:val="00372480"/>
    <w:rsid w:val="003726B5"/>
    <w:rsid w:val="00372841"/>
    <w:rsid w:val="00372D41"/>
    <w:rsid w:val="00372EB8"/>
    <w:rsid w:val="00372F57"/>
    <w:rsid w:val="003733AC"/>
    <w:rsid w:val="0037372A"/>
    <w:rsid w:val="00373781"/>
    <w:rsid w:val="00373977"/>
    <w:rsid w:val="00373C2C"/>
    <w:rsid w:val="00373C4E"/>
    <w:rsid w:val="00373DB5"/>
    <w:rsid w:val="00373EAC"/>
    <w:rsid w:val="00374116"/>
    <w:rsid w:val="003743A6"/>
    <w:rsid w:val="003744A4"/>
    <w:rsid w:val="003749E8"/>
    <w:rsid w:val="00375A1F"/>
    <w:rsid w:val="00375DEC"/>
    <w:rsid w:val="003764D5"/>
    <w:rsid w:val="00376747"/>
    <w:rsid w:val="003768FD"/>
    <w:rsid w:val="00376F1C"/>
    <w:rsid w:val="0037749D"/>
    <w:rsid w:val="003774B9"/>
    <w:rsid w:val="00380681"/>
    <w:rsid w:val="003806A2"/>
    <w:rsid w:val="003806E2"/>
    <w:rsid w:val="00380750"/>
    <w:rsid w:val="00380F8E"/>
    <w:rsid w:val="003810AC"/>
    <w:rsid w:val="00381178"/>
    <w:rsid w:val="003815DC"/>
    <w:rsid w:val="00381A72"/>
    <w:rsid w:val="0038256E"/>
    <w:rsid w:val="003826A6"/>
    <w:rsid w:val="0038286E"/>
    <w:rsid w:val="00382AF9"/>
    <w:rsid w:val="00382DFB"/>
    <w:rsid w:val="00382F22"/>
    <w:rsid w:val="0038318C"/>
    <w:rsid w:val="00383419"/>
    <w:rsid w:val="00383D72"/>
    <w:rsid w:val="0038418A"/>
    <w:rsid w:val="003843BB"/>
    <w:rsid w:val="00384676"/>
    <w:rsid w:val="003849BB"/>
    <w:rsid w:val="00384A18"/>
    <w:rsid w:val="00384B51"/>
    <w:rsid w:val="00384E2A"/>
    <w:rsid w:val="00385771"/>
    <w:rsid w:val="0038586D"/>
    <w:rsid w:val="00385998"/>
    <w:rsid w:val="00385A69"/>
    <w:rsid w:val="00385B37"/>
    <w:rsid w:val="00385BF9"/>
    <w:rsid w:val="003861A7"/>
    <w:rsid w:val="003861E6"/>
    <w:rsid w:val="003865AC"/>
    <w:rsid w:val="00386E18"/>
    <w:rsid w:val="0038791E"/>
    <w:rsid w:val="00387B14"/>
    <w:rsid w:val="00387ED0"/>
    <w:rsid w:val="00387FEE"/>
    <w:rsid w:val="00390857"/>
    <w:rsid w:val="00390D78"/>
    <w:rsid w:val="003911E1"/>
    <w:rsid w:val="0039131E"/>
    <w:rsid w:val="00391398"/>
    <w:rsid w:val="0039152E"/>
    <w:rsid w:val="003917F0"/>
    <w:rsid w:val="003919EE"/>
    <w:rsid w:val="00391DD3"/>
    <w:rsid w:val="00392460"/>
    <w:rsid w:val="003929C6"/>
    <w:rsid w:val="003929F9"/>
    <w:rsid w:val="00392A17"/>
    <w:rsid w:val="00392FCF"/>
    <w:rsid w:val="003931E4"/>
    <w:rsid w:val="0039343C"/>
    <w:rsid w:val="00393642"/>
    <w:rsid w:val="00393DB4"/>
    <w:rsid w:val="00394B38"/>
    <w:rsid w:val="00394CC8"/>
    <w:rsid w:val="00395DF3"/>
    <w:rsid w:val="00395FD0"/>
    <w:rsid w:val="00396444"/>
    <w:rsid w:val="00396C59"/>
    <w:rsid w:val="00396F6B"/>
    <w:rsid w:val="00397033"/>
    <w:rsid w:val="00397229"/>
    <w:rsid w:val="00397495"/>
    <w:rsid w:val="003975BA"/>
    <w:rsid w:val="003A0218"/>
    <w:rsid w:val="003A0222"/>
    <w:rsid w:val="003A0A72"/>
    <w:rsid w:val="003A0B62"/>
    <w:rsid w:val="003A0CAE"/>
    <w:rsid w:val="003A20B7"/>
    <w:rsid w:val="003A28B6"/>
    <w:rsid w:val="003A2A11"/>
    <w:rsid w:val="003A2FAF"/>
    <w:rsid w:val="003A3049"/>
    <w:rsid w:val="003A4125"/>
    <w:rsid w:val="003A4393"/>
    <w:rsid w:val="003A49C7"/>
    <w:rsid w:val="003A4B03"/>
    <w:rsid w:val="003A4BF3"/>
    <w:rsid w:val="003A4E23"/>
    <w:rsid w:val="003A5E88"/>
    <w:rsid w:val="003A6A36"/>
    <w:rsid w:val="003A6D7D"/>
    <w:rsid w:val="003A7115"/>
    <w:rsid w:val="003A723A"/>
    <w:rsid w:val="003A7471"/>
    <w:rsid w:val="003A75FF"/>
    <w:rsid w:val="003A77C8"/>
    <w:rsid w:val="003B04A5"/>
    <w:rsid w:val="003B09D1"/>
    <w:rsid w:val="003B111B"/>
    <w:rsid w:val="003B1CD7"/>
    <w:rsid w:val="003B288A"/>
    <w:rsid w:val="003B2CF6"/>
    <w:rsid w:val="003B2D0C"/>
    <w:rsid w:val="003B2D51"/>
    <w:rsid w:val="003B3209"/>
    <w:rsid w:val="003B37AC"/>
    <w:rsid w:val="003B38CB"/>
    <w:rsid w:val="003B3B58"/>
    <w:rsid w:val="003B3E56"/>
    <w:rsid w:val="003B420D"/>
    <w:rsid w:val="003B4546"/>
    <w:rsid w:val="003B48D1"/>
    <w:rsid w:val="003B4EE8"/>
    <w:rsid w:val="003B592C"/>
    <w:rsid w:val="003B5C1B"/>
    <w:rsid w:val="003B5CE2"/>
    <w:rsid w:val="003B5D72"/>
    <w:rsid w:val="003B60ED"/>
    <w:rsid w:val="003B63D4"/>
    <w:rsid w:val="003B6CC1"/>
    <w:rsid w:val="003B70B5"/>
    <w:rsid w:val="003B7616"/>
    <w:rsid w:val="003B78F0"/>
    <w:rsid w:val="003B7DB9"/>
    <w:rsid w:val="003B7FE6"/>
    <w:rsid w:val="003C0B96"/>
    <w:rsid w:val="003C0D76"/>
    <w:rsid w:val="003C0E1E"/>
    <w:rsid w:val="003C10B2"/>
    <w:rsid w:val="003C12DD"/>
    <w:rsid w:val="003C186F"/>
    <w:rsid w:val="003C19DA"/>
    <w:rsid w:val="003C1B25"/>
    <w:rsid w:val="003C1F2D"/>
    <w:rsid w:val="003C2668"/>
    <w:rsid w:val="003C2881"/>
    <w:rsid w:val="003C2EAD"/>
    <w:rsid w:val="003C318C"/>
    <w:rsid w:val="003C3F22"/>
    <w:rsid w:val="003C4928"/>
    <w:rsid w:val="003C5FD0"/>
    <w:rsid w:val="003C611A"/>
    <w:rsid w:val="003C6155"/>
    <w:rsid w:val="003C641D"/>
    <w:rsid w:val="003C65EA"/>
    <w:rsid w:val="003C6AFA"/>
    <w:rsid w:val="003C6C16"/>
    <w:rsid w:val="003C7174"/>
    <w:rsid w:val="003C737B"/>
    <w:rsid w:val="003C7ACB"/>
    <w:rsid w:val="003C7F08"/>
    <w:rsid w:val="003D006B"/>
    <w:rsid w:val="003D00DC"/>
    <w:rsid w:val="003D0424"/>
    <w:rsid w:val="003D0433"/>
    <w:rsid w:val="003D0CF4"/>
    <w:rsid w:val="003D0FB7"/>
    <w:rsid w:val="003D0FD5"/>
    <w:rsid w:val="003D1523"/>
    <w:rsid w:val="003D1AA3"/>
    <w:rsid w:val="003D2466"/>
    <w:rsid w:val="003D2572"/>
    <w:rsid w:val="003D2905"/>
    <w:rsid w:val="003D3C0A"/>
    <w:rsid w:val="003D3C71"/>
    <w:rsid w:val="003D4197"/>
    <w:rsid w:val="003D420F"/>
    <w:rsid w:val="003D465C"/>
    <w:rsid w:val="003D46F4"/>
    <w:rsid w:val="003D4B66"/>
    <w:rsid w:val="003D514A"/>
    <w:rsid w:val="003D5660"/>
    <w:rsid w:val="003D5C56"/>
    <w:rsid w:val="003D5D04"/>
    <w:rsid w:val="003D622B"/>
    <w:rsid w:val="003D6F93"/>
    <w:rsid w:val="003D7693"/>
    <w:rsid w:val="003D76E6"/>
    <w:rsid w:val="003D792F"/>
    <w:rsid w:val="003D794D"/>
    <w:rsid w:val="003D7AF8"/>
    <w:rsid w:val="003D7C21"/>
    <w:rsid w:val="003D7C7A"/>
    <w:rsid w:val="003E07DE"/>
    <w:rsid w:val="003E1584"/>
    <w:rsid w:val="003E1BB0"/>
    <w:rsid w:val="003E226B"/>
    <w:rsid w:val="003E26A7"/>
    <w:rsid w:val="003E2853"/>
    <w:rsid w:val="003E3058"/>
    <w:rsid w:val="003E3142"/>
    <w:rsid w:val="003E31B6"/>
    <w:rsid w:val="003E408F"/>
    <w:rsid w:val="003E45AA"/>
    <w:rsid w:val="003E477A"/>
    <w:rsid w:val="003E512B"/>
    <w:rsid w:val="003E552F"/>
    <w:rsid w:val="003E556B"/>
    <w:rsid w:val="003E5D37"/>
    <w:rsid w:val="003E5DF3"/>
    <w:rsid w:val="003E612D"/>
    <w:rsid w:val="003E6FA0"/>
    <w:rsid w:val="003E752A"/>
    <w:rsid w:val="003E76A9"/>
    <w:rsid w:val="003E77B9"/>
    <w:rsid w:val="003E7A9E"/>
    <w:rsid w:val="003E7BE7"/>
    <w:rsid w:val="003F0809"/>
    <w:rsid w:val="003F098E"/>
    <w:rsid w:val="003F0BE9"/>
    <w:rsid w:val="003F1246"/>
    <w:rsid w:val="003F1676"/>
    <w:rsid w:val="003F1A65"/>
    <w:rsid w:val="003F1C91"/>
    <w:rsid w:val="003F2471"/>
    <w:rsid w:val="003F282F"/>
    <w:rsid w:val="003F2866"/>
    <w:rsid w:val="003F28B9"/>
    <w:rsid w:val="003F2BF9"/>
    <w:rsid w:val="003F2CE0"/>
    <w:rsid w:val="003F2E35"/>
    <w:rsid w:val="003F305B"/>
    <w:rsid w:val="003F31E4"/>
    <w:rsid w:val="003F4A47"/>
    <w:rsid w:val="003F4D07"/>
    <w:rsid w:val="003F4F15"/>
    <w:rsid w:val="003F51F3"/>
    <w:rsid w:val="003F57E2"/>
    <w:rsid w:val="003F57EB"/>
    <w:rsid w:val="003F5886"/>
    <w:rsid w:val="003F5982"/>
    <w:rsid w:val="003F5A9F"/>
    <w:rsid w:val="003F6577"/>
    <w:rsid w:val="003F6A8C"/>
    <w:rsid w:val="003F6B8A"/>
    <w:rsid w:val="003F6CC6"/>
    <w:rsid w:val="003F6FC5"/>
    <w:rsid w:val="003F70B8"/>
    <w:rsid w:val="003F755C"/>
    <w:rsid w:val="003F7B7D"/>
    <w:rsid w:val="003F7C15"/>
    <w:rsid w:val="003F7C3C"/>
    <w:rsid w:val="003F7C5E"/>
    <w:rsid w:val="004002F2"/>
    <w:rsid w:val="00400599"/>
    <w:rsid w:val="004009B2"/>
    <w:rsid w:val="00400A39"/>
    <w:rsid w:val="00400A3C"/>
    <w:rsid w:val="00400CE5"/>
    <w:rsid w:val="00401AAB"/>
    <w:rsid w:val="00401C72"/>
    <w:rsid w:val="0040211C"/>
    <w:rsid w:val="0040224F"/>
    <w:rsid w:val="0040271B"/>
    <w:rsid w:val="00402EF9"/>
    <w:rsid w:val="00402F98"/>
    <w:rsid w:val="00403131"/>
    <w:rsid w:val="00403581"/>
    <w:rsid w:val="00403BF6"/>
    <w:rsid w:val="00403C00"/>
    <w:rsid w:val="00404ACA"/>
    <w:rsid w:val="00405294"/>
    <w:rsid w:val="004056B4"/>
    <w:rsid w:val="00406F01"/>
    <w:rsid w:val="0040773F"/>
    <w:rsid w:val="00407A36"/>
    <w:rsid w:val="0041002E"/>
    <w:rsid w:val="00410689"/>
    <w:rsid w:val="00410EBC"/>
    <w:rsid w:val="004110CE"/>
    <w:rsid w:val="004116F1"/>
    <w:rsid w:val="00411BDE"/>
    <w:rsid w:val="00411C4F"/>
    <w:rsid w:val="00411CA3"/>
    <w:rsid w:val="00412481"/>
    <w:rsid w:val="00412C8B"/>
    <w:rsid w:val="00412FFF"/>
    <w:rsid w:val="004133C1"/>
    <w:rsid w:val="0041364D"/>
    <w:rsid w:val="00413B97"/>
    <w:rsid w:val="00413E48"/>
    <w:rsid w:val="0041405A"/>
    <w:rsid w:val="00414475"/>
    <w:rsid w:val="00414A9B"/>
    <w:rsid w:val="00414DAE"/>
    <w:rsid w:val="00415A26"/>
    <w:rsid w:val="00415EF6"/>
    <w:rsid w:val="00416187"/>
    <w:rsid w:val="004162D3"/>
    <w:rsid w:val="00416924"/>
    <w:rsid w:val="004169E8"/>
    <w:rsid w:val="00416A06"/>
    <w:rsid w:val="00416D50"/>
    <w:rsid w:val="00416FD5"/>
    <w:rsid w:val="00416FD6"/>
    <w:rsid w:val="00417371"/>
    <w:rsid w:val="004173E7"/>
    <w:rsid w:val="00417424"/>
    <w:rsid w:val="00417772"/>
    <w:rsid w:val="00417AA7"/>
    <w:rsid w:val="00417BE9"/>
    <w:rsid w:val="00417EB8"/>
    <w:rsid w:val="0042018E"/>
    <w:rsid w:val="0042083D"/>
    <w:rsid w:val="00420C6B"/>
    <w:rsid w:val="00420E6A"/>
    <w:rsid w:val="0042107B"/>
    <w:rsid w:val="004211CB"/>
    <w:rsid w:val="004213C6"/>
    <w:rsid w:val="00421455"/>
    <w:rsid w:val="0042159C"/>
    <w:rsid w:val="00421659"/>
    <w:rsid w:val="004217C1"/>
    <w:rsid w:val="004219EE"/>
    <w:rsid w:val="00421D24"/>
    <w:rsid w:val="00421FC8"/>
    <w:rsid w:val="00421FF4"/>
    <w:rsid w:val="004220D3"/>
    <w:rsid w:val="0042253E"/>
    <w:rsid w:val="004228DF"/>
    <w:rsid w:val="0042335F"/>
    <w:rsid w:val="004234DE"/>
    <w:rsid w:val="004238B8"/>
    <w:rsid w:val="004238D0"/>
    <w:rsid w:val="004240BC"/>
    <w:rsid w:val="0042466F"/>
    <w:rsid w:val="00424D5A"/>
    <w:rsid w:val="00424D83"/>
    <w:rsid w:val="0042504E"/>
    <w:rsid w:val="00425502"/>
    <w:rsid w:val="004257C3"/>
    <w:rsid w:val="004257CB"/>
    <w:rsid w:val="00425A9E"/>
    <w:rsid w:val="00425BC6"/>
    <w:rsid w:val="00425CFD"/>
    <w:rsid w:val="00425D2E"/>
    <w:rsid w:val="00425E43"/>
    <w:rsid w:val="00426838"/>
    <w:rsid w:val="00426D6B"/>
    <w:rsid w:val="00427079"/>
    <w:rsid w:val="00427359"/>
    <w:rsid w:val="0042746A"/>
    <w:rsid w:val="004277C9"/>
    <w:rsid w:val="00427A77"/>
    <w:rsid w:val="00427A9F"/>
    <w:rsid w:val="00427DB6"/>
    <w:rsid w:val="00427EFB"/>
    <w:rsid w:val="0043086E"/>
    <w:rsid w:val="00430D23"/>
    <w:rsid w:val="0043112B"/>
    <w:rsid w:val="00431376"/>
    <w:rsid w:val="00431556"/>
    <w:rsid w:val="00431AF5"/>
    <w:rsid w:val="00431E6C"/>
    <w:rsid w:val="00431F1F"/>
    <w:rsid w:val="0043218B"/>
    <w:rsid w:val="0043261B"/>
    <w:rsid w:val="00432686"/>
    <w:rsid w:val="00432890"/>
    <w:rsid w:val="004329DE"/>
    <w:rsid w:val="00432A20"/>
    <w:rsid w:val="00432F75"/>
    <w:rsid w:val="00433CE7"/>
    <w:rsid w:val="00433FAE"/>
    <w:rsid w:val="00434341"/>
    <w:rsid w:val="004347A7"/>
    <w:rsid w:val="00434D11"/>
    <w:rsid w:val="00435290"/>
    <w:rsid w:val="00435493"/>
    <w:rsid w:val="004358BF"/>
    <w:rsid w:val="00436185"/>
    <w:rsid w:val="004363FE"/>
    <w:rsid w:val="004367E7"/>
    <w:rsid w:val="00436F30"/>
    <w:rsid w:val="00436FC6"/>
    <w:rsid w:val="004373D1"/>
    <w:rsid w:val="00437555"/>
    <w:rsid w:val="004376B6"/>
    <w:rsid w:val="004378FB"/>
    <w:rsid w:val="0044076E"/>
    <w:rsid w:val="00440BD5"/>
    <w:rsid w:val="00440D18"/>
    <w:rsid w:val="0044108E"/>
    <w:rsid w:val="00441403"/>
    <w:rsid w:val="0044181F"/>
    <w:rsid w:val="00441D08"/>
    <w:rsid w:val="00442A1E"/>
    <w:rsid w:val="00442DD5"/>
    <w:rsid w:val="004434C1"/>
    <w:rsid w:val="004437A3"/>
    <w:rsid w:val="00443F56"/>
    <w:rsid w:val="00443FF1"/>
    <w:rsid w:val="004443EF"/>
    <w:rsid w:val="00444A6C"/>
    <w:rsid w:val="00444AC4"/>
    <w:rsid w:val="00444D53"/>
    <w:rsid w:val="00444DA5"/>
    <w:rsid w:val="00444E70"/>
    <w:rsid w:val="00445013"/>
    <w:rsid w:val="004450CC"/>
    <w:rsid w:val="004458FF"/>
    <w:rsid w:val="00445DBC"/>
    <w:rsid w:val="00445DD3"/>
    <w:rsid w:val="004469CB"/>
    <w:rsid w:val="00446A95"/>
    <w:rsid w:val="00446D8C"/>
    <w:rsid w:val="0044728A"/>
    <w:rsid w:val="00447519"/>
    <w:rsid w:val="00447B5E"/>
    <w:rsid w:val="004507FF"/>
    <w:rsid w:val="0045090E"/>
    <w:rsid w:val="00450AC4"/>
    <w:rsid w:val="00450BCB"/>
    <w:rsid w:val="00450F71"/>
    <w:rsid w:val="00451087"/>
    <w:rsid w:val="00451261"/>
    <w:rsid w:val="0045178C"/>
    <w:rsid w:val="00451D0E"/>
    <w:rsid w:val="00451DDC"/>
    <w:rsid w:val="00451E3B"/>
    <w:rsid w:val="004522AE"/>
    <w:rsid w:val="00452664"/>
    <w:rsid w:val="00452738"/>
    <w:rsid w:val="00453773"/>
    <w:rsid w:val="0045426A"/>
    <w:rsid w:val="00454531"/>
    <w:rsid w:val="004548B8"/>
    <w:rsid w:val="00454AA6"/>
    <w:rsid w:val="00455072"/>
    <w:rsid w:val="00455E87"/>
    <w:rsid w:val="00456091"/>
    <w:rsid w:val="00456229"/>
    <w:rsid w:val="00457114"/>
    <w:rsid w:val="00457513"/>
    <w:rsid w:val="004601C0"/>
    <w:rsid w:val="00460A63"/>
    <w:rsid w:val="00460F12"/>
    <w:rsid w:val="00462203"/>
    <w:rsid w:val="00462383"/>
    <w:rsid w:val="0046268C"/>
    <w:rsid w:val="00463288"/>
    <w:rsid w:val="00463AF8"/>
    <w:rsid w:val="00463CA3"/>
    <w:rsid w:val="00463FEE"/>
    <w:rsid w:val="00464294"/>
    <w:rsid w:val="00464D22"/>
    <w:rsid w:val="0046543F"/>
    <w:rsid w:val="004656CE"/>
    <w:rsid w:val="004658C6"/>
    <w:rsid w:val="00465A99"/>
    <w:rsid w:val="00465AC4"/>
    <w:rsid w:val="0046623B"/>
    <w:rsid w:val="00466321"/>
    <w:rsid w:val="00466775"/>
    <w:rsid w:val="00466884"/>
    <w:rsid w:val="004669CC"/>
    <w:rsid w:val="004670E4"/>
    <w:rsid w:val="0046746B"/>
    <w:rsid w:val="0046757B"/>
    <w:rsid w:val="00467BDD"/>
    <w:rsid w:val="004701C6"/>
    <w:rsid w:val="004709B1"/>
    <w:rsid w:val="004713E3"/>
    <w:rsid w:val="004714A8"/>
    <w:rsid w:val="004716A1"/>
    <w:rsid w:val="00471C0B"/>
    <w:rsid w:val="00471F08"/>
    <w:rsid w:val="00472091"/>
    <w:rsid w:val="0047251A"/>
    <w:rsid w:val="00472640"/>
    <w:rsid w:val="00472BD7"/>
    <w:rsid w:val="00472E0C"/>
    <w:rsid w:val="004731CB"/>
    <w:rsid w:val="00473A81"/>
    <w:rsid w:val="00473C50"/>
    <w:rsid w:val="00474009"/>
    <w:rsid w:val="004740D5"/>
    <w:rsid w:val="00474B8F"/>
    <w:rsid w:val="00475C24"/>
    <w:rsid w:val="00475DEF"/>
    <w:rsid w:val="00475EAE"/>
    <w:rsid w:val="00476B58"/>
    <w:rsid w:val="00476C55"/>
    <w:rsid w:val="00476CD3"/>
    <w:rsid w:val="0047744B"/>
    <w:rsid w:val="0047761C"/>
    <w:rsid w:val="00480AB6"/>
    <w:rsid w:val="00481A09"/>
    <w:rsid w:val="0048229A"/>
    <w:rsid w:val="00482306"/>
    <w:rsid w:val="00482BDD"/>
    <w:rsid w:val="00483061"/>
    <w:rsid w:val="0048318A"/>
    <w:rsid w:val="0048354C"/>
    <w:rsid w:val="00483905"/>
    <w:rsid w:val="0048423D"/>
    <w:rsid w:val="004843FE"/>
    <w:rsid w:val="004846B0"/>
    <w:rsid w:val="00484A24"/>
    <w:rsid w:val="00484B9B"/>
    <w:rsid w:val="004850F1"/>
    <w:rsid w:val="004855F6"/>
    <w:rsid w:val="00485C5E"/>
    <w:rsid w:val="004861B2"/>
    <w:rsid w:val="0048661E"/>
    <w:rsid w:val="00486CE2"/>
    <w:rsid w:val="00486EFD"/>
    <w:rsid w:val="0048700E"/>
    <w:rsid w:val="00487384"/>
    <w:rsid w:val="0048769C"/>
    <w:rsid w:val="004877E4"/>
    <w:rsid w:val="00487869"/>
    <w:rsid w:val="00490ACA"/>
    <w:rsid w:val="0049128A"/>
    <w:rsid w:val="00491AE9"/>
    <w:rsid w:val="0049210D"/>
    <w:rsid w:val="00492153"/>
    <w:rsid w:val="004927EE"/>
    <w:rsid w:val="00492E70"/>
    <w:rsid w:val="004932A2"/>
    <w:rsid w:val="004933BC"/>
    <w:rsid w:val="00493446"/>
    <w:rsid w:val="004934ED"/>
    <w:rsid w:val="00493AB7"/>
    <w:rsid w:val="004943A5"/>
    <w:rsid w:val="00494670"/>
    <w:rsid w:val="004950DE"/>
    <w:rsid w:val="0049546A"/>
    <w:rsid w:val="004954C8"/>
    <w:rsid w:val="004957A8"/>
    <w:rsid w:val="004958CB"/>
    <w:rsid w:val="00495A21"/>
    <w:rsid w:val="00496426"/>
    <w:rsid w:val="00496748"/>
    <w:rsid w:val="00496F49"/>
    <w:rsid w:val="00496FDF"/>
    <w:rsid w:val="0049744F"/>
    <w:rsid w:val="00497E1E"/>
    <w:rsid w:val="00497F8C"/>
    <w:rsid w:val="004A003F"/>
    <w:rsid w:val="004A02DA"/>
    <w:rsid w:val="004A0985"/>
    <w:rsid w:val="004A0FF2"/>
    <w:rsid w:val="004A159E"/>
    <w:rsid w:val="004A1C94"/>
    <w:rsid w:val="004A2523"/>
    <w:rsid w:val="004A2584"/>
    <w:rsid w:val="004A2619"/>
    <w:rsid w:val="004A27C9"/>
    <w:rsid w:val="004A35D3"/>
    <w:rsid w:val="004A3823"/>
    <w:rsid w:val="004A3D05"/>
    <w:rsid w:val="004A414C"/>
    <w:rsid w:val="004A4332"/>
    <w:rsid w:val="004A4350"/>
    <w:rsid w:val="004A4480"/>
    <w:rsid w:val="004A4865"/>
    <w:rsid w:val="004A488B"/>
    <w:rsid w:val="004A4AD7"/>
    <w:rsid w:val="004A503D"/>
    <w:rsid w:val="004A5789"/>
    <w:rsid w:val="004A57B8"/>
    <w:rsid w:val="004A5A8E"/>
    <w:rsid w:val="004A6793"/>
    <w:rsid w:val="004A70BE"/>
    <w:rsid w:val="004A715C"/>
    <w:rsid w:val="004A7384"/>
    <w:rsid w:val="004A759E"/>
    <w:rsid w:val="004A76FB"/>
    <w:rsid w:val="004B0423"/>
    <w:rsid w:val="004B05EC"/>
    <w:rsid w:val="004B07CB"/>
    <w:rsid w:val="004B1D26"/>
    <w:rsid w:val="004B2686"/>
    <w:rsid w:val="004B2982"/>
    <w:rsid w:val="004B298F"/>
    <w:rsid w:val="004B2DEA"/>
    <w:rsid w:val="004B31E5"/>
    <w:rsid w:val="004B32D8"/>
    <w:rsid w:val="004B3702"/>
    <w:rsid w:val="004B3906"/>
    <w:rsid w:val="004B3DD5"/>
    <w:rsid w:val="004B3F99"/>
    <w:rsid w:val="004B4318"/>
    <w:rsid w:val="004B457F"/>
    <w:rsid w:val="004B47C6"/>
    <w:rsid w:val="004B4B55"/>
    <w:rsid w:val="004B4ED0"/>
    <w:rsid w:val="004B573E"/>
    <w:rsid w:val="004B585C"/>
    <w:rsid w:val="004B5BC1"/>
    <w:rsid w:val="004B5DCE"/>
    <w:rsid w:val="004B5F3D"/>
    <w:rsid w:val="004B5F70"/>
    <w:rsid w:val="004B6038"/>
    <w:rsid w:val="004B6B11"/>
    <w:rsid w:val="004B6CC1"/>
    <w:rsid w:val="004B749C"/>
    <w:rsid w:val="004B767C"/>
    <w:rsid w:val="004B7BE8"/>
    <w:rsid w:val="004B7BF0"/>
    <w:rsid w:val="004C025D"/>
    <w:rsid w:val="004C052A"/>
    <w:rsid w:val="004C0C8E"/>
    <w:rsid w:val="004C0EC9"/>
    <w:rsid w:val="004C1472"/>
    <w:rsid w:val="004C172D"/>
    <w:rsid w:val="004C1ACE"/>
    <w:rsid w:val="004C1B06"/>
    <w:rsid w:val="004C1B5B"/>
    <w:rsid w:val="004C1F4C"/>
    <w:rsid w:val="004C296E"/>
    <w:rsid w:val="004C29B1"/>
    <w:rsid w:val="004C2BC2"/>
    <w:rsid w:val="004C41D4"/>
    <w:rsid w:val="004C4B0D"/>
    <w:rsid w:val="004C4B15"/>
    <w:rsid w:val="004C4CE7"/>
    <w:rsid w:val="004C511A"/>
    <w:rsid w:val="004C5437"/>
    <w:rsid w:val="004C5569"/>
    <w:rsid w:val="004C5A6E"/>
    <w:rsid w:val="004C5ABA"/>
    <w:rsid w:val="004C5D24"/>
    <w:rsid w:val="004C5DEA"/>
    <w:rsid w:val="004C602A"/>
    <w:rsid w:val="004C60AC"/>
    <w:rsid w:val="004C699D"/>
    <w:rsid w:val="004C6A24"/>
    <w:rsid w:val="004C6E67"/>
    <w:rsid w:val="004C7153"/>
    <w:rsid w:val="004C72BC"/>
    <w:rsid w:val="004C7499"/>
    <w:rsid w:val="004C7CD5"/>
    <w:rsid w:val="004C7FAA"/>
    <w:rsid w:val="004D0D8D"/>
    <w:rsid w:val="004D12EE"/>
    <w:rsid w:val="004D2E12"/>
    <w:rsid w:val="004D2F5C"/>
    <w:rsid w:val="004D2F98"/>
    <w:rsid w:val="004D35BA"/>
    <w:rsid w:val="004D3888"/>
    <w:rsid w:val="004D3A2C"/>
    <w:rsid w:val="004D3A88"/>
    <w:rsid w:val="004D3B96"/>
    <w:rsid w:val="004D44E4"/>
    <w:rsid w:val="004D47ED"/>
    <w:rsid w:val="004D4EDC"/>
    <w:rsid w:val="004D58FF"/>
    <w:rsid w:val="004D64B7"/>
    <w:rsid w:val="004D64D8"/>
    <w:rsid w:val="004D6595"/>
    <w:rsid w:val="004D6DFE"/>
    <w:rsid w:val="004D72F2"/>
    <w:rsid w:val="004D73BB"/>
    <w:rsid w:val="004D7CA0"/>
    <w:rsid w:val="004D7E55"/>
    <w:rsid w:val="004E0108"/>
    <w:rsid w:val="004E0D2C"/>
    <w:rsid w:val="004E0E58"/>
    <w:rsid w:val="004E1BC6"/>
    <w:rsid w:val="004E1D7C"/>
    <w:rsid w:val="004E224D"/>
    <w:rsid w:val="004E2383"/>
    <w:rsid w:val="004E2B23"/>
    <w:rsid w:val="004E2D97"/>
    <w:rsid w:val="004E340F"/>
    <w:rsid w:val="004E3545"/>
    <w:rsid w:val="004E3889"/>
    <w:rsid w:val="004E397A"/>
    <w:rsid w:val="004E3F7A"/>
    <w:rsid w:val="004E4065"/>
    <w:rsid w:val="004E417B"/>
    <w:rsid w:val="004E43D4"/>
    <w:rsid w:val="004E44E6"/>
    <w:rsid w:val="004E4E2B"/>
    <w:rsid w:val="004E5019"/>
    <w:rsid w:val="004E5B69"/>
    <w:rsid w:val="004E6946"/>
    <w:rsid w:val="004E6C28"/>
    <w:rsid w:val="004E742F"/>
    <w:rsid w:val="004E763C"/>
    <w:rsid w:val="004F000B"/>
    <w:rsid w:val="004F0593"/>
    <w:rsid w:val="004F092C"/>
    <w:rsid w:val="004F0989"/>
    <w:rsid w:val="004F0D1A"/>
    <w:rsid w:val="004F0ED5"/>
    <w:rsid w:val="004F11A4"/>
    <w:rsid w:val="004F12FA"/>
    <w:rsid w:val="004F1389"/>
    <w:rsid w:val="004F165D"/>
    <w:rsid w:val="004F1AB2"/>
    <w:rsid w:val="004F1AD8"/>
    <w:rsid w:val="004F2182"/>
    <w:rsid w:val="004F218D"/>
    <w:rsid w:val="004F28F9"/>
    <w:rsid w:val="004F3141"/>
    <w:rsid w:val="004F397D"/>
    <w:rsid w:val="004F3B21"/>
    <w:rsid w:val="004F3DE1"/>
    <w:rsid w:val="004F3F06"/>
    <w:rsid w:val="004F3FAD"/>
    <w:rsid w:val="004F40E2"/>
    <w:rsid w:val="004F4D38"/>
    <w:rsid w:val="004F5547"/>
    <w:rsid w:val="004F58BC"/>
    <w:rsid w:val="004F58D8"/>
    <w:rsid w:val="004F5E6E"/>
    <w:rsid w:val="004F6256"/>
    <w:rsid w:val="004F7071"/>
    <w:rsid w:val="0050077A"/>
    <w:rsid w:val="0050099E"/>
    <w:rsid w:val="005009BC"/>
    <w:rsid w:val="00500AA4"/>
    <w:rsid w:val="00500E74"/>
    <w:rsid w:val="005011D3"/>
    <w:rsid w:val="005015AB"/>
    <w:rsid w:val="005017B3"/>
    <w:rsid w:val="00501D3D"/>
    <w:rsid w:val="005024CE"/>
    <w:rsid w:val="0050299D"/>
    <w:rsid w:val="005033DD"/>
    <w:rsid w:val="0050340F"/>
    <w:rsid w:val="0050378F"/>
    <w:rsid w:val="005039CB"/>
    <w:rsid w:val="00503D70"/>
    <w:rsid w:val="00503F11"/>
    <w:rsid w:val="0050427A"/>
    <w:rsid w:val="005043CF"/>
    <w:rsid w:val="0050440F"/>
    <w:rsid w:val="00504568"/>
    <w:rsid w:val="00504AAF"/>
    <w:rsid w:val="00504EC0"/>
    <w:rsid w:val="0050523A"/>
    <w:rsid w:val="0050558F"/>
    <w:rsid w:val="005058B6"/>
    <w:rsid w:val="00505B7F"/>
    <w:rsid w:val="00505C5B"/>
    <w:rsid w:val="00505E3D"/>
    <w:rsid w:val="00506225"/>
    <w:rsid w:val="00506286"/>
    <w:rsid w:val="005063EC"/>
    <w:rsid w:val="00506948"/>
    <w:rsid w:val="00506BDB"/>
    <w:rsid w:val="00506E7F"/>
    <w:rsid w:val="00507773"/>
    <w:rsid w:val="00507A2E"/>
    <w:rsid w:val="00507B8B"/>
    <w:rsid w:val="00510508"/>
    <w:rsid w:val="00510813"/>
    <w:rsid w:val="00510C86"/>
    <w:rsid w:val="0051107C"/>
    <w:rsid w:val="005112FC"/>
    <w:rsid w:val="00511954"/>
    <w:rsid w:val="00511990"/>
    <w:rsid w:val="00511A8A"/>
    <w:rsid w:val="00511B99"/>
    <w:rsid w:val="00511DE0"/>
    <w:rsid w:val="00513E3E"/>
    <w:rsid w:val="005143F5"/>
    <w:rsid w:val="00514870"/>
    <w:rsid w:val="00514B9B"/>
    <w:rsid w:val="00514FFE"/>
    <w:rsid w:val="00515194"/>
    <w:rsid w:val="0051541C"/>
    <w:rsid w:val="0051598E"/>
    <w:rsid w:val="00515D46"/>
    <w:rsid w:val="00516425"/>
    <w:rsid w:val="00516862"/>
    <w:rsid w:val="005169D6"/>
    <w:rsid w:val="00516A8A"/>
    <w:rsid w:val="005175D8"/>
    <w:rsid w:val="00517F02"/>
    <w:rsid w:val="0052008B"/>
    <w:rsid w:val="00520214"/>
    <w:rsid w:val="00520437"/>
    <w:rsid w:val="005205AD"/>
    <w:rsid w:val="00520A49"/>
    <w:rsid w:val="00520AF1"/>
    <w:rsid w:val="00520CE4"/>
    <w:rsid w:val="005214B9"/>
    <w:rsid w:val="005217D5"/>
    <w:rsid w:val="00521A19"/>
    <w:rsid w:val="005220F3"/>
    <w:rsid w:val="00522168"/>
    <w:rsid w:val="00522182"/>
    <w:rsid w:val="00522303"/>
    <w:rsid w:val="0052253E"/>
    <w:rsid w:val="00522D1B"/>
    <w:rsid w:val="00522D2A"/>
    <w:rsid w:val="00522DA6"/>
    <w:rsid w:val="00523614"/>
    <w:rsid w:val="00524303"/>
    <w:rsid w:val="005247BE"/>
    <w:rsid w:val="005248E5"/>
    <w:rsid w:val="00524B81"/>
    <w:rsid w:val="00524BA6"/>
    <w:rsid w:val="005258A2"/>
    <w:rsid w:val="005258BC"/>
    <w:rsid w:val="00527969"/>
    <w:rsid w:val="00527A26"/>
    <w:rsid w:val="005302E0"/>
    <w:rsid w:val="00530C57"/>
    <w:rsid w:val="00530D32"/>
    <w:rsid w:val="005314D9"/>
    <w:rsid w:val="00531772"/>
    <w:rsid w:val="0053187C"/>
    <w:rsid w:val="00531B55"/>
    <w:rsid w:val="00531E4D"/>
    <w:rsid w:val="0053231B"/>
    <w:rsid w:val="0053239A"/>
    <w:rsid w:val="00532520"/>
    <w:rsid w:val="00532745"/>
    <w:rsid w:val="0053279A"/>
    <w:rsid w:val="005329B0"/>
    <w:rsid w:val="00532FDC"/>
    <w:rsid w:val="00533602"/>
    <w:rsid w:val="00533826"/>
    <w:rsid w:val="00533DB0"/>
    <w:rsid w:val="00533E93"/>
    <w:rsid w:val="00534692"/>
    <w:rsid w:val="00534F3E"/>
    <w:rsid w:val="005351C3"/>
    <w:rsid w:val="005352CC"/>
    <w:rsid w:val="005352E4"/>
    <w:rsid w:val="00535344"/>
    <w:rsid w:val="00535466"/>
    <w:rsid w:val="005359FC"/>
    <w:rsid w:val="00536318"/>
    <w:rsid w:val="0053649E"/>
    <w:rsid w:val="00536917"/>
    <w:rsid w:val="00536BA4"/>
    <w:rsid w:val="0053700A"/>
    <w:rsid w:val="0053744F"/>
    <w:rsid w:val="00537DBA"/>
    <w:rsid w:val="00537F8F"/>
    <w:rsid w:val="005401AE"/>
    <w:rsid w:val="00540756"/>
    <w:rsid w:val="00540FE7"/>
    <w:rsid w:val="005410B0"/>
    <w:rsid w:val="00541835"/>
    <w:rsid w:val="00541A00"/>
    <w:rsid w:val="00541A55"/>
    <w:rsid w:val="0054219A"/>
    <w:rsid w:val="00542849"/>
    <w:rsid w:val="00542CD8"/>
    <w:rsid w:val="00542E07"/>
    <w:rsid w:val="0054324F"/>
    <w:rsid w:val="0054327A"/>
    <w:rsid w:val="00543311"/>
    <w:rsid w:val="005434C0"/>
    <w:rsid w:val="005434D4"/>
    <w:rsid w:val="00543562"/>
    <w:rsid w:val="0054365D"/>
    <w:rsid w:val="00543833"/>
    <w:rsid w:val="00543CCA"/>
    <w:rsid w:val="00544058"/>
    <w:rsid w:val="00544078"/>
    <w:rsid w:val="00544EBA"/>
    <w:rsid w:val="005451A9"/>
    <w:rsid w:val="00545424"/>
    <w:rsid w:val="005477AA"/>
    <w:rsid w:val="0054792A"/>
    <w:rsid w:val="00547A22"/>
    <w:rsid w:val="00550286"/>
    <w:rsid w:val="00550E9B"/>
    <w:rsid w:val="005514A7"/>
    <w:rsid w:val="00551812"/>
    <w:rsid w:val="00551841"/>
    <w:rsid w:val="00551D0D"/>
    <w:rsid w:val="00552FF1"/>
    <w:rsid w:val="0055365D"/>
    <w:rsid w:val="00553F96"/>
    <w:rsid w:val="0055418F"/>
    <w:rsid w:val="00554262"/>
    <w:rsid w:val="005544FD"/>
    <w:rsid w:val="00554A7B"/>
    <w:rsid w:val="00554CA6"/>
    <w:rsid w:val="00554FD5"/>
    <w:rsid w:val="0055546E"/>
    <w:rsid w:val="0055572C"/>
    <w:rsid w:val="00555D50"/>
    <w:rsid w:val="00556D21"/>
    <w:rsid w:val="00556EED"/>
    <w:rsid w:val="005570EF"/>
    <w:rsid w:val="005570FC"/>
    <w:rsid w:val="00557397"/>
    <w:rsid w:val="005575BF"/>
    <w:rsid w:val="00557A9B"/>
    <w:rsid w:val="00557EB6"/>
    <w:rsid w:val="00557EE2"/>
    <w:rsid w:val="00560358"/>
    <w:rsid w:val="00560836"/>
    <w:rsid w:val="00560D48"/>
    <w:rsid w:val="00560DDF"/>
    <w:rsid w:val="0056106A"/>
    <w:rsid w:val="005618C4"/>
    <w:rsid w:val="005618E8"/>
    <w:rsid w:val="00562B9C"/>
    <w:rsid w:val="00562E80"/>
    <w:rsid w:val="005633C5"/>
    <w:rsid w:val="00563BC1"/>
    <w:rsid w:val="00563F24"/>
    <w:rsid w:val="00564A81"/>
    <w:rsid w:val="00564E6E"/>
    <w:rsid w:val="005653E2"/>
    <w:rsid w:val="00565541"/>
    <w:rsid w:val="005655A4"/>
    <w:rsid w:val="00565A5F"/>
    <w:rsid w:val="00565F44"/>
    <w:rsid w:val="005662D2"/>
    <w:rsid w:val="005665AD"/>
    <w:rsid w:val="005666BF"/>
    <w:rsid w:val="00566769"/>
    <w:rsid w:val="00566CC9"/>
    <w:rsid w:val="00567339"/>
    <w:rsid w:val="005676A4"/>
    <w:rsid w:val="00567703"/>
    <w:rsid w:val="005677F5"/>
    <w:rsid w:val="00570AF4"/>
    <w:rsid w:val="00571341"/>
    <w:rsid w:val="00571C80"/>
    <w:rsid w:val="00571E09"/>
    <w:rsid w:val="005720AE"/>
    <w:rsid w:val="005722C9"/>
    <w:rsid w:val="00572471"/>
    <w:rsid w:val="00572605"/>
    <w:rsid w:val="00572794"/>
    <w:rsid w:val="005739A4"/>
    <w:rsid w:val="00573C98"/>
    <w:rsid w:val="0057473F"/>
    <w:rsid w:val="00574D95"/>
    <w:rsid w:val="0057569D"/>
    <w:rsid w:val="0057588A"/>
    <w:rsid w:val="005758D1"/>
    <w:rsid w:val="00575F72"/>
    <w:rsid w:val="00576512"/>
    <w:rsid w:val="005768B7"/>
    <w:rsid w:val="00576A86"/>
    <w:rsid w:val="00576A87"/>
    <w:rsid w:val="00576CE6"/>
    <w:rsid w:val="00577074"/>
    <w:rsid w:val="00577599"/>
    <w:rsid w:val="00577B0B"/>
    <w:rsid w:val="00577E1B"/>
    <w:rsid w:val="005800C5"/>
    <w:rsid w:val="00580F81"/>
    <w:rsid w:val="00580F87"/>
    <w:rsid w:val="00581478"/>
    <w:rsid w:val="005814A4"/>
    <w:rsid w:val="005822AC"/>
    <w:rsid w:val="00582AAA"/>
    <w:rsid w:val="00582BF2"/>
    <w:rsid w:val="00582DE7"/>
    <w:rsid w:val="00583278"/>
    <w:rsid w:val="00583329"/>
    <w:rsid w:val="0058338F"/>
    <w:rsid w:val="00583B7E"/>
    <w:rsid w:val="00583BEE"/>
    <w:rsid w:val="00584811"/>
    <w:rsid w:val="00584A9B"/>
    <w:rsid w:val="00584B5F"/>
    <w:rsid w:val="00584C77"/>
    <w:rsid w:val="00585ADD"/>
    <w:rsid w:val="00585F13"/>
    <w:rsid w:val="00586AA1"/>
    <w:rsid w:val="00586AD5"/>
    <w:rsid w:val="00586B93"/>
    <w:rsid w:val="00586F63"/>
    <w:rsid w:val="005873A9"/>
    <w:rsid w:val="00587B5B"/>
    <w:rsid w:val="00587E75"/>
    <w:rsid w:val="00590704"/>
    <w:rsid w:val="0059083B"/>
    <w:rsid w:val="00591118"/>
    <w:rsid w:val="00591307"/>
    <w:rsid w:val="0059157E"/>
    <w:rsid w:val="00591E99"/>
    <w:rsid w:val="0059201C"/>
    <w:rsid w:val="00592317"/>
    <w:rsid w:val="00592B1B"/>
    <w:rsid w:val="005934A5"/>
    <w:rsid w:val="00593743"/>
    <w:rsid w:val="00594031"/>
    <w:rsid w:val="005945B3"/>
    <w:rsid w:val="005949E2"/>
    <w:rsid w:val="00594D77"/>
    <w:rsid w:val="00595427"/>
    <w:rsid w:val="00596017"/>
    <w:rsid w:val="005963C1"/>
    <w:rsid w:val="0059652C"/>
    <w:rsid w:val="00596897"/>
    <w:rsid w:val="005969E4"/>
    <w:rsid w:val="00597240"/>
    <w:rsid w:val="0059777C"/>
    <w:rsid w:val="00597CAA"/>
    <w:rsid w:val="005A002B"/>
    <w:rsid w:val="005A0173"/>
    <w:rsid w:val="005A036F"/>
    <w:rsid w:val="005A06B7"/>
    <w:rsid w:val="005A07AD"/>
    <w:rsid w:val="005A0960"/>
    <w:rsid w:val="005A0C0E"/>
    <w:rsid w:val="005A0F42"/>
    <w:rsid w:val="005A11F8"/>
    <w:rsid w:val="005A1372"/>
    <w:rsid w:val="005A1759"/>
    <w:rsid w:val="005A1C4D"/>
    <w:rsid w:val="005A1F37"/>
    <w:rsid w:val="005A21C7"/>
    <w:rsid w:val="005A2ABB"/>
    <w:rsid w:val="005A2CA4"/>
    <w:rsid w:val="005A36D5"/>
    <w:rsid w:val="005A39EE"/>
    <w:rsid w:val="005A50D5"/>
    <w:rsid w:val="005A5A9D"/>
    <w:rsid w:val="005A5F60"/>
    <w:rsid w:val="005A652A"/>
    <w:rsid w:val="005A68A7"/>
    <w:rsid w:val="005A6BA2"/>
    <w:rsid w:val="005A728D"/>
    <w:rsid w:val="005A7968"/>
    <w:rsid w:val="005A7E32"/>
    <w:rsid w:val="005B0515"/>
    <w:rsid w:val="005B0A95"/>
    <w:rsid w:val="005B0CB0"/>
    <w:rsid w:val="005B1903"/>
    <w:rsid w:val="005B1B0B"/>
    <w:rsid w:val="005B1FA0"/>
    <w:rsid w:val="005B2180"/>
    <w:rsid w:val="005B2198"/>
    <w:rsid w:val="005B21EC"/>
    <w:rsid w:val="005B235B"/>
    <w:rsid w:val="005B2704"/>
    <w:rsid w:val="005B2AAC"/>
    <w:rsid w:val="005B2C03"/>
    <w:rsid w:val="005B2E23"/>
    <w:rsid w:val="005B2FC5"/>
    <w:rsid w:val="005B30AE"/>
    <w:rsid w:val="005B36BE"/>
    <w:rsid w:val="005B3955"/>
    <w:rsid w:val="005B3F7A"/>
    <w:rsid w:val="005B44C3"/>
    <w:rsid w:val="005B472F"/>
    <w:rsid w:val="005B4E9C"/>
    <w:rsid w:val="005B54A2"/>
    <w:rsid w:val="005B58D8"/>
    <w:rsid w:val="005B58DB"/>
    <w:rsid w:val="005B5A22"/>
    <w:rsid w:val="005B64D3"/>
    <w:rsid w:val="005B653E"/>
    <w:rsid w:val="005B69A3"/>
    <w:rsid w:val="005B6BCB"/>
    <w:rsid w:val="005B7619"/>
    <w:rsid w:val="005B7723"/>
    <w:rsid w:val="005B7D30"/>
    <w:rsid w:val="005C0D40"/>
    <w:rsid w:val="005C1126"/>
    <w:rsid w:val="005C24E4"/>
    <w:rsid w:val="005C2785"/>
    <w:rsid w:val="005C28A2"/>
    <w:rsid w:val="005C2D36"/>
    <w:rsid w:val="005C2DD3"/>
    <w:rsid w:val="005C3B6B"/>
    <w:rsid w:val="005C43CA"/>
    <w:rsid w:val="005C4414"/>
    <w:rsid w:val="005C49C1"/>
    <w:rsid w:val="005C4B11"/>
    <w:rsid w:val="005C4D93"/>
    <w:rsid w:val="005C4ED3"/>
    <w:rsid w:val="005C538D"/>
    <w:rsid w:val="005C5577"/>
    <w:rsid w:val="005C582E"/>
    <w:rsid w:val="005C592F"/>
    <w:rsid w:val="005C59EF"/>
    <w:rsid w:val="005C5B75"/>
    <w:rsid w:val="005C5D49"/>
    <w:rsid w:val="005C5E7D"/>
    <w:rsid w:val="005C66D9"/>
    <w:rsid w:val="005C6A43"/>
    <w:rsid w:val="005C6B66"/>
    <w:rsid w:val="005C7733"/>
    <w:rsid w:val="005C7822"/>
    <w:rsid w:val="005C7C3A"/>
    <w:rsid w:val="005D0DFD"/>
    <w:rsid w:val="005D1176"/>
    <w:rsid w:val="005D11D4"/>
    <w:rsid w:val="005D1653"/>
    <w:rsid w:val="005D1DC9"/>
    <w:rsid w:val="005D1FC8"/>
    <w:rsid w:val="005D2128"/>
    <w:rsid w:val="005D26B9"/>
    <w:rsid w:val="005D2957"/>
    <w:rsid w:val="005D2A0D"/>
    <w:rsid w:val="005D2BD7"/>
    <w:rsid w:val="005D35C0"/>
    <w:rsid w:val="005D362F"/>
    <w:rsid w:val="005D36AB"/>
    <w:rsid w:val="005D394B"/>
    <w:rsid w:val="005D3AD6"/>
    <w:rsid w:val="005D3D03"/>
    <w:rsid w:val="005D421F"/>
    <w:rsid w:val="005D42D8"/>
    <w:rsid w:val="005D433E"/>
    <w:rsid w:val="005D499F"/>
    <w:rsid w:val="005D49B8"/>
    <w:rsid w:val="005D4BDC"/>
    <w:rsid w:val="005D4D9A"/>
    <w:rsid w:val="005D4EB2"/>
    <w:rsid w:val="005D5441"/>
    <w:rsid w:val="005D551C"/>
    <w:rsid w:val="005D5B9E"/>
    <w:rsid w:val="005D64A9"/>
    <w:rsid w:val="005D65E3"/>
    <w:rsid w:val="005D67BE"/>
    <w:rsid w:val="005D6CBF"/>
    <w:rsid w:val="005D6FE6"/>
    <w:rsid w:val="005D7076"/>
    <w:rsid w:val="005E004E"/>
    <w:rsid w:val="005E0830"/>
    <w:rsid w:val="005E0BC0"/>
    <w:rsid w:val="005E199C"/>
    <w:rsid w:val="005E26F6"/>
    <w:rsid w:val="005E2B2C"/>
    <w:rsid w:val="005E2BB0"/>
    <w:rsid w:val="005E2C7C"/>
    <w:rsid w:val="005E34F1"/>
    <w:rsid w:val="005E3E6D"/>
    <w:rsid w:val="005E421C"/>
    <w:rsid w:val="005E4E3F"/>
    <w:rsid w:val="005E51F9"/>
    <w:rsid w:val="005E589F"/>
    <w:rsid w:val="005E62D2"/>
    <w:rsid w:val="005E67BE"/>
    <w:rsid w:val="005E6C06"/>
    <w:rsid w:val="005E6CE3"/>
    <w:rsid w:val="005E6F2C"/>
    <w:rsid w:val="005E7938"/>
    <w:rsid w:val="005E7D50"/>
    <w:rsid w:val="005E7ED9"/>
    <w:rsid w:val="005F0031"/>
    <w:rsid w:val="005F0105"/>
    <w:rsid w:val="005F05C7"/>
    <w:rsid w:val="005F08A2"/>
    <w:rsid w:val="005F1043"/>
    <w:rsid w:val="005F161A"/>
    <w:rsid w:val="005F1659"/>
    <w:rsid w:val="005F16C2"/>
    <w:rsid w:val="005F184A"/>
    <w:rsid w:val="005F19CD"/>
    <w:rsid w:val="005F1E24"/>
    <w:rsid w:val="005F21EC"/>
    <w:rsid w:val="005F366F"/>
    <w:rsid w:val="005F39EC"/>
    <w:rsid w:val="005F4529"/>
    <w:rsid w:val="005F4649"/>
    <w:rsid w:val="005F4B04"/>
    <w:rsid w:val="005F4CC4"/>
    <w:rsid w:val="005F4F6E"/>
    <w:rsid w:val="005F515A"/>
    <w:rsid w:val="005F5525"/>
    <w:rsid w:val="005F5B2D"/>
    <w:rsid w:val="005F5F7D"/>
    <w:rsid w:val="005F68AD"/>
    <w:rsid w:val="005F6A46"/>
    <w:rsid w:val="005F6C98"/>
    <w:rsid w:val="005F6E51"/>
    <w:rsid w:val="005F71B6"/>
    <w:rsid w:val="005F72D6"/>
    <w:rsid w:val="005F75D9"/>
    <w:rsid w:val="005F766B"/>
    <w:rsid w:val="005F7DFB"/>
    <w:rsid w:val="00600136"/>
    <w:rsid w:val="00600B00"/>
    <w:rsid w:val="00600DF4"/>
    <w:rsid w:val="006015B2"/>
    <w:rsid w:val="006018BB"/>
    <w:rsid w:val="006018D4"/>
    <w:rsid w:val="00601C70"/>
    <w:rsid w:val="00601DFC"/>
    <w:rsid w:val="00602307"/>
    <w:rsid w:val="00602430"/>
    <w:rsid w:val="006028CA"/>
    <w:rsid w:val="0060313A"/>
    <w:rsid w:val="00603187"/>
    <w:rsid w:val="00603F7F"/>
    <w:rsid w:val="0060419B"/>
    <w:rsid w:val="00604454"/>
    <w:rsid w:val="00604878"/>
    <w:rsid w:val="00604A55"/>
    <w:rsid w:val="00604B0C"/>
    <w:rsid w:val="00604F68"/>
    <w:rsid w:val="006059BE"/>
    <w:rsid w:val="00605F4B"/>
    <w:rsid w:val="0060616B"/>
    <w:rsid w:val="006065FA"/>
    <w:rsid w:val="00606B39"/>
    <w:rsid w:val="00606EB7"/>
    <w:rsid w:val="00607115"/>
    <w:rsid w:val="0060728C"/>
    <w:rsid w:val="006076DF"/>
    <w:rsid w:val="006077AA"/>
    <w:rsid w:val="00610183"/>
    <w:rsid w:val="0061070C"/>
    <w:rsid w:val="00610950"/>
    <w:rsid w:val="00610FE3"/>
    <w:rsid w:val="00611143"/>
    <w:rsid w:val="006113C0"/>
    <w:rsid w:val="00611715"/>
    <w:rsid w:val="00611929"/>
    <w:rsid w:val="006119A3"/>
    <w:rsid w:val="00611DB7"/>
    <w:rsid w:val="00611DEC"/>
    <w:rsid w:val="00611FC2"/>
    <w:rsid w:val="00612979"/>
    <w:rsid w:val="00612ACC"/>
    <w:rsid w:val="0061305E"/>
    <w:rsid w:val="00613166"/>
    <w:rsid w:val="006132FF"/>
    <w:rsid w:val="00613703"/>
    <w:rsid w:val="0061399E"/>
    <w:rsid w:val="006139EC"/>
    <w:rsid w:val="00613E49"/>
    <w:rsid w:val="00614097"/>
    <w:rsid w:val="00614608"/>
    <w:rsid w:val="00614FA3"/>
    <w:rsid w:val="0061567E"/>
    <w:rsid w:val="00615764"/>
    <w:rsid w:val="00615951"/>
    <w:rsid w:val="006159BC"/>
    <w:rsid w:val="00615A44"/>
    <w:rsid w:val="00615E31"/>
    <w:rsid w:val="00615F9E"/>
    <w:rsid w:val="006168E1"/>
    <w:rsid w:val="00616BD8"/>
    <w:rsid w:val="0061721C"/>
    <w:rsid w:val="00617571"/>
    <w:rsid w:val="00617CC3"/>
    <w:rsid w:val="0062071F"/>
    <w:rsid w:val="006207E1"/>
    <w:rsid w:val="00620843"/>
    <w:rsid w:val="00620947"/>
    <w:rsid w:val="00620AFC"/>
    <w:rsid w:val="00620B8E"/>
    <w:rsid w:val="00620FD1"/>
    <w:rsid w:val="006212CE"/>
    <w:rsid w:val="00621704"/>
    <w:rsid w:val="006224D3"/>
    <w:rsid w:val="006227BC"/>
    <w:rsid w:val="00622E75"/>
    <w:rsid w:val="00623094"/>
    <w:rsid w:val="0062313B"/>
    <w:rsid w:val="00623809"/>
    <w:rsid w:val="006239D1"/>
    <w:rsid w:val="006240F9"/>
    <w:rsid w:val="006242B1"/>
    <w:rsid w:val="006243EB"/>
    <w:rsid w:val="0062490D"/>
    <w:rsid w:val="00625387"/>
    <w:rsid w:val="00625EC6"/>
    <w:rsid w:val="0062620B"/>
    <w:rsid w:val="006262DA"/>
    <w:rsid w:val="00626B44"/>
    <w:rsid w:val="00626D91"/>
    <w:rsid w:val="00626EBD"/>
    <w:rsid w:val="00627158"/>
    <w:rsid w:val="00627308"/>
    <w:rsid w:val="00627D07"/>
    <w:rsid w:val="00627D0E"/>
    <w:rsid w:val="006306E3"/>
    <w:rsid w:val="0063098A"/>
    <w:rsid w:val="00630DCA"/>
    <w:rsid w:val="006310E6"/>
    <w:rsid w:val="00631884"/>
    <w:rsid w:val="00631A64"/>
    <w:rsid w:val="00632483"/>
    <w:rsid w:val="006328FF"/>
    <w:rsid w:val="00632B54"/>
    <w:rsid w:val="00632E7A"/>
    <w:rsid w:val="0063315B"/>
    <w:rsid w:val="00633717"/>
    <w:rsid w:val="00633889"/>
    <w:rsid w:val="00633B5C"/>
    <w:rsid w:val="00634232"/>
    <w:rsid w:val="00634787"/>
    <w:rsid w:val="00634FE5"/>
    <w:rsid w:val="00636AD5"/>
    <w:rsid w:val="00636BA0"/>
    <w:rsid w:val="006377A6"/>
    <w:rsid w:val="00637A3D"/>
    <w:rsid w:val="00640A6F"/>
    <w:rsid w:val="006411EF"/>
    <w:rsid w:val="006415CE"/>
    <w:rsid w:val="00641C99"/>
    <w:rsid w:val="00641D57"/>
    <w:rsid w:val="00642DB9"/>
    <w:rsid w:val="00643931"/>
    <w:rsid w:val="00643AC9"/>
    <w:rsid w:val="006448F4"/>
    <w:rsid w:val="00644BB7"/>
    <w:rsid w:val="0064529E"/>
    <w:rsid w:val="0064537A"/>
    <w:rsid w:val="00645610"/>
    <w:rsid w:val="00645F01"/>
    <w:rsid w:val="006460EE"/>
    <w:rsid w:val="0064616E"/>
    <w:rsid w:val="00646328"/>
    <w:rsid w:val="006464A2"/>
    <w:rsid w:val="00646A0E"/>
    <w:rsid w:val="00646E78"/>
    <w:rsid w:val="006505C1"/>
    <w:rsid w:val="0065067C"/>
    <w:rsid w:val="00650F84"/>
    <w:rsid w:val="00651533"/>
    <w:rsid w:val="00651BDF"/>
    <w:rsid w:val="00651D00"/>
    <w:rsid w:val="00652116"/>
    <w:rsid w:val="0065298D"/>
    <w:rsid w:val="00652D57"/>
    <w:rsid w:val="00653043"/>
    <w:rsid w:val="006533C9"/>
    <w:rsid w:val="00653483"/>
    <w:rsid w:val="006535F0"/>
    <w:rsid w:val="00653632"/>
    <w:rsid w:val="00654170"/>
    <w:rsid w:val="006543F5"/>
    <w:rsid w:val="006545EA"/>
    <w:rsid w:val="0065490B"/>
    <w:rsid w:val="006550DD"/>
    <w:rsid w:val="00655130"/>
    <w:rsid w:val="00655248"/>
    <w:rsid w:val="00655BF1"/>
    <w:rsid w:val="0065687D"/>
    <w:rsid w:val="006568A2"/>
    <w:rsid w:val="00656A58"/>
    <w:rsid w:val="00656E3B"/>
    <w:rsid w:val="006571F1"/>
    <w:rsid w:val="006572A1"/>
    <w:rsid w:val="0065746D"/>
    <w:rsid w:val="006577E1"/>
    <w:rsid w:val="00657D5B"/>
    <w:rsid w:val="00660044"/>
    <w:rsid w:val="0066013F"/>
    <w:rsid w:val="00660407"/>
    <w:rsid w:val="0066050C"/>
    <w:rsid w:val="006605D2"/>
    <w:rsid w:val="00660F1B"/>
    <w:rsid w:val="0066123D"/>
    <w:rsid w:val="00661E7F"/>
    <w:rsid w:val="006620D9"/>
    <w:rsid w:val="00662B87"/>
    <w:rsid w:val="00663427"/>
    <w:rsid w:val="00664043"/>
    <w:rsid w:val="00664083"/>
    <w:rsid w:val="00664136"/>
    <w:rsid w:val="00664483"/>
    <w:rsid w:val="00664C11"/>
    <w:rsid w:val="00665281"/>
    <w:rsid w:val="006652D7"/>
    <w:rsid w:val="006657FC"/>
    <w:rsid w:val="00665E60"/>
    <w:rsid w:val="0066636D"/>
    <w:rsid w:val="0066656E"/>
    <w:rsid w:val="006665DF"/>
    <w:rsid w:val="006667E2"/>
    <w:rsid w:val="00666A4B"/>
    <w:rsid w:val="006674CB"/>
    <w:rsid w:val="00667C28"/>
    <w:rsid w:val="00667C29"/>
    <w:rsid w:val="0067013C"/>
    <w:rsid w:val="0067082D"/>
    <w:rsid w:val="00670D00"/>
    <w:rsid w:val="006713CB"/>
    <w:rsid w:val="00671932"/>
    <w:rsid w:val="00671A2D"/>
    <w:rsid w:val="00671CBC"/>
    <w:rsid w:val="00672002"/>
    <w:rsid w:val="00672146"/>
    <w:rsid w:val="00673175"/>
    <w:rsid w:val="00673723"/>
    <w:rsid w:val="00673D0F"/>
    <w:rsid w:val="00674214"/>
    <w:rsid w:val="006744A5"/>
    <w:rsid w:val="006746C2"/>
    <w:rsid w:val="00674821"/>
    <w:rsid w:val="006748B8"/>
    <w:rsid w:val="00675077"/>
    <w:rsid w:val="0067553C"/>
    <w:rsid w:val="00675FD8"/>
    <w:rsid w:val="006766E0"/>
    <w:rsid w:val="006767BB"/>
    <w:rsid w:val="00676C54"/>
    <w:rsid w:val="00676DF4"/>
    <w:rsid w:val="006771F0"/>
    <w:rsid w:val="0067722B"/>
    <w:rsid w:val="006773F3"/>
    <w:rsid w:val="006775C3"/>
    <w:rsid w:val="0067761E"/>
    <w:rsid w:val="0067795C"/>
    <w:rsid w:val="00677C1F"/>
    <w:rsid w:val="006800AA"/>
    <w:rsid w:val="006802FD"/>
    <w:rsid w:val="00680760"/>
    <w:rsid w:val="00680ADF"/>
    <w:rsid w:val="00680D29"/>
    <w:rsid w:val="00680D42"/>
    <w:rsid w:val="00681396"/>
    <w:rsid w:val="006814D5"/>
    <w:rsid w:val="00681BCC"/>
    <w:rsid w:val="00681D31"/>
    <w:rsid w:val="00681E06"/>
    <w:rsid w:val="00681FA9"/>
    <w:rsid w:val="0068250B"/>
    <w:rsid w:val="00682C48"/>
    <w:rsid w:val="00682E3B"/>
    <w:rsid w:val="00682F09"/>
    <w:rsid w:val="00683765"/>
    <w:rsid w:val="006837E4"/>
    <w:rsid w:val="00683B38"/>
    <w:rsid w:val="0068436F"/>
    <w:rsid w:val="00684A2C"/>
    <w:rsid w:val="00684E74"/>
    <w:rsid w:val="006850CA"/>
    <w:rsid w:val="00685AF8"/>
    <w:rsid w:val="00685D3B"/>
    <w:rsid w:val="00685F41"/>
    <w:rsid w:val="006867A9"/>
    <w:rsid w:val="0068694B"/>
    <w:rsid w:val="00686A90"/>
    <w:rsid w:val="00686CF3"/>
    <w:rsid w:val="006878AD"/>
    <w:rsid w:val="00687BAC"/>
    <w:rsid w:val="006907E1"/>
    <w:rsid w:val="00690D08"/>
    <w:rsid w:val="00691183"/>
    <w:rsid w:val="00691487"/>
    <w:rsid w:val="006914C8"/>
    <w:rsid w:val="00691A53"/>
    <w:rsid w:val="00691D4E"/>
    <w:rsid w:val="00692133"/>
    <w:rsid w:val="00692564"/>
    <w:rsid w:val="00692654"/>
    <w:rsid w:val="0069290A"/>
    <w:rsid w:val="0069340D"/>
    <w:rsid w:val="006941D9"/>
    <w:rsid w:val="006941E4"/>
    <w:rsid w:val="00694473"/>
    <w:rsid w:val="00694EBD"/>
    <w:rsid w:val="00694F74"/>
    <w:rsid w:val="006950FA"/>
    <w:rsid w:val="006956E6"/>
    <w:rsid w:val="00695724"/>
    <w:rsid w:val="00695CE7"/>
    <w:rsid w:val="00695D40"/>
    <w:rsid w:val="00695E5F"/>
    <w:rsid w:val="00696842"/>
    <w:rsid w:val="0069775A"/>
    <w:rsid w:val="00697813"/>
    <w:rsid w:val="00697FBA"/>
    <w:rsid w:val="006A0104"/>
    <w:rsid w:val="006A0C3D"/>
    <w:rsid w:val="006A0E78"/>
    <w:rsid w:val="006A147D"/>
    <w:rsid w:val="006A1B3F"/>
    <w:rsid w:val="006A2329"/>
    <w:rsid w:val="006A24FF"/>
    <w:rsid w:val="006A318D"/>
    <w:rsid w:val="006A38DB"/>
    <w:rsid w:val="006A3D39"/>
    <w:rsid w:val="006A3E3D"/>
    <w:rsid w:val="006A3EE8"/>
    <w:rsid w:val="006A437A"/>
    <w:rsid w:val="006A4420"/>
    <w:rsid w:val="006A4560"/>
    <w:rsid w:val="006A4DBF"/>
    <w:rsid w:val="006A55E3"/>
    <w:rsid w:val="006A5EE0"/>
    <w:rsid w:val="006A5F02"/>
    <w:rsid w:val="006A682B"/>
    <w:rsid w:val="006A7110"/>
    <w:rsid w:val="006A72BF"/>
    <w:rsid w:val="006A73A8"/>
    <w:rsid w:val="006A7425"/>
    <w:rsid w:val="006A74FB"/>
    <w:rsid w:val="006A77B5"/>
    <w:rsid w:val="006A788A"/>
    <w:rsid w:val="006A79AB"/>
    <w:rsid w:val="006B0369"/>
    <w:rsid w:val="006B03F2"/>
    <w:rsid w:val="006B080B"/>
    <w:rsid w:val="006B0AE7"/>
    <w:rsid w:val="006B0D4A"/>
    <w:rsid w:val="006B0D62"/>
    <w:rsid w:val="006B0DC7"/>
    <w:rsid w:val="006B12AA"/>
    <w:rsid w:val="006B164C"/>
    <w:rsid w:val="006B17AF"/>
    <w:rsid w:val="006B2863"/>
    <w:rsid w:val="006B2E08"/>
    <w:rsid w:val="006B3363"/>
    <w:rsid w:val="006B34AD"/>
    <w:rsid w:val="006B37DC"/>
    <w:rsid w:val="006B3999"/>
    <w:rsid w:val="006B3A28"/>
    <w:rsid w:val="006B3C7C"/>
    <w:rsid w:val="006B3D88"/>
    <w:rsid w:val="006B487D"/>
    <w:rsid w:val="006B4F68"/>
    <w:rsid w:val="006B55E4"/>
    <w:rsid w:val="006B5A5A"/>
    <w:rsid w:val="006B5FF6"/>
    <w:rsid w:val="006B60BB"/>
    <w:rsid w:val="006B60EF"/>
    <w:rsid w:val="006B6141"/>
    <w:rsid w:val="006B6B26"/>
    <w:rsid w:val="006B6D29"/>
    <w:rsid w:val="006B702D"/>
    <w:rsid w:val="006B71A7"/>
    <w:rsid w:val="006B72C2"/>
    <w:rsid w:val="006B78C6"/>
    <w:rsid w:val="006B7CF7"/>
    <w:rsid w:val="006B7DB0"/>
    <w:rsid w:val="006C0042"/>
    <w:rsid w:val="006C0138"/>
    <w:rsid w:val="006C0246"/>
    <w:rsid w:val="006C0592"/>
    <w:rsid w:val="006C07CA"/>
    <w:rsid w:val="006C0972"/>
    <w:rsid w:val="006C1865"/>
    <w:rsid w:val="006C2111"/>
    <w:rsid w:val="006C272E"/>
    <w:rsid w:val="006C2A8E"/>
    <w:rsid w:val="006C2D77"/>
    <w:rsid w:val="006C2E42"/>
    <w:rsid w:val="006C36C2"/>
    <w:rsid w:val="006C3925"/>
    <w:rsid w:val="006C4096"/>
    <w:rsid w:val="006C40A0"/>
    <w:rsid w:val="006C419E"/>
    <w:rsid w:val="006C4886"/>
    <w:rsid w:val="006C4BF4"/>
    <w:rsid w:val="006C4DD9"/>
    <w:rsid w:val="006C4FB7"/>
    <w:rsid w:val="006C5479"/>
    <w:rsid w:val="006C57A4"/>
    <w:rsid w:val="006C607D"/>
    <w:rsid w:val="006C626A"/>
    <w:rsid w:val="006C6327"/>
    <w:rsid w:val="006C65E7"/>
    <w:rsid w:val="006C65E9"/>
    <w:rsid w:val="006C668D"/>
    <w:rsid w:val="006C6868"/>
    <w:rsid w:val="006C699C"/>
    <w:rsid w:val="006C6A75"/>
    <w:rsid w:val="006C6AC3"/>
    <w:rsid w:val="006C6CA2"/>
    <w:rsid w:val="006C6F08"/>
    <w:rsid w:val="006C7A24"/>
    <w:rsid w:val="006C7DB0"/>
    <w:rsid w:val="006D0260"/>
    <w:rsid w:val="006D0DD3"/>
    <w:rsid w:val="006D0EA7"/>
    <w:rsid w:val="006D1018"/>
    <w:rsid w:val="006D1121"/>
    <w:rsid w:val="006D125C"/>
    <w:rsid w:val="006D1350"/>
    <w:rsid w:val="006D13B5"/>
    <w:rsid w:val="006D1A67"/>
    <w:rsid w:val="006D2E76"/>
    <w:rsid w:val="006D2F21"/>
    <w:rsid w:val="006D3DA8"/>
    <w:rsid w:val="006D43F8"/>
    <w:rsid w:val="006D489D"/>
    <w:rsid w:val="006D4A9F"/>
    <w:rsid w:val="006D4EBF"/>
    <w:rsid w:val="006D4F23"/>
    <w:rsid w:val="006D5110"/>
    <w:rsid w:val="006D5C13"/>
    <w:rsid w:val="006D5D36"/>
    <w:rsid w:val="006D5F73"/>
    <w:rsid w:val="006D6C45"/>
    <w:rsid w:val="006D71EA"/>
    <w:rsid w:val="006D7A84"/>
    <w:rsid w:val="006D7FBD"/>
    <w:rsid w:val="006E0F29"/>
    <w:rsid w:val="006E12FF"/>
    <w:rsid w:val="006E176E"/>
    <w:rsid w:val="006E201B"/>
    <w:rsid w:val="006E214B"/>
    <w:rsid w:val="006E21A6"/>
    <w:rsid w:val="006E237F"/>
    <w:rsid w:val="006E2382"/>
    <w:rsid w:val="006E266D"/>
    <w:rsid w:val="006E26F4"/>
    <w:rsid w:val="006E2CFB"/>
    <w:rsid w:val="006E2E62"/>
    <w:rsid w:val="006E3507"/>
    <w:rsid w:val="006E35CB"/>
    <w:rsid w:val="006E3699"/>
    <w:rsid w:val="006E3AF9"/>
    <w:rsid w:val="006E3E7B"/>
    <w:rsid w:val="006E4004"/>
    <w:rsid w:val="006E44F4"/>
    <w:rsid w:val="006E4C9E"/>
    <w:rsid w:val="006E4FF9"/>
    <w:rsid w:val="006E5487"/>
    <w:rsid w:val="006E54B6"/>
    <w:rsid w:val="006E5523"/>
    <w:rsid w:val="006E5723"/>
    <w:rsid w:val="006E5F29"/>
    <w:rsid w:val="006E607E"/>
    <w:rsid w:val="006E68F4"/>
    <w:rsid w:val="006E690C"/>
    <w:rsid w:val="006E6AEF"/>
    <w:rsid w:val="006E6F2F"/>
    <w:rsid w:val="006E7E5C"/>
    <w:rsid w:val="006E7E9D"/>
    <w:rsid w:val="006F017E"/>
    <w:rsid w:val="006F0A69"/>
    <w:rsid w:val="006F1B3B"/>
    <w:rsid w:val="006F20A4"/>
    <w:rsid w:val="006F230C"/>
    <w:rsid w:val="006F2805"/>
    <w:rsid w:val="006F294E"/>
    <w:rsid w:val="006F2E39"/>
    <w:rsid w:val="006F3144"/>
    <w:rsid w:val="006F3596"/>
    <w:rsid w:val="006F3E68"/>
    <w:rsid w:val="006F3FFB"/>
    <w:rsid w:val="006F443B"/>
    <w:rsid w:val="006F477F"/>
    <w:rsid w:val="006F4E22"/>
    <w:rsid w:val="006F4E54"/>
    <w:rsid w:val="006F5052"/>
    <w:rsid w:val="006F57D4"/>
    <w:rsid w:val="006F5C7B"/>
    <w:rsid w:val="006F60A8"/>
    <w:rsid w:val="006F64FA"/>
    <w:rsid w:val="006F653F"/>
    <w:rsid w:val="006F6905"/>
    <w:rsid w:val="006F6B43"/>
    <w:rsid w:val="006F6C27"/>
    <w:rsid w:val="006F736A"/>
    <w:rsid w:val="006F75BB"/>
    <w:rsid w:val="006F7677"/>
    <w:rsid w:val="006F78D2"/>
    <w:rsid w:val="006F7CB5"/>
    <w:rsid w:val="00700616"/>
    <w:rsid w:val="00700745"/>
    <w:rsid w:val="00700BAF"/>
    <w:rsid w:val="00700C6E"/>
    <w:rsid w:val="007010F6"/>
    <w:rsid w:val="007015D1"/>
    <w:rsid w:val="00701B6A"/>
    <w:rsid w:val="00701BF7"/>
    <w:rsid w:val="00701CCD"/>
    <w:rsid w:val="007022A7"/>
    <w:rsid w:val="00702732"/>
    <w:rsid w:val="007028B5"/>
    <w:rsid w:val="007030B3"/>
    <w:rsid w:val="00703961"/>
    <w:rsid w:val="00703D40"/>
    <w:rsid w:val="00703DA1"/>
    <w:rsid w:val="00704324"/>
    <w:rsid w:val="00704427"/>
    <w:rsid w:val="007044A8"/>
    <w:rsid w:val="00704645"/>
    <w:rsid w:val="00704B16"/>
    <w:rsid w:val="00705315"/>
    <w:rsid w:val="00705667"/>
    <w:rsid w:val="00705695"/>
    <w:rsid w:val="00706C5D"/>
    <w:rsid w:val="00707781"/>
    <w:rsid w:val="00707FF5"/>
    <w:rsid w:val="00710165"/>
    <w:rsid w:val="007101AF"/>
    <w:rsid w:val="00710583"/>
    <w:rsid w:val="007109C5"/>
    <w:rsid w:val="00710A07"/>
    <w:rsid w:val="00710A63"/>
    <w:rsid w:val="00710D6E"/>
    <w:rsid w:val="00710DAD"/>
    <w:rsid w:val="007112E1"/>
    <w:rsid w:val="00711A37"/>
    <w:rsid w:val="00711BE0"/>
    <w:rsid w:val="007129E5"/>
    <w:rsid w:val="00712A73"/>
    <w:rsid w:val="00712EC4"/>
    <w:rsid w:val="00713053"/>
    <w:rsid w:val="007132FB"/>
    <w:rsid w:val="0071342D"/>
    <w:rsid w:val="00713F8C"/>
    <w:rsid w:val="00713F91"/>
    <w:rsid w:val="0071443D"/>
    <w:rsid w:val="00714C65"/>
    <w:rsid w:val="007158AC"/>
    <w:rsid w:val="0071592C"/>
    <w:rsid w:val="00715991"/>
    <w:rsid w:val="00715F17"/>
    <w:rsid w:val="00715FE5"/>
    <w:rsid w:val="00716204"/>
    <w:rsid w:val="007168D1"/>
    <w:rsid w:val="00716A5D"/>
    <w:rsid w:val="00716C43"/>
    <w:rsid w:val="007171C2"/>
    <w:rsid w:val="00717874"/>
    <w:rsid w:val="00717A04"/>
    <w:rsid w:val="007206C2"/>
    <w:rsid w:val="007207B7"/>
    <w:rsid w:val="0072095B"/>
    <w:rsid w:val="00720D4A"/>
    <w:rsid w:val="00720DA3"/>
    <w:rsid w:val="00720DC7"/>
    <w:rsid w:val="00720E09"/>
    <w:rsid w:val="00720E10"/>
    <w:rsid w:val="00720E16"/>
    <w:rsid w:val="00720E60"/>
    <w:rsid w:val="00721284"/>
    <w:rsid w:val="00721696"/>
    <w:rsid w:val="00721CE2"/>
    <w:rsid w:val="00722109"/>
    <w:rsid w:val="00722484"/>
    <w:rsid w:val="0072275F"/>
    <w:rsid w:val="00723782"/>
    <w:rsid w:val="00723B8F"/>
    <w:rsid w:val="0072423B"/>
    <w:rsid w:val="00724699"/>
    <w:rsid w:val="007249C5"/>
    <w:rsid w:val="00724C31"/>
    <w:rsid w:val="0072512A"/>
    <w:rsid w:val="00725320"/>
    <w:rsid w:val="0072551F"/>
    <w:rsid w:val="00725577"/>
    <w:rsid w:val="00725905"/>
    <w:rsid w:val="00725B93"/>
    <w:rsid w:val="00725E5F"/>
    <w:rsid w:val="00725F60"/>
    <w:rsid w:val="007264EE"/>
    <w:rsid w:val="007268E1"/>
    <w:rsid w:val="00727165"/>
    <w:rsid w:val="00727667"/>
    <w:rsid w:val="0072788D"/>
    <w:rsid w:val="007278B0"/>
    <w:rsid w:val="007278C2"/>
    <w:rsid w:val="00730056"/>
    <w:rsid w:val="0073011A"/>
    <w:rsid w:val="007304D4"/>
    <w:rsid w:val="00730B01"/>
    <w:rsid w:val="00731004"/>
    <w:rsid w:val="00731075"/>
    <w:rsid w:val="0073129B"/>
    <w:rsid w:val="00731EC7"/>
    <w:rsid w:val="00731F8E"/>
    <w:rsid w:val="00732082"/>
    <w:rsid w:val="00732129"/>
    <w:rsid w:val="0073218C"/>
    <w:rsid w:val="00732922"/>
    <w:rsid w:val="0073301D"/>
    <w:rsid w:val="007335A8"/>
    <w:rsid w:val="00733BC9"/>
    <w:rsid w:val="0073400B"/>
    <w:rsid w:val="00734167"/>
    <w:rsid w:val="00734292"/>
    <w:rsid w:val="0073430A"/>
    <w:rsid w:val="00734415"/>
    <w:rsid w:val="007344AE"/>
    <w:rsid w:val="00734A9B"/>
    <w:rsid w:val="00734B35"/>
    <w:rsid w:val="00734CE7"/>
    <w:rsid w:val="00734D68"/>
    <w:rsid w:val="007357CC"/>
    <w:rsid w:val="00735ADD"/>
    <w:rsid w:val="00735EE7"/>
    <w:rsid w:val="007363F6"/>
    <w:rsid w:val="00736855"/>
    <w:rsid w:val="00736B21"/>
    <w:rsid w:val="007373E5"/>
    <w:rsid w:val="00737669"/>
    <w:rsid w:val="00737A7C"/>
    <w:rsid w:val="00737DF5"/>
    <w:rsid w:val="007405A9"/>
    <w:rsid w:val="007405F8"/>
    <w:rsid w:val="0074083E"/>
    <w:rsid w:val="00740FC3"/>
    <w:rsid w:val="00741873"/>
    <w:rsid w:val="0074198F"/>
    <w:rsid w:val="007419FB"/>
    <w:rsid w:val="00742E1C"/>
    <w:rsid w:val="00743003"/>
    <w:rsid w:val="00743EAE"/>
    <w:rsid w:val="00744267"/>
    <w:rsid w:val="00744637"/>
    <w:rsid w:val="00744919"/>
    <w:rsid w:val="00745520"/>
    <w:rsid w:val="007455E2"/>
    <w:rsid w:val="00746073"/>
    <w:rsid w:val="00746077"/>
    <w:rsid w:val="0074651F"/>
    <w:rsid w:val="00746D06"/>
    <w:rsid w:val="00746F22"/>
    <w:rsid w:val="0074766B"/>
    <w:rsid w:val="0075059D"/>
    <w:rsid w:val="007511D0"/>
    <w:rsid w:val="0075162E"/>
    <w:rsid w:val="00751755"/>
    <w:rsid w:val="0075194D"/>
    <w:rsid w:val="007519DE"/>
    <w:rsid w:val="00751EC8"/>
    <w:rsid w:val="00751F15"/>
    <w:rsid w:val="0075205A"/>
    <w:rsid w:val="00753364"/>
    <w:rsid w:val="00753381"/>
    <w:rsid w:val="0075348E"/>
    <w:rsid w:val="007538FC"/>
    <w:rsid w:val="00753D4B"/>
    <w:rsid w:val="00754034"/>
    <w:rsid w:val="00754276"/>
    <w:rsid w:val="00754AF9"/>
    <w:rsid w:val="00754FE4"/>
    <w:rsid w:val="00755C34"/>
    <w:rsid w:val="00755CBE"/>
    <w:rsid w:val="00755E6E"/>
    <w:rsid w:val="00756252"/>
    <w:rsid w:val="00756556"/>
    <w:rsid w:val="007565F5"/>
    <w:rsid w:val="0075677E"/>
    <w:rsid w:val="00756AD4"/>
    <w:rsid w:val="00756D37"/>
    <w:rsid w:val="00756E4F"/>
    <w:rsid w:val="007570EE"/>
    <w:rsid w:val="00757CD4"/>
    <w:rsid w:val="00757CFC"/>
    <w:rsid w:val="007600D8"/>
    <w:rsid w:val="0076026A"/>
    <w:rsid w:val="00760B62"/>
    <w:rsid w:val="007616FB"/>
    <w:rsid w:val="007617AF"/>
    <w:rsid w:val="007618C4"/>
    <w:rsid w:val="007619FD"/>
    <w:rsid w:val="00761E82"/>
    <w:rsid w:val="0076252B"/>
    <w:rsid w:val="00762D75"/>
    <w:rsid w:val="00763092"/>
    <w:rsid w:val="007637DC"/>
    <w:rsid w:val="007637F7"/>
    <w:rsid w:val="00763F2D"/>
    <w:rsid w:val="0076420C"/>
    <w:rsid w:val="0076463E"/>
    <w:rsid w:val="007648C8"/>
    <w:rsid w:val="00764F5D"/>
    <w:rsid w:val="00765232"/>
    <w:rsid w:val="00765533"/>
    <w:rsid w:val="007656AA"/>
    <w:rsid w:val="0076616B"/>
    <w:rsid w:val="007662D4"/>
    <w:rsid w:val="0076643F"/>
    <w:rsid w:val="0076652F"/>
    <w:rsid w:val="00766AEB"/>
    <w:rsid w:val="00766B14"/>
    <w:rsid w:val="0076784C"/>
    <w:rsid w:val="007678E4"/>
    <w:rsid w:val="00767980"/>
    <w:rsid w:val="00767DF8"/>
    <w:rsid w:val="00770B19"/>
    <w:rsid w:val="00770C05"/>
    <w:rsid w:val="007712FD"/>
    <w:rsid w:val="00771452"/>
    <w:rsid w:val="0077190C"/>
    <w:rsid w:val="00771D47"/>
    <w:rsid w:val="00771D5F"/>
    <w:rsid w:val="00771E9A"/>
    <w:rsid w:val="00772158"/>
    <w:rsid w:val="007726EB"/>
    <w:rsid w:val="00772916"/>
    <w:rsid w:val="007729CA"/>
    <w:rsid w:val="00772C90"/>
    <w:rsid w:val="00773014"/>
    <w:rsid w:val="007731BA"/>
    <w:rsid w:val="007734AE"/>
    <w:rsid w:val="007735AB"/>
    <w:rsid w:val="00773797"/>
    <w:rsid w:val="007738EE"/>
    <w:rsid w:val="00773AE0"/>
    <w:rsid w:val="00773AE4"/>
    <w:rsid w:val="007741B7"/>
    <w:rsid w:val="00774212"/>
    <w:rsid w:val="0077463F"/>
    <w:rsid w:val="00774C55"/>
    <w:rsid w:val="0077505A"/>
    <w:rsid w:val="00775358"/>
    <w:rsid w:val="00775479"/>
    <w:rsid w:val="00775C57"/>
    <w:rsid w:val="00775CAE"/>
    <w:rsid w:val="00776476"/>
    <w:rsid w:val="00776697"/>
    <w:rsid w:val="00776990"/>
    <w:rsid w:val="00776B95"/>
    <w:rsid w:val="00777005"/>
    <w:rsid w:val="00777036"/>
    <w:rsid w:val="00777285"/>
    <w:rsid w:val="0077751C"/>
    <w:rsid w:val="00777587"/>
    <w:rsid w:val="007775FB"/>
    <w:rsid w:val="00777879"/>
    <w:rsid w:val="007779B8"/>
    <w:rsid w:val="00780006"/>
    <w:rsid w:val="00780D02"/>
    <w:rsid w:val="00780EC0"/>
    <w:rsid w:val="0078116B"/>
    <w:rsid w:val="00782322"/>
    <w:rsid w:val="0078267B"/>
    <w:rsid w:val="00782BA8"/>
    <w:rsid w:val="00782E8B"/>
    <w:rsid w:val="00783029"/>
    <w:rsid w:val="0078324F"/>
    <w:rsid w:val="007836EA"/>
    <w:rsid w:val="00783820"/>
    <w:rsid w:val="0078441F"/>
    <w:rsid w:val="00784683"/>
    <w:rsid w:val="00784CDA"/>
    <w:rsid w:val="00784E52"/>
    <w:rsid w:val="0078535B"/>
    <w:rsid w:val="00785C5F"/>
    <w:rsid w:val="00785EAD"/>
    <w:rsid w:val="00785EE2"/>
    <w:rsid w:val="00785FC2"/>
    <w:rsid w:val="007860DC"/>
    <w:rsid w:val="0078657A"/>
    <w:rsid w:val="007868B6"/>
    <w:rsid w:val="00786DCB"/>
    <w:rsid w:val="00786FB7"/>
    <w:rsid w:val="00787161"/>
    <w:rsid w:val="0078731C"/>
    <w:rsid w:val="00787987"/>
    <w:rsid w:val="00787BD9"/>
    <w:rsid w:val="00787F05"/>
    <w:rsid w:val="007906C4"/>
    <w:rsid w:val="0079071E"/>
    <w:rsid w:val="00790FDB"/>
    <w:rsid w:val="00791205"/>
    <w:rsid w:val="00791FC2"/>
    <w:rsid w:val="0079200C"/>
    <w:rsid w:val="00792011"/>
    <w:rsid w:val="00792B6D"/>
    <w:rsid w:val="00792EA0"/>
    <w:rsid w:val="00793548"/>
    <w:rsid w:val="007940EA"/>
    <w:rsid w:val="00794544"/>
    <w:rsid w:val="007945CE"/>
    <w:rsid w:val="00794BA8"/>
    <w:rsid w:val="00795994"/>
    <w:rsid w:val="00796622"/>
    <w:rsid w:val="007967C1"/>
    <w:rsid w:val="007967DE"/>
    <w:rsid w:val="007967E8"/>
    <w:rsid w:val="00796B6A"/>
    <w:rsid w:val="00796EFE"/>
    <w:rsid w:val="00797E07"/>
    <w:rsid w:val="007A0492"/>
    <w:rsid w:val="007A1057"/>
    <w:rsid w:val="007A1A77"/>
    <w:rsid w:val="007A2170"/>
    <w:rsid w:val="007A22BF"/>
    <w:rsid w:val="007A27C0"/>
    <w:rsid w:val="007A2F5D"/>
    <w:rsid w:val="007A3323"/>
    <w:rsid w:val="007A3A87"/>
    <w:rsid w:val="007A4346"/>
    <w:rsid w:val="007A491A"/>
    <w:rsid w:val="007A49C8"/>
    <w:rsid w:val="007A4BD6"/>
    <w:rsid w:val="007A4EFE"/>
    <w:rsid w:val="007A5561"/>
    <w:rsid w:val="007A55F3"/>
    <w:rsid w:val="007A5D67"/>
    <w:rsid w:val="007A6121"/>
    <w:rsid w:val="007A66A4"/>
    <w:rsid w:val="007A696B"/>
    <w:rsid w:val="007A6CF1"/>
    <w:rsid w:val="007A732A"/>
    <w:rsid w:val="007A73DC"/>
    <w:rsid w:val="007A740A"/>
    <w:rsid w:val="007A7587"/>
    <w:rsid w:val="007A78C6"/>
    <w:rsid w:val="007A7DB1"/>
    <w:rsid w:val="007A7F8C"/>
    <w:rsid w:val="007B04AA"/>
    <w:rsid w:val="007B077D"/>
    <w:rsid w:val="007B07F3"/>
    <w:rsid w:val="007B09C3"/>
    <w:rsid w:val="007B1877"/>
    <w:rsid w:val="007B1899"/>
    <w:rsid w:val="007B1B75"/>
    <w:rsid w:val="007B1C6F"/>
    <w:rsid w:val="007B1D8A"/>
    <w:rsid w:val="007B3835"/>
    <w:rsid w:val="007B3B43"/>
    <w:rsid w:val="007B5254"/>
    <w:rsid w:val="007B5590"/>
    <w:rsid w:val="007B56CA"/>
    <w:rsid w:val="007B5F80"/>
    <w:rsid w:val="007B65F0"/>
    <w:rsid w:val="007B6615"/>
    <w:rsid w:val="007B6DF6"/>
    <w:rsid w:val="007B6DFB"/>
    <w:rsid w:val="007B72B8"/>
    <w:rsid w:val="007B74B0"/>
    <w:rsid w:val="007B7A58"/>
    <w:rsid w:val="007B7EF4"/>
    <w:rsid w:val="007B7F0F"/>
    <w:rsid w:val="007B7F8B"/>
    <w:rsid w:val="007C038C"/>
    <w:rsid w:val="007C06F5"/>
    <w:rsid w:val="007C09CF"/>
    <w:rsid w:val="007C0A26"/>
    <w:rsid w:val="007C0AD9"/>
    <w:rsid w:val="007C0F0F"/>
    <w:rsid w:val="007C11BA"/>
    <w:rsid w:val="007C1931"/>
    <w:rsid w:val="007C1DBF"/>
    <w:rsid w:val="007C1FAF"/>
    <w:rsid w:val="007C1FF4"/>
    <w:rsid w:val="007C21B5"/>
    <w:rsid w:val="007C253B"/>
    <w:rsid w:val="007C2836"/>
    <w:rsid w:val="007C2C5F"/>
    <w:rsid w:val="007C2CAD"/>
    <w:rsid w:val="007C2D5C"/>
    <w:rsid w:val="007C5088"/>
    <w:rsid w:val="007C5336"/>
    <w:rsid w:val="007C570C"/>
    <w:rsid w:val="007C5FBD"/>
    <w:rsid w:val="007C6157"/>
    <w:rsid w:val="007C62F9"/>
    <w:rsid w:val="007C6317"/>
    <w:rsid w:val="007C6732"/>
    <w:rsid w:val="007C685E"/>
    <w:rsid w:val="007C6B23"/>
    <w:rsid w:val="007C713F"/>
    <w:rsid w:val="007C7658"/>
    <w:rsid w:val="007C7D19"/>
    <w:rsid w:val="007C7DBE"/>
    <w:rsid w:val="007D0766"/>
    <w:rsid w:val="007D0B69"/>
    <w:rsid w:val="007D11FA"/>
    <w:rsid w:val="007D1412"/>
    <w:rsid w:val="007D1597"/>
    <w:rsid w:val="007D1B3C"/>
    <w:rsid w:val="007D1CD8"/>
    <w:rsid w:val="007D25D5"/>
    <w:rsid w:val="007D2A49"/>
    <w:rsid w:val="007D3233"/>
    <w:rsid w:val="007D32C4"/>
    <w:rsid w:val="007D3560"/>
    <w:rsid w:val="007D41C2"/>
    <w:rsid w:val="007D43B6"/>
    <w:rsid w:val="007D4D1C"/>
    <w:rsid w:val="007D534B"/>
    <w:rsid w:val="007D58DE"/>
    <w:rsid w:val="007D5EC5"/>
    <w:rsid w:val="007D5F8F"/>
    <w:rsid w:val="007D6AD7"/>
    <w:rsid w:val="007D6BCA"/>
    <w:rsid w:val="007D6E82"/>
    <w:rsid w:val="007D718C"/>
    <w:rsid w:val="007D79B3"/>
    <w:rsid w:val="007D7AD1"/>
    <w:rsid w:val="007D7AF2"/>
    <w:rsid w:val="007D7C5A"/>
    <w:rsid w:val="007E0B5F"/>
    <w:rsid w:val="007E0CC0"/>
    <w:rsid w:val="007E160B"/>
    <w:rsid w:val="007E1FE2"/>
    <w:rsid w:val="007E21FF"/>
    <w:rsid w:val="007E24A6"/>
    <w:rsid w:val="007E260D"/>
    <w:rsid w:val="007E2656"/>
    <w:rsid w:val="007E26A3"/>
    <w:rsid w:val="007E28D7"/>
    <w:rsid w:val="007E2BDE"/>
    <w:rsid w:val="007E2BF1"/>
    <w:rsid w:val="007E38C2"/>
    <w:rsid w:val="007E3B60"/>
    <w:rsid w:val="007E3C15"/>
    <w:rsid w:val="007E40CF"/>
    <w:rsid w:val="007E48EC"/>
    <w:rsid w:val="007E4BD2"/>
    <w:rsid w:val="007E4C40"/>
    <w:rsid w:val="007E4EF2"/>
    <w:rsid w:val="007E5500"/>
    <w:rsid w:val="007E5561"/>
    <w:rsid w:val="007E55C6"/>
    <w:rsid w:val="007E5B50"/>
    <w:rsid w:val="007E6938"/>
    <w:rsid w:val="007E69CC"/>
    <w:rsid w:val="007E7930"/>
    <w:rsid w:val="007E7D0D"/>
    <w:rsid w:val="007F0945"/>
    <w:rsid w:val="007F096A"/>
    <w:rsid w:val="007F0F81"/>
    <w:rsid w:val="007F0FED"/>
    <w:rsid w:val="007F1025"/>
    <w:rsid w:val="007F13A5"/>
    <w:rsid w:val="007F1E6D"/>
    <w:rsid w:val="007F24F3"/>
    <w:rsid w:val="007F28AB"/>
    <w:rsid w:val="007F3285"/>
    <w:rsid w:val="007F4543"/>
    <w:rsid w:val="007F4AA6"/>
    <w:rsid w:val="007F52B2"/>
    <w:rsid w:val="007F53BF"/>
    <w:rsid w:val="007F58A2"/>
    <w:rsid w:val="007F6094"/>
    <w:rsid w:val="007F626D"/>
    <w:rsid w:val="007F680E"/>
    <w:rsid w:val="007F69ED"/>
    <w:rsid w:val="007F6F6D"/>
    <w:rsid w:val="007F715C"/>
    <w:rsid w:val="007F7318"/>
    <w:rsid w:val="007F75A7"/>
    <w:rsid w:val="007F7C2B"/>
    <w:rsid w:val="007F7EB6"/>
    <w:rsid w:val="007F7ECC"/>
    <w:rsid w:val="008004F2"/>
    <w:rsid w:val="00800621"/>
    <w:rsid w:val="00801393"/>
    <w:rsid w:val="00801420"/>
    <w:rsid w:val="00801877"/>
    <w:rsid w:val="00801B17"/>
    <w:rsid w:val="0080259E"/>
    <w:rsid w:val="0080284A"/>
    <w:rsid w:val="008028F2"/>
    <w:rsid w:val="00802C89"/>
    <w:rsid w:val="00802F88"/>
    <w:rsid w:val="008039CA"/>
    <w:rsid w:val="00803CAD"/>
    <w:rsid w:val="00803D7F"/>
    <w:rsid w:val="00804248"/>
    <w:rsid w:val="0080432E"/>
    <w:rsid w:val="00804740"/>
    <w:rsid w:val="00804DD7"/>
    <w:rsid w:val="00805708"/>
    <w:rsid w:val="00805C67"/>
    <w:rsid w:val="00805D99"/>
    <w:rsid w:val="008061C0"/>
    <w:rsid w:val="0080669B"/>
    <w:rsid w:val="0080687B"/>
    <w:rsid w:val="00807089"/>
    <w:rsid w:val="008101D9"/>
    <w:rsid w:val="0081067D"/>
    <w:rsid w:val="00810E9A"/>
    <w:rsid w:val="00811692"/>
    <w:rsid w:val="00811C6C"/>
    <w:rsid w:val="00811E54"/>
    <w:rsid w:val="008120D3"/>
    <w:rsid w:val="0081293E"/>
    <w:rsid w:val="00813BFA"/>
    <w:rsid w:val="008140A7"/>
    <w:rsid w:val="0081496D"/>
    <w:rsid w:val="00814AF0"/>
    <w:rsid w:val="00815268"/>
    <w:rsid w:val="00815398"/>
    <w:rsid w:val="00815465"/>
    <w:rsid w:val="00815712"/>
    <w:rsid w:val="00815745"/>
    <w:rsid w:val="00815C24"/>
    <w:rsid w:val="0081637E"/>
    <w:rsid w:val="00816610"/>
    <w:rsid w:val="00816C00"/>
    <w:rsid w:val="00817E9A"/>
    <w:rsid w:val="00820458"/>
    <w:rsid w:val="008207AC"/>
    <w:rsid w:val="00820EF9"/>
    <w:rsid w:val="00820F16"/>
    <w:rsid w:val="00820FA3"/>
    <w:rsid w:val="008218A9"/>
    <w:rsid w:val="00821961"/>
    <w:rsid w:val="008221C4"/>
    <w:rsid w:val="00822A9F"/>
    <w:rsid w:val="00822B00"/>
    <w:rsid w:val="008231D3"/>
    <w:rsid w:val="008239E0"/>
    <w:rsid w:val="00823C3F"/>
    <w:rsid w:val="00823C56"/>
    <w:rsid w:val="008242C9"/>
    <w:rsid w:val="0082440F"/>
    <w:rsid w:val="00824C2A"/>
    <w:rsid w:val="00825036"/>
    <w:rsid w:val="0082509B"/>
    <w:rsid w:val="00825460"/>
    <w:rsid w:val="00825721"/>
    <w:rsid w:val="00825F8D"/>
    <w:rsid w:val="008264B9"/>
    <w:rsid w:val="00826547"/>
    <w:rsid w:val="00826BF6"/>
    <w:rsid w:val="00827729"/>
    <w:rsid w:val="00827837"/>
    <w:rsid w:val="00827D60"/>
    <w:rsid w:val="00830008"/>
    <w:rsid w:val="00830132"/>
    <w:rsid w:val="00830175"/>
    <w:rsid w:val="00830459"/>
    <w:rsid w:val="008306BD"/>
    <w:rsid w:val="00830AE9"/>
    <w:rsid w:val="00830F8A"/>
    <w:rsid w:val="00831689"/>
    <w:rsid w:val="008316D9"/>
    <w:rsid w:val="00831A80"/>
    <w:rsid w:val="00831CA7"/>
    <w:rsid w:val="00832118"/>
    <w:rsid w:val="0083215A"/>
    <w:rsid w:val="00832223"/>
    <w:rsid w:val="00832844"/>
    <w:rsid w:val="0083294A"/>
    <w:rsid w:val="00832BF7"/>
    <w:rsid w:val="00832FB2"/>
    <w:rsid w:val="00833165"/>
    <w:rsid w:val="00833464"/>
    <w:rsid w:val="008336E7"/>
    <w:rsid w:val="00833743"/>
    <w:rsid w:val="00833981"/>
    <w:rsid w:val="00833C43"/>
    <w:rsid w:val="00833DBB"/>
    <w:rsid w:val="008340A4"/>
    <w:rsid w:val="00834C35"/>
    <w:rsid w:val="008352CA"/>
    <w:rsid w:val="00835489"/>
    <w:rsid w:val="008354C6"/>
    <w:rsid w:val="00835876"/>
    <w:rsid w:val="008360C3"/>
    <w:rsid w:val="00836119"/>
    <w:rsid w:val="008363A5"/>
    <w:rsid w:val="008370AC"/>
    <w:rsid w:val="0083710F"/>
    <w:rsid w:val="008379B7"/>
    <w:rsid w:val="00837A50"/>
    <w:rsid w:val="00837D79"/>
    <w:rsid w:val="00837F28"/>
    <w:rsid w:val="00837F58"/>
    <w:rsid w:val="0084089A"/>
    <w:rsid w:val="00840DBB"/>
    <w:rsid w:val="0084113B"/>
    <w:rsid w:val="008417DD"/>
    <w:rsid w:val="00841BE3"/>
    <w:rsid w:val="008427B4"/>
    <w:rsid w:val="00842967"/>
    <w:rsid w:val="00843019"/>
    <w:rsid w:val="008430F1"/>
    <w:rsid w:val="00843562"/>
    <w:rsid w:val="00843659"/>
    <w:rsid w:val="00843F97"/>
    <w:rsid w:val="00844316"/>
    <w:rsid w:val="00844939"/>
    <w:rsid w:val="0084499B"/>
    <w:rsid w:val="00844C77"/>
    <w:rsid w:val="00844D1D"/>
    <w:rsid w:val="00844DBD"/>
    <w:rsid w:val="00847610"/>
    <w:rsid w:val="00847E63"/>
    <w:rsid w:val="00847F7A"/>
    <w:rsid w:val="00850160"/>
    <w:rsid w:val="008505EF"/>
    <w:rsid w:val="00850741"/>
    <w:rsid w:val="00850B66"/>
    <w:rsid w:val="0085113E"/>
    <w:rsid w:val="008518AD"/>
    <w:rsid w:val="00851B32"/>
    <w:rsid w:val="00851D97"/>
    <w:rsid w:val="00851F9C"/>
    <w:rsid w:val="0085256F"/>
    <w:rsid w:val="00852592"/>
    <w:rsid w:val="00853353"/>
    <w:rsid w:val="008533E2"/>
    <w:rsid w:val="0085355C"/>
    <w:rsid w:val="008535C0"/>
    <w:rsid w:val="008539BF"/>
    <w:rsid w:val="00854A2E"/>
    <w:rsid w:val="00854B93"/>
    <w:rsid w:val="00854C18"/>
    <w:rsid w:val="00854D98"/>
    <w:rsid w:val="008551A1"/>
    <w:rsid w:val="0085576E"/>
    <w:rsid w:val="0085587A"/>
    <w:rsid w:val="00855F60"/>
    <w:rsid w:val="0085630C"/>
    <w:rsid w:val="00856366"/>
    <w:rsid w:val="008565E6"/>
    <w:rsid w:val="00856A3B"/>
    <w:rsid w:val="0085754E"/>
    <w:rsid w:val="00860058"/>
    <w:rsid w:val="00860287"/>
    <w:rsid w:val="008603CA"/>
    <w:rsid w:val="008606DD"/>
    <w:rsid w:val="0086099A"/>
    <w:rsid w:val="00861169"/>
    <w:rsid w:val="00861434"/>
    <w:rsid w:val="008616CE"/>
    <w:rsid w:val="0086171F"/>
    <w:rsid w:val="00861E72"/>
    <w:rsid w:val="00862531"/>
    <w:rsid w:val="008629B0"/>
    <w:rsid w:val="0086324D"/>
    <w:rsid w:val="008638D1"/>
    <w:rsid w:val="00863CF2"/>
    <w:rsid w:val="00863FCD"/>
    <w:rsid w:val="0086422D"/>
    <w:rsid w:val="0086453B"/>
    <w:rsid w:val="00864851"/>
    <w:rsid w:val="008649EA"/>
    <w:rsid w:val="00864FB5"/>
    <w:rsid w:val="00865468"/>
    <w:rsid w:val="00865D9F"/>
    <w:rsid w:val="00867514"/>
    <w:rsid w:val="00867C4E"/>
    <w:rsid w:val="0087081A"/>
    <w:rsid w:val="008709BA"/>
    <w:rsid w:val="00870F0E"/>
    <w:rsid w:val="0087135F"/>
    <w:rsid w:val="008714B4"/>
    <w:rsid w:val="008717D6"/>
    <w:rsid w:val="00871A7D"/>
    <w:rsid w:val="00871AA0"/>
    <w:rsid w:val="00872454"/>
    <w:rsid w:val="00872948"/>
    <w:rsid w:val="00872D92"/>
    <w:rsid w:val="00872D94"/>
    <w:rsid w:val="0087341A"/>
    <w:rsid w:val="0087365A"/>
    <w:rsid w:val="00873C02"/>
    <w:rsid w:val="00873EB2"/>
    <w:rsid w:val="00874481"/>
    <w:rsid w:val="00874561"/>
    <w:rsid w:val="0087466E"/>
    <w:rsid w:val="00874CD8"/>
    <w:rsid w:val="00875690"/>
    <w:rsid w:val="008758CF"/>
    <w:rsid w:val="008758D1"/>
    <w:rsid w:val="008758D7"/>
    <w:rsid w:val="00875AA4"/>
    <w:rsid w:val="00875DEA"/>
    <w:rsid w:val="008760E9"/>
    <w:rsid w:val="00876646"/>
    <w:rsid w:val="00877AD1"/>
    <w:rsid w:val="00877F7D"/>
    <w:rsid w:val="0088006D"/>
    <w:rsid w:val="0088030A"/>
    <w:rsid w:val="00880364"/>
    <w:rsid w:val="008809CA"/>
    <w:rsid w:val="00880ADE"/>
    <w:rsid w:val="00880EDD"/>
    <w:rsid w:val="00880EFB"/>
    <w:rsid w:val="00881242"/>
    <w:rsid w:val="00881E03"/>
    <w:rsid w:val="008824BB"/>
    <w:rsid w:val="00882BDF"/>
    <w:rsid w:val="00882FBE"/>
    <w:rsid w:val="00882FF5"/>
    <w:rsid w:val="0088385E"/>
    <w:rsid w:val="00883CB1"/>
    <w:rsid w:val="0088453B"/>
    <w:rsid w:val="00884A02"/>
    <w:rsid w:val="00884C09"/>
    <w:rsid w:val="00884C75"/>
    <w:rsid w:val="00884E98"/>
    <w:rsid w:val="008853B4"/>
    <w:rsid w:val="00885FB3"/>
    <w:rsid w:val="00886595"/>
    <w:rsid w:val="008868FE"/>
    <w:rsid w:val="00886FA2"/>
    <w:rsid w:val="00887638"/>
    <w:rsid w:val="00887839"/>
    <w:rsid w:val="008878E7"/>
    <w:rsid w:val="00887938"/>
    <w:rsid w:val="00887D18"/>
    <w:rsid w:val="008900B6"/>
    <w:rsid w:val="008902EF"/>
    <w:rsid w:val="0089042B"/>
    <w:rsid w:val="0089067A"/>
    <w:rsid w:val="00890814"/>
    <w:rsid w:val="00890A7B"/>
    <w:rsid w:val="00890B74"/>
    <w:rsid w:val="0089120A"/>
    <w:rsid w:val="00891358"/>
    <w:rsid w:val="00891592"/>
    <w:rsid w:val="008916A7"/>
    <w:rsid w:val="008918AD"/>
    <w:rsid w:val="00891E9E"/>
    <w:rsid w:val="00892319"/>
    <w:rsid w:val="00893965"/>
    <w:rsid w:val="00893B28"/>
    <w:rsid w:val="00893BEB"/>
    <w:rsid w:val="00893C5A"/>
    <w:rsid w:val="00893EF3"/>
    <w:rsid w:val="0089427B"/>
    <w:rsid w:val="008945EC"/>
    <w:rsid w:val="00894BA3"/>
    <w:rsid w:val="00895BB1"/>
    <w:rsid w:val="0089642E"/>
    <w:rsid w:val="0089696F"/>
    <w:rsid w:val="00896A66"/>
    <w:rsid w:val="00896AE0"/>
    <w:rsid w:val="00896B13"/>
    <w:rsid w:val="00897281"/>
    <w:rsid w:val="00897303"/>
    <w:rsid w:val="00897B70"/>
    <w:rsid w:val="00897C6C"/>
    <w:rsid w:val="008A048A"/>
    <w:rsid w:val="008A0A38"/>
    <w:rsid w:val="008A0D52"/>
    <w:rsid w:val="008A0D99"/>
    <w:rsid w:val="008A0E44"/>
    <w:rsid w:val="008A0EAF"/>
    <w:rsid w:val="008A18A7"/>
    <w:rsid w:val="008A1D8E"/>
    <w:rsid w:val="008A1F67"/>
    <w:rsid w:val="008A2386"/>
    <w:rsid w:val="008A2A14"/>
    <w:rsid w:val="008A2A4E"/>
    <w:rsid w:val="008A2CB9"/>
    <w:rsid w:val="008A2CFB"/>
    <w:rsid w:val="008A2F68"/>
    <w:rsid w:val="008A3266"/>
    <w:rsid w:val="008A385F"/>
    <w:rsid w:val="008A3A42"/>
    <w:rsid w:val="008A3BE8"/>
    <w:rsid w:val="008A402D"/>
    <w:rsid w:val="008A420F"/>
    <w:rsid w:val="008A4219"/>
    <w:rsid w:val="008A4916"/>
    <w:rsid w:val="008A4A51"/>
    <w:rsid w:val="008A4C44"/>
    <w:rsid w:val="008A4FDD"/>
    <w:rsid w:val="008A51DE"/>
    <w:rsid w:val="008A54A9"/>
    <w:rsid w:val="008A5B76"/>
    <w:rsid w:val="008A6172"/>
    <w:rsid w:val="008A645B"/>
    <w:rsid w:val="008A6534"/>
    <w:rsid w:val="008A67AA"/>
    <w:rsid w:val="008A6C91"/>
    <w:rsid w:val="008A6F13"/>
    <w:rsid w:val="008A70A9"/>
    <w:rsid w:val="008A70BC"/>
    <w:rsid w:val="008A7616"/>
    <w:rsid w:val="008A7839"/>
    <w:rsid w:val="008A7FC6"/>
    <w:rsid w:val="008B0443"/>
    <w:rsid w:val="008B0E92"/>
    <w:rsid w:val="008B12B4"/>
    <w:rsid w:val="008B1F20"/>
    <w:rsid w:val="008B1F4D"/>
    <w:rsid w:val="008B22C0"/>
    <w:rsid w:val="008B27F5"/>
    <w:rsid w:val="008B28D7"/>
    <w:rsid w:val="008B2F32"/>
    <w:rsid w:val="008B32D1"/>
    <w:rsid w:val="008B3405"/>
    <w:rsid w:val="008B3754"/>
    <w:rsid w:val="008B378F"/>
    <w:rsid w:val="008B3FE8"/>
    <w:rsid w:val="008B4537"/>
    <w:rsid w:val="008B46C9"/>
    <w:rsid w:val="008B4B27"/>
    <w:rsid w:val="008B4ECC"/>
    <w:rsid w:val="008B4FA6"/>
    <w:rsid w:val="008B506A"/>
    <w:rsid w:val="008B5282"/>
    <w:rsid w:val="008B52C2"/>
    <w:rsid w:val="008B53E3"/>
    <w:rsid w:val="008B5B0A"/>
    <w:rsid w:val="008B5C99"/>
    <w:rsid w:val="008B5FCC"/>
    <w:rsid w:val="008B62F9"/>
    <w:rsid w:val="008B65B6"/>
    <w:rsid w:val="008B7584"/>
    <w:rsid w:val="008B77E2"/>
    <w:rsid w:val="008B7C17"/>
    <w:rsid w:val="008B7F89"/>
    <w:rsid w:val="008B7F9D"/>
    <w:rsid w:val="008C0B97"/>
    <w:rsid w:val="008C0D27"/>
    <w:rsid w:val="008C1438"/>
    <w:rsid w:val="008C168A"/>
    <w:rsid w:val="008C177C"/>
    <w:rsid w:val="008C18E3"/>
    <w:rsid w:val="008C1E66"/>
    <w:rsid w:val="008C2184"/>
    <w:rsid w:val="008C2D01"/>
    <w:rsid w:val="008C2EAF"/>
    <w:rsid w:val="008C3C5F"/>
    <w:rsid w:val="008C3ED7"/>
    <w:rsid w:val="008C406B"/>
    <w:rsid w:val="008C40E6"/>
    <w:rsid w:val="008C45D4"/>
    <w:rsid w:val="008C4A67"/>
    <w:rsid w:val="008C4A9B"/>
    <w:rsid w:val="008C4CDB"/>
    <w:rsid w:val="008C4D9F"/>
    <w:rsid w:val="008C5548"/>
    <w:rsid w:val="008C55C1"/>
    <w:rsid w:val="008C560A"/>
    <w:rsid w:val="008C5662"/>
    <w:rsid w:val="008C56A1"/>
    <w:rsid w:val="008C585F"/>
    <w:rsid w:val="008C58DA"/>
    <w:rsid w:val="008C5B19"/>
    <w:rsid w:val="008C5C13"/>
    <w:rsid w:val="008C6A4E"/>
    <w:rsid w:val="008C6AE9"/>
    <w:rsid w:val="008C7148"/>
    <w:rsid w:val="008C7DFC"/>
    <w:rsid w:val="008D00E4"/>
    <w:rsid w:val="008D0A79"/>
    <w:rsid w:val="008D0B05"/>
    <w:rsid w:val="008D0C53"/>
    <w:rsid w:val="008D0E5A"/>
    <w:rsid w:val="008D0F7A"/>
    <w:rsid w:val="008D0F9B"/>
    <w:rsid w:val="008D122A"/>
    <w:rsid w:val="008D14D4"/>
    <w:rsid w:val="008D19C1"/>
    <w:rsid w:val="008D1C08"/>
    <w:rsid w:val="008D2064"/>
    <w:rsid w:val="008D2653"/>
    <w:rsid w:val="008D2769"/>
    <w:rsid w:val="008D2ABE"/>
    <w:rsid w:val="008D31EE"/>
    <w:rsid w:val="008D35D7"/>
    <w:rsid w:val="008D39A4"/>
    <w:rsid w:val="008D3D29"/>
    <w:rsid w:val="008D439A"/>
    <w:rsid w:val="008D467F"/>
    <w:rsid w:val="008D4A65"/>
    <w:rsid w:val="008D4BC2"/>
    <w:rsid w:val="008D4FB7"/>
    <w:rsid w:val="008D559A"/>
    <w:rsid w:val="008D5644"/>
    <w:rsid w:val="008D5697"/>
    <w:rsid w:val="008D56B8"/>
    <w:rsid w:val="008D639B"/>
    <w:rsid w:val="008D653C"/>
    <w:rsid w:val="008D68E4"/>
    <w:rsid w:val="008D6ADD"/>
    <w:rsid w:val="008D6F24"/>
    <w:rsid w:val="008D6F94"/>
    <w:rsid w:val="008D70A3"/>
    <w:rsid w:val="008D72D0"/>
    <w:rsid w:val="008D77EF"/>
    <w:rsid w:val="008E00F4"/>
    <w:rsid w:val="008E041F"/>
    <w:rsid w:val="008E0506"/>
    <w:rsid w:val="008E063B"/>
    <w:rsid w:val="008E0668"/>
    <w:rsid w:val="008E0CFF"/>
    <w:rsid w:val="008E0D7F"/>
    <w:rsid w:val="008E0F41"/>
    <w:rsid w:val="008E1074"/>
    <w:rsid w:val="008E1527"/>
    <w:rsid w:val="008E1557"/>
    <w:rsid w:val="008E1558"/>
    <w:rsid w:val="008E15F2"/>
    <w:rsid w:val="008E1661"/>
    <w:rsid w:val="008E1CA5"/>
    <w:rsid w:val="008E1D6D"/>
    <w:rsid w:val="008E22CF"/>
    <w:rsid w:val="008E23AE"/>
    <w:rsid w:val="008E24F6"/>
    <w:rsid w:val="008E27D7"/>
    <w:rsid w:val="008E29FF"/>
    <w:rsid w:val="008E2E5C"/>
    <w:rsid w:val="008E3765"/>
    <w:rsid w:val="008E3C46"/>
    <w:rsid w:val="008E40B7"/>
    <w:rsid w:val="008E437B"/>
    <w:rsid w:val="008E4697"/>
    <w:rsid w:val="008E48F4"/>
    <w:rsid w:val="008E4E82"/>
    <w:rsid w:val="008E4EB5"/>
    <w:rsid w:val="008E5696"/>
    <w:rsid w:val="008E5D12"/>
    <w:rsid w:val="008E5D6B"/>
    <w:rsid w:val="008E62CE"/>
    <w:rsid w:val="008E71A2"/>
    <w:rsid w:val="008E74B0"/>
    <w:rsid w:val="008E76F0"/>
    <w:rsid w:val="008E7BC1"/>
    <w:rsid w:val="008F05F1"/>
    <w:rsid w:val="008F0BE3"/>
    <w:rsid w:val="008F1188"/>
    <w:rsid w:val="008F1314"/>
    <w:rsid w:val="008F15FE"/>
    <w:rsid w:val="008F1A4A"/>
    <w:rsid w:val="008F1D89"/>
    <w:rsid w:val="008F211C"/>
    <w:rsid w:val="008F2358"/>
    <w:rsid w:val="008F2372"/>
    <w:rsid w:val="008F2581"/>
    <w:rsid w:val="008F27EF"/>
    <w:rsid w:val="008F2D29"/>
    <w:rsid w:val="008F31C4"/>
    <w:rsid w:val="008F35EE"/>
    <w:rsid w:val="008F38B9"/>
    <w:rsid w:val="008F390E"/>
    <w:rsid w:val="008F3EEC"/>
    <w:rsid w:val="008F48CE"/>
    <w:rsid w:val="008F4962"/>
    <w:rsid w:val="008F4CFC"/>
    <w:rsid w:val="008F5187"/>
    <w:rsid w:val="008F521A"/>
    <w:rsid w:val="008F52F0"/>
    <w:rsid w:val="008F5458"/>
    <w:rsid w:val="008F5ECD"/>
    <w:rsid w:val="008F60D8"/>
    <w:rsid w:val="008F72A5"/>
    <w:rsid w:val="008F784F"/>
    <w:rsid w:val="008F7AF8"/>
    <w:rsid w:val="008F7F50"/>
    <w:rsid w:val="008F7FA0"/>
    <w:rsid w:val="009000D7"/>
    <w:rsid w:val="00900392"/>
    <w:rsid w:val="00900662"/>
    <w:rsid w:val="0090070F"/>
    <w:rsid w:val="009007AA"/>
    <w:rsid w:val="00900848"/>
    <w:rsid w:val="009011EC"/>
    <w:rsid w:val="009013B3"/>
    <w:rsid w:val="00901E92"/>
    <w:rsid w:val="00901F23"/>
    <w:rsid w:val="00901FBE"/>
    <w:rsid w:val="009020EB"/>
    <w:rsid w:val="0090230B"/>
    <w:rsid w:val="00902727"/>
    <w:rsid w:val="0090291F"/>
    <w:rsid w:val="0090294E"/>
    <w:rsid w:val="00902A05"/>
    <w:rsid w:val="00902B2C"/>
    <w:rsid w:val="00902C95"/>
    <w:rsid w:val="0090312B"/>
    <w:rsid w:val="00903A12"/>
    <w:rsid w:val="00903B91"/>
    <w:rsid w:val="00903FDE"/>
    <w:rsid w:val="00904476"/>
    <w:rsid w:val="00904F24"/>
    <w:rsid w:val="0090502B"/>
    <w:rsid w:val="00905415"/>
    <w:rsid w:val="009055DD"/>
    <w:rsid w:val="00905CB5"/>
    <w:rsid w:val="00905FFB"/>
    <w:rsid w:val="00906B02"/>
    <w:rsid w:val="00906E6D"/>
    <w:rsid w:val="0090717D"/>
    <w:rsid w:val="0090789C"/>
    <w:rsid w:val="00907F39"/>
    <w:rsid w:val="00907F42"/>
    <w:rsid w:val="00910269"/>
    <w:rsid w:val="009105B8"/>
    <w:rsid w:val="0091069B"/>
    <w:rsid w:val="009108E4"/>
    <w:rsid w:val="00910C0A"/>
    <w:rsid w:val="00910CAE"/>
    <w:rsid w:val="009110BF"/>
    <w:rsid w:val="00911365"/>
    <w:rsid w:val="009115E0"/>
    <w:rsid w:val="00911837"/>
    <w:rsid w:val="00911F3F"/>
    <w:rsid w:val="009126F8"/>
    <w:rsid w:val="00912DEA"/>
    <w:rsid w:val="00913129"/>
    <w:rsid w:val="00913369"/>
    <w:rsid w:val="0091388A"/>
    <w:rsid w:val="00914013"/>
    <w:rsid w:val="00914047"/>
    <w:rsid w:val="009141CC"/>
    <w:rsid w:val="00914254"/>
    <w:rsid w:val="0091429B"/>
    <w:rsid w:val="00914824"/>
    <w:rsid w:val="009149CD"/>
    <w:rsid w:val="00914AA6"/>
    <w:rsid w:val="00914E7C"/>
    <w:rsid w:val="00915672"/>
    <w:rsid w:val="0091612D"/>
    <w:rsid w:val="009169ED"/>
    <w:rsid w:val="00917018"/>
    <w:rsid w:val="0091736D"/>
    <w:rsid w:val="00917727"/>
    <w:rsid w:val="00917C56"/>
    <w:rsid w:val="009205F9"/>
    <w:rsid w:val="00920689"/>
    <w:rsid w:val="009207FE"/>
    <w:rsid w:val="00920914"/>
    <w:rsid w:val="00921148"/>
    <w:rsid w:val="00921533"/>
    <w:rsid w:val="009215B1"/>
    <w:rsid w:val="00922588"/>
    <w:rsid w:val="00923125"/>
    <w:rsid w:val="00924017"/>
    <w:rsid w:val="00925C57"/>
    <w:rsid w:val="00925DE4"/>
    <w:rsid w:val="00926361"/>
    <w:rsid w:val="00926671"/>
    <w:rsid w:val="00926CB6"/>
    <w:rsid w:val="00927177"/>
    <w:rsid w:val="00927352"/>
    <w:rsid w:val="00927DA3"/>
    <w:rsid w:val="0093037A"/>
    <w:rsid w:val="00930416"/>
    <w:rsid w:val="009305DB"/>
    <w:rsid w:val="00930CA7"/>
    <w:rsid w:val="00930CB1"/>
    <w:rsid w:val="00931079"/>
    <w:rsid w:val="00931B67"/>
    <w:rsid w:val="009323B4"/>
    <w:rsid w:val="009329C9"/>
    <w:rsid w:val="009332CB"/>
    <w:rsid w:val="009333BC"/>
    <w:rsid w:val="009333C7"/>
    <w:rsid w:val="009334F6"/>
    <w:rsid w:val="00933920"/>
    <w:rsid w:val="00933F80"/>
    <w:rsid w:val="00934E46"/>
    <w:rsid w:val="00935B51"/>
    <w:rsid w:val="0093635C"/>
    <w:rsid w:val="009367FD"/>
    <w:rsid w:val="00936C6A"/>
    <w:rsid w:val="00936E2F"/>
    <w:rsid w:val="00936ED3"/>
    <w:rsid w:val="0093700D"/>
    <w:rsid w:val="00937FB5"/>
    <w:rsid w:val="00940720"/>
    <w:rsid w:val="00940F16"/>
    <w:rsid w:val="009411E8"/>
    <w:rsid w:val="0094133A"/>
    <w:rsid w:val="009413D7"/>
    <w:rsid w:val="0094154D"/>
    <w:rsid w:val="00941BC1"/>
    <w:rsid w:val="00942225"/>
    <w:rsid w:val="00942E06"/>
    <w:rsid w:val="00943355"/>
    <w:rsid w:val="0094386D"/>
    <w:rsid w:val="009442B8"/>
    <w:rsid w:val="00944A87"/>
    <w:rsid w:val="00944C85"/>
    <w:rsid w:val="00944E5A"/>
    <w:rsid w:val="00945250"/>
    <w:rsid w:val="0094543E"/>
    <w:rsid w:val="009454E5"/>
    <w:rsid w:val="00945615"/>
    <w:rsid w:val="00945C38"/>
    <w:rsid w:val="0094632F"/>
    <w:rsid w:val="009463C4"/>
    <w:rsid w:val="0095049C"/>
    <w:rsid w:val="009505FC"/>
    <w:rsid w:val="00950E0A"/>
    <w:rsid w:val="0095155F"/>
    <w:rsid w:val="00951707"/>
    <w:rsid w:val="009519FF"/>
    <w:rsid w:val="00951B01"/>
    <w:rsid w:val="00951D25"/>
    <w:rsid w:val="009521A9"/>
    <w:rsid w:val="0095228D"/>
    <w:rsid w:val="00952441"/>
    <w:rsid w:val="0095280D"/>
    <w:rsid w:val="00952830"/>
    <w:rsid w:val="00952B23"/>
    <w:rsid w:val="00953606"/>
    <w:rsid w:val="009540F9"/>
    <w:rsid w:val="009543E4"/>
    <w:rsid w:val="00954429"/>
    <w:rsid w:val="0095489A"/>
    <w:rsid w:val="009554A8"/>
    <w:rsid w:val="00955B41"/>
    <w:rsid w:val="00955D33"/>
    <w:rsid w:val="0095615A"/>
    <w:rsid w:val="009563CE"/>
    <w:rsid w:val="00957049"/>
    <w:rsid w:val="00957162"/>
    <w:rsid w:val="00957266"/>
    <w:rsid w:val="009575E7"/>
    <w:rsid w:val="009577E3"/>
    <w:rsid w:val="00957BF4"/>
    <w:rsid w:val="00960981"/>
    <w:rsid w:val="00962B67"/>
    <w:rsid w:val="00962E8A"/>
    <w:rsid w:val="00962F2D"/>
    <w:rsid w:val="009630EA"/>
    <w:rsid w:val="009631D1"/>
    <w:rsid w:val="009632E4"/>
    <w:rsid w:val="00963391"/>
    <w:rsid w:val="0096366E"/>
    <w:rsid w:val="00963CF7"/>
    <w:rsid w:val="00963E4A"/>
    <w:rsid w:val="00964188"/>
    <w:rsid w:val="00964C00"/>
    <w:rsid w:val="009652BF"/>
    <w:rsid w:val="00966AFD"/>
    <w:rsid w:val="00966ED0"/>
    <w:rsid w:val="009673CE"/>
    <w:rsid w:val="009677C8"/>
    <w:rsid w:val="00967B4F"/>
    <w:rsid w:val="00967BD4"/>
    <w:rsid w:val="00967DE4"/>
    <w:rsid w:val="00967E20"/>
    <w:rsid w:val="009700AC"/>
    <w:rsid w:val="00970A1C"/>
    <w:rsid w:val="0097150E"/>
    <w:rsid w:val="00971670"/>
    <w:rsid w:val="009716C9"/>
    <w:rsid w:val="00972AFA"/>
    <w:rsid w:val="009733F6"/>
    <w:rsid w:val="009734A4"/>
    <w:rsid w:val="009739E0"/>
    <w:rsid w:val="00973E2A"/>
    <w:rsid w:val="009750EB"/>
    <w:rsid w:val="00975103"/>
    <w:rsid w:val="009757B6"/>
    <w:rsid w:val="0097583B"/>
    <w:rsid w:val="00975914"/>
    <w:rsid w:val="00975B58"/>
    <w:rsid w:val="00975E95"/>
    <w:rsid w:val="0097622A"/>
    <w:rsid w:val="00976328"/>
    <w:rsid w:val="0097680D"/>
    <w:rsid w:val="00976AA8"/>
    <w:rsid w:val="00976AC8"/>
    <w:rsid w:val="00976E71"/>
    <w:rsid w:val="00977732"/>
    <w:rsid w:val="00977932"/>
    <w:rsid w:val="00977DD0"/>
    <w:rsid w:val="00980286"/>
    <w:rsid w:val="0098048F"/>
    <w:rsid w:val="00980ABA"/>
    <w:rsid w:val="00980C71"/>
    <w:rsid w:val="009810D7"/>
    <w:rsid w:val="009810FF"/>
    <w:rsid w:val="00981642"/>
    <w:rsid w:val="0098164D"/>
    <w:rsid w:val="00981B7B"/>
    <w:rsid w:val="00981BBB"/>
    <w:rsid w:val="00981C1F"/>
    <w:rsid w:val="00981DF0"/>
    <w:rsid w:val="00982296"/>
    <w:rsid w:val="00982438"/>
    <w:rsid w:val="009828FF"/>
    <w:rsid w:val="00982C63"/>
    <w:rsid w:val="00982E38"/>
    <w:rsid w:val="009831E3"/>
    <w:rsid w:val="009836D2"/>
    <w:rsid w:val="0098385D"/>
    <w:rsid w:val="00983867"/>
    <w:rsid w:val="00983A49"/>
    <w:rsid w:val="0098404C"/>
    <w:rsid w:val="0098457D"/>
    <w:rsid w:val="009846D1"/>
    <w:rsid w:val="00984916"/>
    <w:rsid w:val="00985083"/>
    <w:rsid w:val="00985283"/>
    <w:rsid w:val="00985356"/>
    <w:rsid w:val="0098568F"/>
    <w:rsid w:val="00986030"/>
    <w:rsid w:val="009864D5"/>
    <w:rsid w:val="009865D2"/>
    <w:rsid w:val="009867A0"/>
    <w:rsid w:val="00986E47"/>
    <w:rsid w:val="00987A59"/>
    <w:rsid w:val="00987AF5"/>
    <w:rsid w:val="00990FA3"/>
    <w:rsid w:val="009914A9"/>
    <w:rsid w:val="00991B47"/>
    <w:rsid w:val="00991DB7"/>
    <w:rsid w:val="00991F50"/>
    <w:rsid w:val="00992395"/>
    <w:rsid w:val="009926C2"/>
    <w:rsid w:val="00992CC0"/>
    <w:rsid w:val="009935BB"/>
    <w:rsid w:val="009939BF"/>
    <w:rsid w:val="00994639"/>
    <w:rsid w:val="0099494C"/>
    <w:rsid w:val="00994956"/>
    <w:rsid w:val="00994E64"/>
    <w:rsid w:val="009954B2"/>
    <w:rsid w:val="009954F0"/>
    <w:rsid w:val="00995527"/>
    <w:rsid w:val="00995992"/>
    <w:rsid w:val="009961C6"/>
    <w:rsid w:val="00997533"/>
    <w:rsid w:val="009975D0"/>
    <w:rsid w:val="00997A24"/>
    <w:rsid w:val="00997DF6"/>
    <w:rsid w:val="009A0009"/>
    <w:rsid w:val="009A03B0"/>
    <w:rsid w:val="009A03E5"/>
    <w:rsid w:val="009A06F9"/>
    <w:rsid w:val="009A0D4D"/>
    <w:rsid w:val="009A0F3B"/>
    <w:rsid w:val="009A1171"/>
    <w:rsid w:val="009A172B"/>
    <w:rsid w:val="009A1BB4"/>
    <w:rsid w:val="009A1E33"/>
    <w:rsid w:val="009A2352"/>
    <w:rsid w:val="009A23FD"/>
    <w:rsid w:val="009A2628"/>
    <w:rsid w:val="009A2E06"/>
    <w:rsid w:val="009A31BB"/>
    <w:rsid w:val="009A3200"/>
    <w:rsid w:val="009A32F3"/>
    <w:rsid w:val="009A336F"/>
    <w:rsid w:val="009A3719"/>
    <w:rsid w:val="009A3BB2"/>
    <w:rsid w:val="009A3BE4"/>
    <w:rsid w:val="009A3FF4"/>
    <w:rsid w:val="009A4102"/>
    <w:rsid w:val="009A48A0"/>
    <w:rsid w:val="009A4BAF"/>
    <w:rsid w:val="009A4E9E"/>
    <w:rsid w:val="009A53DA"/>
    <w:rsid w:val="009A5E54"/>
    <w:rsid w:val="009A6439"/>
    <w:rsid w:val="009A6A8B"/>
    <w:rsid w:val="009A6EC2"/>
    <w:rsid w:val="009A70FD"/>
    <w:rsid w:val="009A74C7"/>
    <w:rsid w:val="009A7831"/>
    <w:rsid w:val="009A7C4D"/>
    <w:rsid w:val="009B082C"/>
    <w:rsid w:val="009B0897"/>
    <w:rsid w:val="009B1FD1"/>
    <w:rsid w:val="009B248D"/>
    <w:rsid w:val="009B24AC"/>
    <w:rsid w:val="009B24D3"/>
    <w:rsid w:val="009B2AE8"/>
    <w:rsid w:val="009B3CC6"/>
    <w:rsid w:val="009B40D6"/>
    <w:rsid w:val="009B44F9"/>
    <w:rsid w:val="009B496E"/>
    <w:rsid w:val="009B4B0B"/>
    <w:rsid w:val="009B4EE0"/>
    <w:rsid w:val="009B50A4"/>
    <w:rsid w:val="009B513F"/>
    <w:rsid w:val="009B5214"/>
    <w:rsid w:val="009B5339"/>
    <w:rsid w:val="009B5504"/>
    <w:rsid w:val="009B5A7C"/>
    <w:rsid w:val="009B5D66"/>
    <w:rsid w:val="009B612A"/>
    <w:rsid w:val="009B6B5A"/>
    <w:rsid w:val="009B7528"/>
    <w:rsid w:val="009B7683"/>
    <w:rsid w:val="009B78A2"/>
    <w:rsid w:val="009B7BD9"/>
    <w:rsid w:val="009B7F63"/>
    <w:rsid w:val="009C0CB8"/>
    <w:rsid w:val="009C0F07"/>
    <w:rsid w:val="009C18FF"/>
    <w:rsid w:val="009C1ECC"/>
    <w:rsid w:val="009C213E"/>
    <w:rsid w:val="009C21C3"/>
    <w:rsid w:val="009C24F0"/>
    <w:rsid w:val="009C324C"/>
    <w:rsid w:val="009C355D"/>
    <w:rsid w:val="009C37E0"/>
    <w:rsid w:val="009C39BC"/>
    <w:rsid w:val="009C3CE6"/>
    <w:rsid w:val="009C3EAB"/>
    <w:rsid w:val="009C4227"/>
    <w:rsid w:val="009C42D9"/>
    <w:rsid w:val="009C4657"/>
    <w:rsid w:val="009C4F55"/>
    <w:rsid w:val="009C5CA0"/>
    <w:rsid w:val="009C5DCD"/>
    <w:rsid w:val="009C6647"/>
    <w:rsid w:val="009C6CAE"/>
    <w:rsid w:val="009C79A9"/>
    <w:rsid w:val="009C7DD5"/>
    <w:rsid w:val="009C7FBE"/>
    <w:rsid w:val="009D044D"/>
    <w:rsid w:val="009D05EB"/>
    <w:rsid w:val="009D0E41"/>
    <w:rsid w:val="009D0E54"/>
    <w:rsid w:val="009D0E76"/>
    <w:rsid w:val="009D3028"/>
    <w:rsid w:val="009D36AB"/>
    <w:rsid w:val="009D3A4F"/>
    <w:rsid w:val="009D3DF3"/>
    <w:rsid w:val="009D3E03"/>
    <w:rsid w:val="009D40F8"/>
    <w:rsid w:val="009D45CF"/>
    <w:rsid w:val="009D45F3"/>
    <w:rsid w:val="009D4C64"/>
    <w:rsid w:val="009D5047"/>
    <w:rsid w:val="009D5069"/>
    <w:rsid w:val="009D510C"/>
    <w:rsid w:val="009D5234"/>
    <w:rsid w:val="009D558A"/>
    <w:rsid w:val="009D57A6"/>
    <w:rsid w:val="009D5955"/>
    <w:rsid w:val="009D59CC"/>
    <w:rsid w:val="009D5A99"/>
    <w:rsid w:val="009D5AE7"/>
    <w:rsid w:val="009D5BD5"/>
    <w:rsid w:val="009D5F2B"/>
    <w:rsid w:val="009D60C7"/>
    <w:rsid w:val="009D6169"/>
    <w:rsid w:val="009D6840"/>
    <w:rsid w:val="009D6C76"/>
    <w:rsid w:val="009D7B55"/>
    <w:rsid w:val="009D7F57"/>
    <w:rsid w:val="009E09BA"/>
    <w:rsid w:val="009E0FC3"/>
    <w:rsid w:val="009E1280"/>
    <w:rsid w:val="009E1341"/>
    <w:rsid w:val="009E17AC"/>
    <w:rsid w:val="009E1883"/>
    <w:rsid w:val="009E192B"/>
    <w:rsid w:val="009E1998"/>
    <w:rsid w:val="009E1CF6"/>
    <w:rsid w:val="009E1D9B"/>
    <w:rsid w:val="009E227D"/>
    <w:rsid w:val="009E3498"/>
    <w:rsid w:val="009E37F9"/>
    <w:rsid w:val="009E393C"/>
    <w:rsid w:val="009E3B8B"/>
    <w:rsid w:val="009E3C67"/>
    <w:rsid w:val="009E3FF0"/>
    <w:rsid w:val="009E42C7"/>
    <w:rsid w:val="009E5019"/>
    <w:rsid w:val="009E527D"/>
    <w:rsid w:val="009E5425"/>
    <w:rsid w:val="009E5519"/>
    <w:rsid w:val="009E587C"/>
    <w:rsid w:val="009E63FA"/>
    <w:rsid w:val="009E680B"/>
    <w:rsid w:val="009E69D1"/>
    <w:rsid w:val="009E6A41"/>
    <w:rsid w:val="009E7579"/>
    <w:rsid w:val="009E795E"/>
    <w:rsid w:val="009E7DD8"/>
    <w:rsid w:val="009F039F"/>
    <w:rsid w:val="009F0438"/>
    <w:rsid w:val="009F04AE"/>
    <w:rsid w:val="009F069F"/>
    <w:rsid w:val="009F06A7"/>
    <w:rsid w:val="009F098E"/>
    <w:rsid w:val="009F0A13"/>
    <w:rsid w:val="009F0A36"/>
    <w:rsid w:val="009F0F8B"/>
    <w:rsid w:val="009F0FAF"/>
    <w:rsid w:val="009F1070"/>
    <w:rsid w:val="009F163D"/>
    <w:rsid w:val="009F2AFF"/>
    <w:rsid w:val="009F3FFB"/>
    <w:rsid w:val="009F43D6"/>
    <w:rsid w:val="009F4519"/>
    <w:rsid w:val="009F47C6"/>
    <w:rsid w:val="009F4854"/>
    <w:rsid w:val="009F4C02"/>
    <w:rsid w:val="009F544B"/>
    <w:rsid w:val="009F56D8"/>
    <w:rsid w:val="009F6157"/>
    <w:rsid w:val="009F6279"/>
    <w:rsid w:val="009F68F4"/>
    <w:rsid w:val="009F700A"/>
    <w:rsid w:val="009F712A"/>
    <w:rsid w:val="009F71A1"/>
    <w:rsid w:val="009F7C6D"/>
    <w:rsid w:val="00A00548"/>
    <w:rsid w:val="00A00A14"/>
    <w:rsid w:val="00A00B3D"/>
    <w:rsid w:val="00A00C41"/>
    <w:rsid w:val="00A018D2"/>
    <w:rsid w:val="00A0190F"/>
    <w:rsid w:val="00A026DC"/>
    <w:rsid w:val="00A02843"/>
    <w:rsid w:val="00A02849"/>
    <w:rsid w:val="00A029AB"/>
    <w:rsid w:val="00A02A08"/>
    <w:rsid w:val="00A02D65"/>
    <w:rsid w:val="00A03079"/>
    <w:rsid w:val="00A036BB"/>
    <w:rsid w:val="00A04BC0"/>
    <w:rsid w:val="00A04F1B"/>
    <w:rsid w:val="00A0501B"/>
    <w:rsid w:val="00A0581C"/>
    <w:rsid w:val="00A05C9E"/>
    <w:rsid w:val="00A05CED"/>
    <w:rsid w:val="00A06751"/>
    <w:rsid w:val="00A06C04"/>
    <w:rsid w:val="00A06CE7"/>
    <w:rsid w:val="00A06DAC"/>
    <w:rsid w:val="00A06E83"/>
    <w:rsid w:val="00A07A6C"/>
    <w:rsid w:val="00A07FA4"/>
    <w:rsid w:val="00A106F2"/>
    <w:rsid w:val="00A10F6C"/>
    <w:rsid w:val="00A118A5"/>
    <w:rsid w:val="00A11C57"/>
    <w:rsid w:val="00A120D2"/>
    <w:rsid w:val="00A121A7"/>
    <w:rsid w:val="00A12756"/>
    <w:rsid w:val="00A129C9"/>
    <w:rsid w:val="00A12ED0"/>
    <w:rsid w:val="00A1327B"/>
    <w:rsid w:val="00A13746"/>
    <w:rsid w:val="00A13B44"/>
    <w:rsid w:val="00A13ECE"/>
    <w:rsid w:val="00A142B1"/>
    <w:rsid w:val="00A14772"/>
    <w:rsid w:val="00A14947"/>
    <w:rsid w:val="00A149E6"/>
    <w:rsid w:val="00A15BB1"/>
    <w:rsid w:val="00A16988"/>
    <w:rsid w:val="00A16FE9"/>
    <w:rsid w:val="00A170F7"/>
    <w:rsid w:val="00A17356"/>
    <w:rsid w:val="00A17D86"/>
    <w:rsid w:val="00A17DBE"/>
    <w:rsid w:val="00A202C6"/>
    <w:rsid w:val="00A21240"/>
    <w:rsid w:val="00A2197A"/>
    <w:rsid w:val="00A224DC"/>
    <w:rsid w:val="00A22684"/>
    <w:rsid w:val="00A22801"/>
    <w:rsid w:val="00A22B36"/>
    <w:rsid w:val="00A22E9E"/>
    <w:rsid w:val="00A239FB"/>
    <w:rsid w:val="00A23B35"/>
    <w:rsid w:val="00A23ED4"/>
    <w:rsid w:val="00A24A2C"/>
    <w:rsid w:val="00A24F11"/>
    <w:rsid w:val="00A25236"/>
    <w:rsid w:val="00A25251"/>
    <w:rsid w:val="00A253B6"/>
    <w:rsid w:val="00A25486"/>
    <w:rsid w:val="00A25BFD"/>
    <w:rsid w:val="00A26129"/>
    <w:rsid w:val="00A26392"/>
    <w:rsid w:val="00A265D0"/>
    <w:rsid w:val="00A269CB"/>
    <w:rsid w:val="00A26AF8"/>
    <w:rsid w:val="00A27703"/>
    <w:rsid w:val="00A2777D"/>
    <w:rsid w:val="00A27909"/>
    <w:rsid w:val="00A27A62"/>
    <w:rsid w:val="00A30185"/>
    <w:rsid w:val="00A30553"/>
    <w:rsid w:val="00A30EFE"/>
    <w:rsid w:val="00A31818"/>
    <w:rsid w:val="00A31B6B"/>
    <w:rsid w:val="00A31BA7"/>
    <w:rsid w:val="00A323AB"/>
    <w:rsid w:val="00A32A83"/>
    <w:rsid w:val="00A32EB4"/>
    <w:rsid w:val="00A332E1"/>
    <w:rsid w:val="00A33428"/>
    <w:rsid w:val="00A33901"/>
    <w:rsid w:val="00A33DC8"/>
    <w:rsid w:val="00A34310"/>
    <w:rsid w:val="00A343D6"/>
    <w:rsid w:val="00A3464A"/>
    <w:rsid w:val="00A3479E"/>
    <w:rsid w:val="00A347F2"/>
    <w:rsid w:val="00A3482B"/>
    <w:rsid w:val="00A348D2"/>
    <w:rsid w:val="00A35AA7"/>
    <w:rsid w:val="00A35B59"/>
    <w:rsid w:val="00A35B6C"/>
    <w:rsid w:val="00A36635"/>
    <w:rsid w:val="00A367FF"/>
    <w:rsid w:val="00A368DB"/>
    <w:rsid w:val="00A36B55"/>
    <w:rsid w:val="00A36BCC"/>
    <w:rsid w:val="00A36F07"/>
    <w:rsid w:val="00A371CE"/>
    <w:rsid w:val="00A374A5"/>
    <w:rsid w:val="00A3752F"/>
    <w:rsid w:val="00A3766B"/>
    <w:rsid w:val="00A37CDE"/>
    <w:rsid w:val="00A404C8"/>
    <w:rsid w:val="00A406E0"/>
    <w:rsid w:val="00A409FE"/>
    <w:rsid w:val="00A40B4E"/>
    <w:rsid w:val="00A420FD"/>
    <w:rsid w:val="00A423AA"/>
    <w:rsid w:val="00A4258C"/>
    <w:rsid w:val="00A4262A"/>
    <w:rsid w:val="00A42797"/>
    <w:rsid w:val="00A42F66"/>
    <w:rsid w:val="00A430CA"/>
    <w:rsid w:val="00A436E9"/>
    <w:rsid w:val="00A43755"/>
    <w:rsid w:val="00A438F1"/>
    <w:rsid w:val="00A4476C"/>
    <w:rsid w:val="00A449E0"/>
    <w:rsid w:val="00A44A77"/>
    <w:rsid w:val="00A44A97"/>
    <w:rsid w:val="00A4524B"/>
    <w:rsid w:val="00A4544B"/>
    <w:rsid w:val="00A4544F"/>
    <w:rsid w:val="00A456B9"/>
    <w:rsid w:val="00A4576C"/>
    <w:rsid w:val="00A45ED4"/>
    <w:rsid w:val="00A4617F"/>
    <w:rsid w:val="00A461C3"/>
    <w:rsid w:val="00A46402"/>
    <w:rsid w:val="00A46495"/>
    <w:rsid w:val="00A46C07"/>
    <w:rsid w:val="00A46DFB"/>
    <w:rsid w:val="00A46EED"/>
    <w:rsid w:val="00A470A9"/>
    <w:rsid w:val="00A4745D"/>
    <w:rsid w:val="00A47D68"/>
    <w:rsid w:val="00A50284"/>
    <w:rsid w:val="00A50330"/>
    <w:rsid w:val="00A503CB"/>
    <w:rsid w:val="00A50564"/>
    <w:rsid w:val="00A50A03"/>
    <w:rsid w:val="00A51326"/>
    <w:rsid w:val="00A51B57"/>
    <w:rsid w:val="00A51F4C"/>
    <w:rsid w:val="00A51FB1"/>
    <w:rsid w:val="00A5227B"/>
    <w:rsid w:val="00A523D5"/>
    <w:rsid w:val="00A527F7"/>
    <w:rsid w:val="00A52965"/>
    <w:rsid w:val="00A52B6B"/>
    <w:rsid w:val="00A535C0"/>
    <w:rsid w:val="00A5397C"/>
    <w:rsid w:val="00A53B32"/>
    <w:rsid w:val="00A53D9A"/>
    <w:rsid w:val="00A53EC6"/>
    <w:rsid w:val="00A54CE2"/>
    <w:rsid w:val="00A5508D"/>
    <w:rsid w:val="00A556A3"/>
    <w:rsid w:val="00A55C0F"/>
    <w:rsid w:val="00A55D10"/>
    <w:rsid w:val="00A56263"/>
    <w:rsid w:val="00A562DF"/>
    <w:rsid w:val="00A56492"/>
    <w:rsid w:val="00A56A89"/>
    <w:rsid w:val="00A56D9F"/>
    <w:rsid w:val="00A601D9"/>
    <w:rsid w:val="00A60892"/>
    <w:rsid w:val="00A610A5"/>
    <w:rsid w:val="00A61302"/>
    <w:rsid w:val="00A61783"/>
    <w:rsid w:val="00A61976"/>
    <w:rsid w:val="00A61FB9"/>
    <w:rsid w:val="00A6221A"/>
    <w:rsid w:val="00A62337"/>
    <w:rsid w:val="00A6252F"/>
    <w:rsid w:val="00A62DB1"/>
    <w:rsid w:val="00A63120"/>
    <w:rsid w:val="00A639F0"/>
    <w:rsid w:val="00A63F05"/>
    <w:rsid w:val="00A649C9"/>
    <w:rsid w:val="00A64C52"/>
    <w:rsid w:val="00A65BC2"/>
    <w:rsid w:val="00A66182"/>
    <w:rsid w:val="00A66480"/>
    <w:rsid w:val="00A66717"/>
    <w:rsid w:val="00A667AB"/>
    <w:rsid w:val="00A66F70"/>
    <w:rsid w:val="00A67009"/>
    <w:rsid w:val="00A670A0"/>
    <w:rsid w:val="00A67390"/>
    <w:rsid w:val="00A67407"/>
    <w:rsid w:val="00A674D2"/>
    <w:rsid w:val="00A67C11"/>
    <w:rsid w:val="00A67ED9"/>
    <w:rsid w:val="00A7080C"/>
    <w:rsid w:val="00A70906"/>
    <w:rsid w:val="00A709A5"/>
    <w:rsid w:val="00A70D72"/>
    <w:rsid w:val="00A71484"/>
    <w:rsid w:val="00A71710"/>
    <w:rsid w:val="00A718F3"/>
    <w:rsid w:val="00A71D1F"/>
    <w:rsid w:val="00A71E00"/>
    <w:rsid w:val="00A72620"/>
    <w:rsid w:val="00A72A31"/>
    <w:rsid w:val="00A730DF"/>
    <w:rsid w:val="00A7324C"/>
    <w:rsid w:val="00A73EEC"/>
    <w:rsid w:val="00A741F3"/>
    <w:rsid w:val="00A74774"/>
    <w:rsid w:val="00A74B2E"/>
    <w:rsid w:val="00A74ED0"/>
    <w:rsid w:val="00A75038"/>
    <w:rsid w:val="00A751B8"/>
    <w:rsid w:val="00A753B8"/>
    <w:rsid w:val="00A7578D"/>
    <w:rsid w:val="00A76078"/>
    <w:rsid w:val="00A76E1A"/>
    <w:rsid w:val="00A76F9C"/>
    <w:rsid w:val="00A770EF"/>
    <w:rsid w:val="00A7730E"/>
    <w:rsid w:val="00A77350"/>
    <w:rsid w:val="00A77950"/>
    <w:rsid w:val="00A779FE"/>
    <w:rsid w:val="00A77A12"/>
    <w:rsid w:val="00A77B4D"/>
    <w:rsid w:val="00A80255"/>
    <w:rsid w:val="00A802D1"/>
    <w:rsid w:val="00A80DB7"/>
    <w:rsid w:val="00A81206"/>
    <w:rsid w:val="00A8178F"/>
    <w:rsid w:val="00A819A2"/>
    <w:rsid w:val="00A819E4"/>
    <w:rsid w:val="00A81B16"/>
    <w:rsid w:val="00A81BD3"/>
    <w:rsid w:val="00A81BF4"/>
    <w:rsid w:val="00A820B0"/>
    <w:rsid w:val="00A82135"/>
    <w:rsid w:val="00A82458"/>
    <w:rsid w:val="00A8271F"/>
    <w:rsid w:val="00A82E7C"/>
    <w:rsid w:val="00A831F4"/>
    <w:rsid w:val="00A838AB"/>
    <w:rsid w:val="00A83B0B"/>
    <w:rsid w:val="00A84827"/>
    <w:rsid w:val="00A853BC"/>
    <w:rsid w:val="00A85F35"/>
    <w:rsid w:val="00A860BB"/>
    <w:rsid w:val="00A8616D"/>
    <w:rsid w:val="00A86BFA"/>
    <w:rsid w:val="00A86BFE"/>
    <w:rsid w:val="00A8706A"/>
    <w:rsid w:val="00A8713F"/>
    <w:rsid w:val="00A87567"/>
    <w:rsid w:val="00A87AEC"/>
    <w:rsid w:val="00A87ED6"/>
    <w:rsid w:val="00A9003A"/>
    <w:rsid w:val="00A90421"/>
    <w:rsid w:val="00A90BA1"/>
    <w:rsid w:val="00A90BE1"/>
    <w:rsid w:val="00A915B9"/>
    <w:rsid w:val="00A91743"/>
    <w:rsid w:val="00A91A16"/>
    <w:rsid w:val="00A91D14"/>
    <w:rsid w:val="00A922CF"/>
    <w:rsid w:val="00A928F1"/>
    <w:rsid w:val="00A92B7D"/>
    <w:rsid w:val="00A933A8"/>
    <w:rsid w:val="00A93580"/>
    <w:rsid w:val="00A935B5"/>
    <w:rsid w:val="00A93649"/>
    <w:rsid w:val="00A93655"/>
    <w:rsid w:val="00A93792"/>
    <w:rsid w:val="00A94B29"/>
    <w:rsid w:val="00A94FFE"/>
    <w:rsid w:val="00A950D3"/>
    <w:rsid w:val="00A95B7F"/>
    <w:rsid w:val="00A95C9E"/>
    <w:rsid w:val="00A96074"/>
    <w:rsid w:val="00A9689E"/>
    <w:rsid w:val="00A96CA9"/>
    <w:rsid w:val="00A96DF6"/>
    <w:rsid w:val="00A97184"/>
    <w:rsid w:val="00A97A9A"/>
    <w:rsid w:val="00AA0085"/>
    <w:rsid w:val="00AA00E9"/>
    <w:rsid w:val="00AA0671"/>
    <w:rsid w:val="00AA07E5"/>
    <w:rsid w:val="00AA0921"/>
    <w:rsid w:val="00AA0CD1"/>
    <w:rsid w:val="00AA0D6E"/>
    <w:rsid w:val="00AA11E9"/>
    <w:rsid w:val="00AA18DD"/>
    <w:rsid w:val="00AA1903"/>
    <w:rsid w:val="00AA1964"/>
    <w:rsid w:val="00AA1FEC"/>
    <w:rsid w:val="00AA24EB"/>
    <w:rsid w:val="00AA2531"/>
    <w:rsid w:val="00AA27D8"/>
    <w:rsid w:val="00AA386C"/>
    <w:rsid w:val="00AA39D2"/>
    <w:rsid w:val="00AA3BB7"/>
    <w:rsid w:val="00AA3EFB"/>
    <w:rsid w:val="00AA48D4"/>
    <w:rsid w:val="00AA4F4A"/>
    <w:rsid w:val="00AA54E2"/>
    <w:rsid w:val="00AA5501"/>
    <w:rsid w:val="00AA55FD"/>
    <w:rsid w:val="00AA58F4"/>
    <w:rsid w:val="00AA5D0C"/>
    <w:rsid w:val="00AA68F3"/>
    <w:rsid w:val="00AA778D"/>
    <w:rsid w:val="00AA78DF"/>
    <w:rsid w:val="00AA7A4E"/>
    <w:rsid w:val="00AA7CCB"/>
    <w:rsid w:val="00AB0959"/>
    <w:rsid w:val="00AB0AC2"/>
    <w:rsid w:val="00AB0C68"/>
    <w:rsid w:val="00AB0D85"/>
    <w:rsid w:val="00AB0FE2"/>
    <w:rsid w:val="00AB1D3C"/>
    <w:rsid w:val="00AB1E09"/>
    <w:rsid w:val="00AB36E7"/>
    <w:rsid w:val="00AB3F27"/>
    <w:rsid w:val="00AB44E5"/>
    <w:rsid w:val="00AB4844"/>
    <w:rsid w:val="00AB48F7"/>
    <w:rsid w:val="00AB49C9"/>
    <w:rsid w:val="00AB4ECB"/>
    <w:rsid w:val="00AB5276"/>
    <w:rsid w:val="00AB5330"/>
    <w:rsid w:val="00AB59A1"/>
    <w:rsid w:val="00AB5C34"/>
    <w:rsid w:val="00AB5F52"/>
    <w:rsid w:val="00AB6514"/>
    <w:rsid w:val="00AB6795"/>
    <w:rsid w:val="00AB75AD"/>
    <w:rsid w:val="00AB7747"/>
    <w:rsid w:val="00AB7ACC"/>
    <w:rsid w:val="00AB7C16"/>
    <w:rsid w:val="00AC02F2"/>
    <w:rsid w:val="00AC0888"/>
    <w:rsid w:val="00AC14CE"/>
    <w:rsid w:val="00AC15D5"/>
    <w:rsid w:val="00AC1FEF"/>
    <w:rsid w:val="00AC2767"/>
    <w:rsid w:val="00AC2A56"/>
    <w:rsid w:val="00AC2A93"/>
    <w:rsid w:val="00AC2C79"/>
    <w:rsid w:val="00AC2FF8"/>
    <w:rsid w:val="00AC39E5"/>
    <w:rsid w:val="00AC3B5A"/>
    <w:rsid w:val="00AC3E76"/>
    <w:rsid w:val="00AC4372"/>
    <w:rsid w:val="00AC463A"/>
    <w:rsid w:val="00AC46FA"/>
    <w:rsid w:val="00AC4BD5"/>
    <w:rsid w:val="00AC552B"/>
    <w:rsid w:val="00AC56CA"/>
    <w:rsid w:val="00AC62E0"/>
    <w:rsid w:val="00AC63AF"/>
    <w:rsid w:val="00AC6509"/>
    <w:rsid w:val="00AC6740"/>
    <w:rsid w:val="00AC6CAB"/>
    <w:rsid w:val="00AC758D"/>
    <w:rsid w:val="00AC75C6"/>
    <w:rsid w:val="00AC7791"/>
    <w:rsid w:val="00AC7D4F"/>
    <w:rsid w:val="00AD015E"/>
    <w:rsid w:val="00AD03F5"/>
    <w:rsid w:val="00AD055E"/>
    <w:rsid w:val="00AD0D56"/>
    <w:rsid w:val="00AD0DDD"/>
    <w:rsid w:val="00AD0E31"/>
    <w:rsid w:val="00AD16F4"/>
    <w:rsid w:val="00AD17B4"/>
    <w:rsid w:val="00AD1E1F"/>
    <w:rsid w:val="00AD1FDB"/>
    <w:rsid w:val="00AD1FF4"/>
    <w:rsid w:val="00AD21C9"/>
    <w:rsid w:val="00AD25B5"/>
    <w:rsid w:val="00AD3099"/>
    <w:rsid w:val="00AD30F1"/>
    <w:rsid w:val="00AD329B"/>
    <w:rsid w:val="00AD32D4"/>
    <w:rsid w:val="00AD351B"/>
    <w:rsid w:val="00AD3617"/>
    <w:rsid w:val="00AD3EEC"/>
    <w:rsid w:val="00AD3F16"/>
    <w:rsid w:val="00AD41A5"/>
    <w:rsid w:val="00AD47A7"/>
    <w:rsid w:val="00AD4D1B"/>
    <w:rsid w:val="00AD5515"/>
    <w:rsid w:val="00AD5FED"/>
    <w:rsid w:val="00AD689B"/>
    <w:rsid w:val="00AD72D3"/>
    <w:rsid w:val="00AD7994"/>
    <w:rsid w:val="00AD7BEE"/>
    <w:rsid w:val="00AD7E90"/>
    <w:rsid w:val="00AE0780"/>
    <w:rsid w:val="00AE0C1E"/>
    <w:rsid w:val="00AE0CFF"/>
    <w:rsid w:val="00AE0D80"/>
    <w:rsid w:val="00AE11AB"/>
    <w:rsid w:val="00AE155F"/>
    <w:rsid w:val="00AE1651"/>
    <w:rsid w:val="00AE1988"/>
    <w:rsid w:val="00AE2A1B"/>
    <w:rsid w:val="00AE2D0F"/>
    <w:rsid w:val="00AE2E55"/>
    <w:rsid w:val="00AE2F84"/>
    <w:rsid w:val="00AE3859"/>
    <w:rsid w:val="00AE3A14"/>
    <w:rsid w:val="00AE3FE8"/>
    <w:rsid w:val="00AE40DB"/>
    <w:rsid w:val="00AE455B"/>
    <w:rsid w:val="00AE4A93"/>
    <w:rsid w:val="00AE4B22"/>
    <w:rsid w:val="00AE4FD2"/>
    <w:rsid w:val="00AE50D2"/>
    <w:rsid w:val="00AE536C"/>
    <w:rsid w:val="00AE5495"/>
    <w:rsid w:val="00AE5805"/>
    <w:rsid w:val="00AE62C1"/>
    <w:rsid w:val="00AE68A6"/>
    <w:rsid w:val="00AE6F12"/>
    <w:rsid w:val="00AE711B"/>
    <w:rsid w:val="00AE7930"/>
    <w:rsid w:val="00AE7B03"/>
    <w:rsid w:val="00AE7B1F"/>
    <w:rsid w:val="00AF01D7"/>
    <w:rsid w:val="00AF030A"/>
    <w:rsid w:val="00AF0BBE"/>
    <w:rsid w:val="00AF0CBF"/>
    <w:rsid w:val="00AF1344"/>
    <w:rsid w:val="00AF1608"/>
    <w:rsid w:val="00AF17DC"/>
    <w:rsid w:val="00AF1808"/>
    <w:rsid w:val="00AF19B7"/>
    <w:rsid w:val="00AF1DBA"/>
    <w:rsid w:val="00AF1E62"/>
    <w:rsid w:val="00AF1F43"/>
    <w:rsid w:val="00AF2099"/>
    <w:rsid w:val="00AF257F"/>
    <w:rsid w:val="00AF27CF"/>
    <w:rsid w:val="00AF334E"/>
    <w:rsid w:val="00AF334F"/>
    <w:rsid w:val="00AF33CF"/>
    <w:rsid w:val="00AF352C"/>
    <w:rsid w:val="00AF376F"/>
    <w:rsid w:val="00AF4450"/>
    <w:rsid w:val="00AF4755"/>
    <w:rsid w:val="00AF4CB6"/>
    <w:rsid w:val="00AF4D50"/>
    <w:rsid w:val="00AF5363"/>
    <w:rsid w:val="00AF546C"/>
    <w:rsid w:val="00AF5999"/>
    <w:rsid w:val="00AF5E1D"/>
    <w:rsid w:val="00AF5E50"/>
    <w:rsid w:val="00AF6179"/>
    <w:rsid w:val="00AF61E9"/>
    <w:rsid w:val="00AF6352"/>
    <w:rsid w:val="00AF63C7"/>
    <w:rsid w:val="00AF6960"/>
    <w:rsid w:val="00AF70D9"/>
    <w:rsid w:val="00AF766D"/>
    <w:rsid w:val="00AF78A8"/>
    <w:rsid w:val="00AF79BE"/>
    <w:rsid w:val="00AF7FE8"/>
    <w:rsid w:val="00B00112"/>
    <w:rsid w:val="00B00B51"/>
    <w:rsid w:val="00B00B8F"/>
    <w:rsid w:val="00B00CE4"/>
    <w:rsid w:val="00B00F93"/>
    <w:rsid w:val="00B01CDD"/>
    <w:rsid w:val="00B0246C"/>
    <w:rsid w:val="00B0255D"/>
    <w:rsid w:val="00B02B8A"/>
    <w:rsid w:val="00B03192"/>
    <w:rsid w:val="00B03DD7"/>
    <w:rsid w:val="00B0428E"/>
    <w:rsid w:val="00B0451C"/>
    <w:rsid w:val="00B04D5F"/>
    <w:rsid w:val="00B04F90"/>
    <w:rsid w:val="00B0504E"/>
    <w:rsid w:val="00B0526D"/>
    <w:rsid w:val="00B058FF"/>
    <w:rsid w:val="00B05969"/>
    <w:rsid w:val="00B063C4"/>
    <w:rsid w:val="00B06B6F"/>
    <w:rsid w:val="00B06D8C"/>
    <w:rsid w:val="00B07F66"/>
    <w:rsid w:val="00B10A67"/>
    <w:rsid w:val="00B10BD7"/>
    <w:rsid w:val="00B117AC"/>
    <w:rsid w:val="00B11D60"/>
    <w:rsid w:val="00B121AB"/>
    <w:rsid w:val="00B121CA"/>
    <w:rsid w:val="00B1295A"/>
    <w:rsid w:val="00B12BB8"/>
    <w:rsid w:val="00B12C29"/>
    <w:rsid w:val="00B130C4"/>
    <w:rsid w:val="00B13135"/>
    <w:rsid w:val="00B13176"/>
    <w:rsid w:val="00B133C4"/>
    <w:rsid w:val="00B1346D"/>
    <w:rsid w:val="00B138EA"/>
    <w:rsid w:val="00B13EB5"/>
    <w:rsid w:val="00B141B3"/>
    <w:rsid w:val="00B14F9F"/>
    <w:rsid w:val="00B15487"/>
    <w:rsid w:val="00B15E77"/>
    <w:rsid w:val="00B1687F"/>
    <w:rsid w:val="00B16AA1"/>
    <w:rsid w:val="00B16BC0"/>
    <w:rsid w:val="00B170C0"/>
    <w:rsid w:val="00B17833"/>
    <w:rsid w:val="00B203ED"/>
    <w:rsid w:val="00B20895"/>
    <w:rsid w:val="00B20A45"/>
    <w:rsid w:val="00B20A7A"/>
    <w:rsid w:val="00B20ABE"/>
    <w:rsid w:val="00B21127"/>
    <w:rsid w:val="00B21237"/>
    <w:rsid w:val="00B2146B"/>
    <w:rsid w:val="00B219FA"/>
    <w:rsid w:val="00B2240D"/>
    <w:rsid w:val="00B226BB"/>
    <w:rsid w:val="00B226D9"/>
    <w:rsid w:val="00B22871"/>
    <w:rsid w:val="00B22C5C"/>
    <w:rsid w:val="00B233B0"/>
    <w:rsid w:val="00B235CE"/>
    <w:rsid w:val="00B23622"/>
    <w:rsid w:val="00B23C9B"/>
    <w:rsid w:val="00B2417D"/>
    <w:rsid w:val="00B247FA"/>
    <w:rsid w:val="00B24D70"/>
    <w:rsid w:val="00B24F30"/>
    <w:rsid w:val="00B25388"/>
    <w:rsid w:val="00B253C6"/>
    <w:rsid w:val="00B253F0"/>
    <w:rsid w:val="00B2544F"/>
    <w:rsid w:val="00B264DF"/>
    <w:rsid w:val="00B265C7"/>
    <w:rsid w:val="00B26969"/>
    <w:rsid w:val="00B30186"/>
    <w:rsid w:val="00B30195"/>
    <w:rsid w:val="00B30547"/>
    <w:rsid w:val="00B3070A"/>
    <w:rsid w:val="00B312A2"/>
    <w:rsid w:val="00B3152D"/>
    <w:rsid w:val="00B315DE"/>
    <w:rsid w:val="00B31ABF"/>
    <w:rsid w:val="00B3203F"/>
    <w:rsid w:val="00B32293"/>
    <w:rsid w:val="00B322CA"/>
    <w:rsid w:val="00B323BA"/>
    <w:rsid w:val="00B328EC"/>
    <w:rsid w:val="00B32D68"/>
    <w:rsid w:val="00B33066"/>
    <w:rsid w:val="00B33103"/>
    <w:rsid w:val="00B33512"/>
    <w:rsid w:val="00B3362B"/>
    <w:rsid w:val="00B33A50"/>
    <w:rsid w:val="00B33BE3"/>
    <w:rsid w:val="00B33F26"/>
    <w:rsid w:val="00B355B7"/>
    <w:rsid w:val="00B356B2"/>
    <w:rsid w:val="00B35898"/>
    <w:rsid w:val="00B358FA"/>
    <w:rsid w:val="00B359C7"/>
    <w:rsid w:val="00B35A6E"/>
    <w:rsid w:val="00B35AD8"/>
    <w:rsid w:val="00B36C34"/>
    <w:rsid w:val="00B36FF1"/>
    <w:rsid w:val="00B37BD6"/>
    <w:rsid w:val="00B40596"/>
    <w:rsid w:val="00B407CE"/>
    <w:rsid w:val="00B413AB"/>
    <w:rsid w:val="00B416DF"/>
    <w:rsid w:val="00B41701"/>
    <w:rsid w:val="00B41971"/>
    <w:rsid w:val="00B427FA"/>
    <w:rsid w:val="00B42FAF"/>
    <w:rsid w:val="00B43035"/>
    <w:rsid w:val="00B437CA"/>
    <w:rsid w:val="00B439DE"/>
    <w:rsid w:val="00B43C6B"/>
    <w:rsid w:val="00B43FD8"/>
    <w:rsid w:val="00B44331"/>
    <w:rsid w:val="00B4474A"/>
    <w:rsid w:val="00B44859"/>
    <w:rsid w:val="00B44B39"/>
    <w:rsid w:val="00B45332"/>
    <w:rsid w:val="00B45E35"/>
    <w:rsid w:val="00B45FA0"/>
    <w:rsid w:val="00B460FF"/>
    <w:rsid w:val="00B46262"/>
    <w:rsid w:val="00B4648C"/>
    <w:rsid w:val="00B46A83"/>
    <w:rsid w:val="00B47451"/>
    <w:rsid w:val="00B47491"/>
    <w:rsid w:val="00B475C0"/>
    <w:rsid w:val="00B4764B"/>
    <w:rsid w:val="00B478A1"/>
    <w:rsid w:val="00B50121"/>
    <w:rsid w:val="00B5068D"/>
    <w:rsid w:val="00B50708"/>
    <w:rsid w:val="00B5097B"/>
    <w:rsid w:val="00B50A81"/>
    <w:rsid w:val="00B50F5C"/>
    <w:rsid w:val="00B51724"/>
    <w:rsid w:val="00B5184A"/>
    <w:rsid w:val="00B51BF0"/>
    <w:rsid w:val="00B5220A"/>
    <w:rsid w:val="00B52309"/>
    <w:rsid w:val="00B524AF"/>
    <w:rsid w:val="00B53069"/>
    <w:rsid w:val="00B5336E"/>
    <w:rsid w:val="00B535FD"/>
    <w:rsid w:val="00B536EE"/>
    <w:rsid w:val="00B53B5D"/>
    <w:rsid w:val="00B542D8"/>
    <w:rsid w:val="00B54CBD"/>
    <w:rsid w:val="00B556D3"/>
    <w:rsid w:val="00B559EC"/>
    <w:rsid w:val="00B55BDB"/>
    <w:rsid w:val="00B55BFD"/>
    <w:rsid w:val="00B56159"/>
    <w:rsid w:val="00B5673D"/>
    <w:rsid w:val="00B569ED"/>
    <w:rsid w:val="00B56E02"/>
    <w:rsid w:val="00B57579"/>
    <w:rsid w:val="00B57AB0"/>
    <w:rsid w:val="00B6046B"/>
    <w:rsid w:val="00B6055E"/>
    <w:rsid w:val="00B60766"/>
    <w:rsid w:val="00B6095C"/>
    <w:rsid w:val="00B60C22"/>
    <w:rsid w:val="00B60FB3"/>
    <w:rsid w:val="00B6106B"/>
    <w:rsid w:val="00B6135D"/>
    <w:rsid w:val="00B613E9"/>
    <w:rsid w:val="00B61500"/>
    <w:rsid w:val="00B618C9"/>
    <w:rsid w:val="00B61A6B"/>
    <w:rsid w:val="00B61AD2"/>
    <w:rsid w:val="00B6317D"/>
    <w:rsid w:val="00B63B3D"/>
    <w:rsid w:val="00B63C51"/>
    <w:rsid w:val="00B64574"/>
    <w:rsid w:val="00B64924"/>
    <w:rsid w:val="00B64E40"/>
    <w:rsid w:val="00B65087"/>
    <w:rsid w:val="00B65324"/>
    <w:rsid w:val="00B653B6"/>
    <w:rsid w:val="00B65AAE"/>
    <w:rsid w:val="00B662B2"/>
    <w:rsid w:val="00B66988"/>
    <w:rsid w:val="00B670F1"/>
    <w:rsid w:val="00B67266"/>
    <w:rsid w:val="00B673A8"/>
    <w:rsid w:val="00B676E8"/>
    <w:rsid w:val="00B67D95"/>
    <w:rsid w:val="00B700D2"/>
    <w:rsid w:val="00B703B0"/>
    <w:rsid w:val="00B709A5"/>
    <w:rsid w:val="00B70F67"/>
    <w:rsid w:val="00B7179B"/>
    <w:rsid w:val="00B71B02"/>
    <w:rsid w:val="00B72FA6"/>
    <w:rsid w:val="00B734B0"/>
    <w:rsid w:val="00B7370D"/>
    <w:rsid w:val="00B73826"/>
    <w:rsid w:val="00B743B0"/>
    <w:rsid w:val="00B7475B"/>
    <w:rsid w:val="00B74803"/>
    <w:rsid w:val="00B74D52"/>
    <w:rsid w:val="00B74DE4"/>
    <w:rsid w:val="00B7557C"/>
    <w:rsid w:val="00B75D6D"/>
    <w:rsid w:val="00B75D96"/>
    <w:rsid w:val="00B76217"/>
    <w:rsid w:val="00B7665A"/>
    <w:rsid w:val="00B766B3"/>
    <w:rsid w:val="00B7676C"/>
    <w:rsid w:val="00B771DA"/>
    <w:rsid w:val="00B7723F"/>
    <w:rsid w:val="00B77255"/>
    <w:rsid w:val="00B77C55"/>
    <w:rsid w:val="00B800BA"/>
    <w:rsid w:val="00B80534"/>
    <w:rsid w:val="00B80735"/>
    <w:rsid w:val="00B81889"/>
    <w:rsid w:val="00B81B53"/>
    <w:rsid w:val="00B81FD7"/>
    <w:rsid w:val="00B820E9"/>
    <w:rsid w:val="00B820FE"/>
    <w:rsid w:val="00B82211"/>
    <w:rsid w:val="00B8252E"/>
    <w:rsid w:val="00B827A9"/>
    <w:rsid w:val="00B82D19"/>
    <w:rsid w:val="00B82EA1"/>
    <w:rsid w:val="00B83630"/>
    <w:rsid w:val="00B8399E"/>
    <w:rsid w:val="00B83ACF"/>
    <w:rsid w:val="00B83BBD"/>
    <w:rsid w:val="00B83E41"/>
    <w:rsid w:val="00B83E8D"/>
    <w:rsid w:val="00B84113"/>
    <w:rsid w:val="00B8426F"/>
    <w:rsid w:val="00B8433C"/>
    <w:rsid w:val="00B84B33"/>
    <w:rsid w:val="00B850DC"/>
    <w:rsid w:val="00B8562D"/>
    <w:rsid w:val="00B8586F"/>
    <w:rsid w:val="00B85B04"/>
    <w:rsid w:val="00B85C1F"/>
    <w:rsid w:val="00B85D29"/>
    <w:rsid w:val="00B86000"/>
    <w:rsid w:val="00B860D8"/>
    <w:rsid w:val="00B861E7"/>
    <w:rsid w:val="00B8679C"/>
    <w:rsid w:val="00B87491"/>
    <w:rsid w:val="00B87957"/>
    <w:rsid w:val="00B87B9B"/>
    <w:rsid w:val="00B900B7"/>
    <w:rsid w:val="00B909A6"/>
    <w:rsid w:val="00B90AF7"/>
    <w:rsid w:val="00B90D5F"/>
    <w:rsid w:val="00B911F4"/>
    <w:rsid w:val="00B913B2"/>
    <w:rsid w:val="00B9145B"/>
    <w:rsid w:val="00B91C51"/>
    <w:rsid w:val="00B92C08"/>
    <w:rsid w:val="00B9315B"/>
    <w:rsid w:val="00B932BD"/>
    <w:rsid w:val="00B93D64"/>
    <w:rsid w:val="00B93F7E"/>
    <w:rsid w:val="00B940CA"/>
    <w:rsid w:val="00B941B9"/>
    <w:rsid w:val="00B94737"/>
    <w:rsid w:val="00B949EF"/>
    <w:rsid w:val="00B94BA1"/>
    <w:rsid w:val="00B95561"/>
    <w:rsid w:val="00B95A66"/>
    <w:rsid w:val="00B962F5"/>
    <w:rsid w:val="00B96E34"/>
    <w:rsid w:val="00B97513"/>
    <w:rsid w:val="00B9787D"/>
    <w:rsid w:val="00B97CD8"/>
    <w:rsid w:val="00B97E71"/>
    <w:rsid w:val="00BA002E"/>
    <w:rsid w:val="00BA00D3"/>
    <w:rsid w:val="00BA0172"/>
    <w:rsid w:val="00BA07C8"/>
    <w:rsid w:val="00BA0E5F"/>
    <w:rsid w:val="00BA0F82"/>
    <w:rsid w:val="00BA15E9"/>
    <w:rsid w:val="00BA166C"/>
    <w:rsid w:val="00BA1B26"/>
    <w:rsid w:val="00BA1D1D"/>
    <w:rsid w:val="00BA1D53"/>
    <w:rsid w:val="00BA1E7F"/>
    <w:rsid w:val="00BA21C3"/>
    <w:rsid w:val="00BA2283"/>
    <w:rsid w:val="00BA2462"/>
    <w:rsid w:val="00BA253C"/>
    <w:rsid w:val="00BA289A"/>
    <w:rsid w:val="00BA2955"/>
    <w:rsid w:val="00BA29E9"/>
    <w:rsid w:val="00BA309D"/>
    <w:rsid w:val="00BA36DC"/>
    <w:rsid w:val="00BA3BAD"/>
    <w:rsid w:val="00BA4031"/>
    <w:rsid w:val="00BA442F"/>
    <w:rsid w:val="00BA4825"/>
    <w:rsid w:val="00BA4954"/>
    <w:rsid w:val="00BA4D4C"/>
    <w:rsid w:val="00BA5618"/>
    <w:rsid w:val="00BA58C7"/>
    <w:rsid w:val="00BA5FBF"/>
    <w:rsid w:val="00BA623B"/>
    <w:rsid w:val="00BA661D"/>
    <w:rsid w:val="00BA6676"/>
    <w:rsid w:val="00BA7142"/>
    <w:rsid w:val="00BA75CE"/>
    <w:rsid w:val="00BA7BCB"/>
    <w:rsid w:val="00BA7C83"/>
    <w:rsid w:val="00BB0202"/>
    <w:rsid w:val="00BB0C04"/>
    <w:rsid w:val="00BB0E98"/>
    <w:rsid w:val="00BB11AA"/>
    <w:rsid w:val="00BB1555"/>
    <w:rsid w:val="00BB1CCE"/>
    <w:rsid w:val="00BB237C"/>
    <w:rsid w:val="00BB2977"/>
    <w:rsid w:val="00BB2ADE"/>
    <w:rsid w:val="00BB2FA2"/>
    <w:rsid w:val="00BB393F"/>
    <w:rsid w:val="00BB39F2"/>
    <w:rsid w:val="00BB4067"/>
    <w:rsid w:val="00BB41A3"/>
    <w:rsid w:val="00BB4784"/>
    <w:rsid w:val="00BB48F6"/>
    <w:rsid w:val="00BB55B5"/>
    <w:rsid w:val="00BB58F3"/>
    <w:rsid w:val="00BB5A32"/>
    <w:rsid w:val="00BB6550"/>
    <w:rsid w:val="00BB678B"/>
    <w:rsid w:val="00BB6A0F"/>
    <w:rsid w:val="00BB6CB9"/>
    <w:rsid w:val="00BB6E53"/>
    <w:rsid w:val="00BB6F86"/>
    <w:rsid w:val="00BB74C8"/>
    <w:rsid w:val="00BB794A"/>
    <w:rsid w:val="00BC0008"/>
    <w:rsid w:val="00BC025E"/>
    <w:rsid w:val="00BC05DB"/>
    <w:rsid w:val="00BC0A1B"/>
    <w:rsid w:val="00BC0CFC"/>
    <w:rsid w:val="00BC0E03"/>
    <w:rsid w:val="00BC18DF"/>
    <w:rsid w:val="00BC1A46"/>
    <w:rsid w:val="00BC1F05"/>
    <w:rsid w:val="00BC23C2"/>
    <w:rsid w:val="00BC28D2"/>
    <w:rsid w:val="00BC2918"/>
    <w:rsid w:val="00BC2BBF"/>
    <w:rsid w:val="00BC328F"/>
    <w:rsid w:val="00BC32DC"/>
    <w:rsid w:val="00BC33A7"/>
    <w:rsid w:val="00BC35B6"/>
    <w:rsid w:val="00BC3DF8"/>
    <w:rsid w:val="00BC4224"/>
    <w:rsid w:val="00BC4DAC"/>
    <w:rsid w:val="00BC4F39"/>
    <w:rsid w:val="00BC5900"/>
    <w:rsid w:val="00BC5BFB"/>
    <w:rsid w:val="00BC5D74"/>
    <w:rsid w:val="00BC5FBB"/>
    <w:rsid w:val="00BC6443"/>
    <w:rsid w:val="00BC6670"/>
    <w:rsid w:val="00BC66CA"/>
    <w:rsid w:val="00BC66E1"/>
    <w:rsid w:val="00BC6FE5"/>
    <w:rsid w:val="00BD0248"/>
    <w:rsid w:val="00BD0638"/>
    <w:rsid w:val="00BD071C"/>
    <w:rsid w:val="00BD0959"/>
    <w:rsid w:val="00BD0A75"/>
    <w:rsid w:val="00BD11A1"/>
    <w:rsid w:val="00BD1A84"/>
    <w:rsid w:val="00BD1B51"/>
    <w:rsid w:val="00BD283A"/>
    <w:rsid w:val="00BD2C9C"/>
    <w:rsid w:val="00BD36C6"/>
    <w:rsid w:val="00BD40AA"/>
    <w:rsid w:val="00BD4596"/>
    <w:rsid w:val="00BD4888"/>
    <w:rsid w:val="00BD52BC"/>
    <w:rsid w:val="00BD55A5"/>
    <w:rsid w:val="00BD5EB7"/>
    <w:rsid w:val="00BD5FE4"/>
    <w:rsid w:val="00BD618D"/>
    <w:rsid w:val="00BD63A5"/>
    <w:rsid w:val="00BD640F"/>
    <w:rsid w:val="00BD6634"/>
    <w:rsid w:val="00BD67A4"/>
    <w:rsid w:val="00BD77F6"/>
    <w:rsid w:val="00BE1405"/>
    <w:rsid w:val="00BE1D89"/>
    <w:rsid w:val="00BE242F"/>
    <w:rsid w:val="00BE2B02"/>
    <w:rsid w:val="00BE2B25"/>
    <w:rsid w:val="00BE2D55"/>
    <w:rsid w:val="00BE312D"/>
    <w:rsid w:val="00BE37B1"/>
    <w:rsid w:val="00BE3C89"/>
    <w:rsid w:val="00BE4188"/>
    <w:rsid w:val="00BE4336"/>
    <w:rsid w:val="00BE45B0"/>
    <w:rsid w:val="00BE4636"/>
    <w:rsid w:val="00BE4881"/>
    <w:rsid w:val="00BE4B41"/>
    <w:rsid w:val="00BE55AF"/>
    <w:rsid w:val="00BE5736"/>
    <w:rsid w:val="00BE5EE8"/>
    <w:rsid w:val="00BE5FA4"/>
    <w:rsid w:val="00BE6494"/>
    <w:rsid w:val="00BE6F74"/>
    <w:rsid w:val="00BE7D97"/>
    <w:rsid w:val="00BF024C"/>
    <w:rsid w:val="00BF031C"/>
    <w:rsid w:val="00BF086A"/>
    <w:rsid w:val="00BF157A"/>
    <w:rsid w:val="00BF1700"/>
    <w:rsid w:val="00BF18C1"/>
    <w:rsid w:val="00BF1AED"/>
    <w:rsid w:val="00BF1C20"/>
    <w:rsid w:val="00BF248D"/>
    <w:rsid w:val="00BF2490"/>
    <w:rsid w:val="00BF27B9"/>
    <w:rsid w:val="00BF288B"/>
    <w:rsid w:val="00BF28F3"/>
    <w:rsid w:val="00BF2B4E"/>
    <w:rsid w:val="00BF3068"/>
    <w:rsid w:val="00BF32A3"/>
    <w:rsid w:val="00BF35C9"/>
    <w:rsid w:val="00BF36B1"/>
    <w:rsid w:val="00BF38D3"/>
    <w:rsid w:val="00BF3996"/>
    <w:rsid w:val="00BF40CD"/>
    <w:rsid w:val="00BF4154"/>
    <w:rsid w:val="00BF4605"/>
    <w:rsid w:val="00BF495D"/>
    <w:rsid w:val="00BF5453"/>
    <w:rsid w:val="00BF5DF3"/>
    <w:rsid w:val="00BF6647"/>
    <w:rsid w:val="00BF6A4E"/>
    <w:rsid w:val="00BF6F2E"/>
    <w:rsid w:val="00C00046"/>
    <w:rsid w:val="00C0015F"/>
    <w:rsid w:val="00C0017B"/>
    <w:rsid w:val="00C00712"/>
    <w:rsid w:val="00C010DE"/>
    <w:rsid w:val="00C0175C"/>
    <w:rsid w:val="00C01ACF"/>
    <w:rsid w:val="00C01AF5"/>
    <w:rsid w:val="00C01C28"/>
    <w:rsid w:val="00C01D23"/>
    <w:rsid w:val="00C01F3E"/>
    <w:rsid w:val="00C02189"/>
    <w:rsid w:val="00C02727"/>
    <w:rsid w:val="00C0283F"/>
    <w:rsid w:val="00C0287B"/>
    <w:rsid w:val="00C03F89"/>
    <w:rsid w:val="00C0510B"/>
    <w:rsid w:val="00C0515F"/>
    <w:rsid w:val="00C05B04"/>
    <w:rsid w:val="00C05F5D"/>
    <w:rsid w:val="00C0622F"/>
    <w:rsid w:val="00C07026"/>
    <w:rsid w:val="00C07418"/>
    <w:rsid w:val="00C074C2"/>
    <w:rsid w:val="00C07C60"/>
    <w:rsid w:val="00C07D71"/>
    <w:rsid w:val="00C07D8D"/>
    <w:rsid w:val="00C07FD5"/>
    <w:rsid w:val="00C1005F"/>
    <w:rsid w:val="00C10578"/>
    <w:rsid w:val="00C10F54"/>
    <w:rsid w:val="00C11466"/>
    <w:rsid w:val="00C11507"/>
    <w:rsid w:val="00C11632"/>
    <w:rsid w:val="00C116D1"/>
    <w:rsid w:val="00C1170D"/>
    <w:rsid w:val="00C122F8"/>
    <w:rsid w:val="00C12C10"/>
    <w:rsid w:val="00C12D80"/>
    <w:rsid w:val="00C130A0"/>
    <w:rsid w:val="00C1352E"/>
    <w:rsid w:val="00C135BC"/>
    <w:rsid w:val="00C13E48"/>
    <w:rsid w:val="00C14643"/>
    <w:rsid w:val="00C1561A"/>
    <w:rsid w:val="00C15C4A"/>
    <w:rsid w:val="00C15C95"/>
    <w:rsid w:val="00C16999"/>
    <w:rsid w:val="00C17E55"/>
    <w:rsid w:val="00C212B6"/>
    <w:rsid w:val="00C212D9"/>
    <w:rsid w:val="00C215F4"/>
    <w:rsid w:val="00C216B6"/>
    <w:rsid w:val="00C217BE"/>
    <w:rsid w:val="00C21979"/>
    <w:rsid w:val="00C21A76"/>
    <w:rsid w:val="00C21DAA"/>
    <w:rsid w:val="00C22370"/>
    <w:rsid w:val="00C223C3"/>
    <w:rsid w:val="00C22BA5"/>
    <w:rsid w:val="00C23309"/>
    <w:rsid w:val="00C237E0"/>
    <w:rsid w:val="00C23B3D"/>
    <w:rsid w:val="00C23C48"/>
    <w:rsid w:val="00C244C4"/>
    <w:rsid w:val="00C24536"/>
    <w:rsid w:val="00C24E06"/>
    <w:rsid w:val="00C2596A"/>
    <w:rsid w:val="00C26488"/>
    <w:rsid w:val="00C26ECF"/>
    <w:rsid w:val="00C27537"/>
    <w:rsid w:val="00C275DA"/>
    <w:rsid w:val="00C30912"/>
    <w:rsid w:val="00C312C9"/>
    <w:rsid w:val="00C31920"/>
    <w:rsid w:val="00C31AFF"/>
    <w:rsid w:val="00C31B34"/>
    <w:rsid w:val="00C31F5B"/>
    <w:rsid w:val="00C323E0"/>
    <w:rsid w:val="00C326C6"/>
    <w:rsid w:val="00C328FE"/>
    <w:rsid w:val="00C32A33"/>
    <w:rsid w:val="00C33507"/>
    <w:rsid w:val="00C33925"/>
    <w:rsid w:val="00C34034"/>
    <w:rsid w:val="00C34472"/>
    <w:rsid w:val="00C34568"/>
    <w:rsid w:val="00C34626"/>
    <w:rsid w:val="00C347C1"/>
    <w:rsid w:val="00C34AC7"/>
    <w:rsid w:val="00C34AFA"/>
    <w:rsid w:val="00C34BD0"/>
    <w:rsid w:val="00C34C80"/>
    <w:rsid w:val="00C3560C"/>
    <w:rsid w:val="00C35D67"/>
    <w:rsid w:val="00C3607D"/>
    <w:rsid w:val="00C36CB8"/>
    <w:rsid w:val="00C37A90"/>
    <w:rsid w:val="00C37E02"/>
    <w:rsid w:val="00C40499"/>
    <w:rsid w:val="00C40B57"/>
    <w:rsid w:val="00C4110E"/>
    <w:rsid w:val="00C41A90"/>
    <w:rsid w:val="00C41D18"/>
    <w:rsid w:val="00C41E2B"/>
    <w:rsid w:val="00C4231B"/>
    <w:rsid w:val="00C42A4B"/>
    <w:rsid w:val="00C4321E"/>
    <w:rsid w:val="00C43694"/>
    <w:rsid w:val="00C436B6"/>
    <w:rsid w:val="00C43C86"/>
    <w:rsid w:val="00C4409D"/>
    <w:rsid w:val="00C44E72"/>
    <w:rsid w:val="00C44F30"/>
    <w:rsid w:val="00C45078"/>
    <w:rsid w:val="00C45519"/>
    <w:rsid w:val="00C459E0"/>
    <w:rsid w:val="00C45A06"/>
    <w:rsid w:val="00C45E7F"/>
    <w:rsid w:val="00C4613E"/>
    <w:rsid w:val="00C46513"/>
    <w:rsid w:val="00C46B17"/>
    <w:rsid w:val="00C46E83"/>
    <w:rsid w:val="00C46FC1"/>
    <w:rsid w:val="00C47A67"/>
    <w:rsid w:val="00C47E5B"/>
    <w:rsid w:val="00C50E07"/>
    <w:rsid w:val="00C51B2D"/>
    <w:rsid w:val="00C521EB"/>
    <w:rsid w:val="00C52371"/>
    <w:rsid w:val="00C53245"/>
    <w:rsid w:val="00C53E62"/>
    <w:rsid w:val="00C549DD"/>
    <w:rsid w:val="00C54C1B"/>
    <w:rsid w:val="00C54E49"/>
    <w:rsid w:val="00C5586D"/>
    <w:rsid w:val="00C55B4E"/>
    <w:rsid w:val="00C55D46"/>
    <w:rsid w:val="00C55E50"/>
    <w:rsid w:val="00C5677E"/>
    <w:rsid w:val="00C56CC5"/>
    <w:rsid w:val="00C56EBD"/>
    <w:rsid w:val="00C56EE9"/>
    <w:rsid w:val="00C570D0"/>
    <w:rsid w:val="00C570DB"/>
    <w:rsid w:val="00C572AE"/>
    <w:rsid w:val="00C577FF"/>
    <w:rsid w:val="00C57DF0"/>
    <w:rsid w:val="00C6018F"/>
    <w:rsid w:val="00C60B55"/>
    <w:rsid w:val="00C60ECC"/>
    <w:rsid w:val="00C6183E"/>
    <w:rsid w:val="00C61E4B"/>
    <w:rsid w:val="00C622B1"/>
    <w:rsid w:val="00C62D08"/>
    <w:rsid w:val="00C62E32"/>
    <w:rsid w:val="00C62F9E"/>
    <w:rsid w:val="00C6313F"/>
    <w:rsid w:val="00C63B4E"/>
    <w:rsid w:val="00C63D4A"/>
    <w:rsid w:val="00C64265"/>
    <w:rsid w:val="00C64530"/>
    <w:rsid w:val="00C64BFF"/>
    <w:rsid w:val="00C64C83"/>
    <w:rsid w:val="00C65008"/>
    <w:rsid w:val="00C65E9B"/>
    <w:rsid w:val="00C65EAD"/>
    <w:rsid w:val="00C66117"/>
    <w:rsid w:val="00C663FD"/>
    <w:rsid w:val="00C6680A"/>
    <w:rsid w:val="00C672B8"/>
    <w:rsid w:val="00C677A7"/>
    <w:rsid w:val="00C67D7A"/>
    <w:rsid w:val="00C70108"/>
    <w:rsid w:val="00C704E9"/>
    <w:rsid w:val="00C70785"/>
    <w:rsid w:val="00C70A39"/>
    <w:rsid w:val="00C70EAD"/>
    <w:rsid w:val="00C71239"/>
    <w:rsid w:val="00C71BA9"/>
    <w:rsid w:val="00C71E1D"/>
    <w:rsid w:val="00C722FE"/>
    <w:rsid w:val="00C72B1F"/>
    <w:rsid w:val="00C72F5F"/>
    <w:rsid w:val="00C73A1E"/>
    <w:rsid w:val="00C74290"/>
    <w:rsid w:val="00C749F0"/>
    <w:rsid w:val="00C753B3"/>
    <w:rsid w:val="00C7587D"/>
    <w:rsid w:val="00C75B60"/>
    <w:rsid w:val="00C7604C"/>
    <w:rsid w:val="00C76070"/>
    <w:rsid w:val="00C76253"/>
    <w:rsid w:val="00C763C9"/>
    <w:rsid w:val="00C765A5"/>
    <w:rsid w:val="00C76D16"/>
    <w:rsid w:val="00C76FE0"/>
    <w:rsid w:val="00C77522"/>
    <w:rsid w:val="00C7752C"/>
    <w:rsid w:val="00C776AD"/>
    <w:rsid w:val="00C7794F"/>
    <w:rsid w:val="00C77E4E"/>
    <w:rsid w:val="00C80057"/>
    <w:rsid w:val="00C8063D"/>
    <w:rsid w:val="00C808AA"/>
    <w:rsid w:val="00C808D3"/>
    <w:rsid w:val="00C80943"/>
    <w:rsid w:val="00C819EC"/>
    <w:rsid w:val="00C81B16"/>
    <w:rsid w:val="00C81E73"/>
    <w:rsid w:val="00C82164"/>
    <w:rsid w:val="00C82232"/>
    <w:rsid w:val="00C82641"/>
    <w:rsid w:val="00C827C1"/>
    <w:rsid w:val="00C827E7"/>
    <w:rsid w:val="00C82913"/>
    <w:rsid w:val="00C83462"/>
    <w:rsid w:val="00C834FB"/>
    <w:rsid w:val="00C83B49"/>
    <w:rsid w:val="00C84696"/>
    <w:rsid w:val="00C85381"/>
    <w:rsid w:val="00C858AB"/>
    <w:rsid w:val="00C86721"/>
    <w:rsid w:val="00C8672D"/>
    <w:rsid w:val="00C86F0B"/>
    <w:rsid w:val="00C871FC"/>
    <w:rsid w:val="00C879F8"/>
    <w:rsid w:val="00C9022F"/>
    <w:rsid w:val="00C909A6"/>
    <w:rsid w:val="00C90C97"/>
    <w:rsid w:val="00C90F88"/>
    <w:rsid w:val="00C9217C"/>
    <w:rsid w:val="00C92181"/>
    <w:rsid w:val="00C922BE"/>
    <w:rsid w:val="00C92753"/>
    <w:rsid w:val="00C92DBB"/>
    <w:rsid w:val="00C92E9D"/>
    <w:rsid w:val="00C92F4C"/>
    <w:rsid w:val="00C931FA"/>
    <w:rsid w:val="00C93398"/>
    <w:rsid w:val="00C9342E"/>
    <w:rsid w:val="00C9392B"/>
    <w:rsid w:val="00C93C43"/>
    <w:rsid w:val="00C93C90"/>
    <w:rsid w:val="00C93D2B"/>
    <w:rsid w:val="00C940FC"/>
    <w:rsid w:val="00C941BD"/>
    <w:rsid w:val="00C956C9"/>
    <w:rsid w:val="00C95E0E"/>
    <w:rsid w:val="00C95FE0"/>
    <w:rsid w:val="00C961C2"/>
    <w:rsid w:val="00C961DE"/>
    <w:rsid w:val="00C966F9"/>
    <w:rsid w:val="00C96DD3"/>
    <w:rsid w:val="00C96E98"/>
    <w:rsid w:val="00C96F7A"/>
    <w:rsid w:val="00C972B1"/>
    <w:rsid w:val="00C975FF"/>
    <w:rsid w:val="00C97E73"/>
    <w:rsid w:val="00CA00B3"/>
    <w:rsid w:val="00CA0275"/>
    <w:rsid w:val="00CA02DE"/>
    <w:rsid w:val="00CA0415"/>
    <w:rsid w:val="00CA046E"/>
    <w:rsid w:val="00CA0575"/>
    <w:rsid w:val="00CA0840"/>
    <w:rsid w:val="00CA0F84"/>
    <w:rsid w:val="00CA15C7"/>
    <w:rsid w:val="00CA18F1"/>
    <w:rsid w:val="00CA28F2"/>
    <w:rsid w:val="00CA2AD7"/>
    <w:rsid w:val="00CA2B47"/>
    <w:rsid w:val="00CA2CCE"/>
    <w:rsid w:val="00CA2EF3"/>
    <w:rsid w:val="00CA30BF"/>
    <w:rsid w:val="00CA37EF"/>
    <w:rsid w:val="00CA39BB"/>
    <w:rsid w:val="00CA3DFE"/>
    <w:rsid w:val="00CA3F0C"/>
    <w:rsid w:val="00CA43FD"/>
    <w:rsid w:val="00CA4755"/>
    <w:rsid w:val="00CA52FC"/>
    <w:rsid w:val="00CA5680"/>
    <w:rsid w:val="00CA5C63"/>
    <w:rsid w:val="00CA5F8D"/>
    <w:rsid w:val="00CA60BD"/>
    <w:rsid w:val="00CA60FF"/>
    <w:rsid w:val="00CA6207"/>
    <w:rsid w:val="00CA6868"/>
    <w:rsid w:val="00CA6C62"/>
    <w:rsid w:val="00CA72BE"/>
    <w:rsid w:val="00CA736A"/>
    <w:rsid w:val="00CA740C"/>
    <w:rsid w:val="00CA7ABE"/>
    <w:rsid w:val="00CA7EF8"/>
    <w:rsid w:val="00CB04FE"/>
    <w:rsid w:val="00CB0957"/>
    <w:rsid w:val="00CB09E7"/>
    <w:rsid w:val="00CB0AB8"/>
    <w:rsid w:val="00CB0C82"/>
    <w:rsid w:val="00CB0E0A"/>
    <w:rsid w:val="00CB12F0"/>
    <w:rsid w:val="00CB1E23"/>
    <w:rsid w:val="00CB2342"/>
    <w:rsid w:val="00CB2B5C"/>
    <w:rsid w:val="00CB3971"/>
    <w:rsid w:val="00CB43B9"/>
    <w:rsid w:val="00CB4E9D"/>
    <w:rsid w:val="00CB531D"/>
    <w:rsid w:val="00CB5337"/>
    <w:rsid w:val="00CB5A0C"/>
    <w:rsid w:val="00CB5B3F"/>
    <w:rsid w:val="00CB6009"/>
    <w:rsid w:val="00CB6802"/>
    <w:rsid w:val="00CB6B9A"/>
    <w:rsid w:val="00CB6E8D"/>
    <w:rsid w:val="00CB701F"/>
    <w:rsid w:val="00CB723B"/>
    <w:rsid w:val="00CB746E"/>
    <w:rsid w:val="00CB74A6"/>
    <w:rsid w:val="00CB7892"/>
    <w:rsid w:val="00CB79FA"/>
    <w:rsid w:val="00CC0112"/>
    <w:rsid w:val="00CC026C"/>
    <w:rsid w:val="00CC03AC"/>
    <w:rsid w:val="00CC0612"/>
    <w:rsid w:val="00CC0DFE"/>
    <w:rsid w:val="00CC1794"/>
    <w:rsid w:val="00CC18B9"/>
    <w:rsid w:val="00CC196F"/>
    <w:rsid w:val="00CC330E"/>
    <w:rsid w:val="00CC3D19"/>
    <w:rsid w:val="00CC3FFB"/>
    <w:rsid w:val="00CC40DE"/>
    <w:rsid w:val="00CC4715"/>
    <w:rsid w:val="00CC47FC"/>
    <w:rsid w:val="00CC489B"/>
    <w:rsid w:val="00CC4BF8"/>
    <w:rsid w:val="00CC5D02"/>
    <w:rsid w:val="00CC5DF0"/>
    <w:rsid w:val="00CC66A4"/>
    <w:rsid w:val="00CC7081"/>
    <w:rsid w:val="00CC7661"/>
    <w:rsid w:val="00CC7CBE"/>
    <w:rsid w:val="00CC7E88"/>
    <w:rsid w:val="00CD005D"/>
    <w:rsid w:val="00CD0124"/>
    <w:rsid w:val="00CD0357"/>
    <w:rsid w:val="00CD0793"/>
    <w:rsid w:val="00CD0F2D"/>
    <w:rsid w:val="00CD113C"/>
    <w:rsid w:val="00CD1B7A"/>
    <w:rsid w:val="00CD26F9"/>
    <w:rsid w:val="00CD2BB2"/>
    <w:rsid w:val="00CD2BCD"/>
    <w:rsid w:val="00CD31AA"/>
    <w:rsid w:val="00CD3201"/>
    <w:rsid w:val="00CD351B"/>
    <w:rsid w:val="00CD3584"/>
    <w:rsid w:val="00CD3836"/>
    <w:rsid w:val="00CD3A4C"/>
    <w:rsid w:val="00CD3A5A"/>
    <w:rsid w:val="00CD3AC3"/>
    <w:rsid w:val="00CD3DC2"/>
    <w:rsid w:val="00CD4004"/>
    <w:rsid w:val="00CD4B94"/>
    <w:rsid w:val="00CD53C9"/>
    <w:rsid w:val="00CD690B"/>
    <w:rsid w:val="00CD69B3"/>
    <w:rsid w:val="00CE0474"/>
    <w:rsid w:val="00CE04F7"/>
    <w:rsid w:val="00CE0684"/>
    <w:rsid w:val="00CE0FC3"/>
    <w:rsid w:val="00CE10E9"/>
    <w:rsid w:val="00CE1899"/>
    <w:rsid w:val="00CE190F"/>
    <w:rsid w:val="00CE1A83"/>
    <w:rsid w:val="00CE20E7"/>
    <w:rsid w:val="00CE23E8"/>
    <w:rsid w:val="00CE262F"/>
    <w:rsid w:val="00CE2910"/>
    <w:rsid w:val="00CE3367"/>
    <w:rsid w:val="00CE382B"/>
    <w:rsid w:val="00CE454F"/>
    <w:rsid w:val="00CE4948"/>
    <w:rsid w:val="00CE4AD7"/>
    <w:rsid w:val="00CE5393"/>
    <w:rsid w:val="00CE5C56"/>
    <w:rsid w:val="00CE5F73"/>
    <w:rsid w:val="00CE60A1"/>
    <w:rsid w:val="00CE6128"/>
    <w:rsid w:val="00CE67CE"/>
    <w:rsid w:val="00CE6EE3"/>
    <w:rsid w:val="00CE72EF"/>
    <w:rsid w:val="00CE76EC"/>
    <w:rsid w:val="00CE7BF2"/>
    <w:rsid w:val="00CE7CC9"/>
    <w:rsid w:val="00CF0015"/>
    <w:rsid w:val="00CF073C"/>
    <w:rsid w:val="00CF09FD"/>
    <w:rsid w:val="00CF19C8"/>
    <w:rsid w:val="00CF1ADE"/>
    <w:rsid w:val="00CF1C7E"/>
    <w:rsid w:val="00CF1CE9"/>
    <w:rsid w:val="00CF1DBA"/>
    <w:rsid w:val="00CF27A9"/>
    <w:rsid w:val="00CF287E"/>
    <w:rsid w:val="00CF2C74"/>
    <w:rsid w:val="00CF2D5A"/>
    <w:rsid w:val="00CF36BE"/>
    <w:rsid w:val="00CF37C9"/>
    <w:rsid w:val="00CF3C35"/>
    <w:rsid w:val="00CF3C5D"/>
    <w:rsid w:val="00CF493F"/>
    <w:rsid w:val="00CF4F4F"/>
    <w:rsid w:val="00CF57BD"/>
    <w:rsid w:val="00CF5B4B"/>
    <w:rsid w:val="00CF5E1A"/>
    <w:rsid w:val="00CF6000"/>
    <w:rsid w:val="00CF6A1B"/>
    <w:rsid w:val="00CF6FA7"/>
    <w:rsid w:val="00CF741F"/>
    <w:rsid w:val="00CF7A3D"/>
    <w:rsid w:val="00CF7B21"/>
    <w:rsid w:val="00D0026B"/>
    <w:rsid w:val="00D003F3"/>
    <w:rsid w:val="00D01034"/>
    <w:rsid w:val="00D0150E"/>
    <w:rsid w:val="00D017EF"/>
    <w:rsid w:val="00D01CB7"/>
    <w:rsid w:val="00D01E09"/>
    <w:rsid w:val="00D02132"/>
    <w:rsid w:val="00D023F3"/>
    <w:rsid w:val="00D033BD"/>
    <w:rsid w:val="00D0364F"/>
    <w:rsid w:val="00D036E6"/>
    <w:rsid w:val="00D03A5F"/>
    <w:rsid w:val="00D04171"/>
    <w:rsid w:val="00D042FC"/>
    <w:rsid w:val="00D04523"/>
    <w:rsid w:val="00D046B1"/>
    <w:rsid w:val="00D04DF3"/>
    <w:rsid w:val="00D05918"/>
    <w:rsid w:val="00D0595F"/>
    <w:rsid w:val="00D05FBE"/>
    <w:rsid w:val="00D0608B"/>
    <w:rsid w:val="00D0615E"/>
    <w:rsid w:val="00D06224"/>
    <w:rsid w:val="00D064AD"/>
    <w:rsid w:val="00D06834"/>
    <w:rsid w:val="00D06CED"/>
    <w:rsid w:val="00D06F8F"/>
    <w:rsid w:val="00D072B8"/>
    <w:rsid w:val="00D07C88"/>
    <w:rsid w:val="00D07D3E"/>
    <w:rsid w:val="00D10373"/>
    <w:rsid w:val="00D106E8"/>
    <w:rsid w:val="00D10AD2"/>
    <w:rsid w:val="00D10CC4"/>
    <w:rsid w:val="00D10DE5"/>
    <w:rsid w:val="00D11382"/>
    <w:rsid w:val="00D11748"/>
    <w:rsid w:val="00D11BFE"/>
    <w:rsid w:val="00D11EF9"/>
    <w:rsid w:val="00D12082"/>
    <w:rsid w:val="00D1213C"/>
    <w:rsid w:val="00D121BE"/>
    <w:rsid w:val="00D12463"/>
    <w:rsid w:val="00D124F0"/>
    <w:rsid w:val="00D12E11"/>
    <w:rsid w:val="00D1381D"/>
    <w:rsid w:val="00D13836"/>
    <w:rsid w:val="00D13CC8"/>
    <w:rsid w:val="00D1402C"/>
    <w:rsid w:val="00D140E0"/>
    <w:rsid w:val="00D1418A"/>
    <w:rsid w:val="00D14338"/>
    <w:rsid w:val="00D1448E"/>
    <w:rsid w:val="00D15A41"/>
    <w:rsid w:val="00D15FD9"/>
    <w:rsid w:val="00D15FFC"/>
    <w:rsid w:val="00D16BA7"/>
    <w:rsid w:val="00D16C67"/>
    <w:rsid w:val="00D16E15"/>
    <w:rsid w:val="00D17275"/>
    <w:rsid w:val="00D17596"/>
    <w:rsid w:val="00D17A5A"/>
    <w:rsid w:val="00D17C01"/>
    <w:rsid w:val="00D201C6"/>
    <w:rsid w:val="00D2056E"/>
    <w:rsid w:val="00D20A71"/>
    <w:rsid w:val="00D21262"/>
    <w:rsid w:val="00D21763"/>
    <w:rsid w:val="00D21A89"/>
    <w:rsid w:val="00D21C42"/>
    <w:rsid w:val="00D22035"/>
    <w:rsid w:val="00D22064"/>
    <w:rsid w:val="00D22446"/>
    <w:rsid w:val="00D234B2"/>
    <w:rsid w:val="00D23624"/>
    <w:rsid w:val="00D23CDD"/>
    <w:rsid w:val="00D244BB"/>
    <w:rsid w:val="00D244C8"/>
    <w:rsid w:val="00D24EF0"/>
    <w:rsid w:val="00D25434"/>
    <w:rsid w:val="00D25540"/>
    <w:rsid w:val="00D25A80"/>
    <w:rsid w:val="00D25AA7"/>
    <w:rsid w:val="00D26899"/>
    <w:rsid w:val="00D27224"/>
    <w:rsid w:val="00D27DB8"/>
    <w:rsid w:val="00D3048B"/>
    <w:rsid w:val="00D30730"/>
    <w:rsid w:val="00D308ED"/>
    <w:rsid w:val="00D30B1A"/>
    <w:rsid w:val="00D30F15"/>
    <w:rsid w:val="00D3101E"/>
    <w:rsid w:val="00D316A9"/>
    <w:rsid w:val="00D32273"/>
    <w:rsid w:val="00D3233E"/>
    <w:rsid w:val="00D3290A"/>
    <w:rsid w:val="00D329F9"/>
    <w:rsid w:val="00D32D81"/>
    <w:rsid w:val="00D3328F"/>
    <w:rsid w:val="00D33FB6"/>
    <w:rsid w:val="00D3453A"/>
    <w:rsid w:val="00D345D1"/>
    <w:rsid w:val="00D34614"/>
    <w:rsid w:val="00D34A25"/>
    <w:rsid w:val="00D34E6D"/>
    <w:rsid w:val="00D34FF7"/>
    <w:rsid w:val="00D3528A"/>
    <w:rsid w:val="00D35697"/>
    <w:rsid w:val="00D3581E"/>
    <w:rsid w:val="00D35919"/>
    <w:rsid w:val="00D36084"/>
    <w:rsid w:val="00D364D7"/>
    <w:rsid w:val="00D36A50"/>
    <w:rsid w:val="00D36D86"/>
    <w:rsid w:val="00D36FA9"/>
    <w:rsid w:val="00D3770D"/>
    <w:rsid w:val="00D37717"/>
    <w:rsid w:val="00D37EF5"/>
    <w:rsid w:val="00D40180"/>
    <w:rsid w:val="00D4059C"/>
    <w:rsid w:val="00D406A3"/>
    <w:rsid w:val="00D40F28"/>
    <w:rsid w:val="00D4105E"/>
    <w:rsid w:val="00D415DB"/>
    <w:rsid w:val="00D4174C"/>
    <w:rsid w:val="00D41C81"/>
    <w:rsid w:val="00D41E2D"/>
    <w:rsid w:val="00D41E45"/>
    <w:rsid w:val="00D42656"/>
    <w:rsid w:val="00D428AA"/>
    <w:rsid w:val="00D4323D"/>
    <w:rsid w:val="00D433FF"/>
    <w:rsid w:val="00D4393A"/>
    <w:rsid w:val="00D44039"/>
    <w:rsid w:val="00D44097"/>
    <w:rsid w:val="00D44B8C"/>
    <w:rsid w:val="00D45E6A"/>
    <w:rsid w:val="00D45F73"/>
    <w:rsid w:val="00D460C5"/>
    <w:rsid w:val="00D4620B"/>
    <w:rsid w:val="00D462C9"/>
    <w:rsid w:val="00D467E3"/>
    <w:rsid w:val="00D46B47"/>
    <w:rsid w:val="00D46E08"/>
    <w:rsid w:val="00D47079"/>
    <w:rsid w:val="00D47876"/>
    <w:rsid w:val="00D479C6"/>
    <w:rsid w:val="00D47BDE"/>
    <w:rsid w:val="00D47EF7"/>
    <w:rsid w:val="00D50167"/>
    <w:rsid w:val="00D50A34"/>
    <w:rsid w:val="00D50D76"/>
    <w:rsid w:val="00D51451"/>
    <w:rsid w:val="00D5163A"/>
    <w:rsid w:val="00D51C59"/>
    <w:rsid w:val="00D520A9"/>
    <w:rsid w:val="00D52AD3"/>
    <w:rsid w:val="00D52B81"/>
    <w:rsid w:val="00D5349D"/>
    <w:rsid w:val="00D53EFA"/>
    <w:rsid w:val="00D540C8"/>
    <w:rsid w:val="00D5416E"/>
    <w:rsid w:val="00D5441E"/>
    <w:rsid w:val="00D5493A"/>
    <w:rsid w:val="00D54C32"/>
    <w:rsid w:val="00D54DC3"/>
    <w:rsid w:val="00D54EF2"/>
    <w:rsid w:val="00D550E7"/>
    <w:rsid w:val="00D55132"/>
    <w:rsid w:val="00D55329"/>
    <w:rsid w:val="00D55648"/>
    <w:rsid w:val="00D55DF8"/>
    <w:rsid w:val="00D56344"/>
    <w:rsid w:val="00D565CC"/>
    <w:rsid w:val="00D56756"/>
    <w:rsid w:val="00D56ABE"/>
    <w:rsid w:val="00D57BA6"/>
    <w:rsid w:val="00D57BC3"/>
    <w:rsid w:val="00D6004F"/>
    <w:rsid w:val="00D60291"/>
    <w:rsid w:val="00D60668"/>
    <w:rsid w:val="00D608D4"/>
    <w:rsid w:val="00D612F2"/>
    <w:rsid w:val="00D61478"/>
    <w:rsid w:val="00D614D9"/>
    <w:rsid w:val="00D61543"/>
    <w:rsid w:val="00D61CB4"/>
    <w:rsid w:val="00D61E36"/>
    <w:rsid w:val="00D61F3C"/>
    <w:rsid w:val="00D622BC"/>
    <w:rsid w:val="00D625EE"/>
    <w:rsid w:val="00D6290F"/>
    <w:rsid w:val="00D63313"/>
    <w:rsid w:val="00D6446F"/>
    <w:rsid w:val="00D645EA"/>
    <w:rsid w:val="00D64CB3"/>
    <w:rsid w:val="00D656E0"/>
    <w:rsid w:val="00D65A63"/>
    <w:rsid w:val="00D66259"/>
    <w:rsid w:val="00D66368"/>
    <w:rsid w:val="00D66EF0"/>
    <w:rsid w:val="00D673EB"/>
    <w:rsid w:val="00D67551"/>
    <w:rsid w:val="00D676D5"/>
    <w:rsid w:val="00D67944"/>
    <w:rsid w:val="00D679EF"/>
    <w:rsid w:val="00D67C44"/>
    <w:rsid w:val="00D67E3E"/>
    <w:rsid w:val="00D70AB8"/>
    <w:rsid w:val="00D70C8F"/>
    <w:rsid w:val="00D70CA7"/>
    <w:rsid w:val="00D70E42"/>
    <w:rsid w:val="00D71255"/>
    <w:rsid w:val="00D71331"/>
    <w:rsid w:val="00D71B6E"/>
    <w:rsid w:val="00D71F1D"/>
    <w:rsid w:val="00D7210A"/>
    <w:rsid w:val="00D7217C"/>
    <w:rsid w:val="00D729E5"/>
    <w:rsid w:val="00D72AA3"/>
    <w:rsid w:val="00D72D38"/>
    <w:rsid w:val="00D72FB7"/>
    <w:rsid w:val="00D73540"/>
    <w:rsid w:val="00D73563"/>
    <w:rsid w:val="00D735D6"/>
    <w:rsid w:val="00D7366E"/>
    <w:rsid w:val="00D73C45"/>
    <w:rsid w:val="00D7427B"/>
    <w:rsid w:val="00D74829"/>
    <w:rsid w:val="00D74D6C"/>
    <w:rsid w:val="00D74E79"/>
    <w:rsid w:val="00D75035"/>
    <w:rsid w:val="00D751ED"/>
    <w:rsid w:val="00D754F6"/>
    <w:rsid w:val="00D75A25"/>
    <w:rsid w:val="00D75ADE"/>
    <w:rsid w:val="00D75CD7"/>
    <w:rsid w:val="00D75E9D"/>
    <w:rsid w:val="00D7626C"/>
    <w:rsid w:val="00D764BE"/>
    <w:rsid w:val="00D7670A"/>
    <w:rsid w:val="00D76C72"/>
    <w:rsid w:val="00D76FCE"/>
    <w:rsid w:val="00D770CE"/>
    <w:rsid w:val="00D77346"/>
    <w:rsid w:val="00D77EDD"/>
    <w:rsid w:val="00D800AE"/>
    <w:rsid w:val="00D8090C"/>
    <w:rsid w:val="00D80A64"/>
    <w:rsid w:val="00D80AFE"/>
    <w:rsid w:val="00D81019"/>
    <w:rsid w:val="00D81614"/>
    <w:rsid w:val="00D82510"/>
    <w:rsid w:val="00D828C1"/>
    <w:rsid w:val="00D82A37"/>
    <w:rsid w:val="00D82CE7"/>
    <w:rsid w:val="00D82D91"/>
    <w:rsid w:val="00D82FBB"/>
    <w:rsid w:val="00D8342D"/>
    <w:rsid w:val="00D83E7D"/>
    <w:rsid w:val="00D8453F"/>
    <w:rsid w:val="00D84573"/>
    <w:rsid w:val="00D845F1"/>
    <w:rsid w:val="00D84736"/>
    <w:rsid w:val="00D856F0"/>
    <w:rsid w:val="00D86D4D"/>
    <w:rsid w:val="00D86E34"/>
    <w:rsid w:val="00D870DA"/>
    <w:rsid w:val="00D87411"/>
    <w:rsid w:val="00D8760A"/>
    <w:rsid w:val="00D87DA7"/>
    <w:rsid w:val="00D901B9"/>
    <w:rsid w:val="00D90AA3"/>
    <w:rsid w:val="00D90DD7"/>
    <w:rsid w:val="00D91B99"/>
    <w:rsid w:val="00D91CAA"/>
    <w:rsid w:val="00D9218E"/>
    <w:rsid w:val="00D924F2"/>
    <w:rsid w:val="00D929EB"/>
    <w:rsid w:val="00D92E2E"/>
    <w:rsid w:val="00D933DD"/>
    <w:rsid w:val="00D93783"/>
    <w:rsid w:val="00D93AF0"/>
    <w:rsid w:val="00D93B27"/>
    <w:rsid w:val="00D9404A"/>
    <w:rsid w:val="00D948EE"/>
    <w:rsid w:val="00D94A7C"/>
    <w:rsid w:val="00D94AEC"/>
    <w:rsid w:val="00D94C64"/>
    <w:rsid w:val="00D9517A"/>
    <w:rsid w:val="00D954F9"/>
    <w:rsid w:val="00D95739"/>
    <w:rsid w:val="00D95896"/>
    <w:rsid w:val="00D9590A"/>
    <w:rsid w:val="00D95BC4"/>
    <w:rsid w:val="00D95CBE"/>
    <w:rsid w:val="00D962EE"/>
    <w:rsid w:val="00D96511"/>
    <w:rsid w:val="00D967F7"/>
    <w:rsid w:val="00D96885"/>
    <w:rsid w:val="00D96AFF"/>
    <w:rsid w:val="00D96E9B"/>
    <w:rsid w:val="00D97582"/>
    <w:rsid w:val="00D97584"/>
    <w:rsid w:val="00D97837"/>
    <w:rsid w:val="00D97EB8"/>
    <w:rsid w:val="00DA01A3"/>
    <w:rsid w:val="00DA03D2"/>
    <w:rsid w:val="00DA0447"/>
    <w:rsid w:val="00DA09A9"/>
    <w:rsid w:val="00DA0B6B"/>
    <w:rsid w:val="00DA155D"/>
    <w:rsid w:val="00DA1978"/>
    <w:rsid w:val="00DA1E0C"/>
    <w:rsid w:val="00DA219B"/>
    <w:rsid w:val="00DA2554"/>
    <w:rsid w:val="00DA2E39"/>
    <w:rsid w:val="00DA2E83"/>
    <w:rsid w:val="00DA2E9E"/>
    <w:rsid w:val="00DA390E"/>
    <w:rsid w:val="00DA431F"/>
    <w:rsid w:val="00DA4326"/>
    <w:rsid w:val="00DA43B5"/>
    <w:rsid w:val="00DA43F8"/>
    <w:rsid w:val="00DA459C"/>
    <w:rsid w:val="00DA577B"/>
    <w:rsid w:val="00DA5B61"/>
    <w:rsid w:val="00DA5FF8"/>
    <w:rsid w:val="00DA6360"/>
    <w:rsid w:val="00DA6CFD"/>
    <w:rsid w:val="00DA6D08"/>
    <w:rsid w:val="00DA6DAB"/>
    <w:rsid w:val="00DA6F4C"/>
    <w:rsid w:val="00DA7101"/>
    <w:rsid w:val="00DA728C"/>
    <w:rsid w:val="00DA73D3"/>
    <w:rsid w:val="00DA74BB"/>
    <w:rsid w:val="00DA7AD9"/>
    <w:rsid w:val="00DB0235"/>
    <w:rsid w:val="00DB037D"/>
    <w:rsid w:val="00DB0584"/>
    <w:rsid w:val="00DB06E5"/>
    <w:rsid w:val="00DB0719"/>
    <w:rsid w:val="00DB0BF5"/>
    <w:rsid w:val="00DB0C70"/>
    <w:rsid w:val="00DB0F01"/>
    <w:rsid w:val="00DB0F88"/>
    <w:rsid w:val="00DB104E"/>
    <w:rsid w:val="00DB10C4"/>
    <w:rsid w:val="00DB1762"/>
    <w:rsid w:val="00DB203C"/>
    <w:rsid w:val="00DB2983"/>
    <w:rsid w:val="00DB2ACE"/>
    <w:rsid w:val="00DB2CA5"/>
    <w:rsid w:val="00DB31E9"/>
    <w:rsid w:val="00DB4511"/>
    <w:rsid w:val="00DB45EF"/>
    <w:rsid w:val="00DB49D1"/>
    <w:rsid w:val="00DB4B93"/>
    <w:rsid w:val="00DB5271"/>
    <w:rsid w:val="00DB5D69"/>
    <w:rsid w:val="00DB619F"/>
    <w:rsid w:val="00DB679D"/>
    <w:rsid w:val="00DB6FFB"/>
    <w:rsid w:val="00DB71EB"/>
    <w:rsid w:val="00DB757D"/>
    <w:rsid w:val="00DB7701"/>
    <w:rsid w:val="00DB7B16"/>
    <w:rsid w:val="00DC0138"/>
    <w:rsid w:val="00DC01DD"/>
    <w:rsid w:val="00DC01F8"/>
    <w:rsid w:val="00DC0499"/>
    <w:rsid w:val="00DC1257"/>
    <w:rsid w:val="00DC1937"/>
    <w:rsid w:val="00DC22EC"/>
    <w:rsid w:val="00DC2973"/>
    <w:rsid w:val="00DC3369"/>
    <w:rsid w:val="00DC339C"/>
    <w:rsid w:val="00DC35EE"/>
    <w:rsid w:val="00DC371A"/>
    <w:rsid w:val="00DC3737"/>
    <w:rsid w:val="00DC3A02"/>
    <w:rsid w:val="00DC3A49"/>
    <w:rsid w:val="00DC3DC0"/>
    <w:rsid w:val="00DC4585"/>
    <w:rsid w:val="00DC4849"/>
    <w:rsid w:val="00DC5040"/>
    <w:rsid w:val="00DC5081"/>
    <w:rsid w:val="00DC5247"/>
    <w:rsid w:val="00DC535A"/>
    <w:rsid w:val="00DC5407"/>
    <w:rsid w:val="00DC5606"/>
    <w:rsid w:val="00DC5B2B"/>
    <w:rsid w:val="00DC620B"/>
    <w:rsid w:val="00DC6297"/>
    <w:rsid w:val="00DC6CA3"/>
    <w:rsid w:val="00DC6E40"/>
    <w:rsid w:val="00DC6F77"/>
    <w:rsid w:val="00DC71B8"/>
    <w:rsid w:val="00DC724F"/>
    <w:rsid w:val="00DC7E25"/>
    <w:rsid w:val="00DD0CA9"/>
    <w:rsid w:val="00DD14BC"/>
    <w:rsid w:val="00DD1ABF"/>
    <w:rsid w:val="00DD1CA5"/>
    <w:rsid w:val="00DD2422"/>
    <w:rsid w:val="00DD318D"/>
    <w:rsid w:val="00DD36E8"/>
    <w:rsid w:val="00DD372F"/>
    <w:rsid w:val="00DD38A7"/>
    <w:rsid w:val="00DD4071"/>
    <w:rsid w:val="00DD4112"/>
    <w:rsid w:val="00DD4853"/>
    <w:rsid w:val="00DD49BF"/>
    <w:rsid w:val="00DD4A88"/>
    <w:rsid w:val="00DD4FBF"/>
    <w:rsid w:val="00DD527C"/>
    <w:rsid w:val="00DD576C"/>
    <w:rsid w:val="00DD5A67"/>
    <w:rsid w:val="00DD6042"/>
    <w:rsid w:val="00DD672C"/>
    <w:rsid w:val="00DD7600"/>
    <w:rsid w:val="00DE0543"/>
    <w:rsid w:val="00DE0BDF"/>
    <w:rsid w:val="00DE0BEA"/>
    <w:rsid w:val="00DE0EEC"/>
    <w:rsid w:val="00DE1397"/>
    <w:rsid w:val="00DE1925"/>
    <w:rsid w:val="00DE23F3"/>
    <w:rsid w:val="00DE2875"/>
    <w:rsid w:val="00DE3235"/>
    <w:rsid w:val="00DE335D"/>
    <w:rsid w:val="00DE3576"/>
    <w:rsid w:val="00DE35DA"/>
    <w:rsid w:val="00DE42B7"/>
    <w:rsid w:val="00DE4451"/>
    <w:rsid w:val="00DE45E0"/>
    <w:rsid w:val="00DE46E5"/>
    <w:rsid w:val="00DE5267"/>
    <w:rsid w:val="00DE5C9E"/>
    <w:rsid w:val="00DE6EC9"/>
    <w:rsid w:val="00DE78E3"/>
    <w:rsid w:val="00DE7ACA"/>
    <w:rsid w:val="00DE7B31"/>
    <w:rsid w:val="00DE7DD2"/>
    <w:rsid w:val="00DE7E90"/>
    <w:rsid w:val="00DE7FA5"/>
    <w:rsid w:val="00DF05C6"/>
    <w:rsid w:val="00DF0A56"/>
    <w:rsid w:val="00DF0B75"/>
    <w:rsid w:val="00DF1333"/>
    <w:rsid w:val="00DF162D"/>
    <w:rsid w:val="00DF16B2"/>
    <w:rsid w:val="00DF17BD"/>
    <w:rsid w:val="00DF2480"/>
    <w:rsid w:val="00DF270D"/>
    <w:rsid w:val="00DF271F"/>
    <w:rsid w:val="00DF2B0A"/>
    <w:rsid w:val="00DF2C42"/>
    <w:rsid w:val="00DF2E12"/>
    <w:rsid w:val="00DF2E13"/>
    <w:rsid w:val="00DF2F83"/>
    <w:rsid w:val="00DF35C5"/>
    <w:rsid w:val="00DF36AE"/>
    <w:rsid w:val="00DF50D7"/>
    <w:rsid w:val="00DF50F4"/>
    <w:rsid w:val="00DF514A"/>
    <w:rsid w:val="00DF5B35"/>
    <w:rsid w:val="00DF5BF5"/>
    <w:rsid w:val="00DF6162"/>
    <w:rsid w:val="00DF6690"/>
    <w:rsid w:val="00DF66AA"/>
    <w:rsid w:val="00DF6804"/>
    <w:rsid w:val="00DF6F3D"/>
    <w:rsid w:val="00DF70C0"/>
    <w:rsid w:val="00DF7864"/>
    <w:rsid w:val="00DF78C5"/>
    <w:rsid w:val="00DF79F0"/>
    <w:rsid w:val="00DF7B27"/>
    <w:rsid w:val="00E0002C"/>
    <w:rsid w:val="00E000CB"/>
    <w:rsid w:val="00E00133"/>
    <w:rsid w:val="00E00CDD"/>
    <w:rsid w:val="00E00F4F"/>
    <w:rsid w:val="00E01014"/>
    <w:rsid w:val="00E016B5"/>
    <w:rsid w:val="00E020E4"/>
    <w:rsid w:val="00E023C2"/>
    <w:rsid w:val="00E026AB"/>
    <w:rsid w:val="00E02C34"/>
    <w:rsid w:val="00E02CE7"/>
    <w:rsid w:val="00E0358D"/>
    <w:rsid w:val="00E03C21"/>
    <w:rsid w:val="00E04323"/>
    <w:rsid w:val="00E04A5F"/>
    <w:rsid w:val="00E0556B"/>
    <w:rsid w:val="00E05CD9"/>
    <w:rsid w:val="00E05F9F"/>
    <w:rsid w:val="00E06137"/>
    <w:rsid w:val="00E06186"/>
    <w:rsid w:val="00E06631"/>
    <w:rsid w:val="00E066C5"/>
    <w:rsid w:val="00E06714"/>
    <w:rsid w:val="00E070A2"/>
    <w:rsid w:val="00E072D7"/>
    <w:rsid w:val="00E07B9F"/>
    <w:rsid w:val="00E07F73"/>
    <w:rsid w:val="00E10CEB"/>
    <w:rsid w:val="00E10E99"/>
    <w:rsid w:val="00E11BFA"/>
    <w:rsid w:val="00E12200"/>
    <w:rsid w:val="00E12536"/>
    <w:rsid w:val="00E12A10"/>
    <w:rsid w:val="00E12D81"/>
    <w:rsid w:val="00E133D3"/>
    <w:rsid w:val="00E136DC"/>
    <w:rsid w:val="00E139F5"/>
    <w:rsid w:val="00E13CDF"/>
    <w:rsid w:val="00E140AD"/>
    <w:rsid w:val="00E1483F"/>
    <w:rsid w:val="00E148DB"/>
    <w:rsid w:val="00E14EFC"/>
    <w:rsid w:val="00E1570F"/>
    <w:rsid w:val="00E15835"/>
    <w:rsid w:val="00E15E5E"/>
    <w:rsid w:val="00E174AE"/>
    <w:rsid w:val="00E17A07"/>
    <w:rsid w:val="00E17B97"/>
    <w:rsid w:val="00E17FDD"/>
    <w:rsid w:val="00E205E3"/>
    <w:rsid w:val="00E20A9D"/>
    <w:rsid w:val="00E217C4"/>
    <w:rsid w:val="00E21BAF"/>
    <w:rsid w:val="00E223CB"/>
    <w:rsid w:val="00E22517"/>
    <w:rsid w:val="00E22CEA"/>
    <w:rsid w:val="00E24343"/>
    <w:rsid w:val="00E247AF"/>
    <w:rsid w:val="00E250CB"/>
    <w:rsid w:val="00E25CFE"/>
    <w:rsid w:val="00E260F5"/>
    <w:rsid w:val="00E2656A"/>
    <w:rsid w:val="00E2683C"/>
    <w:rsid w:val="00E26E48"/>
    <w:rsid w:val="00E26ED3"/>
    <w:rsid w:val="00E26F58"/>
    <w:rsid w:val="00E26F95"/>
    <w:rsid w:val="00E27D02"/>
    <w:rsid w:val="00E27EA2"/>
    <w:rsid w:val="00E3061D"/>
    <w:rsid w:val="00E30C13"/>
    <w:rsid w:val="00E30E8E"/>
    <w:rsid w:val="00E31266"/>
    <w:rsid w:val="00E312DC"/>
    <w:rsid w:val="00E3187B"/>
    <w:rsid w:val="00E31ABB"/>
    <w:rsid w:val="00E31E9B"/>
    <w:rsid w:val="00E32A89"/>
    <w:rsid w:val="00E32ADA"/>
    <w:rsid w:val="00E32BDF"/>
    <w:rsid w:val="00E3345E"/>
    <w:rsid w:val="00E339AF"/>
    <w:rsid w:val="00E339D2"/>
    <w:rsid w:val="00E33BFA"/>
    <w:rsid w:val="00E3427F"/>
    <w:rsid w:val="00E34D59"/>
    <w:rsid w:val="00E34E0A"/>
    <w:rsid w:val="00E354A9"/>
    <w:rsid w:val="00E36100"/>
    <w:rsid w:val="00E36323"/>
    <w:rsid w:val="00E3634C"/>
    <w:rsid w:val="00E363B3"/>
    <w:rsid w:val="00E36537"/>
    <w:rsid w:val="00E369A0"/>
    <w:rsid w:val="00E37032"/>
    <w:rsid w:val="00E370D0"/>
    <w:rsid w:val="00E40888"/>
    <w:rsid w:val="00E40BB0"/>
    <w:rsid w:val="00E412D0"/>
    <w:rsid w:val="00E412D6"/>
    <w:rsid w:val="00E4137B"/>
    <w:rsid w:val="00E413EF"/>
    <w:rsid w:val="00E41A9A"/>
    <w:rsid w:val="00E41CF3"/>
    <w:rsid w:val="00E41D07"/>
    <w:rsid w:val="00E4243C"/>
    <w:rsid w:val="00E4280C"/>
    <w:rsid w:val="00E428C2"/>
    <w:rsid w:val="00E42C14"/>
    <w:rsid w:val="00E42C3C"/>
    <w:rsid w:val="00E42DA8"/>
    <w:rsid w:val="00E42E69"/>
    <w:rsid w:val="00E4310F"/>
    <w:rsid w:val="00E43D18"/>
    <w:rsid w:val="00E44382"/>
    <w:rsid w:val="00E448DB"/>
    <w:rsid w:val="00E44DE3"/>
    <w:rsid w:val="00E45478"/>
    <w:rsid w:val="00E4549A"/>
    <w:rsid w:val="00E45645"/>
    <w:rsid w:val="00E4595D"/>
    <w:rsid w:val="00E45A05"/>
    <w:rsid w:val="00E45B4D"/>
    <w:rsid w:val="00E46093"/>
    <w:rsid w:val="00E4618E"/>
    <w:rsid w:val="00E46DD6"/>
    <w:rsid w:val="00E47A07"/>
    <w:rsid w:val="00E47BC7"/>
    <w:rsid w:val="00E47CB5"/>
    <w:rsid w:val="00E47EF8"/>
    <w:rsid w:val="00E503B9"/>
    <w:rsid w:val="00E50499"/>
    <w:rsid w:val="00E50FE6"/>
    <w:rsid w:val="00E5127F"/>
    <w:rsid w:val="00E51416"/>
    <w:rsid w:val="00E5154E"/>
    <w:rsid w:val="00E51901"/>
    <w:rsid w:val="00E51D20"/>
    <w:rsid w:val="00E51DB9"/>
    <w:rsid w:val="00E51E0A"/>
    <w:rsid w:val="00E521E2"/>
    <w:rsid w:val="00E522DD"/>
    <w:rsid w:val="00E52815"/>
    <w:rsid w:val="00E53E49"/>
    <w:rsid w:val="00E5470C"/>
    <w:rsid w:val="00E547A1"/>
    <w:rsid w:val="00E548EE"/>
    <w:rsid w:val="00E54BB2"/>
    <w:rsid w:val="00E552BC"/>
    <w:rsid w:val="00E55372"/>
    <w:rsid w:val="00E555B8"/>
    <w:rsid w:val="00E559C6"/>
    <w:rsid w:val="00E55DCB"/>
    <w:rsid w:val="00E56322"/>
    <w:rsid w:val="00E56998"/>
    <w:rsid w:val="00E56F3C"/>
    <w:rsid w:val="00E575E7"/>
    <w:rsid w:val="00E57935"/>
    <w:rsid w:val="00E57B84"/>
    <w:rsid w:val="00E6035F"/>
    <w:rsid w:val="00E60982"/>
    <w:rsid w:val="00E60CE7"/>
    <w:rsid w:val="00E60FC2"/>
    <w:rsid w:val="00E6104F"/>
    <w:rsid w:val="00E61081"/>
    <w:rsid w:val="00E61A40"/>
    <w:rsid w:val="00E62000"/>
    <w:rsid w:val="00E620C4"/>
    <w:rsid w:val="00E62569"/>
    <w:rsid w:val="00E625FB"/>
    <w:rsid w:val="00E62C62"/>
    <w:rsid w:val="00E62F58"/>
    <w:rsid w:val="00E63125"/>
    <w:rsid w:val="00E633D1"/>
    <w:rsid w:val="00E6344F"/>
    <w:rsid w:val="00E63799"/>
    <w:rsid w:val="00E645BB"/>
    <w:rsid w:val="00E650A9"/>
    <w:rsid w:val="00E6536A"/>
    <w:rsid w:val="00E654C1"/>
    <w:rsid w:val="00E65500"/>
    <w:rsid w:val="00E65AE9"/>
    <w:rsid w:val="00E65D97"/>
    <w:rsid w:val="00E65F93"/>
    <w:rsid w:val="00E66098"/>
    <w:rsid w:val="00E66781"/>
    <w:rsid w:val="00E66BC9"/>
    <w:rsid w:val="00E66D12"/>
    <w:rsid w:val="00E671C6"/>
    <w:rsid w:val="00E67231"/>
    <w:rsid w:val="00E675EC"/>
    <w:rsid w:val="00E677DD"/>
    <w:rsid w:val="00E70022"/>
    <w:rsid w:val="00E700E4"/>
    <w:rsid w:val="00E701AC"/>
    <w:rsid w:val="00E70532"/>
    <w:rsid w:val="00E706F0"/>
    <w:rsid w:val="00E70EA7"/>
    <w:rsid w:val="00E71276"/>
    <w:rsid w:val="00E714F5"/>
    <w:rsid w:val="00E719A4"/>
    <w:rsid w:val="00E71E2E"/>
    <w:rsid w:val="00E71F2E"/>
    <w:rsid w:val="00E720BD"/>
    <w:rsid w:val="00E7223F"/>
    <w:rsid w:val="00E72A5A"/>
    <w:rsid w:val="00E72C4D"/>
    <w:rsid w:val="00E72D9F"/>
    <w:rsid w:val="00E72E94"/>
    <w:rsid w:val="00E73354"/>
    <w:rsid w:val="00E73381"/>
    <w:rsid w:val="00E73E10"/>
    <w:rsid w:val="00E7410E"/>
    <w:rsid w:val="00E74559"/>
    <w:rsid w:val="00E74F62"/>
    <w:rsid w:val="00E762E4"/>
    <w:rsid w:val="00E768B4"/>
    <w:rsid w:val="00E76C86"/>
    <w:rsid w:val="00E76EF3"/>
    <w:rsid w:val="00E77573"/>
    <w:rsid w:val="00E77870"/>
    <w:rsid w:val="00E8023F"/>
    <w:rsid w:val="00E80266"/>
    <w:rsid w:val="00E8080D"/>
    <w:rsid w:val="00E80D8F"/>
    <w:rsid w:val="00E81008"/>
    <w:rsid w:val="00E815E9"/>
    <w:rsid w:val="00E81F0E"/>
    <w:rsid w:val="00E82384"/>
    <w:rsid w:val="00E824CF"/>
    <w:rsid w:val="00E826BE"/>
    <w:rsid w:val="00E826D4"/>
    <w:rsid w:val="00E8280B"/>
    <w:rsid w:val="00E8379C"/>
    <w:rsid w:val="00E84BD5"/>
    <w:rsid w:val="00E85200"/>
    <w:rsid w:val="00E85393"/>
    <w:rsid w:val="00E85612"/>
    <w:rsid w:val="00E863BB"/>
    <w:rsid w:val="00E8734E"/>
    <w:rsid w:val="00E87692"/>
    <w:rsid w:val="00E87750"/>
    <w:rsid w:val="00E87FEB"/>
    <w:rsid w:val="00E90048"/>
    <w:rsid w:val="00E90246"/>
    <w:rsid w:val="00E90421"/>
    <w:rsid w:val="00E90E81"/>
    <w:rsid w:val="00E9112B"/>
    <w:rsid w:val="00E91DCA"/>
    <w:rsid w:val="00E9242D"/>
    <w:rsid w:val="00E929F5"/>
    <w:rsid w:val="00E92F79"/>
    <w:rsid w:val="00E933B4"/>
    <w:rsid w:val="00E93CEC"/>
    <w:rsid w:val="00E93F88"/>
    <w:rsid w:val="00E9463B"/>
    <w:rsid w:val="00E946A2"/>
    <w:rsid w:val="00E95178"/>
    <w:rsid w:val="00E95408"/>
    <w:rsid w:val="00E9541D"/>
    <w:rsid w:val="00E96544"/>
    <w:rsid w:val="00E972E6"/>
    <w:rsid w:val="00EA0BA7"/>
    <w:rsid w:val="00EA0D36"/>
    <w:rsid w:val="00EA0D4F"/>
    <w:rsid w:val="00EA11BE"/>
    <w:rsid w:val="00EA1939"/>
    <w:rsid w:val="00EA2C5A"/>
    <w:rsid w:val="00EA3653"/>
    <w:rsid w:val="00EA4756"/>
    <w:rsid w:val="00EA4C69"/>
    <w:rsid w:val="00EA4D4D"/>
    <w:rsid w:val="00EA5E53"/>
    <w:rsid w:val="00EA6059"/>
    <w:rsid w:val="00EA62F0"/>
    <w:rsid w:val="00EA6711"/>
    <w:rsid w:val="00EA6886"/>
    <w:rsid w:val="00EA6D89"/>
    <w:rsid w:val="00EA761C"/>
    <w:rsid w:val="00EA784E"/>
    <w:rsid w:val="00EA7CDB"/>
    <w:rsid w:val="00EA7FC7"/>
    <w:rsid w:val="00EB060C"/>
    <w:rsid w:val="00EB0C1E"/>
    <w:rsid w:val="00EB1078"/>
    <w:rsid w:val="00EB1552"/>
    <w:rsid w:val="00EB1DC6"/>
    <w:rsid w:val="00EB1E31"/>
    <w:rsid w:val="00EB1FBA"/>
    <w:rsid w:val="00EB2B43"/>
    <w:rsid w:val="00EB3A1B"/>
    <w:rsid w:val="00EB4604"/>
    <w:rsid w:val="00EB4C22"/>
    <w:rsid w:val="00EB4E9F"/>
    <w:rsid w:val="00EB512D"/>
    <w:rsid w:val="00EB5255"/>
    <w:rsid w:val="00EB5C47"/>
    <w:rsid w:val="00EB5F16"/>
    <w:rsid w:val="00EB5F4D"/>
    <w:rsid w:val="00EB60C2"/>
    <w:rsid w:val="00EB68E3"/>
    <w:rsid w:val="00EB6925"/>
    <w:rsid w:val="00EB6AF7"/>
    <w:rsid w:val="00EB6BD3"/>
    <w:rsid w:val="00EB6C28"/>
    <w:rsid w:val="00EC0876"/>
    <w:rsid w:val="00EC1CD9"/>
    <w:rsid w:val="00EC23CB"/>
    <w:rsid w:val="00EC303B"/>
    <w:rsid w:val="00EC303D"/>
    <w:rsid w:val="00EC3802"/>
    <w:rsid w:val="00EC3860"/>
    <w:rsid w:val="00EC3AD1"/>
    <w:rsid w:val="00EC3D15"/>
    <w:rsid w:val="00EC4249"/>
    <w:rsid w:val="00EC4279"/>
    <w:rsid w:val="00EC4688"/>
    <w:rsid w:val="00EC4A2A"/>
    <w:rsid w:val="00EC519C"/>
    <w:rsid w:val="00EC54D0"/>
    <w:rsid w:val="00EC562B"/>
    <w:rsid w:val="00EC5AF9"/>
    <w:rsid w:val="00EC5D5D"/>
    <w:rsid w:val="00EC6320"/>
    <w:rsid w:val="00EC63F4"/>
    <w:rsid w:val="00EC65AF"/>
    <w:rsid w:val="00EC68E0"/>
    <w:rsid w:val="00EC702B"/>
    <w:rsid w:val="00EC7608"/>
    <w:rsid w:val="00EC77E8"/>
    <w:rsid w:val="00EC7F8F"/>
    <w:rsid w:val="00EC7FE8"/>
    <w:rsid w:val="00ED0639"/>
    <w:rsid w:val="00ED06D0"/>
    <w:rsid w:val="00ED093C"/>
    <w:rsid w:val="00ED09E0"/>
    <w:rsid w:val="00ED0EE4"/>
    <w:rsid w:val="00ED1C56"/>
    <w:rsid w:val="00ED271B"/>
    <w:rsid w:val="00ED2F77"/>
    <w:rsid w:val="00ED373B"/>
    <w:rsid w:val="00ED41C2"/>
    <w:rsid w:val="00ED41F7"/>
    <w:rsid w:val="00ED4697"/>
    <w:rsid w:val="00ED4774"/>
    <w:rsid w:val="00ED4A48"/>
    <w:rsid w:val="00ED4E72"/>
    <w:rsid w:val="00ED4E75"/>
    <w:rsid w:val="00ED54F7"/>
    <w:rsid w:val="00ED5740"/>
    <w:rsid w:val="00ED6018"/>
    <w:rsid w:val="00ED62ED"/>
    <w:rsid w:val="00ED6433"/>
    <w:rsid w:val="00ED6437"/>
    <w:rsid w:val="00ED6710"/>
    <w:rsid w:val="00ED71E6"/>
    <w:rsid w:val="00ED7C7D"/>
    <w:rsid w:val="00EE02CE"/>
    <w:rsid w:val="00EE02F7"/>
    <w:rsid w:val="00EE02FE"/>
    <w:rsid w:val="00EE03CD"/>
    <w:rsid w:val="00EE1190"/>
    <w:rsid w:val="00EE1285"/>
    <w:rsid w:val="00EE1E55"/>
    <w:rsid w:val="00EE1E9B"/>
    <w:rsid w:val="00EE1F4A"/>
    <w:rsid w:val="00EE2048"/>
    <w:rsid w:val="00EE242B"/>
    <w:rsid w:val="00EE2527"/>
    <w:rsid w:val="00EE26EC"/>
    <w:rsid w:val="00EE3146"/>
    <w:rsid w:val="00EE3F65"/>
    <w:rsid w:val="00EE4132"/>
    <w:rsid w:val="00EE4274"/>
    <w:rsid w:val="00EE43AA"/>
    <w:rsid w:val="00EE4AEC"/>
    <w:rsid w:val="00EE4EDE"/>
    <w:rsid w:val="00EE53D0"/>
    <w:rsid w:val="00EE584D"/>
    <w:rsid w:val="00EE58B8"/>
    <w:rsid w:val="00EE5EB7"/>
    <w:rsid w:val="00EE6F1C"/>
    <w:rsid w:val="00EE72C3"/>
    <w:rsid w:val="00EE7E66"/>
    <w:rsid w:val="00EE7ECC"/>
    <w:rsid w:val="00EE7F70"/>
    <w:rsid w:val="00EF0052"/>
    <w:rsid w:val="00EF08D6"/>
    <w:rsid w:val="00EF0966"/>
    <w:rsid w:val="00EF09BD"/>
    <w:rsid w:val="00EF09F5"/>
    <w:rsid w:val="00EF0FDD"/>
    <w:rsid w:val="00EF1B5E"/>
    <w:rsid w:val="00EF1E72"/>
    <w:rsid w:val="00EF25B4"/>
    <w:rsid w:val="00EF25CD"/>
    <w:rsid w:val="00EF2C37"/>
    <w:rsid w:val="00EF3BA7"/>
    <w:rsid w:val="00EF3C5B"/>
    <w:rsid w:val="00EF3C8B"/>
    <w:rsid w:val="00EF3FEB"/>
    <w:rsid w:val="00EF4755"/>
    <w:rsid w:val="00EF4872"/>
    <w:rsid w:val="00EF50B5"/>
    <w:rsid w:val="00EF55FA"/>
    <w:rsid w:val="00EF5A21"/>
    <w:rsid w:val="00EF5CE5"/>
    <w:rsid w:val="00EF6806"/>
    <w:rsid w:val="00EF6B10"/>
    <w:rsid w:val="00EF6CE2"/>
    <w:rsid w:val="00EF7135"/>
    <w:rsid w:val="00EF7C2F"/>
    <w:rsid w:val="00F002C9"/>
    <w:rsid w:val="00F006C1"/>
    <w:rsid w:val="00F00941"/>
    <w:rsid w:val="00F009EC"/>
    <w:rsid w:val="00F013E9"/>
    <w:rsid w:val="00F01CC7"/>
    <w:rsid w:val="00F02277"/>
    <w:rsid w:val="00F027DB"/>
    <w:rsid w:val="00F02F67"/>
    <w:rsid w:val="00F03917"/>
    <w:rsid w:val="00F03D02"/>
    <w:rsid w:val="00F046D0"/>
    <w:rsid w:val="00F049DD"/>
    <w:rsid w:val="00F04B46"/>
    <w:rsid w:val="00F04C2F"/>
    <w:rsid w:val="00F0548F"/>
    <w:rsid w:val="00F0558D"/>
    <w:rsid w:val="00F05886"/>
    <w:rsid w:val="00F059D5"/>
    <w:rsid w:val="00F0643F"/>
    <w:rsid w:val="00F064D4"/>
    <w:rsid w:val="00F06DD1"/>
    <w:rsid w:val="00F0721B"/>
    <w:rsid w:val="00F07CA7"/>
    <w:rsid w:val="00F102D0"/>
    <w:rsid w:val="00F105C5"/>
    <w:rsid w:val="00F10EAD"/>
    <w:rsid w:val="00F10EB4"/>
    <w:rsid w:val="00F10FA0"/>
    <w:rsid w:val="00F11229"/>
    <w:rsid w:val="00F112B7"/>
    <w:rsid w:val="00F118C6"/>
    <w:rsid w:val="00F11ED9"/>
    <w:rsid w:val="00F125E1"/>
    <w:rsid w:val="00F12B99"/>
    <w:rsid w:val="00F12CB6"/>
    <w:rsid w:val="00F12EAD"/>
    <w:rsid w:val="00F1345E"/>
    <w:rsid w:val="00F13F77"/>
    <w:rsid w:val="00F1468A"/>
    <w:rsid w:val="00F1475B"/>
    <w:rsid w:val="00F147D4"/>
    <w:rsid w:val="00F14A7A"/>
    <w:rsid w:val="00F14CC1"/>
    <w:rsid w:val="00F156EB"/>
    <w:rsid w:val="00F15B4B"/>
    <w:rsid w:val="00F16254"/>
    <w:rsid w:val="00F16603"/>
    <w:rsid w:val="00F16BF1"/>
    <w:rsid w:val="00F17355"/>
    <w:rsid w:val="00F17DF1"/>
    <w:rsid w:val="00F17EEA"/>
    <w:rsid w:val="00F20053"/>
    <w:rsid w:val="00F201B9"/>
    <w:rsid w:val="00F2021F"/>
    <w:rsid w:val="00F20364"/>
    <w:rsid w:val="00F20727"/>
    <w:rsid w:val="00F20E6C"/>
    <w:rsid w:val="00F20FE7"/>
    <w:rsid w:val="00F2125E"/>
    <w:rsid w:val="00F2191B"/>
    <w:rsid w:val="00F219B4"/>
    <w:rsid w:val="00F21CFA"/>
    <w:rsid w:val="00F22388"/>
    <w:rsid w:val="00F22847"/>
    <w:rsid w:val="00F22985"/>
    <w:rsid w:val="00F23045"/>
    <w:rsid w:val="00F232B8"/>
    <w:rsid w:val="00F2370B"/>
    <w:rsid w:val="00F238C1"/>
    <w:rsid w:val="00F24318"/>
    <w:rsid w:val="00F24981"/>
    <w:rsid w:val="00F24B06"/>
    <w:rsid w:val="00F24DCC"/>
    <w:rsid w:val="00F25266"/>
    <w:rsid w:val="00F25707"/>
    <w:rsid w:val="00F259AB"/>
    <w:rsid w:val="00F25A75"/>
    <w:rsid w:val="00F264BD"/>
    <w:rsid w:val="00F26581"/>
    <w:rsid w:val="00F268E6"/>
    <w:rsid w:val="00F27357"/>
    <w:rsid w:val="00F27CBF"/>
    <w:rsid w:val="00F27D64"/>
    <w:rsid w:val="00F27DDF"/>
    <w:rsid w:val="00F301F5"/>
    <w:rsid w:val="00F30A58"/>
    <w:rsid w:val="00F312F2"/>
    <w:rsid w:val="00F32821"/>
    <w:rsid w:val="00F32A58"/>
    <w:rsid w:val="00F32F46"/>
    <w:rsid w:val="00F33013"/>
    <w:rsid w:val="00F33414"/>
    <w:rsid w:val="00F337E2"/>
    <w:rsid w:val="00F3383E"/>
    <w:rsid w:val="00F33ABB"/>
    <w:rsid w:val="00F33AD9"/>
    <w:rsid w:val="00F33B00"/>
    <w:rsid w:val="00F33D2B"/>
    <w:rsid w:val="00F34087"/>
    <w:rsid w:val="00F34264"/>
    <w:rsid w:val="00F34288"/>
    <w:rsid w:val="00F343C0"/>
    <w:rsid w:val="00F35229"/>
    <w:rsid w:val="00F35C05"/>
    <w:rsid w:val="00F35FE0"/>
    <w:rsid w:val="00F3607C"/>
    <w:rsid w:val="00F36163"/>
    <w:rsid w:val="00F36571"/>
    <w:rsid w:val="00F3685D"/>
    <w:rsid w:val="00F36A7E"/>
    <w:rsid w:val="00F36A86"/>
    <w:rsid w:val="00F36C59"/>
    <w:rsid w:val="00F36D53"/>
    <w:rsid w:val="00F36F31"/>
    <w:rsid w:val="00F370C9"/>
    <w:rsid w:val="00F370ED"/>
    <w:rsid w:val="00F3746F"/>
    <w:rsid w:val="00F37DDE"/>
    <w:rsid w:val="00F4004C"/>
    <w:rsid w:val="00F40118"/>
    <w:rsid w:val="00F40926"/>
    <w:rsid w:val="00F41054"/>
    <w:rsid w:val="00F41516"/>
    <w:rsid w:val="00F41F23"/>
    <w:rsid w:val="00F42C44"/>
    <w:rsid w:val="00F431C9"/>
    <w:rsid w:val="00F43208"/>
    <w:rsid w:val="00F432AA"/>
    <w:rsid w:val="00F4396E"/>
    <w:rsid w:val="00F440AE"/>
    <w:rsid w:val="00F442E0"/>
    <w:rsid w:val="00F44D71"/>
    <w:rsid w:val="00F45292"/>
    <w:rsid w:val="00F45BEF"/>
    <w:rsid w:val="00F45F2A"/>
    <w:rsid w:val="00F46108"/>
    <w:rsid w:val="00F465A7"/>
    <w:rsid w:val="00F467EC"/>
    <w:rsid w:val="00F469F9"/>
    <w:rsid w:val="00F47223"/>
    <w:rsid w:val="00F47686"/>
    <w:rsid w:val="00F5008F"/>
    <w:rsid w:val="00F501EA"/>
    <w:rsid w:val="00F507AC"/>
    <w:rsid w:val="00F50B7C"/>
    <w:rsid w:val="00F50D2E"/>
    <w:rsid w:val="00F50DC5"/>
    <w:rsid w:val="00F50ED1"/>
    <w:rsid w:val="00F50EF1"/>
    <w:rsid w:val="00F5149A"/>
    <w:rsid w:val="00F515FB"/>
    <w:rsid w:val="00F51A2D"/>
    <w:rsid w:val="00F5243F"/>
    <w:rsid w:val="00F528F8"/>
    <w:rsid w:val="00F52F4B"/>
    <w:rsid w:val="00F544C8"/>
    <w:rsid w:val="00F54603"/>
    <w:rsid w:val="00F54952"/>
    <w:rsid w:val="00F54AFA"/>
    <w:rsid w:val="00F550E6"/>
    <w:rsid w:val="00F550F9"/>
    <w:rsid w:val="00F55DDE"/>
    <w:rsid w:val="00F55E9C"/>
    <w:rsid w:val="00F56498"/>
    <w:rsid w:val="00F57BF9"/>
    <w:rsid w:val="00F57DB4"/>
    <w:rsid w:val="00F60506"/>
    <w:rsid w:val="00F608E8"/>
    <w:rsid w:val="00F60E6D"/>
    <w:rsid w:val="00F60E77"/>
    <w:rsid w:val="00F61478"/>
    <w:rsid w:val="00F6167B"/>
    <w:rsid w:val="00F61A71"/>
    <w:rsid w:val="00F61E5A"/>
    <w:rsid w:val="00F61F64"/>
    <w:rsid w:val="00F61FE2"/>
    <w:rsid w:val="00F621B6"/>
    <w:rsid w:val="00F6269F"/>
    <w:rsid w:val="00F62C8E"/>
    <w:rsid w:val="00F62D4C"/>
    <w:rsid w:val="00F62F2C"/>
    <w:rsid w:val="00F63019"/>
    <w:rsid w:val="00F63134"/>
    <w:rsid w:val="00F636DF"/>
    <w:rsid w:val="00F6375F"/>
    <w:rsid w:val="00F63B03"/>
    <w:rsid w:val="00F6438B"/>
    <w:rsid w:val="00F645A1"/>
    <w:rsid w:val="00F647FD"/>
    <w:rsid w:val="00F64804"/>
    <w:rsid w:val="00F65134"/>
    <w:rsid w:val="00F65504"/>
    <w:rsid w:val="00F65DF7"/>
    <w:rsid w:val="00F65E8A"/>
    <w:rsid w:val="00F66195"/>
    <w:rsid w:val="00F66782"/>
    <w:rsid w:val="00F66A4A"/>
    <w:rsid w:val="00F66D0B"/>
    <w:rsid w:val="00F66D79"/>
    <w:rsid w:val="00F670C0"/>
    <w:rsid w:val="00F67177"/>
    <w:rsid w:val="00F67D71"/>
    <w:rsid w:val="00F67E42"/>
    <w:rsid w:val="00F701B1"/>
    <w:rsid w:val="00F715C7"/>
    <w:rsid w:val="00F71C91"/>
    <w:rsid w:val="00F71CC0"/>
    <w:rsid w:val="00F7241A"/>
    <w:rsid w:val="00F7273D"/>
    <w:rsid w:val="00F72CDB"/>
    <w:rsid w:val="00F72E67"/>
    <w:rsid w:val="00F73144"/>
    <w:rsid w:val="00F73756"/>
    <w:rsid w:val="00F74345"/>
    <w:rsid w:val="00F746B8"/>
    <w:rsid w:val="00F7495E"/>
    <w:rsid w:val="00F74B7C"/>
    <w:rsid w:val="00F758A1"/>
    <w:rsid w:val="00F75F04"/>
    <w:rsid w:val="00F7614D"/>
    <w:rsid w:val="00F76902"/>
    <w:rsid w:val="00F770AC"/>
    <w:rsid w:val="00F772A9"/>
    <w:rsid w:val="00F7744F"/>
    <w:rsid w:val="00F7758F"/>
    <w:rsid w:val="00F776A7"/>
    <w:rsid w:val="00F77838"/>
    <w:rsid w:val="00F80643"/>
    <w:rsid w:val="00F80A0A"/>
    <w:rsid w:val="00F80EBE"/>
    <w:rsid w:val="00F811FD"/>
    <w:rsid w:val="00F8125D"/>
    <w:rsid w:val="00F816B7"/>
    <w:rsid w:val="00F81753"/>
    <w:rsid w:val="00F81947"/>
    <w:rsid w:val="00F81CAD"/>
    <w:rsid w:val="00F81D72"/>
    <w:rsid w:val="00F82743"/>
    <w:rsid w:val="00F82AE3"/>
    <w:rsid w:val="00F82B19"/>
    <w:rsid w:val="00F82E24"/>
    <w:rsid w:val="00F82E27"/>
    <w:rsid w:val="00F8350A"/>
    <w:rsid w:val="00F8356B"/>
    <w:rsid w:val="00F8362A"/>
    <w:rsid w:val="00F8374C"/>
    <w:rsid w:val="00F83AD3"/>
    <w:rsid w:val="00F83B9D"/>
    <w:rsid w:val="00F84D80"/>
    <w:rsid w:val="00F84FBE"/>
    <w:rsid w:val="00F85651"/>
    <w:rsid w:val="00F85DA9"/>
    <w:rsid w:val="00F86001"/>
    <w:rsid w:val="00F860C4"/>
    <w:rsid w:val="00F8628D"/>
    <w:rsid w:val="00F865BD"/>
    <w:rsid w:val="00F866B2"/>
    <w:rsid w:val="00F871CF"/>
    <w:rsid w:val="00F87607"/>
    <w:rsid w:val="00F876DD"/>
    <w:rsid w:val="00F879E0"/>
    <w:rsid w:val="00F87A9F"/>
    <w:rsid w:val="00F87D71"/>
    <w:rsid w:val="00F904CF"/>
    <w:rsid w:val="00F90ACA"/>
    <w:rsid w:val="00F90ACF"/>
    <w:rsid w:val="00F910E0"/>
    <w:rsid w:val="00F9130F"/>
    <w:rsid w:val="00F91719"/>
    <w:rsid w:val="00F9212D"/>
    <w:rsid w:val="00F931AC"/>
    <w:rsid w:val="00F93355"/>
    <w:rsid w:val="00F93B0B"/>
    <w:rsid w:val="00F94748"/>
    <w:rsid w:val="00F948F7"/>
    <w:rsid w:val="00F94B06"/>
    <w:rsid w:val="00F957E5"/>
    <w:rsid w:val="00F95ADF"/>
    <w:rsid w:val="00F95BB9"/>
    <w:rsid w:val="00F96468"/>
    <w:rsid w:val="00F965DA"/>
    <w:rsid w:val="00F966F4"/>
    <w:rsid w:val="00F96926"/>
    <w:rsid w:val="00F96C02"/>
    <w:rsid w:val="00F96CF1"/>
    <w:rsid w:val="00F96F1F"/>
    <w:rsid w:val="00F971C1"/>
    <w:rsid w:val="00F973E5"/>
    <w:rsid w:val="00F973F3"/>
    <w:rsid w:val="00F976DC"/>
    <w:rsid w:val="00F97A5C"/>
    <w:rsid w:val="00F97E39"/>
    <w:rsid w:val="00F97F27"/>
    <w:rsid w:val="00FA095E"/>
    <w:rsid w:val="00FA15DA"/>
    <w:rsid w:val="00FA19EB"/>
    <w:rsid w:val="00FA1AA5"/>
    <w:rsid w:val="00FA1F59"/>
    <w:rsid w:val="00FA2BFB"/>
    <w:rsid w:val="00FA2D52"/>
    <w:rsid w:val="00FA2DD4"/>
    <w:rsid w:val="00FA3267"/>
    <w:rsid w:val="00FA32D0"/>
    <w:rsid w:val="00FA33B9"/>
    <w:rsid w:val="00FA387E"/>
    <w:rsid w:val="00FA406A"/>
    <w:rsid w:val="00FA429A"/>
    <w:rsid w:val="00FA42A1"/>
    <w:rsid w:val="00FA49A6"/>
    <w:rsid w:val="00FA4CA6"/>
    <w:rsid w:val="00FA4E4D"/>
    <w:rsid w:val="00FA4F72"/>
    <w:rsid w:val="00FA510C"/>
    <w:rsid w:val="00FA53EA"/>
    <w:rsid w:val="00FA55A1"/>
    <w:rsid w:val="00FA57A6"/>
    <w:rsid w:val="00FA57B7"/>
    <w:rsid w:val="00FA5F06"/>
    <w:rsid w:val="00FA60D1"/>
    <w:rsid w:val="00FA6451"/>
    <w:rsid w:val="00FA686B"/>
    <w:rsid w:val="00FA7ABA"/>
    <w:rsid w:val="00FB00D2"/>
    <w:rsid w:val="00FB0ECA"/>
    <w:rsid w:val="00FB108B"/>
    <w:rsid w:val="00FB184F"/>
    <w:rsid w:val="00FB1973"/>
    <w:rsid w:val="00FB19F8"/>
    <w:rsid w:val="00FB20CD"/>
    <w:rsid w:val="00FB25E3"/>
    <w:rsid w:val="00FB2A71"/>
    <w:rsid w:val="00FB3216"/>
    <w:rsid w:val="00FB34F6"/>
    <w:rsid w:val="00FB3F15"/>
    <w:rsid w:val="00FB3F3E"/>
    <w:rsid w:val="00FB461C"/>
    <w:rsid w:val="00FB4BAF"/>
    <w:rsid w:val="00FB503A"/>
    <w:rsid w:val="00FB516C"/>
    <w:rsid w:val="00FB5404"/>
    <w:rsid w:val="00FB6523"/>
    <w:rsid w:val="00FB7040"/>
    <w:rsid w:val="00FB7083"/>
    <w:rsid w:val="00FB7235"/>
    <w:rsid w:val="00FB724F"/>
    <w:rsid w:val="00FB78FC"/>
    <w:rsid w:val="00FC031B"/>
    <w:rsid w:val="00FC041B"/>
    <w:rsid w:val="00FC04D1"/>
    <w:rsid w:val="00FC0739"/>
    <w:rsid w:val="00FC0A60"/>
    <w:rsid w:val="00FC0BF1"/>
    <w:rsid w:val="00FC1759"/>
    <w:rsid w:val="00FC2992"/>
    <w:rsid w:val="00FC2C2D"/>
    <w:rsid w:val="00FC2E27"/>
    <w:rsid w:val="00FC3A4A"/>
    <w:rsid w:val="00FC4106"/>
    <w:rsid w:val="00FC41DB"/>
    <w:rsid w:val="00FC45A6"/>
    <w:rsid w:val="00FC4774"/>
    <w:rsid w:val="00FC48DD"/>
    <w:rsid w:val="00FC4AB5"/>
    <w:rsid w:val="00FC4E76"/>
    <w:rsid w:val="00FC51B1"/>
    <w:rsid w:val="00FC523C"/>
    <w:rsid w:val="00FC53C2"/>
    <w:rsid w:val="00FC57A6"/>
    <w:rsid w:val="00FC7295"/>
    <w:rsid w:val="00FC73AC"/>
    <w:rsid w:val="00FC7801"/>
    <w:rsid w:val="00FC7AC0"/>
    <w:rsid w:val="00FC7C4C"/>
    <w:rsid w:val="00FD0001"/>
    <w:rsid w:val="00FD0236"/>
    <w:rsid w:val="00FD0355"/>
    <w:rsid w:val="00FD035C"/>
    <w:rsid w:val="00FD05C8"/>
    <w:rsid w:val="00FD0673"/>
    <w:rsid w:val="00FD0781"/>
    <w:rsid w:val="00FD13DF"/>
    <w:rsid w:val="00FD17E0"/>
    <w:rsid w:val="00FD18AF"/>
    <w:rsid w:val="00FD18F4"/>
    <w:rsid w:val="00FD197D"/>
    <w:rsid w:val="00FD1C7F"/>
    <w:rsid w:val="00FD1F58"/>
    <w:rsid w:val="00FD1FA3"/>
    <w:rsid w:val="00FD2164"/>
    <w:rsid w:val="00FD2238"/>
    <w:rsid w:val="00FD24D8"/>
    <w:rsid w:val="00FD2710"/>
    <w:rsid w:val="00FD2866"/>
    <w:rsid w:val="00FD2976"/>
    <w:rsid w:val="00FD2A5C"/>
    <w:rsid w:val="00FD2B24"/>
    <w:rsid w:val="00FD2BBF"/>
    <w:rsid w:val="00FD2CA2"/>
    <w:rsid w:val="00FD2CCF"/>
    <w:rsid w:val="00FD35E2"/>
    <w:rsid w:val="00FD375F"/>
    <w:rsid w:val="00FD3D91"/>
    <w:rsid w:val="00FD3F4F"/>
    <w:rsid w:val="00FD4347"/>
    <w:rsid w:val="00FD5490"/>
    <w:rsid w:val="00FD54DB"/>
    <w:rsid w:val="00FD55FF"/>
    <w:rsid w:val="00FD5746"/>
    <w:rsid w:val="00FD5C30"/>
    <w:rsid w:val="00FD619F"/>
    <w:rsid w:val="00FD61A7"/>
    <w:rsid w:val="00FD68BD"/>
    <w:rsid w:val="00FD69A7"/>
    <w:rsid w:val="00FD71A2"/>
    <w:rsid w:val="00FD7487"/>
    <w:rsid w:val="00FD761F"/>
    <w:rsid w:val="00FD78BF"/>
    <w:rsid w:val="00FD79AF"/>
    <w:rsid w:val="00FD7B79"/>
    <w:rsid w:val="00FD7D2F"/>
    <w:rsid w:val="00FD7D76"/>
    <w:rsid w:val="00FD7E97"/>
    <w:rsid w:val="00FE03EF"/>
    <w:rsid w:val="00FE047C"/>
    <w:rsid w:val="00FE052D"/>
    <w:rsid w:val="00FE0BB2"/>
    <w:rsid w:val="00FE0D8A"/>
    <w:rsid w:val="00FE0F6D"/>
    <w:rsid w:val="00FE0FDC"/>
    <w:rsid w:val="00FE194C"/>
    <w:rsid w:val="00FE1CAC"/>
    <w:rsid w:val="00FE2285"/>
    <w:rsid w:val="00FE25A7"/>
    <w:rsid w:val="00FE2D09"/>
    <w:rsid w:val="00FE2EC9"/>
    <w:rsid w:val="00FE2ECC"/>
    <w:rsid w:val="00FE3010"/>
    <w:rsid w:val="00FE43BB"/>
    <w:rsid w:val="00FE4B73"/>
    <w:rsid w:val="00FE4F85"/>
    <w:rsid w:val="00FE5EEB"/>
    <w:rsid w:val="00FE602B"/>
    <w:rsid w:val="00FE6280"/>
    <w:rsid w:val="00FE6E8D"/>
    <w:rsid w:val="00FE78C6"/>
    <w:rsid w:val="00FF07A1"/>
    <w:rsid w:val="00FF0E27"/>
    <w:rsid w:val="00FF0E91"/>
    <w:rsid w:val="00FF0F2B"/>
    <w:rsid w:val="00FF17B3"/>
    <w:rsid w:val="00FF1BF9"/>
    <w:rsid w:val="00FF2C46"/>
    <w:rsid w:val="00FF2EB0"/>
    <w:rsid w:val="00FF3253"/>
    <w:rsid w:val="00FF3392"/>
    <w:rsid w:val="00FF3448"/>
    <w:rsid w:val="00FF354C"/>
    <w:rsid w:val="00FF37B0"/>
    <w:rsid w:val="00FF4225"/>
    <w:rsid w:val="00FF484E"/>
    <w:rsid w:val="00FF489E"/>
    <w:rsid w:val="00FF48AD"/>
    <w:rsid w:val="00FF4C6B"/>
    <w:rsid w:val="00FF6495"/>
    <w:rsid w:val="00FF6CCE"/>
    <w:rsid w:val="00FF6F60"/>
    <w:rsid w:val="00FF70AB"/>
    <w:rsid w:val="00FF7E81"/>
    <w:rsid w:val="01290F7E"/>
    <w:rsid w:val="013839A0"/>
    <w:rsid w:val="015D1E09"/>
    <w:rsid w:val="02274EC8"/>
    <w:rsid w:val="023E7660"/>
    <w:rsid w:val="02532988"/>
    <w:rsid w:val="02697903"/>
    <w:rsid w:val="02F96569"/>
    <w:rsid w:val="03EA7B21"/>
    <w:rsid w:val="0475505E"/>
    <w:rsid w:val="05A20E1D"/>
    <w:rsid w:val="05AE0EA7"/>
    <w:rsid w:val="05F83EAE"/>
    <w:rsid w:val="063E7D85"/>
    <w:rsid w:val="06C453DB"/>
    <w:rsid w:val="070F6F89"/>
    <w:rsid w:val="07293586"/>
    <w:rsid w:val="07295285"/>
    <w:rsid w:val="07636392"/>
    <w:rsid w:val="07770C56"/>
    <w:rsid w:val="092217DD"/>
    <w:rsid w:val="093A7294"/>
    <w:rsid w:val="09520B10"/>
    <w:rsid w:val="0A263993"/>
    <w:rsid w:val="0A2D3AC2"/>
    <w:rsid w:val="0A734477"/>
    <w:rsid w:val="0AA755DF"/>
    <w:rsid w:val="0B120D44"/>
    <w:rsid w:val="0B6B22C9"/>
    <w:rsid w:val="0B890740"/>
    <w:rsid w:val="0BD27BF6"/>
    <w:rsid w:val="0C000C64"/>
    <w:rsid w:val="0C3B3C7D"/>
    <w:rsid w:val="0CAB2EAE"/>
    <w:rsid w:val="0D621C7D"/>
    <w:rsid w:val="0E1F1335"/>
    <w:rsid w:val="0E73034D"/>
    <w:rsid w:val="0E926AEA"/>
    <w:rsid w:val="0F13775A"/>
    <w:rsid w:val="0F5F45FE"/>
    <w:rsid w:val="0F9A112B"/>
    <w:rsid w:val="106D2F64"/>
    <w:rsid w:val="10B63710"/>
    <w:rsid w:val="10F10820"/>
    <w:rsid w:val="111C2F7A"/>
    <w:rsid w:val="11665CA1"/>
    <w:rsid w:val="124B69B1"/>
    <w:rsid w:val="13653AA2"/>
    <w:rsid w:val="13951726"/>
    <w:rsid w:val="14396509"/>
    <w:rsid w:val="14DD2C3C"/>
    <w:rsid w:val="151C29BA"/>
    <w:rsid w:val="15771544"/>
    <w:rsid w:val="15EC4E58"/>
    <w:rsid w:val="16087E1D"/>
    <w:rsid w:val="17701D14"/>
    <w:rsid w:val="17735226"/>
    <w:rsid w:val="184A3778"/>
    <w:rsid w:val="189F624C"/>
    <w:rsid w:val="19753BF8"/>
    <w:rsid w:val="1A1C66C0"/>
    <w:rsid w:val="1A42393B"/>
    <w:rsid w:val="1AAD45DE"/>
    <w:rsid w:val="1B046F80"/>
    <w:rsid w:val="1B3267B5"/>
    <w:rsid w:val="1B40161D"/>
    <w:rsid w:val="1B441859"/>
    <w:rsid w:val="1B6606B1"/>
    <w:rsid w:val="1C5E7925"/>
    <w:rsid w:val="1CFD070F"/>
    <w:rsid w:val="1D5F6196"/>
    <w:rsid w:val="1D6132A5"/>
    <w:rsid w:val="1D8E56D5"/>
    <w:rsid w:val="1DB344BD"/>
    <w:rsid w:val="1DF67AEA"/>
    <w:rsid w:val="1E7A43DA"/>
    <w:rsid w:val="1E7E2FDB"/>
    <w:rsid w:val="1EDC730E"/>
    <w:rsid w:val="1FE7539E"/>
    <w:rsid w:val="20671BE0"/>
    <w:rsid w:val="20963CB8"/>
    <w:rsid w:val="20A81A1B"/>
    <w:rsid w:val="20B07FB6"/>
    <w:rsid w:val="20B646FB"/>
    <w:rsid w:val="20E401C3"/>
    <w:rsid w:val="213B74B1"/>
    <w:rsid w:val="215A2310"/>
    <w:rsid w:val="216A3D90"/>
    <w:rsid w:val="21DE318A"/>
    <w:rsid w:val="21EF5B80"/>
    <w:rsid w:val="22354357"/>
    <w:rsid w:val="22576990"/>
    <w:rsid w:val="22F47480"/>
    <w:rsid w:val="23DE1C48"/>
    <w:rsid w:val="240210CD"/>
    <w:rsid w:val="248B056E"/>
    <w:rsid w:val="24BF09F7"/>
    <w:rsid w:val="252D53FE"/>
    <w:rsid w:val="253543DF"/>
    <w:rsid w:val="253F3022"/>
    <w:rsid w:val="255120D8"/>
    <w:rsid w:val="25EC2D81"/>
    <w:rsid w:val="262A68B7"/>
    <w:rsid w:val="277057A2"/>
    <w:rsid w:val="29206EB8"/>
    <w:rsid w:val="29595666"/>
    <w:rsid w:val="29874881"/>
    <w:rsid w:val="29E325E0"/>
    <w:rsid w:val="2A3A75DF"/>
    <w:rsid w:val="2A452503"/>
    <w:rsid w:val="2A6868B8"/>
    <w:rsid w:val="2B472321"/>
    <w:rsid w:val="2BA936A8"/>
    <w:rsid w:val="2BB32384"/>
    <w:rsid w:val="2BB66FC6"/>
    <w:rsid w:val="2C315A5A"/>
    <w:rsid w:val="2C4B1C25"/>
    <w:rsid w:val="2C592A9F"/>
    <w:rsid w:val="2CD43553"/>
    <w:rsid w:val="2D14107A"/>
    <w:rsid w:val="2D9E56F5"/>
    <w:rsid w:val="2DA32220"/>
    <w:rsid w:val="2DA639C2"/>
    <w:rsid w:val="2E667F96"/>
    <w:rsid w:val="2E8226AB"/>
    <w:rsid w:val="2ED764C5"/>
    <w:rsid w:val="2F92709C"/>
    <w:rsid w:val="2FD065E6"/>
    <w:rsid w:val="2FD96870"/>
    <w:rsid w:val="302A5A00"/>
    <w:rsid w:val="30580BC9"/>
    <w:rsid w:val="311E2ED7"/>
    <w:rsid w:val="315619EE"/>
    <w:rsid w:val="315C449C"/>
    <w:rsid w:val="31B82709"/>
    <w:rsid w:val="31D05482"/>
    <w:rsid w:val="31F84007"/>
    <w:rsid w:val="322B2389"/>
    <w:rsid w:val="32400B34"/>
    <w:rsid w:val="327746CB"/>
    <w:rsid w:val="329E6876"/>
    <w:rsid w:val="32A32BBF"/>
    <w:rsid w:val="333015F2"/>
    <w:rsid w:val="334B6320"/>
    <w:rsid w:val="33752ADF"/>
    <w:rsid w:val="33885336"/>
    <w:rsid w:val="33D934D4"/>
    <w:rsid w:val="33EF2135"/>
    <w:rsid w:val="33FE2F6A"/>
    <w:rsid w:val="340E07E5"/>
    <w:rsid w:val="34235BF7"/>
    <w:rsid w:val="34F137E7"/>
    <w:rsid w:val="358C5FA8"/>
    <w:rsid w:val="35C15DF1"/>
    <w:rsid w:val="36074A7F"/>
    <w:rsid w:val="36923549"/>
    <w:rsid w:val="36B75FBF"/>
    <w:rsid w:val="36BD0C45"/>
    <w:rsid w:val="36F30A33"/>
    <w:rsid w:val="377E6767"/>
    <w:rsid w:val="37E00298"/>
    <w:rsid w:val="38B302F9"/>
    <w:rsid w:val="38C35A2C"/>
    <w:rsid w:val="38F12CD3"/>
    <w:rsid w:val="38F94775"/>
    <w:rsid w:val="392971ED"/>
    <w:rsid w:val="39325651"/>
    <w:rsid w:val="393A31E4"/>
    <w:rsid w:val="39D53409"/>
    <w:rsid w:val="39D57452"/>
    <w:rsid w:val="3A0B7122"/>
    <w:rsid w:val="3A872856"/>
    <w:rsid w:val="3B131EB2"/>
    <w:rsid w:val="3B3763D1"/>
    <w:rsid w:val="3C2A18CE"/>
    <w:rsid w:val="3C2F6E1E"/>
    <w:rsid w:val="3C3B0A87"/>
    <w:rsid w:val="3C4F64BA"/>
    <w:rsid w:val="3C574901"/>
    <w:rsid w:val="3CB171D4"/>
    <w:rsid w:val="3CDA245A"/>
    <w:rsid w:val="3D1E06B7"/>
    <w:rsid w:val="3D7529B0"/>
    <w:rsid w:val="3EDA0523"/>
    <w:rsid w:val="407A6407"/>
    <w:rsid w:val="40B41F1C"/>
    <w:rsid w:val="40E907ED"/>
    <w:rsid w:val="412A3D52"/>
    <w:rsid w:val="4200449D"/>
    <w:rsid w:val="423A3BCC"/>
    <w:rsid w:val="424E57D2"/>
    <w:rsid w:val="42AD6A50"/>
    <w:rsid w:val="42B26C49"/>
    <w:rsid w:val="433A6FE6"/>
    <w:rsid w:val="43480868"/>
    <w:rsid w:val="434D4595"/>
    <w:rsid w:val="4350713C"/>
    <w:rsid w:val="436653E0"/>
    <w:rsid w:val="4387343D"/>
    <w:rsid w:val="43C4431A"/>
    <w:rsid w:val="444C286E"/>
    <w:rsid w:val="44B951CC"/>
    <w:rsid w:val="44CD14E0"/>
    <w:rsid w:val="44F20B0B"/>
    <w:rsid w:val="452E5F4C"/>
    <w:rsid w:val="45612018"/>
    <w:rsid w:val="458946E9"/>
    <w:rsid w:val="45A47C0E"/>
    <w:rsid w:val="45F90B2B"/>
    <w:rsid w:val="46577FD6"/>
    <w:rsid w:val="46D955A7"/>
    <w:rsid w:val="47133957"/>
    <w:rsid w:val="471B2089"/>
    <w:rsid w:val="474A2637"/>
    <w:rsid w:val="47A07E0C"/>
    <w:rsid w:val="47D20DAD"/>
    <w:rsid w:val="4870272E"/>
    <w:rsid w:val="48B53C3E"/>
    <w:rsid w:val="48D47A82"/>
    <w:rsid w:val="49DC7715"/>
    <w:rsid w:val="4A023139"/>
    <w:rsid w:val="4A7B576F"/>
    <w:rsid w:val="4AD17ED9"/>
    <w:rsid w:val="4AF561A9"/>
    <w:rsid w:val="4B4734B2"/>
    <w:rsid w:val="4C4A0649"/>
    <w:rsid w:val="4C7E5ECA"/>
    <w:rsid w:val="4C876AA5"/>
    <w:rsid w:val="4CFE4859"/>
    <w:rsid w:val="4D0E00FB"/>
    <w:rsid w:val="4D176606"/>
    <w:rsid w:val="4D6367F7"/>
    <w:rsid w:val="4DEC4FB0"/>
    <w:rsid w:val="4E075D8A"/>
    <w:rsid w:val="4E1869BE"/>
    <w:rsid w:val="4E465CA3"/>
    <w:rsid w:val="4EC00FAD"/>
    <w:rsid w:val="4F1801C5"/>
    <w:rsid w:val="4F9843DC"/>
    <w:rsid w:val="4FC62A8C"/>
    <w:rsid w:val="4FE20F0D"/>
    <w:rsid w:val="4FE51552"/>
    <w:rsid w:val="50504C4B"/>
    <w:rsid w:val="50655961"/>
    <w:rsid w:val="509C6E7C"/>
    <w:rsid w:val="5162104E"/>
    <w:rsid w:val="51E07692"/>
    <w:rsid w:val="529325A3"/>
    <w:rsid w:val="53A039CC"/>
    <w:rsid w:val="53A1505A"/>
    <w:rsid w:val="54063E08"/>
    <w:rsid w:val="540962D4"/>
    <w:rsid w:val="543437E8"/>
    <w:rsid w:val="54EE090D"/>
    <w:rsid w:val="54F73313"/>
    <w:rsid w:val="54F80955"/>
    <w:rsid w:val="555170A7"/>
    <w:rsid w:val="5552519B"/>
    <w:rsid w:val="5587536D"/>
    <w:rsid w:val="559B174B"/>
    <w:rsid w:val="55CE0CF4"/>
    <w:rsid w:val="56B22A9C"/>
    <w:rsid w:val="57B72A76"/>
    <w:rsid w:val="57BA4FE7"/>
    <w:rsid w:val="57BF5577"/>
    <w:rsid w:val="57C3426C"/>
    <w:rsid w:val="57C422AF"/>
    <w:rsid w:val="57CE1F93"/>
    <w:rsid w:val="57F11AED"/>
    <w:rsid w:val="57FB9EFB"/>
    <w:rsid w:val="588743D1"/>
    <w:rsid w:val="5887701A"/>
    <w:rsid w:val="58D87217"/>
    <w:rsid w:val="594B46E7"/>
    <w:rsid w:val="597A5343"/>
    <w:rsid w:val="59C0439F"/>
    <w:rsid w:val="5ABE2233"/>
    <w:rsid w:val="5AE15D22"/>
    <w:rsid w:val="5B1E08A3"/>
    <w:rsid w:val="5B63283D"/>
    <w:rsid w:val="5BDF5D95"/>
    <w:rsid w:val="5BFE7528"/>
    <w:rsid w:val="5CF170F5"/>
    <w:rsid w:val="5D0A66F1"/>
    <w:rsid w:val="5DE575FB"/>
    <w:rsid w:val="5E1F2BF0"/>
    <w:rsid w:val="5E2467F1"/>
    <w:rsid w:val="5F1A2B43"/>
    <w:rsid w:val="5F622294"/>
    <w:rsid w:val="5FB837BB"/>
    <w:rsid w:val="5FBF25BC"/>
    <w:rsid w:val="60CC405A"/>
    <w:rsid w:val="61E215D8"/>
    <w:rsid w:val="621B3775"/>
    <w:rsid w:val="62364782"/>
    <w:rsid w:val="62AD2BB2"/>
    <w:rsid w:val="6394356A"/>
    <w:rsid w:val="63C61B2C"/>
    <w:rsid w:val="63D40BE9"/>
    <w:rsid w:val="64102431"/>
    <w:rsid w:val="646B3EBF"/>
    <w:rsid w:val="64A5243A"/>
    <w:rsid w:val="64F531DE"/>
    <w:rsid w:val="65373578"/>
    <w:rsid w:val="671F124A"/>
    <w:rsid w:val="677A33C6"/>
    <w:rsid w:val="67A90D50"/>
    <w:rsid w:val="681F6961"/>
    <w:rsid w:val="6835482E"/>
    <w:rsid w:val="68610A2F"/>
    <w:rsid w:val="68805514"/>
    <w:rsid w:val="68AB7B1C"/>
    <w:rsid w:val="69316E2F"/>
    <w:rsid w:val="694E2071"/>
    <w:rsid w:val="69766163"/>
    <w:rsid w:val="697A3B33"/>
    <w:rsid w:val="69D44760"/>
    <w:rsid w:val="6A520EC7"/>
    <w:rsid w:val="6AF87E20"/>
    <w:rsid w:val="6B322639"/>
    <w:rsid w:val="6C636C38"/>
    <w:rsid w:val="6D6B6423"/>
    <w:rsid w:val="6DB34098"/>
    <w:rsid w:val="6DB545B6"/>
    <w:rsid w:val="6DE02FB4"/>
    <w:rsid w:val="6E514CED"/>
    <w:rsid w:val="6EB563D5"/>
    <w:rsid w:val="6ED92677"/>
    <w:rsid w:val="6F225983"/>
    <w:rsid w:val="6F914B78"/>
    <w:rsid w:val="6FFC5590"/>
    <w:rsid w:val="706D1DD0"/>
    <w:rsid w:val="70856B87"/>
    <w:rsid w:val="70D527EE"/>
    <w:rsid w:val="715B5300"/>
    <w:rsid w:val="71D27F8A"/>
    <w:rsid w:val="72053B49"/>
    <w:rsid w:val="72553024"/>
    <w:rsid w:val="73122968"/>
    <w:rsid w:val="731F5D5E"/>
    <w:rsid w:val="73211D53"/>
    <w:rsid w:val="735D008F"/>
    <w:rsid w:val="73C51AD5"/>
    <w:rsid w:val="741E793C"/>
    <w:rsid w:val="745E3944"/>
    <w:rsid w:val="75F513B2"/>
    <w:rsid w:val="75FC2D3C"/>
    <w:rsid w:val="7635099D"/>
    <w:rsid w:val="76560A55"/>
    <w:rsid w:val="768A3CB4"/>
    <w:rsid w:val="77056789"/>
    <w:rsid w:val="77762421"/>
    <w:rsid w:val="777714D8"/>
    <w:rsid w:val="777D59E2"/>
    <w:rsid w:val="77B56B1F"/>
    <w:rsid w:val="780F09F4"/>
    <w:rsid w:val="78811A57"/>
    <w:rsid w:val="78A90480"/>
    <w:rsid w:val="78C54EC3"/>
    <w:rsid w:val="7A364017"/>
    <w:rsid w:val="7A692C65"/>
    <w:rsid w:val="7A8265E1"/>
    <w:rsid w:val="7A9279F6"/>
    <w:rsid w:val="7B686D42"/>
    <w:rsid w:val="7B6C3EB6"/>
    <w:rsid w:val="7B7E4EF2"/>
    <w:rsid w:val="7B841746"/>
    <w:rsid w:val="7C490766"/>
    <w:rsid w:val="7C6C5AC7"/>
    <w:rsid w:val="7C8A2076"/>
    <w:rsid w:val="7CC6544B"/>
    <w:rsid w:val="7CFF031D"/>
    <w:rsid w:val="7D0239FF"/>
    <w:rsid w:val="7D5E40CD"/>
    <w:rsid w:val="7DCD56F2"/>
    <w:rsid w:val="7EC525FE"/>
    <w:rsid w:val="7F001CE7"/>
    <w:rsid w:val="7F022EFF"/>
    <w:rsid w:val="7FBF303C"/>
    <w:rsid w:val="7FE47E50"/>
    <w:rsid w:val="7FF36AD3"/>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f">
      <v:fill on="t" focussize="0,0"/>
      <v:stroke on="f"/>
    </o:shapedefaults>
    <o:shapelayout v:ext="edit">
      <o:idmap v:ext="edit" data="1,3,4"/>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9" w:semiHidden="0" w:name="heading 5"/>
    <w:lsdException w:qFormat="1" w:uiPriority="9" w:semiHidden="0" w:name="heading 6"/>
    <w:lsdException w:qFormat="1" w:uiPriority="0" w:name="heading 7"/>
    <w:lsdException w:qFormat="1" w:uiPriority="0" w:name="heading 8"/>
    <w:lsdException w:qFormat="1" w:uiPriority="0" w:name="heading 9"/>
    <w:lsdException w:qFormat="1" w:unhideWhenUsed="0" w:uiPriority="0" w:semiHidden="0" w:name="index 1" w:locked="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ocked="1"/>
    <w:lsdException w:qFormat="1" w:unhideWhenUsed="0" w:uiPriority="99" w:semiHidden="0" w:name="Normal Indent" w:locked="1"/>
    <w:lsdException w:qFormat="1"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ocked="1"/>
    <w:lsdException w:qFormat="1" w:uiPriority="0" w:semiHidden="0" w:name="table of figures" w:locked="1"/>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ocked="1"/>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0" w:semiHidden="0" w:name="macro"/>
    <w:lsdException w:unhideWhenUsed="0" w:uiPriority="0" w:semiHidden="0" w:name="toa heading"/>
    <w:lsdException w:qFormat="1" w:unhideWhenUsed="0" w:uiPriority="0" w:semiHidden="0" w:name="List" w:locked="1"/>
    <w:lsdException w:qFormat="1" w:unhideWhenUsed="0" w:uiPriority="0" w:semiHidden="0" w:name="List Bullet"/>
    <w:lsdException w:unhideWhenUsed="0" w:uiPriority="0" w:semiHidden="0" w:name="List Number"/>
    <w:lsdException w:qFormat="1" w:unhideWhenUsed="0" w:uiPriority="0" w:semiHidden="0" w:name="List 2" w:locked="1"/>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ocked="1"/>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qFormat="1"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99"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99" w:semiHidden="0" w:name="Hyperlink" w:locked="1"/>
    <w:lsdException w:qFormat="1" w:unhideWhenUsed="0" w:uiPriority="0" w:semiHidden="0" w:name="FollowedHyperlink"/>
    <w:lsdException w:qFormat="1" w:unhideWhenUsed="0" w:uiPriority="22" w:semiHidden="0" w:name="Strong" w:locked="1"/>
    <w:lsdException w:qFormat="1" w:unhideWhenUsed="0" w:uiPriority="0" w:semiHidden="0" w:name="Emphasis" w:locked="1"/>
    <w:lsdException w:qFormat="1" w:unhideWhenUsed="0" w:uiPriority="0" w:semiHidden="0" w:name="Document Map" w:locked="1"/>
    <w:lsdException w:qFormat="1" w:unhideWhenUsed="0" w:uiPriority="0" w:semiHidden="0" w:name="Plain Text" w:locked="1"/>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after="160" w:line="278" w:lineRule="auto"/>
      <w:jc w:val="both"/>
    </w:pPr>
    <w:rPr>
      <w:rFonts w:ascii="Times New Roman" w:hAnsi="Times New Roman" w:eastAsia="宋体" w:cs="Times New Roman"/>
      <w:sz w:val="24"/>
      <w:lang w:val="en-US" w:eastAsia="zh-CN" w:bidi="ar-SA"/>
    </w:rPr>
  </w:style>
  <w:style w:type="paragraph" w:styleId="5">
    <w:name w:val="heading 1"/>
    <w:basedOn w:val="1"/>
    <w:next w:val="1"/>
    <w:link w:val="79"/>
    <w:autoRedefine/>
    <w:qFormat/>
    <w:locked/>
    <w:uiPriority w:val="99"/>
    <w:pPr>
      <w:framePr w:hSpace="180" w:wrap="around" w:vAnchor="text" w:hAnchor="text" w:xAlign="center" w:y="1"/>
      <w:pBdr>
        <w:top w:val="none" w:color="auto" w:sz="0" w:space="1"/>
        <w:left w:val="none" w:color="auto" w:sz="0" w:space="4"/>
        <w:bottom w:val="none" w:color="auto" w:sz="0" w:space="1"/>
        <w:right w:val="none" w:color="auto" w:sz="0" w:space="4"/>
      </w:pBdr>
      <w:adjustRightInd w:val="0"/>
      <w:snapToGrid w:val="0"/>
      <w:spacing w:line="360" w:lineRule="auto"/>
      <w:jc w:val="center"/>
      <w:outlineLvl w:val="0"/>
    </w:pPr>
    <w:rPr>
      <w:rFonts w:ascii="Times New Roman" w:hAnsi="Times New Roman" w:eastAsia="宋体"/>
      <w:sz w:val="28"/>
      <w:szCs w:val="28"/>
      <w:lang w:val="zh-CN"/>
    </w:rPr>
  </w:style>
  <w:style w:type="paragraph" w:styleId="6">
    <w:name w:val="heading 2"/>
    <w:basedOn w:val="7"/>
    <w:next w:val="1"/>
    <w:link w:val="80"/>
    <w:autoRedefine/>
    <w:qFormat/>
    <w:locked/>
    <w:uiPriority w:val="0"/>
    <w:pPr>
      <w:framePr w:hSpace="180" w:wrap="around" w:vAnchor="text" w:hAnchor="text" w:xAlign="center" w:y="1"/>
      <w:snapToGrid w:val="0"/>
      <w:spacing w:line="440" w:lineRule="exact"/>
      <w:ind w:firstLine="0"/>
      <w:outlineLvl w:val="1"/>
    </w:pPr>
    <w:rPr>
      <w:rFonts w:ascii="Times New Roman"/>
      <w:b/>
      <w:sz w:val="24"/>
      <w:szCs w:val="24"/>
      <w:lang w:val="zh-CN"/>
    </w:rPr>
  </w:style>
  <w:style w:type="paragraph" w:styleId="8">
    <w:name w:val="heading 3"/>
    <w:basedOn w:val="1"/>
    <w:next w:val="1"/>
    <w:link w:val="81"/>
    <w:qFormat/>
    <w:locked/>
    <w:uiPriority w:val="0"/>
    <w:pPr>
      <w:keepNext/>
      <w:keepLines/>
      <w:spacing w:before="260" w:after="260" w:line="416" w:lineRule="auto"/>
      <w:outlineLvl w:val="2"/>
    </w:pPr>
    <w:rPr>
      <w:b/>
      <w:bCs/>
      <w:sz w:val="32"/>
      <w:szCs w:val="32"/>
    </w:rPr>
  </w:style>
  <w:style w:type="paragraph" w:styleId="9">
    <w:name w:val="heading 4"/>
    <w:basedOn w:val="1"/>
    <w:next w:val="1"/>
    <w:link w:val="82"/>
    <w:autoRedefine/>
    <w:qFormat/>
    <w:locked/>
    <w:uiPriority w:val="0"/>
    <w:pPr>
      <w:keepNext/>
      <w:keepLines/>
      <w:spacing w:before="280" w:after="290" w:line="376" w:lineRule="auto"/>
      <w:outlineLvl w:val="3"/>
    </w:pPr>
    <w:rPr>
      <w:rFonts w:ascii="Arial" w:hAnsi="Arial" w:eastAsia="黑体"/>
      <w:b/>
      <w:bCs/>
      <w:sz w:val="28"/>
      <w:szCs w:val="28"/>
      <w:lang w:val="zh-CN"/>
    </w:rPr>
  </w:style>
  <w:style w:type="paragraph" w:styleId="10">
    <w:name w:val="heading 5"/>
    <w:basedOn w:val="1"/>
    <w:next w:val="1"/>
    <w:link w:val="83"/>
    <w:qFormat/>
    <w:uiPriority w:val="9"/>
    <w:pPr>
      <w:keepNext/>
      <w:keepLines/>
      <w:wordWrap w:val="0"/>
      <w:spacing w:before="280" w:after="290" w:line="372" w:lineRule="auto"/>
      <w:ind w:firstLine="480" w:firstLineChars="200"/>
      <w:jc w:val="left"/>
      <w:outlineLvl w:val="4"/>
    </w:pPr>
    <w:rPr>
      <w:b/>
      <w:sz w:val="28"/>
      <w:szCs w:val="24"/>
      <w:lang w:val="zh-CN"/>
    </w:rPr>
  </w:style>
  <w:style w:type="paragraph" w:styleId="11">
    <w:name w:val="heading 6"/>
    <w:basedOn w:val="1"/>
    <w:next w:val="1"/>
    <w:link w:val="753"/>
    <w:unhideWhenUsed/>
    <w:qFormat/>
    <w:uiPriority w:val="9"/>
    <w:pPr>
      <w:keepNext/>
      <w:keepLines/>
      <w:autoSpaceDE w:val="0"/>
      <w:autoSpaceDN w:val="0"/>
      <w:spacing w:before="240" w:after="64" w:line="320" w:lineRule="auto"/>
      <w:jc w:val="left"/>
      <w:outlineLvl w:val="5"/>
    </w:pPr>
    <w:rPr>
      <w:rFonts w:asciiTheme="majorHAnsi" w:hAnsiTheme="majorHAnsi" w:eastAsiaTheme="majorEastAsia" w:cstheme="majorBidi"/>
      <w:b/>
      <w:bCs/>
      <w:szCs w:val="24"/>
      <w:lang w:eastAsia="en-US"/>
    </w:rPr>
  </w:style>
  <w:style w:type="paragraph" w:styleId="12">
    <w:name w:val="heading 7"/>
    <w:basedOn w:val="1"/>
    <w:next w:val="1"/>
    <w:link w:val="733"/>
    <w:semiHidden/>
    <w:unhideWhenUsed/>
    <w:qFormat/>
    <w:uiPriority w:val="0"/>
    <w:pPr>
      <w:keepNext/>
      <w:keepLines/>
      <w:spacing w:before="240" w:after="64" w:line="320" w:lineRule="auto"/>
      <w:outlineLvl w:val="6"/>
    </w:pPr>
    <w:rPr>
      <w:b/>
      <w:bCs/>
      <w:szCs w:val="24"/>
    </w:rPr>
  </w:style>
  <w:style w:type="character" w:default="1" w:styleId="60">
    <w:name w:val="Default Paragraph Font"/>
    <w:semiHidden/>
    <w:unhideWhenUsed/>
    <w:qFormat/>
    <w:uiPriority w:val="1"/>
  </w:style>
  <w:style w:type="table" w:default="1" w:styleId="57">
    <w:name w:val="Normal Table"/>
    <w:semiHidden/>
    <w:unhideWhenUsed/>
    <w:qFormat/>
    <w:uiPriority w:val="99"/>
    <w:tblPr>
      <w:tblCellMar>
        <w:top w:w="0" w:type="dxa"/>
        <w:left w:w="108" w:type="dxa"/>
        <w:bottom w:w="0" w:type="dxa"/>
        <w:right w:w="108" w:type="dxa"/>
      </w:tblCellMar>
    </w:tblPr>
  </w:style>
  <w:style w:type="paragraph" w:styleId="2">
    <w:name w:val="Plain Text"/>
    <w:basedOn w:val="1"/>
    <w:next w:val="3"/>
    <w:link w:val="90"/>
    <w:qFormat/>
    <w:locked/>
    <w:uiPriority w:val="0"/>
    <w:rPr>
      <w:rFonts w:ascii="宋体" w:hAnsi="Courier New"/>
      <w:sz w:val="21"/>
    </w:rPr>
  </w:style>
  <w:style w:type="paragraph" w:styleId="3">
    <w:name w:val="toc 1"/>
    <w:basedOn w:val="1"/>
    <w:next w:val="1"/>
    <w:qFormat/>
    <w:uiPriority w:val="39"/>
  </w:style>
  <w:style w:type="paragraph" w:styleId="4">
    <w:name w:val="macro"/>
    <w:link w:val="735"/>
    <w:autoRedefine/>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adjustRightInd w:val="0"/>
      <w:snapToGrid w:val="0"/>
      <w:spacing w:after="160" w:line="278" w:lineRule="auto"/>
      <w:textAlignment w:val="baseline"/>
    </w:pPr>
    <w:rPr>
      <w:rFonts w:ascii="Courier New" w:hAnsi="Courier New" w:eastAsia="宋体" w:cs="Times New Roman"/>
      <w:sz w:val="24"/>
      <w:szCs w:val="24"/>
      <w:lang w:val="en-US" w:eastAsia="zh-CN" w:bidi="ar-SA"/>
    </w:rPr>
  </w:style>
  <w:style w:type="paragraph" w:customStyle="1" w:styleId="7">
    <w:name w:val="样式35"/>
    <w:basedOn w:val="1"/>
    <w:autoRedefine/>
    <w:qFormat/>
    <w:uiPriority w:val="0"/>
    <w:pPr>
      <w:adjustRightInd w:val="0"/>
      <w:spacing w:line="312" w:lineRule="auto"/>
      <w:ind w:firstLine="567"/>
    </w:pPr>
    <w:rPr>
      <w:rFonts w:ascii="宋体"/>
      <w:sz w:val="28"/>
    </w:rPr>
  </w:style>
  <w:style w:type="paragraph" w:styleId="13">
    <w:name w:val="List 3"/>
    <w:basedOn w:val="1"/>
    <w:autoRedefine/>
    <w:qFormat/>
    <w:uiPriority w:val="0"/>
    <w:pPr>
      <w:ind w:left="100" w:leftChars="400" w:hanging="200" w:hangingChars="200"/>
      <w:contextualSpacing/>
    </w:pPr>
    <w:rPr>
      <w:rFonts w:ascii="Arial" w:hAnsi="Arial"/>
      <w:szCs w:val="24"/>
      <w:lang w:val="zh-CN"/>
    </w:rPr>
  </w:style>
  <w:style w:type="paragraph" w:styleId="14">
    <w:name w:val="toc 7"/>
    <w:basedOn w:val="1"/>
    <w:next w:val="1"/>
    <w:qFormat/>
    <w:uiPriority w:val="39"/>
    <w:pPr>
      <w:ind w:left="1260"/>
      <w:jc w:val="left"/>
    </w:pPr>
    <w:rPr>
      <w:rFonts w:ascii="Calibri" w:hAnsi="Calibri" w:cs="Calibri"/>
      <w:sz w:val="18"/>
      <w:szCs w:val="18"/>
    </w:rPr>
  </w:style>
  <w:style w:type="paragraph" w:styleId="15">
    <w:name w:val="Note Heading"/>
    <w:basedOn w:val="1"/>
    <w:next w:val="1"/>
    <w:qFormat/>
    <w:locked/>
    <w:uiPriority w:val="0"/>
    <w:pPr>
      <w:jc w:val="center"/>
    </w:pPr>
    <w:rPr>
      <w:sz w:val="28"/>
    </w:rPr>
  </w:style>
  <w:style w:type="paragraph" w:styleId="16">
    <w:name w:val="Normal Indent"/>
    <w:basedOn w:val="1"/>
    <w:link w:val="84"/>
    <w:qFormat/>
    <w:locked/>
    <w:uiPriority w:val="99"/>
    <w:pPr>
      <w:spacing w:line="440" w:lineRule="exact"/>
      <w:ind w:firstLine="652"/>
    </w:pPr>
    <w:rPr>
      <w:spacing w:val="20"/>
    </w:rPr>
  </w:style>
  <w:style w:type="paragraph" w:styleId="17">
    <w:name w:val="caption"/>
    <w:basedOn w:val="1"/>
    <w:next w:val="1"/>
    <w:link w:val="86"/>
    <w:autoRedefine/>
    <w:qFormat/>
    <w:locked/>
    <w:uiPriority w:val="0"/>
    <w:pPr>
      <w:adjustRightInd/>
      <w:snapToGrid/>
      <w:spacing w:line="240" w:lineRule="auto"/>
      <w:jc w:val="center"/>
    </w:pPr>
    <w:rPr>
      <w:rFonts w:ascii="Times New Roman" w:hAnsi="Times New Roman" w:eastAsia="宋体"/>
      <w:b/>
      <w:bCs/>
      <w:color w:val="auto"/>
      <w:sz w:val="21"/>
      <w:szCs w:val="21"/>
    </w:rPr>
  </w:style>
  <w:style w:type="paragraph" w:styleId="18">
    <w:name w:val="List Bullet"/>
    <w:basedOn w:val="1"/>
    <w:autoRedefine/>
    <w:qFormat/>
    <w:uiPriority w:val="0"/>
    <w:pPr>
      <w:numPr>
        <w:ilvl w:val="0"/>
        <w:numId w:val="1"/>
      </w:numPr>
      <w:contextualSpacing/>
    </w:pPr>
  </w:style>
  <w:style w:type="paragraph" w:styleId="19">
    <w:name w:val="Document Map"/>
    <w:basedOn w:val="1"/>
    <w:link w:val="87"/>
    <w:autoRedefine/>
    <w:qFormat/>
    <w:locked/>
    <w:uiPriority w:val="0"/>
    <w:rPr>
      <w:rFonts w:ascii="宋体"/>
      <w:sz w:val="18"/>
      <w:szCs w:val="18"/>
      <w:lang w:val="zh-CN"/>
    </w:rPr>
  </w:style>
  <w:style w:type="paragraph" w:styleId="20">
    <w:name w:val="annotation text"/>
    <w:basedOn w:val="1"/>
    <w:link w:val="88"/>
    <w:qFormat/>
    <w:uiPriority w:val="0"/>
    <w:pPr>
      <w:jc w:val="left"/>
    </w:pPr>
    <w:rPr>
      <w:lang w:val="zh-CN"/>
    </w:rPr>
  </w:style>
  <w:style w:type="paragraph" w:styleId="21">
    <w:name w:val="Salutation"/>
    <w:basedOn w:val="1"/>
    <w:next w:val="1"/>
    <w:link w:val="640"/>
    <w:unhideWhenUsed/>
    <w:qFormat/>
    <w:locked/>
    <w:uiPriority w:val="0"/>
    <w:rPr>
      <w:sz w:val="28"/>
    </w:rPr>
  </w:style>
  <w:style w:type="paragraph" w:styleId="22">
    <w:name w:val="Body Text 3"/>
    <w:basedOn w:val="1"/>
    <w:link w:val="606"/>
    <w:qFormat/>
    <w:uiPriority w:val="0"/>
    <w:pPr>
      <w:spacing w:after="120"/>
    </w:pPr>
    <w:rPr>
      <w:sz w:val="16"/>
      <w:szCs w:val="16"/>
    </w:rPr>
  </w:style>
  <w:style w:type="paragraph" w:styleId="23">
    <w:name w:val="Body Text"/>
    <w:basedOn w:val="1"/>
    <w:next w:val="24"/>
    <w:link w:val="85"/>
    <w:qFormat/>
    <w:uiPriority w:val="1"/>
    <w:pPr>
      <w:widowControl/>
      <w:snapToGrid w:val="0"/>
      <w:spacing w:before="60" w:line="259" w:lineRule="auto"/>
      <w:ind w:right="113"/>
    </w:pPr>
    <w:rPr>
      <w:sz w:val="18"/>
      <w:lang w:val="zh-CN"/>
    </w:rPr>
  </w:style>
  <w:style w:type="paragraph" w:customStyle="1" w:styleId="24">
    <w:name w:val="xl27"/>
    <w:basedOn w:val="1"/>
    <w:next w:val="25"/>
    <w:qFormat/>
    <w:uiPriority w:val="0"/>
    <w:pPr>
      <w:widowControl/>
      <w:pBdr>
        <w:bottom w:val="single" w:color="auto" w:sz="4" w:space="0"/>
        <w:right w:val="single" w:color="auto" w:sz="4" w:space="0"/>
      </w:pBdr>
      <w:spacing w:before="100" w:beforeAutospacing="1" w:after="100" w:afterAutospacing="1"/>
      <w:jc w:val="center"/>
    </w:pPr>
    <w:rPr>
      <w:rFonts w:hint="eastAsia" w:ascii="仿宋_GB2312" w:hAnsi="Arial Unicode MS"/>
    </w:rPr>
  </w:style>
  <w:style w:type="paragraph" w:customStyle="1" w:styleId="25">
    <w:name w:val="A正文"/>
    <w:basedOn w:val="26"/>
    <w:next w:val="23"/>
    <w:link w:val="138"/>
    <w:autoRedefine/>
    <w:qFormat/>
    <w:uiPriority w:val="0"/>
    <w:pPr>
      <w:adjustRightInd w:val="0"/>
      <w:snapToGrid w:val="0"/>
      <w:spacing w:line="360" w:lineRule="auto"/>
      <w:ind w:firstLine="480" w:firstLineChars="200"/>
    </w:pPr>
    <w:rPr>
      <w:szCs w:val="24"/>
      <w:lang w:val="zh-CN"/>
    </w:rPr>
  </w:style>
  <w:style w:type="paragraph" w:customStyle="1" w:styleId="26">
    <w:name w:val="正文格式"/>
    <w:basedOn w:val="1"/>
    <w:next w:val="27"/>
    <w:qFormat/>
    <w:uiPriority w:val="0"/>
    <w:pPr>
      <w:spacing w:line="360" w:lineRule="auto"/>
      <w:ind w:firstLine="200" w:firstLineChars="200"/>
    </w:pPr>
    <w:rPr>
      <w:rFonts w:ascii="宋体"/>
      <w:spacing w:val="8"/>
    </w:rPr>
  </w:style>
  <w:style w:type="paragraph" w:styleId="27">
    <w:name w:val="List Paragraph"/>
    <w:basedOn w:val="1"/>
    <w:autoRedefine/>
    <w:qFormat/>
    <w:uiPriority w:val="1"/>
    <w:pPr>
      <w:ind w:firstLine="420" w:firstLineChars="200"/>
    </w:pPr>
    <w:rPr>
      <w:szCs w:val="22"/>
    </w:rPr>
  </w:style>
  <w:style w:type="paragraph" w:styleId="28">
    <w:name w:val="Body Text Indent"/>
    <w:basedOn w:val="1"/>
    <w:next w:val="1"/>
    <w:link w:val="89"/>
    <w:qFormat/>
    <w:uiPriority w:val="99"/>
    <w:pPr>
      <w:spacing w:after="120"/>
      <w:ind w:left="420" w:leftChars="200"/>
    </w:pPr>
    <w:rPr>
      <w:lang w:val="zh-CN"/>
    </w:rPr>
  </w:style>
  <w:style w:type="paragraph" w:styleId="29">
    <w:name w:val="List 2"/>
    <w:basedOn w:val="1"/>
    <w:qFormat/>
    <w:locked/>
    <w:uiPriority w:val="0"/>
    <w:pPr>
      <w:ind w:left="100" w:leftChars="200" w:hanging="200" w:hangingChars="200"/>
    </w:pPr>
    <w:rPr>
      <w:sz w:val="28"/>
    </w:rPr>
  </w:style>
  <w:style w:type="paragraph" w:styleId="30">
    <w:name w:val="Block Text"/>
    <w:basedOn w:val="1"/>
    <w:qFormat/>
    <w:locked/>
    <w:uiPriority w:val="0"/>
    <w:pPr>
      <w:spacing w:after="120"/>
      <w:ind w:left="1440" w:leftChars="700" w:right="1440" w:rightChars="700"/>
    </w:pPr>
  </w:style>
  <w:style w:type="paragraph" w:styleId="31">
    <w:name w:val="toc 5"/>
    <w:basedOn w:val="1"/>
    <w:next w:val="1"/>
    <w:qFormat/>
    <w:uiPriority w:val="39"/>
    <w:pPr>
      <w:ind w:left="840"/>
      <w:jc w:val="left"/>
    </w:pPr>
    <w:rPr>
      <w:rFonts w:ascii="Calibri" w:hAnsi="Calibri" w:cs="Calibri"/>
      <w:sz w:val="18"/>
      <w:szCs w:val="18"/>
    </w:rPr>
  </w:style>
  <w:style w:type="paragraph" w:styleId="32">
    <w:name w:val="toc 3"/>
    <w:basedOn w:val="1"/>
    <w:next w:val="1"/>
    <w:autoRedefine/>
    <w:qFormat/>
    <w:uiPriority w:val="39"/>
    <w:pPr>
      <w:ind w:left="420"/>
      <w:jc w:val="left"/>
    </w:pPr>
    <w:rPr>
      <w:rFonts w:ascii="Calibri" w:hAnsi="Calibri" w:cs="Calibri"/>
      <w:i/>
      <w:iCs/>
      <w:sz w:val="20"/>
    </w:rPr>
  </w:style>
  <w:style w:type="paragraph" w:styleId="33">
    <w:name w:val="List Bullet 5"/>
    <w:basedOn w:val="1"/>
    <w:autoRedefine/>
    <w:qFormat/>
    <w:locked/>
    <w:uiPriority w:val="0"/>
    <w:pPr>
      <w:widowControl/>
      <w:spacing w:line="360" w:lineRule="auto"/>
      <w:ind w:firstLine="480"/>
      <w:jc w:val="left"/>
    </w:pPr>
  </w:style>
  <w:style w:type="paragraph" w:styleId="34">
    <w:name w:val="toc 8"/>
    <w:basedOn w:val="1"/>
    <w:next w:val="1"/>
    <w:qFormat/>
    <w:uiPriority w:val="39"/>
    <w:pPr>
      <w:ind w:left="1470"/>
      <w:jc w:val="left"/>
    </w:pPr>
    <w:rPr>
      <w:rFonts w:ascii="Calibri" w:hAnsi="Calibri" w:cs="Calibri"/>
      <w:sz w:val="18"/>
      <w:szCs w:val="18"/>
    </w:rPr>
  </w:style>
  <w:style w:type="paragraph" w:styleId="35">
    <w:name w:val="Date"/>
    <w:basedOn w:val="1"/>
    <w:next w:val="1"/>
    <w:link w:val="91"/>
    <w:qFormat/>
    <w:uiPriority w:val="0"/>
    <w:pPr>
      <w:ind w:left="100" w:leftChars="2500"/>
    </w:pPr>
    <w:rPr>
      <w:lang w:val="zh-CN"/>
    </w:rPr>
  </w:style>
  <w:style w:type="paragraph" w:styleId="36">
    <w:name w:val="Body Text Indent 2"/>
    <w:basedOn w:val="1"/>
    <w:link w:val="92"/>
    <w:qFormat/>
    <w:locked/>
    <w:uiPriority w:val="0"/>
    <w:pPr>
      <w:spacing w:after="120" w:line="480" w:lineRule="auto"/>
      <w:ind w:left="420" w:leftChars="200"/>
    </w:pPr>
    <w:rPr>
      <w:sz w:val="28"/>
      <w:szCs w:val="24"/>
      <w:lang w:val="zh-CN"/>
    </w:rPr>
  </w:style>
  <w:style w:type="paragraph" w:styleId="37">
    <w:name w:val="Balloon Text"/>
    <w:basedOn w:val="1"/>
    <w:link w:val="93"/>
    <w:qFormat/>
    <w:uiPriority w:val="0"/>
    <w:rPr>
      <w:sz w:val="18"/>
      <w:lang w:val="zh-CN"/>
    </w:rPr>
  </w:style>
  <w:style w:type="paragraph" w:styleId="38">
    <w:name w:val="footer"/>
    <w:basedOn w:val="1"/>
    <w:link w:val="94"/>
    <w:qFormat/>
    <w:uiPriority w:val="0"/>
    <w:pPr>
      <w:tabs>
        <w:tab w:val="center" w:pos="4153"/>
        <w:tab w:val="right" w:pos="8306"/>
      </w:tabs>
      <w:snapToGrid w:val="0"/>
      <w:jc w:val="left"/>
    </w:pPr>
    <w:rPr>
      <w:sz w:val="18"/>
      <w:lang w:val="zh-CN"/>
    </w:rPr>
  </w:style>
  <w:style w:type="paragraph" w:styleId="39">
    <w:name w:val="header"/>
    <w:basedOn w:val="1"/>
    <w:link w:val="95"/>
    <w:autoRedefine/>
    <w:qFormat/>
    <w:uiPriority w:val="0"/>
    <w:pPr>
      <w:pBdr>
        <w:bottom w:val="single" w:color="auto" w:sz="6" w:space="1"/>
      </w:pBdr>
      <w:tabs>
        <w:tab w:val="center" w:pos="4153"/>
        <w:tab w:val="right" w:pos="8306"/>
      </w:tabs>
      <w:snapToGrid w:val="0"/>
      <w:jc w:val="center"/>
    </w:pPr>
    <w:rPr>
      <w:sz w:val="18"/>
      <w:lang w:val="zh-CN"/>
    </w:rPr>
  </w:style>
  <w:style w:type="paragraph" w:styleId="40">
    <w:name w:val="toc 4"/>
    <w:basedOn w:val="1"/>
    <w:next w:val="1"/>
    <w:autoRedefine/>
    <w:qFormat/>
    <w:uiPriority w:val="39"/>
    <w:pPr>
      <w:ind w:left="630"/>
      <w:jc w:val="left"/>
    </w:pPr>
    <w:rPr>
      <w:rFonts w:ascii="Calibri" w:hAnsi="Calibri" w:cs="Calibri"/>
      <w:sz w:val="18"/>
      <w:szCs w:val="18"/>
    </w:rPr>
  </w:style>
  <w:style w:type="paragraph" w:styleId="41">
    <w:name w:val="Subtitle"/>
    <w:basedOn w:val="1"/>
    <w:link w:val="96"/>
    <w:autoRedefine/>
    <w:qFormat/>
    <w:locked/>
    <w:uiPriority w:val="0"/>
    <w:pPr>
      <w:adjustRightInd w:val="0"/>
      <w:snapToGrid w:val="0"/>
      <w:spacing w:line="360" w:lineRule="auto"/>
      <w:jc w:val="center"/>
    </w:pPr>
    <w:rPr>
      <w:rFonts w:ascii="宋体" w:hAnsi="宋体" w:eastAsia="仿宋"/>
      <w:spacing w:val="-16"/>
      <w:sz w:val="21"/>
      <w:lang w:val="zh-CN"/>
    </w:rPr>
  </w:style>
  <w:style w:type="paragraph" w:styleId="42">
    <w:name w:val="List"/>
    <w:basedOn w:val="1"/>
    <w:autoRedefine/>
    <w:qFormat/>
    <w:locked/>
    <w:uiPriority w:val="0"/>
    <w:pPr>
      <w:spacing w:line="360" w:lineRule="auto"/>
      <w:jc w:val="center"/>
    </w:pPr>
    <w:rPr>
      <w:rFonts w:eastAsia="黑体"/>
    </w:rPr>
  </w:style>
  <w:style w:type="paragraph" w:styleId="43">
    <w:name w:val="footnote text"/>
    <w:basedOn w:val="1"/>
    <w:link w:val="97"/>
    <w:autoRedefine/>
    <w:unhideWhenUsed/>
    <w:qFormat/>
    <w:uiPriority w:val="0"/>
    <w:pPr>
      <w:spacing w:before="60"/>
      <w:ind w:firstLine="482"/>
      <w:jc w:val="left"/>
    </w:pPr>
    <w:rPr>
      <w:rFonts w:ascii="Arial" w:hAnsi="Arial" w:eastAsia="仿宋_GB2312"/>
      <w:sz w:val="18"/>
      <w:szCs w:val="18"/>
      <w:lang w:val="zh-CN"/>
    </w:rPr>
  </w:style>
  <w:style w:type="paragraph" w:styleId="44">
    <w:name w:val="toc 6"/>
    <w:basedOn w:val="1"/>
    <w:next w:val="1"/>
    <w:autoRedefine/>
    <w:qFormat/>
    <w:uiPriority w:val="39"/>
    <w:pPr>
      <w:ind w:left="1050"/>
      <w:jc w:val="left"/>
    </w:pPr>
    <w:rPr>
      <w:rFonts w:ascii="Calibri" w:hAnsi="Calibri" w:cs="Calibri"/>
      <w:sz w:val="18"/>
      <w:szCs w:val="18"/>
    </w:rPr>
  </w:style>
  <w:style w:type="paragraph" w:styleId="45">
    <w:name w:val="Body Text Indent 3"/>
    <w:basedOn w:val="1"/>
    <w:link w:val="98"/>
    <w:autoRedefine/>
    <w:qFormat/>
    <w:locked/>
    <w:uiPriority w:val="0"/>
    <w:pPr>
      <w:spacing w:after="120"/>
      <w:ind w:left="420" w:leftChars="200"/>
    </w:pPr>
    <w:rPr>
      <w:sz w:val="16"/>
      <w:szCs w:val="16"/>
      <w:lang w:val="zh-CN"/>
    </w:rPr>
  </w:style>
  <w:style w:type="paragraph" w:styleId="46">
    <w:name w:val="table of figures"/>
    <w:basedOn w:val="1"/>
    <w:next w:val="1"/>
    <w:autoRedefine/>
    <w:unhideWhenUsed/>
    <w:qFormat/>
    <w:locked/>
    <w:uiPriority w:val="0"/>
    <w:pPr>
      <w:ind w:left="200" w:leftChars="200" w:hanging="200" w:hangingChars="200"/>
    </w:pPr>
    <w:rPr>
      <w:rFonts w:hint="eastAsia"/>
    </w:rPr>
  </w:style>
  <w:style w:type="paragraph" w:styleId="47">
    <w:name w:val="toc 2"/>
    <w:basedOn w:val="1"/>
    <w:next w:val="1"/>
    <w:autoRedefine/>
    <w:qFormat/>
    <w:uiPriority w:val="39"/>
    <w:pPr>
      <w:ind w:left="420" w:leftChars="200"/>
    </w:pPr>
  </w:style>
  <w:style w:type="paragraph" w:styleId="48">
    <w:name w:val="toc 9"/>
    <w:basedOn w:val="1"/>
    <w:next w:val="1"/>
    <w:autoRedefine/>
    <w:qFormat/>
    <w:locked/>
    <w:uiPriority w:val="39"/>
    <w:pPr>
      <w:spacing w:line="440" w:lineRule="exact"/>
      <w:ind w:left="1920" w:firstLine="200" w:firstLineChars="200"/>
      <w:jc w:val="left"/>
    </w:pPr>
    <w:rPr>
      <w:spacing w:val="20"/>
    </w:rPr>
  </w:style>
  <w:style w:type="paragraph" w:styleId="49">
    <w:name w:val="Body Text 2"/>
    <w:basedOn w:val="1"/>
    <w:link w:val="99"/>
    <w:autoRedefine/>
    <w:qFormat/>
    <w:locked/>
    <w:uiPriority w:val="0"/>
    <w:pPr>
      <w:spacing w:after="120" w:line="480" w:lineRule="auto"/>
    </w:pPr>
    <w:rPr>
      <w:sz w:val="28"/>
      <w:szCs w:val="24"/>
      <w:lang w:val="zh-CN"/>
    </w:rPr>
  </w:style>
  <w:style w:type="paragraph" w:styleId="50">
    <w:name w:val="HTML Preformatted"/>
    <w:basedOn w:val="1"/>
    <w:link w:val="100"/>
    <w:autoRedefine/>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jc w:val="left"/>
    </w:pPr>
    <w:rPr>
      <w:rFonts w:ascii="Arial" w:hAnsi="Arial"/>
      <w:sz w:val="21"/>
      <w:lang w:val="zh-CN"/>
    </w:rPr>
  </w:style>
  <w:style w:type="paragraph" w:styleId="51">
    <w:name w:val="Normal (Web)"/>
    <w:basedOn w:val="1"/>
    <w:link w:val="101"/>
    <w:autoRedefine/>
    <w:qFormat/>
    <w:uiPriority w:val="0"/>
    <w:pPr>
      <w:widowControl/>
      <w:spacing w:before="100" w:beforeAutospacing="1" w:after="100" w:afterAutospacing="1"/>
      <w:jc w:val="left"/>
    </w:pPr>
    <w:rPr>
      <w:rFonts w:ascii="宋体" w:hAnsi="宋体"/>
      <w:lang w:val="zh-CN"/>
    </w:rPr>
  </w:style>
  <w:style w:type="paragraph" w:styleId="52">
    <w:name w:val="index 1"/>
    <w:basedOn w:val="1"/>
    <w:next w:val="1"/>
    <w:autoRedefine/>
    <w:qFormat/>
    <w:locked/>
    <w:uiPriority w:val="0"/>
    <w:pPr>
      <w:tabs>
        <w:tab w:val="left" w:pos="932"/>
        <w:tab w:val="center" w:pos="4535"/>
      </w:tabs>
      <w:spacing w:line="400" w:lineRule="exact"/>
      <w:jc w:val="center"/>
    </w:pPr>
    <w:rPr>
      <w:rFonts w:ascii="宋体" w:hAnsi="宋体"/>
      <w:bCs/>
    </w:rPr>
  </w:style>
  <w:style w:type="paragraph" w:styleId="53">
    <w:name w:val="Title"/>
    <w:basedOn w:val="1"/>
    <w:next w:val="1"/>
    <w:link w:val="102"/>
    <w:autoRedefine/>
    <w:qFormat/>
    <w:uiPriority w:val="0"/>
    <w:pPr>
      <w:adjustRightInd w:val="0"/>
      <w:snapToGrid w:val="0"/>
      <w:spacing w:line="480" w:lineRule="exact"/>
      <w:jc w:val="center"/>
      <w:outlineLvl w:val="4"/>
    </w:pPr>
    <w:rPr>
      <w:rFonts w:ascii="Cambria" w:hAnsi="Cambria" w:eastAsia="Times New Roman"/>
      <w:b/>
      <w:bCs/>
      <w:sz w:val="21"/>
      <w:szCs w:val="32"/>
      <w:lang w:val="zh-CN"/>
    </w:rPr>
  </w:style>
  <w:style w:type="paragraph" w:styleId="54">
    <w:name w:val="annotation subject"/>
    <w:basedOn w:val="20"/>
    <w:next w:val="20"/>
    <w:link w:val="103"/>
    <w:autoRedefine/>
    <w:qFormat/>
    <w:uiPriority w:val="0"/>
    <w:rPr>
      <w:b/>
      <w:kern w:val="2"/>
    </w:rPr>
  </w:style>
  <w:style w:type="paragraph" w:styleId="55">
    <w:name w:val="Body Text First Indent"/>
    <w:basedOn w:val="23"/>
    <w:link w:val="104"/>
    <w:autoRedefine/>
    <w:qFormat/>
    <w:locked/>
    <w:uiPriority w:val="0"/>
    <w:pPr>
      <w:widowControl w:val="0"/>
      <w:snapToGrid/>
      <w:spacing w:before="0" w:after="120" w:line="240" w:lineRule="auto"/>
      <w:ind w:right="0" w:firstLine="420" w:firstLineChars="100"/>
    </w:pPr>
    <w:rPr>
      <w:kern w:val="2"/>
      <w:sz w:val="21"/>
      <w:szCs w:val="24"/>
      <w:lang w:val="en-US"/>
    </w:rPr>
  </w:style>
  <w:style w:type="paragraph" w:styleId="56">
    <w:name w:val="Body Text First Indent 2"/>
    <w:basedOn w:val="28"/>
    <w:next w:val="1"/>
    <w:link w:val="105"/>
    <w:autoRedefine/>
    <w:qFormat/>
    <w:locked/>
    <w:uiPriority w:val="99"/>
    <w:pPr>
      <w:ind w:firstLine="420" w:firstLineChars="200"/>
    </w:pPr>
    <w:rPr>
      <w:kern w:val="2"/>
      <w:sz w:val="21"/>
      <w:szCs w:val="24"/>
    </w:rPr>
  </w:style>
  <w:style w:type="table" w:styleId="58">
    <w:name w:val="Table Grid"/>
    <w:basedOn w:val="57"/>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9">
    <w:name w:val="Table Theme"/>
    <w:basedOn w:val="57"/>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1">
    <w:name w:val="Strong"/>
    <w:autoRedefine/>
    <w:qFormat/>
    <w:locked/>
    <w:uiPriority w:val="22"/>
    <w:rPr>
      <w:b/>
      <w:bCs/>
    </w:rPr>
  </w:style>
  <w:style w:type="character" w:styleId="62">
    <w:name w:val="page number"/>
    <w:autoRedefine/>
    <w:qFormat/>
    <w:locked/>
    <w:uiPriority w:val="0"/>
  </w:style>
  <w:style w:type="character" w:styleId="63">
    <w:name w:val="FollowedHyperlink"/>
    <w:autoRedefine/>
    <w:qFormat/>
    <w:uiPriority w:val="0"/>
    <w:rPr>
      <w:color w:val="954F72"/>
      <w:u w:val="single"/>
    </w:rPr>
  </w:style>
  <w:style w:type="character" w:styleId="64">
    <w:name w:val="Emphasis"/>
    <w:autoRedefine/>
    <w:qFormat/>
    <w:locked/>
    <w:uiPriority w:val="0"/>
    <w:rPr>
      <w:i/>
      <w:iCs/>
    </w:rPr>
  </w:style>
  <w:style w:type="character" w:styleId="65">
    <w:name w:val="HTML Definition"/>
    <w:autoRedefine/>
    <w:qFormat/>
    <w:uiPriority w:val="0"/>
  </w:style>
  <w:style w:type="character" w:styleId="66">
    <w:name w:val="HTML Variable"/>
    <w:autoRedefine/>
    <w:qFormat/>
    <w:uiPriority w:val="0"/>
  </w:style>
  <w:style w:type="character" w:styleId="67">
    <w:name w:val="Hyperlink"/>
    <w:autoRedefine/>
    <w:qFormat/>
    <w:locked/>
    <w:uiPriority w:val="99"/>
    <w:rPr>
      <w:color w:val="136EC2"/>
      <w:u w:val="single"/>
    </w:rPr>
  </w:style>
  <w:style w:type="character" w:styleId="68">
    <w:name w:val="HTML Code"/>
    <w:autoRedefine/>
    <w:qFormat/>
    <w:uiPriority w:val="0"/>
    <w:rPr>
      <w:rFonts w:ascii="Consolas" w:hAnsi="Consolas" w:eastAsia="Consolas" w:cs="Consolas"/>
      <w:color w:val="C7254E"/>
      <w:sz w:val="21"/>
      <w:szCs w:val="21"/>
      <w:shd w:val="clear" w:color="auto" w:fill="F9F2F4"/>
    </w:rPr>
  </w:style>
  <w:style w:type="character" w:styleId="69">
    <w:name w:val="annotation reference"/>
    <w:autoRedefine/>
    <w:qFormat/>
    <w:uiPriority w:val="0"/>
    <w:rPr>
      <w:sz w:val="21"/>
    </w:rPr>
  </w:style>
  <w:style w:type="character" w:styleId="70">
    <w:name w:val="HTML Cite"/>
    <w:autoRedefine/>
    <w:qFormat/>
    <w:uiPriority w:val="0"/>
  </w:style>
  <w:style w:type="character" w:styleId="71">
    <w:name w:val="footnote reference"/>
    <w:autoRedefine/>
    <w:qFormat/>
    <w:uiPriority w:val="0"/>
    <w:rPr>
      <w:vertAlign w:val="superscript"/>
    </w:rPr>
  </w:style>
  <w:style w:type="character" w:styleId="72">
    <w:name w:val="HTML Keyboard"/>
    <w:autoRedefine/>
    <w:qFormat/>
    <w:uiPriority w:val="0"/>
    <w:rPr>
      <w:rFonts w:hint="default" w:ascii="Consolas" w:hAnsi="Consolas" w:eastAsia="Consolas" w:cs="Consolas"/>
      <w:color w:val="FFFFFF"/>
      <w:sz w:val="21"/>
      <w:szCs w:val="21"/>
      <w:shd w:val="clear" w:color="auto" w:fill="333333"/>
    </w:rPr>
  </w:style>
  <w:style w:type="character" w:styleId="73">
    <w:name w:val="HTML Sample"/>
    <w:autoRedefine/>
    <w:qFormat/>
    <w:uiPriority w:val="0"/>
    <w:rPr>
      <w:rFonts w:hint="default" w:ascii="Consolas" w:hAnsi="Consolas" w:eastAsia="Consolas" w:cs="Consolas"/>
      <w:sz w:val="21"/>
      <w:szCs w:val="21"/>
    </w:rPr>
  </w:style>
  <w:style w:type="paragraph" w:customStyle="1" w:styleId="74">
    <w:name w:val="表头"/>
    <w:basedOn w:val="1"/>
    <w:link w:val="165"/>
    <w:autoRedefine/>
    <w:qFormat/>
    <w:uiPriority w:val="0"/>
    <w:pPr>
      <w:spacing w:line="420" w:lineRule="exact"/>
      <w:jc w:val="center"/>
    </w:pPr>
    <w:rPr>
      <w:rFonts w:hAnsi="宋体"/>
      <w:b/>
      <w:color w:val="000000"/>
      <w:position w:val="2"/>
      <w:szCs w:val="24"/>
    </w:rPr>
  </w:style>
  <w:style w:type="paragraph" w:customStyle="1" w:styleId="75">
    <w:name w:val="表格"/>
    <w:basedOn w:val="2"/>
    <w:link w:val="111"/>
    <w:autoRedefine/>
    <w:qFormat/>
    <w:uiPriority w:val="0"/>
    <w:pPr>
      <w:adjustRightInd w:val="0"/>
      <w:snapToGrid w:val="0"/>
      <w:spacing w:beforeLines="10" w:afterLines="10" w:line="259" w:lineRule="auto"/>
      <w:jc w:val="center"/>
    </w:pPr>
    <w:rPr>
      <w:rFonts w:hAnsi="Times New Roman"/>
      <w:lang w:val="zh-CN"/>
    </w:rPr>
  </w:style>
  <w:style w:type="paragraph" w:customStyle="1" w:styleId="76">
    <w:name w:val="Default"/>
    <w:basedOn w:val="77"/>
    <w:link w:val="748"/>
    <w:autoRedefine/>
    <w:qFormat/>
    <w:uiPriority w:val="0"/>
    <w:pPr>
      <w:autoSpaceDE w:val="0"/>
      <w:autoSpaceDN w:val="0"/>
      <w:adjustRightInd w:val="0"/>
    </w:pPr>
    <w:rPr>
      <w:rFonts w:ascii="宋体" w:cs="宋体"/>
      <w:color w:val="000000"/>
      <w:sz w:val="24"/>
      <w:szCs w:val="24"/>
      <w:lang w:eastAsia="zh-CN"/>
    </w:rPr>
  </w:style>
  <w:style w:type="paragraph" w:customStyle="1" w:styleId="77">
    <w:name w:val="纯文本1"/>
    <w:basedOn w:val="1"/>
    <w:autoRedefine/>
    <w:qFormat/>
    <w:uiPriority w:val="0"/>
    <w:rPr>
      <w:rFonts w:hint="eastAsia" w:ascii="宋体" w:hAnsi="Courier New"/>
    </w:rPr>
  </w:style>
  <w:style w:type="paragraph" w:customStyle="1" w:styleId="78">
    <w:name w:val="列出段落"/>
    <w:basedOn w:val="1"/>
    <w:qFormat/>
    <w:uiPriority w:val="99"/>
    <w:pPr>
      <w:ind w:firstLine="420" w:firstLineChars="200"/>
    </w:pPr>
    <w:rPr>
      <w:kern w:val="0"/>
      <w:sz w:val="20"/>
    </w:rPr>
  </w:style>
  <w:style w:type="character" w:customStyle="1" w:styleId="79">
    <w:name w:val="标题 1 Char1"/>
    <w:link w:val="5"/>
    <w:autoRedefine/>
    <w:qFormat/>
    <w:uiPriority w:val="0"/>
    <w:rPr>
      <w:rFonts w:ascii="Times New Roman" w:hAnsi="Times New Roman" w:eastAsia="宋体"/>
      <w:sz w:val="28"/>
      <w:szCs w:val="28"/>
    </w:rPr>
  </w:style>
  <w:style w:type="character" w:customStyle="1" w:styleId="80">
    <w:name w:val="标题 2 Char2"/>
    <w:link w:val="6"/>
    <w:autoRedefine/>
    <w:qFormat/>
    <w:uiPriority w:val="0"/>
    <w:rPr>
      <w:b/>
      <w:sz w:val="24"/>
      <w:szCs w:val="24"/>
    </w:rPr>
  </w:style>
  <w:style w:type="character" w:customStyle="1" w:styleId="81">
    <w:name w:val="标题 3 Char3"/>
    <w:link w:val="8"/>
    <w:autoRedefine/>
    <w:qFormat/>
    <w:uiPriority w:val="0"/>
    <w:rPr>
      <w:rFonts w:eastAsia="宋体"/>
      <w:b/>
      <w:bCs/>
      <w:kern w:val="2"/>
      <w:sz w:val="32"/>
      <w:szCs w:val="32"/>
      <w:lang w:val="en-US" w:eastAsia="zh-CN" w:bidi="ar-SA"/>
    </w:rPr>
  </w:style>
  <w:style w:type="character" w:customStyle="1" w:styleId="82">
    <w:name w:val="标题 4 Char1"/>
    <w:link w:val="9"/>
    <w:autoRedefine/>
    <w:qFormat/>
    <w:uiPriority w:val="0"/>
    <w:rPr>
      <w:rFonts w:ascii="Arial" w:hAnsi="Arial" w:eastAsia="黑体"/>
      <w:b/>
      <w:bCs/>
      <w:kern w:val="2"/>
      <w:sz w:val="28"/>
      <w:szCs w:val="28"/>
    </w:rPr>
  </w:style>
  <w:style w:type="character" w:customStyle="1" w:styleId="83">
    <w:name w:val="标题 5 Char1"/>
    <w:link w:val="10"/>
    <w:autoRedefine/>
    <w:qFormat/>
    <w:uiPriority w:val="0"/>
    <w:rPr>
      <w:b/>
      <w:kern w:val="2"/>
      <w:sz w:val="28"/>
      <w:szCs w:val="24"/>
    </w:rPr>
  </w:style>
  <w:style w:type="character" w:customStyle="1" w:styleId="84">
    <w:name w:val="正文缩进 Char2"/>
    <w:link w:val="16"/>
    <w:autoRedefine/>
    <w:qFormat/>
    <w:uiPriority w:val="99"/>
    <w:rPr>
      <w:rFonts w:eastAsia="宋体"/>
      <w:spacing w:val="20"/>
      <w:kern w:val="2"/>
      <w:sz w:val="24"/>
      <w:lang w:val="en-US" w:eastAsia="zh-CN" w:bidi="ar-SA"/>
    </w:rPr>
  </w:style>
  <w:style w:type="character" w:customStyle="1" w:styleId="85">
    <w:name w:val="正文文本 Char4"/>
    <w:link w:val="23"/>
    <w:autoRedefine/>
    <w:qFormat/>
    <w:locked/>
    <w:uiPriority w:val="0"/>
    <w:rPr>
      <w:sz w:val="18"/>
    </w:rPr>
  </w:style>
  <w:style w:type="character" w:customStyle="1" w:styleId="86">
    <w:name w:val="题注 Char2"/>
    <w:link w:val="17"/>
    <w:autoRedefine/>
    <w:qFormat/>
    <w:uiPriority w:val="0"/>
    <w:rPr>
      <w:rFonts w:ascii="Times New Roman" w:hAnsi="Times New Roman" w:eastAsia="宋体" w:cs="Times New Roman"/>
      <w:b/>
      <w:bCs/>
      <w:color w:val="auto"/>
      <w:sz w:val="21"/>
      <w:szCs w:val="21"/>
      <w:lang w:val="en-US" w:eastAsia="zh-CN" w:bidi="ar-SA"/>
    </w:rPr>
  </w:style>
  <w:style w:type="character" w:customStyle="1" w:styleId="87">
    <w:name w:val="文档结构图 Char1"/>
    <w:link w:val="19"/>
    <w:autoRedefine/>
    <w:qFormat/>
    <w:uiPriority w:val="0"/>
    <w:rPr>
      <w:rFonts w:ascii="宋体"/>
      <w:kern w:val="2"/>
      <w:sz w:val="18"/>
      <w:szCs w:val="18"/>
    </w:rPr>
  </w:style>
  <w:style w:type="character" w:customStyle="1" w:styleId="88">
    <w:name w:val="批注文字 Char3"/>
    <w:link w:val="20"/>
    <w:autoRedefine/>
    <w:qFormat/>
    <w:locked/>
    <w:uiPriority w:val="0"/>
    <w:rPr>
      <w:rFonts w:ascii="Times New Roman" w:hAnsi="Times New Roman" w:eastAsia="宋体"/>
      <w:sz w:val="24"/>
    </w:rPr>
  </w:style>
  <w:style w:type="character" w:customStyle="1" w:styleId="89">
    <w:name w:val="正文文本缩进 Char1"/>
    <w:link w:val="28"/>
    <w:autoRedefine/>
    <w:semiHidden/>
    <w:qFormat/>
    <w:locked/>
    <w:uiPriority w:val="0"/>
    <w:rPr>
      <w:rFonts w:ascii="Times New Roman" w:hAnsi="Times New Roman" w:eastAsia="宋体"/>
      <w:sz w:val="24"/>
    </w:rPr>
  </w:style>
  <w:style w:type="character" w:customStyle="1" w:styleId="90">
    <w:name w:val="纯文本 Char1"/>
    <w:link w:val="2"/>
    <w:autoRedefine/>
    <w:qFormat/>
    <w:uiPriority w:val="0"/>
    <w:rPr>
      <w:rFonts w:ascii="宋体" w:hAnsi="Courier New" w:eastAsia="宋体"/>
      <w:kern w:val="2"/>
      <w:sz w:val="21"/>
      <w:szCs w:val="21"/>
      <w:lang w:val="en-US" w:eastAsia="zh-CN" w:bidi="ar-SA"/>
    </w:rPr>
  </w:style>
  <w:style w:type="character" w:customStyle="1" w:styleId="91">
    <w:name w:val="日期 Char1"/>
    <w:link w:val="35"/>
    <w:autoRedefine/>
    <w:qFormat/>
    <w:locked/>
    <w:uiPriority w:val="0"/>
    <w:rPr>
      <w:rFonts w:ascii="Times New Roman" w:hAnsi="Times New Roman" w:eastAsia="宋体"/>
      <w:sz w:val="24"/>
    </w:rPr>
  </w:style>
  <w:style w:type="character" w:customStyle="1" w:styleId="92">
    <w:name w:val="正文文本缩进 2 Char1"/>
    <w:link w:val="36"/>
    <w:autoRedefine/>
    <w:qFormat/>
    <w:uiPriority w:val="0"/>
    <w:rPr>
      <w:kern w:val="2"/>
      <w:sz w:val="28"/>
      <w:szCs w:val="24"/>
    </w:rPr>
  </w:style>
  <w:style w:type="character" w:customStyle="1" w:styleId="93">
    <w:name w:val="批注框文本 Char1"/>
    <w:link w:val="37"/>
    <w:autoRedefine/>
    <w:qFormat/>
    <w:locked/>
    <w:uiPriority w:val="0"/>
    <w:rPr>
      <w:rFonts w:ascii="Times New Roman" w:hAnsi="Times New Roman" w:eastAsia="宋体"/>
      <w:sz w:val="18"/>
    </w:rPr>
  </w:style>
  <w:style w:type="character" w:customStyle="1" w:styleId="94">
    <w:name w:val="页脚 Char2"/>
    <w:link w:val="38"/>
    <w:autoRedefine/>
    <w:qFormat/>
    <w:locked/>
    <w:uiPriority w:val="99"/>
    <w:rPr>
      <w:sz w:val="18"/>
    </w:rPr>
  </w:style>
  <w:style w:type="character" w:customStyle="1" w:styleId="95">
    <w:name w:val="页眉 Char2"/>
    <w:link w:val="39"/>
    <w:autoRedefine/>
    <w:qFormat/>
    <w:locked/>
    <w:uiPriority w:val="0"/>
    <w:rPr>
      <w:sz w:val="18"/>
    </w:rPr>
  </w:style>
  <w:style w:type="character" w:customStyle="1" w:styleId="96">
    <w:name w:val="副标题 Char2"/>
    <w:link w:val="41"/>
    <w:autoRedefine/>
    <w:qFormat/>
    <w:uiPriority w:val="0"/>
    <w:rPr>
      <w:rFonts w:ascii="宋体" w:hAnsi="宋体" w:eastAsia="仿宋" w:cs="宋体"/>
      <w:spacing w:val="-16"/>
      <w:kern w:val="2"/>
      <w:sz w:val="21"/>
      <w:szCs w:val="21"/>
    </w:rPr>
  </w:style>
  <w:style w:type="character" w:customStyle="1" w:styleId="97">
    <w:name w:val="脚注文本 Char1"/>
    <w:link w:val="43"/>
    <w:autoRedefine/>
    <w:qFormat/>
    <w:uiPriority w:val="0"/>
    <w:rPr>
      <w:rFonts w:ascii="Arial" w:hAnsi="Arial" w:eastAsia="仿宋_GB2312"/>
      <w:sz w:val="18"/>
      <w:szCs w:val="18"/>
    </w:rPr>
  </w:style>
  <w:style w:type="character" w:customStyle="1" w:styleId="98">
    <w:name w:val="正文文本缩进 3 Char2"/>
    <w:link w:val="45"/>
    <w:autoRedefine/>
    <w:qFormat/>
    <w:uiPriority w:val="0"/>
    <w:rPr>
      <w:kern w:val="2"/>
      <w:sz w:val="16"/>
      <w:szCs w:val="16"/>
    </w:rPr>
  </w:style>
  <w:style w:type="character" w:customStyle="1" w:styleId="99">
    <w:name w:val="正文文本 2 Char1"/>
    <w:link w:val="49"/>
    <w:autoRedefine/>
    <w:qFormat/>
    <w:uiPriority w:val="0"/>
    <w:rPr>
      <w:kern w:val="2"/>
      <w:sz w:val="28"/>
      <w:szCs w:val="24"/>
    </w:rPr>
  </w:style>
  <w:style w:type="character" w:customStyle="1" w:styleId="100">
    <w:name w:val="HTML 预设格式 Char1"/>
    <w:link w:val="50"/>
    <w:autoRedefine/>
    <w:qFormat/>
    <w:uiPriority w:val="0"/>
    <w:rPr>
      <w:rFonts w:ascii="Arial" w:hAnsi="Arial"/>
      <w:kern w:val="2"/>
      <w:sz w:val="21"/>
      <w:szCs w:val="21"/>
    </w:rPr>
  </w:style>
  <w:style w:type="character" w:customStyle="1" w:styleId="101">
    <w:name w:val="普通(网站) Char1"/>
    <w:link w:val="51"/>
    <w:autoRedefine/>
    <w:qFormat/>
    <w:locked/>
    <w:uiPriority w:val="99"/>
    <w:rPr>
      <w:rFonts w:ascii="宋体" w:hAnsi="宋体" w:eastAsia="宋体"/>
      <w:sz w:val="24"/>
    </w:rPr>
  </w:style>
  <w:style w:type="character" w:customStyle="1" w:styleId="102">
    <w:name w:val="标题 Char2"/>
    <w:link w:val="53"/>
    <w:autoRedefine/>
    <w:qFormat/>
    <w:uiPriority w:val="0"/>
    <w:rPr>
      <w:rFonts w:ascii="Cambria" w:hAnsi="Cambria" w:eastAsia="Times New Roman"/>
      <w:b/>
      <w:bCs/>
      <w:kern w:val="2"/>
      <w:sz w:val="21"/>
      <w:szCs w:val="32"/>
    </w:rPr>
  </w:style>
  <w:style w:type="character" w:customStyle="1" w:styleId="103">
    <w:name w:val="批注主题 Char1"/>
    <w:link w:val="54"/>
    <w:autoRedefine/>
    <w:qFormat/>
    <w:locked/>
    <w:uiPriority w:val="0"/>
    <w:rPr>
      <w:rFonts w:ascii="Times New Roman" w:hAnsi="Times New Roman" w:eastAsia="宋体"/>
      <w:b/>
      <w:kern w:val="2"/>
      <w:sz w:val="24"/>
    </w:rPr>
  </w:style>
  <w:style w:type="character" w:customStyle="1" w:styleId="104">
    <w:name w:val="正文首行缩进 Char1"/>
    <w:link w:val="55"/>
    <w:autoRedefine/>
    <w:qFormat/>
    <w:locked/>
    <w:uiPriority w:val="0"/>
    <w:rPr>
      <w:rFonts w:eastAsia="宋体"/>
      <w:kern w:val="2"/>
      <w:sz w:val="21"/>
      <w:szCs w:val="24"/>
      <w:lang w:val="en-US" w:eastAsia="zh-CN" w:bidi="ar-SA"/>
    </w:rPr>
  </w:style>
  <w:style w:type="character" w:customStyle="1" w:styleId="105">
    <w:name w:val="正文首行缩进 2 Char1"/>
    <w:link w:val="56"/>
    <w:autoRedefine/>
    <w:qFormat/>
    <w:uiPriority w:val="0"/>
    <w:rPr>
      <w:kern w:val="2"/>
      <w:sz w:val="21"/>
      <w:szCs w:val="24"/>
    </w:rPr>
  </w:style>
  <w:style w:type="paragraph" w:customStyle="1" w:styleId="106">
    <w:name w:val="Char Char Char Char Char Char Char"/>
    <w:basedOn w:val="1"/>
    <w:autoRedefine/>
    <w:qFormat/>
    <w:uiPriority w:val="0"/>
    <w:rPr>
      <w:rFonts w:ascii="Calibri" w:hAnsi="Calibri"/>
    </w:rPr>
  </w:style>
  <w:style w:type="paragraph" w:customStyle="1" w:styleId="107">
    <w:name w:val="正文文本 (13)"/>
    <w:basedOn w:val="1"/>
    <w:autoRedefine/>
    <w:qFormat/>
    <w:uiPriority w:val="0"/>
    <w:pPr>
      <w:shd w:val="clear" w:color="auto" w:fill="FFFFFF"/>
      <w:spacing w:line="494" w:lineRule="exact"/>
    </w:pPr>
    <w:rPr>
      <w:sz w:val="28"/>
      <w:szCs w:val="28"/>
      <w:lang w:eastAsia="en-US"/>
    </w:rPr>
  </w:style>
  <w:style w:type="paragraph" w:customStyle="1" w:styleId="108">
    <w:name w:val="默认段落字体 Para Char"/>
    <w:basedOn w:val="1"/>
    <w:autoRedefine/>
    <w:qFormat/>
    <w:uiPriority w:val="0"/>
  </w:style>
  <w:style w:type="character" w:customStyle="1" w:styleId="109">
    <w:name w:val="页脚 字符"/>
    <w:autoRedefine/>
    <w:qFormat/>
    <w:uiPriority w:val="99"/>
  </w:style>
  <w:style w:type="character" w:customStyle="1" w:styleId="110">
    <w:name w:val="正文文本 字符1"/>
    <w:autoRedefine/>
    <w:semiHidden/>
    <w:qFormat/>
    <w:uiPriority w:val="0"/>
    <w:rPr>
      <w:rFonts w:ascii="Times New Roman" w:hAnsi="Times New Roman" w:eastAsia="宋体"/>
      <w:sz w:val="24"/>
    </w:rPr>
  </w:style>
  <w:style w:type="character" w:customStyle="1" w:styleId="111">
    <w:name w:val="表格 Char"/>
    <w:link w:val="75"/>
    <w:autoRedefine/>
    <w:qFormat/>
    <w:locked/>
    <w:uiPriority w:val="0"/>
    <w:rPr>
      <w:rFonts w:ascii="宋体"/>
      <w:sz w:val="21"/>
    </w:rPr>
  </w:style>
  <w:style w:type="character" w:customStyle="1" w:styleId="112">
    <w:name w:val="日期 字符"/>
    <w:autoRedefine/>
    <w:semiHidden/>
    <w:qFormat/>
    <w:uiPriority w:val="0"/>
    <w:rPr>
      <w:rFonts w:ascii="Times New Roman" w:hAnsi="Times New Roman" w:eastAsia="宋体"/>
      <w:sz w:val="24"/>
    </w:rPr>
  </w:style>
  <w:style w:type="character" w:customStyle="1" w:styleId="113">
    <w:name w:val="批注文字 字符1"/>
    <w:autoRedefine/>
    <w:semiHidden/>
    <w:qFormat/>
    <w:uiPriority w:val="0"/>
    <w:rPr>
      <w:rFonts w:ascii="Times New Roman" w:hAnsi="Times New Roman" w:eastAsia="宋体"/>
      <w:sz w:val="24"/>
    </w:rPr>
  </w:style>
  <w:style w:type="paragraph" w:customStyle="1" w:styleId="114">
    <w:name w:val="正文_10"/>
    <w:autoRedefine/>
    <w:qFormat/>
    <w:uiPriority w:val="0"/>
    <w:pPr>
      <w:widowControl w:val="0"/>
      <w:spacing w:after="160" w:line="278" w:lineRule="auto"/>
      <w:jc w:val="both"/>
    </w:pPr>
    <w:rPr>
      <w:rFonts w:ascii="Times New Roman" w:hAnsi="Times New Roman" w:eastAsia="宋体" w:cs="Times New Roman"/>
      <w:kern w:val="2"/>
      <w:sz w:val="21"/>
      <w:szCs w:val="22"/>
      <w:lang w:val="en-US" w:eastAsia="zh-CN" w:bidi="ar-SA"/>
    </w:rPr>
  </w:style>
  <w:style w:type="paragraph" w:customStyle="1" w:styleId="115">
    <w:name w:val="普通(网站)2"/>
    <w:basedOn w:val="1"/>
    <w:autoRedefine/>
    <w:qFormat/>
    <w:uiPriority w:val="0"/>
    <w:pPr>
      <w:widowControl/>
      <w:spacing w:before="100" w:beforeAutospacing="1" w:after="100" w:afterAutospacing="1"/>
      <w:jc w:val="left"/>
    </w:pPr>
    <w:rPr>
      <w:rFonts w:ascii="宋体" w:hAnsi="宋体"/>
    </w:rPr>
  </w:style>
  <w:style w:type="character" w:customStyle="1" w:styleId="116">
    <w:name w:val="Char Char3"/>
    <w:autoRedefine/>
    <w:qFormat/>
    <w:uiPriority w:val="0"/>
    <w:rPr>
      <w:kern w:val="2"/>
      <w:sz w:val="28"/>
      <w:szCs w:val="24"/>
    </w:rPr>
  </w:style>
  <w:style w:type="character" w:customStyle="1" w:styleId="117">
    <w:name w:val="11正文格式 Char"/>
    <w:link w:val="118"/>
    <w:autoRedefine/>
    <w:qFormat/>
    <w:uiPriority w:val="0"/>
    <w:rPr>
      <w:color w:val="C00000"/>
      <w:sz w:val="24"/>
      <w:szCs w:val="24"/>
      <w:lang w:bidi="ar-SA"/>
    </w:rPr>
  </w:style>
  <w:style w:type="paragraph" w:customStyle="1" w:styleId="118">
    <w:name w:val="11正文格式"/>
    <w:basedOn w:val="1"/>
    <w:link w:val="117"/>
    <w:autoRedefine/>
    <w:qFormat/>
    <w:uiPriority w:val="0"/>
    <w:pPr>
      <w:adjustRightInd w:val="0"/>
      <w:snapToGrid w:val="0"/>
      <w:spacing w:line="360" w:lineRule="auto"/>
      <w:ind w:firstLine="200" w:firstLineChars="200"/>
    </w:pPr>
    <w:rPr>
      <w:color w:val="C00000"/>
      <w:szCs w:val="24"/>
      <w:lang w:val="zh-CN"/>
    </w:rPr>
  </w:style>
  <w:style w:type="character" w:customStyle="1" w:styleId="119">
    <w:name w:val="标题 3 Char Char Char Char Char2"/>
    <w:autoRedefine/>
    <w:qFormat/>
    <w:uiPriority w:val="0"/>
    <w:rPr>
      <w:rFonts w:ascii="Times New Roman" w:hAnsi="Times New Roman" w:eastAsia="宋体" w:cs="Times New Roman"/>
      <w:b/>
      <w:bCs/>
      <w:sz w:val="32"/>
      <w:szCs w:val="32"/>
    </w:rPr>
  </w:style>
  <w:style w:type="character" w:customStyle="1" w:styleId="120">
    <w:name w:val="图表标注 Char"/>
    <w:link w:val="121"/>
    <w:autoRedefine/>
    <w:qFormat/>
    <w:locked/>
    <w:uiPriority w:val="0"/>
    <w:rPr>
      <w:rFonts w:ascii="黑体" w:hAnsi="黑体" w:eastAsia="黑体"/>
      <w:lang w:bidi="ar-SA"/>
    </w:rPr>
  </w:style>
  <w:style w:type="paragraph" w:customStyle="1" w:styleId="121">
    <w:name w:val="图表标注"/>
    <w:basedOn w:val="1"/>
    <w:link w:val="120"/>
    <w:autoRedefine/>
    <w:qFormat/>
    <w:uiPriority w:val="0"/>
    <w:pPr>
      <w:spacing w:line="480" w:lineRule="exact"/>
      <w:jc w:val="center"/>
    </w:pPr>
    <w:rPr>
      <w:rFonts w:ascii="黑体" w:hAnsi="黑体" w:eastAsia="黑体"/>
      <w:sz w:val="20"/>
      <w:lang w:val="zh-CN"/>
    </w:rPr>
  </w:style>
  <w:style w:type="character" w:customStyle="1" w:styleId="122">
    <w:name w:val="正文（首行缩进两字） Char Char9"/>
    <w:autoRedefine/>
    <w:qFormat/>
    <w:uiPriority w:val="0"/>
    <w:rPr>
      <w:rFonts w:eastAsia="宋体"/>
      <w:spacing w:val="20"/>
      <w:kern w:val="2"/>
      <w:sz w:val="24"/>
      <w:lang w:val="en-US" w:eastAsia="zh-CN" w:bidi="ar-SA"/>
    </w:rPr>
  </w:style>
  <w:style w:type="character" w:customStyle="1" w:styleId="123">
    <w:name w:val="孙普文字 Char"/>
    <w:autoRedefine/>
    <w:qFormat/>
    <w:uiPriority w:val="0"/>
    <w:rPr>
      <w:rFonts w:ascii="宋体" w:hAnsi="Courier New" w:eastAsia="宋体"/>
      <w:kern w:val="2"/>
      <w:sz w:val="21"/>
      <w:szCs w:val="21"/>
      <w:lang w:val="en-US" w:eastAsia="zh-CN" w:bidi="ar-SA"/>
    </w:rPr>
  </w:style>
  <w:style w:type="character" w:customStyle="1" w:styleId="124">
    <w:name w:val="表内文字 Char Char"/>
    <w:link w:val="125"/>
    <w:autoRedefine/>
    <w:qFormat/>
    <w:uiPriority w:val="0"/>
    <w:rPr>
      <w:rFonts w:eastAsia="宋体"/>
      <w:kern w:val="2"/>
      <w:sz w:val="24"/>
      <w:lang w:val="en-US" w:eastAsia="zh-CN" w:bidi="ar-SA"/>
    </w:rPr>
  </w:style>
  <w:style w:type="paragraph" w:customStyle="1" w:styleId="125">
    <w:name w:val="表内文字"/>
    <w:basedOn w:val="126"/>
    <w:link w:val="124"/>
    <w:autoRedefine/>
    <w:qFormat/>
    <w:uiPriority w:val="0"/>
    <w:pPr>
      <w:spacing w:line="600" w:lineRule="exact"/>
      <w:jc w:val="center"/>
    </w:pPr>
    <w:rPr>
      <w:szCs w:val="20"/>
    </w:rPr>
  </w:style>
  <w:style w:type="paragraph" w:customStyle="1" w:styleId="126">
    <w:name w:val="正文内容"/>
    <w:autoRedefine/>
    <w:qFormat/>
    <w:uiPriority w:val="0"/>
    <w:pPr>
      <w:widowControl w:val="0"/>
      <w:snapToGrid w:val="0"/>
      <w:spacing w:after="160" w:line="360" w:lineRule="auto"/>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27">
    <w:name w:val="apple-style-span"/>
    <w:autoRedefine/>
    <w:qFormat/>
    <w:uiPriority w:val="0"/>
  </w:style>
  <w:style w:type="character" w:customStyle="1" w:styleId="128">
    <w:name w:val="批注文字 Char1"/>
    <w:autoRedefine/>
    <w:qFormat/>
    <w:uiPriority w:val="0"/>
    <w:rPr>
      <w:rFonts w:eastAsia="宋体"/>
      <w:kern w:val="2"/>
      <w:sz w:val="28"/>
      <w:szCs w:val="24"/>
      <w:lang w:val="en-US" w:eastAsia="zh-CN" w:bidi="ar-SA"/>
    </w:rPr>
  </w:style>
  <w:style w:type="character" w:customStyle="1" w:styleId="129">
    <w:name w:val="Char Char Char"/>
    <w:autoRedefine/>
    <w:qFormat/>
    <w:uiPriority w:val="0"/>
    <w:rPr>
      <w:rFonts w:eastAsia="宋体"/>
      <w:kern w:val="2"/>
      <w:sz w:val="28"/>
      <w:szCs w:val="24"/>
      <w:lang w:val="en-US" w:eastAsia="zh-CN" w:bidi="ar-SA"/>
    </w:rPr>
  </w:style>
  <w:style w:type="character" w:customStyle="1" w:styleId="130">
    <w:name w:val="特点 Char1"/>
    <w:autoRedefine/>
    <w:qFormat/>
    <w:uiPriority w:val="0"/>
    <w:rPr>
      <w:rFonts w:eastAsia="宋体"/>
      <w:spacing w:val="20"/>
      <w:kern w:val="2"/>
      <w:sz w:val="24"/>
      <w:lang w:val="en-US" w:eastAsia="zh-CN" w:bidi="ar-SA"/>
    </w:rPr>
  </w:style>
  <w:style w:type="character" w:customStyle="1" w:styleId="131">
    <w:name w:val="ourfont11"/>
    <w:autoRedefine/>
    <w:qFormat/>
    <w:uiPriority w:val="0"/>
    <w:rPr>
      <w:sz w:val="20"/>
      <w:szCs w:val="20"/>
    </w:rPr>
  </w:style>
  <w:style w:type="character" w:customStyle="1" w:styleId="132">
    <w:name w:val="Char Char2"/>
    <w:autoRedefine/>
    <w:qFormat/>
    <w:locked/>
    <w:uiPriority w:val="0"/>
    <w:rPr>
      <w:rFonts w:eastAsia="宋体"/>
      <w:kern w:val="2"/>
      <w:sz w:val="28"/>
      <w:szCs w:val="24"/>
      <w:lang w:val="en-US" w:eastAsia="zh-CN" w:bidi="ar-SA"/>
    </w:rPr>
  </w:style>
  <w:style w:type="character" w:customStyle="1" w:styleId="133">
    <w:name w:val="标题 3 Char Char Char"/>
    <w:autoRedefine/>
    <w:qFormat/>
    <w:uiPriority w:val="0"/>
    <w:rPr>
      <w:rFonts w:eastAsia="宋体"/>
      <w:b/>
      <w:bCs/>
      <w:kern w:val="2"/>
      <w:sz w:val="30"/>
      <w:szCs w:val="32"/>
      <w:lang w:val="en-US" w:eastAsia="zh-CN" w:bidi="ar-SA"/>
    </w:rPr>
  </w:style>
  <w:style w:type="character" w:customStyle="1" w:styleId="134">
    <w:name w:val="111正文格式111 Char"/>
    <w:link w:val="135"/>
    <w:autoRedefine/>
    <w:qFormat/>
    <w:uiPriority w:val="0"/>
    <w:rPr>
      <w:bCs/>
      <w:kern w:val="2"/>
      <w:sz w:val="24"/>
      <w:szCs w:val="24"/>
      <w:lang w:bidi="ar-SA"/>
    </w:rPr>
  </w:style>
  <w:style w:type="paragraph" w:customStyle="1" w:styleId="135">
    <w:name w:val="111正文格式111"/>
    <w:basedOn w:val="1"/>
    <w:link w:val="134"/>
    <w:autoRedefine/>
    <w:qFormat/>
    <w:uiPriority w:val="0"/>
    <w:pPr>
      <w:adjustRightInd w:val="0"/>
      <w:snapToGrid w:val="0"/>
      <w:spacing w:line="360" w:lineRule="auto"/>
      <w:ind w:firstLine="200" w:firstLineChars="200"/>
    </w:pPr>
    <w:rPr>
      <w:bCs/>
      <w:szCs w:val="24"/>
      <w:lang w:val="zh-CN"/>
    </w:rPr>
  </w:style>
  <w:style w:type="character" w:customStyle="1" w:styleId="136">
    <w:name w:val="5文章(治) Char"/>
    <w:link w:val="137"/>
    <w:autoRedefine/>
    <w:qFormat/>
    <w:uiPriority w:val="0"/>
    <w:rPr>
      <w:rFonts w:eastAsia="宋体"/>
      <w:color w:val="000000"/>
      <w:sz w:val="24"/>
      <w:lang w:bidi="ar-SA"/>
    </w:rPr>
  </w:style>
  <w:style w:type="paragraph" w:customStyle="1" w:styleId="137">
    <w:name w:val="5文章(治)"/>
    <w:basedOn w:val="1"/>
    <w:link w:val="136"/>
    <w:autoRedefine/>
    <w:qFormat/>
    <w:uiPriority w:val="0"/>
    <w:pPr>
      <w:spacing w:line="360" w:lineRule="auto"/>
      <w:ind w:firstLine="560" w:firstLineChars="200"/>
    </w:pPr>
    <w:rPr>
      <w:color w:val="000000"/>
      <w:lang w:val="zh-CN"/>
    </w:rPr>
  </w:style>
  <w:style w:type="character" w:customStyle="1" w:styleId="138">
    <w:name w:val="A正文 Char"/>
    <w:link w:val="25"/>
    <w:autoRedefine/>
    <w:qFormat/>
    <w:uiPriority w:val="0"/>
    <w:rPr>
      <w:sz w:val="24"/>
      <w:szCs w:val="24"/>
      <w:lang w:bidi="ar-SA"/>
    </w:rPr>
  </w:style>
  <w:style w:type="character" w:customStyle="1" w:styleId="139">
    <w:name w:val="表格居中 Char"/>
    <w:link w:val="140"/>
    <w:autoRedefine/>
    <w:qFormat/>
    <w:uiPriority w:val="99"/>
    <w:rPr>
      <w:rFonts w:eastAsia="Times New Roman"/>
      <w:kern w:val="2"/>
      <w:sz w:val="24"/>
      <w:szCs w:val="24"/>
      <w:lang w:val="en-US" w:eastAsia="zh-CN" w:bidi="ar-SA"/>
    </w:rPr>
  </w:style>
  <w:style w:type="paragraph" w:customStyle="1" w:styleId="140">
    <w:name w:val="表格居中"/>
    <w:link w:val="139"/>
    <w:autoRedefine/>
    <w:qFormat/>
    <w:uiPriority w:val="99"/>
    <w:pPr>
      <w:spacing w:after="160" w:line="440" w:lineRule="exact"/>
      <w:jc w:val="center"/>
    </w:pPr>
    <w:rPr>
      <w:rFonts w:ascii="Times New Roman" w:hAnsi="Times New Roman" w:eastAsia="Times New Roman" w:cs="Times New Roman"/>
      <w:kern w:val="2"/>
      <w:sz w:val="24"/>
      <w:szCs w:val="24"/>
      <w:lang w:val="en-US" w:eastAsia="zh-CN" w:bidi="ar-SA"/>
    </w:rPr>
  </w:style>
  <w:style w:type="character" w:customStyle="1" w:styleId="141">
    <w:name w:val="表 Char"/>
    <w:link w:val="142"/>
    <w:autoRedefine/>
    <w:qFormat/>
    <w:uiPriority w:val="0"/>
    <w:rPr>
      <w:spacing w:val="2"/>
      <w:kern w:val="2"/>
      <w:sz w:val="21"/>
      <w:lang w:bidi="ar-SA"/>
    </w:rPr>
  </w:style>
  <w:style w:type="paragraph" w:customStyle="1" w:styleId="142">
    <w:name w:val="表"/>
    <w:basedOn w:val="1"/>
    <w:link w:val="141"/>
    <w:autoRedefine/>
    <w:qFormat/>
    <w:uiPriority w:val="0"/>
    <w:pPr>
      <w:snapToGrid w:val="0"/>
      <w:jc w:val="center"/>
    </w:pPr>
    <w:rPr>
      <w:spacing w:val="2"/>
      <w:sz w:val="21"/>
      <w:lang w:val="zh-CN"/>
    </w:rPr>
  </w:style>
  <w:style w:type="character" w:customStyle="1" w:styleId="143">
    <w:name w:val="正文(首行缩进) Char Char"/>
    <w:link w:val="144"/>
    <w:autoRedefine/>
    <w:qFormat/>
    <w:uiPriority w:val="0"/>
    <w:rPr>
      <w:rFonts w:eastAsia="宋体"/>
      <w:snapToGrid w:val="0"/>
      <w:sz w:val="24"/>
      <w:szCs w:val="24"/>
      <w:lang w:val="en-US" w:eastAsia="zh-CN" w:bidi="ar-SA"/>
    </w:rPr>
  </w:style>
  <w:style w:type="paragraph" w:customStyle="1" w:styleId="144">
    <w:name w:val="正文(首行缩进)"/>
    <w:basedOn w:val="1"/>
    <w:link w:val="143"/>
    <w:autoRedefine/>
    <w:qFormat/>
    <w:uiPriority w:val="0"/>
    <w:pPr>
      <w:adjustRightInd w:val="0"/>
      <w:snapToGrid w:val="0"/>
      <w:spacing w:line="360" w:lineRule="auto"/>
      <w:ind w:firstLine="200" w:firstLineChars="200"/>
    </w:pPr>
    <w:rPr>
      <w:snapToGrid w:val="0"/>
      <w:szCs w:val="24"/>
    </w:rPr>
  </w:style>
  <w:style w:type="character" w:customStyle="1" w:styleId="145">
    <w:name w:val="t_tag"/>
    <w:autoRedefine/>
    <w:qFormat/>
    <w:uiPriority w:val="0"/>
  </w:style>
  <w:style w:type="character" w:customStyle="1" w:styleId="146">
    <w:name w:val="Char Char4"/>
    <w:autoRedefine/>
    <w:qFormat/>
    <w:locked/>
    <w:uiPriority w:val="0"/>
    <w:rPr>
      <w:rFonts w:ascii="宋体" w:hAnsi="Courier New" w:eastAsia="宋体"/>
      <w:kern w:val="2"/>
      <w:sz w:val="21"/>
      <w:szCs w:val="21"/>
      <w:lang w:val="en-US" w:eastAsia="zh-CN" w:bidi="ar-SA"/>
    </w:rPr>
  </w:style>
  <w:style w:type="character" w:customStyle="1" w:styleId="147">
    <w:name w:val="表格文字 Char"/>
    <w:link w:val="148"/>
    <w:autoRedefine/>
    <w:qFormat/>
    <w:locked/>
    <w:uiPriority w:val="0"/>
    <w:rPr>
      <w:rFonts w:eastAsia="仿宋_GB2312"/>
      <w:sz w:val="24"/>
      <w:lang w:val="en-US" w:eastAsia="zh-CN" w:bidi="ar-SA"/>
    </w:rPr>
  </w:style>
  <w:style w:type="paragraph" w:customStyle="1" w:styleId="148">
    <w:name w:val="表格文字"/>
    <w:basedOn w:val="1"/>
    <w:link w:val="147"/>
    <w:autoRedefine/>
    <w:qFormat/>
    <w:uiPriority w:val="0"/>
    <w:pPr>
      <w:autoSpaceDE w:val="0"/>
      <w:autoSpaceDN w:val="0"/>
      <w:adjustRightInd w:val="0"/>
      <w:spacing w:before="60" w:after="60"/>
      <w:jc w:val="center"/>
      <w:textAlignment w:val="bottom"/>
    </w:pPr>
    <w:rPr>
      <w:rFonts w:eastAsia="仿宋_GB2312"/>
    </w:rPr>
  </w:style>
  <w:style w:type="character" w:customStyle="1" w:styleId="149">
    <w:name w:val="Char Char12"/>
    <w:autoRedefine/>
    <w:qFormat/>
    <w:uiPriority w:val="0"/>
    <w:rPr>
      <w:rFonts w:hint="eastAsia" w:ascii="宋体" w:hAnsi="宋体" w:eastAsia="宋体" w:cs="宋体"/>
      <w:kern w:val="2"/>
      <w:sz w:val="28"/>
      <w:szCs w:val="21"/>
      <w:lang w:val="en-US" w:eastAsia="zh-CN" w:bidi="ar"/>
    </w:rPr>
  </w:style>
  <w:style w:type="character" w:customStyle="1" w:styleId="150">
    <w:name w:val="11表头 Char"/>
    <w:link w:val="151"/>
    <w:autoRedefine/>
    <w:qFormat/>
    <w:uiPriority w:val="0"/>
    <w:rPr>
      <w:rFonts w:eastAsia="黑体"/>
      <w:color w:val="C00000"/>
      <w:kern w:val="2"/>
      <w:sz w:val="24"/>
      <w:szCs w:val="24"/>
      <w:lang w:bidi="ar-SA"/>
    </w:rPr>
  </w:style>
  <w:style w:type="paragraph" w:customStyle="1" w:styleId="151">
    <w:name w:val="11表头"/>
    <w:basedOn w:val="1"/>
    <w:link w:val="150"/>
    <w:autoRedefine/>
    <w:qFormat/>
    <w:uiPriority w:val="0"/>
    <w:pPr>
      <w:snapToGrid w:val="0"/>
      <w:jc w:val="center"/>
    </w:pPr>
    <w:rPr>
      <w:rFonts w:eastAsia="黑体"/>
      <w:color w:val="C00000"/>
      <w:szCs w:val="24"/>
      <w:lang w:val="zh-CN"/>
    </w:rPr>
  </w:style>
  <w:style w:type="character" w:customStyle="1" w:styleId="152">
    <w:name w:val="Char Char6"/>
    <w:autoRedefine/>
    <w:qFormat/>
    <w:uiPriority w:val="0"/>
    <w:rPr>
      <w:rFonts w:eastAsia="宋体"/>
      <w:b/>
      <w:bCs/>
      <w:kern w:val="2"/>
      <w:sz w:val="32"/>
      <w:szCs w:val="32"/>
      <w:lang w:val="en-US" w:eastAsia="zh-CN" w:bidi="ar-SA"/>
    </w:rPr>
  </w:style>
  <w:style w:type="character" w:customStyle="1" w:styleId="153">
    <w:name w:val="Char Char"/>
    <w:link w:val="154"/>
    <w:autoRedefine/>
    <w:qFormat/>
    <w:uiPriority w:val="0"/>
    <w:rPr>
      <w:rFonts w:eastAsia="宋体"/>
      <w:kern w:val="2"/>
      <w:sz w:val="18"/>
      <w:szCs w:val="18"/>
      <w:lang w:val="en-US" w:eastAsia="zh-CN" w:bidi="ar-SA"/>
    </w:rPr>
  </w:style>
  <w:style w:type="paragraph" w:customStyle="1" w:styleId="154">
    <w:name w:val="Char"/>
    <w:basedOn w:val="1"/>
    <w:link w:val="153"/>
    <w:autoRedefine/>
    <w:qFormat/>
    <w:uiPriority w:val="0"/>
    <w:pPr>
      <w:spacing w:line="360" w:lineRule="auto"/>
      <w:ind w:firstLine="200" w:firstLineChars="200"/>
    </w:pPr>
    <w:rPr>
      <w:sz w:val="18"/>
      <w:szCs w:val="18"/>
    </w:rPr>
  </w:style>
  <w:style w:type="character" w:customStyle="1" w:styleId="155">
    <w:name w:val="报告 Char"/>
    <w:link w:val="156"/>
    <w:autoRedefine/>
    <w:qFormat/>
    <w:uiPriority w:val="0"/>
    <w:rPr>
      <w:rFonts w:ascii="TimesNewRoman" w:hAnsi="TimesNewRoman" w:eastAsia="宋体"/>
      <w:sz w:val="24"/>
      <w:lang w:val="en-US" w:eastAsia="zh-CN" w:bidi="ar-SA"/>
    </w:rPr>
  </w:style>
  <w:style w:type="paragraph" w:customStyle="1" w:styleId="156">
    <w:name w:val="报告"/>
    <w:basedOn w:val="1"/>
    <w:link w:val="155"/>
    <w:autoRedefine/>
    <w:qFormat/>
    <w:uiPriority w:val="0"/>
    <w:pPr>
      <w:adjustRightInd w:val="0"/>
      <w:spacing w:line="360" w:lineRule="auto"/>
      <w:ind w:firstLine="505"/>
      <w:textAlignment w:val="center"/>
    </w:pPr>
    <w:rPr>
      <w:rFonts w:ascii="TimesNewRoman" w:hAnsi="TimesNewRoman"/>
    </w:rPr>
  </w:style>
  <w:style w:type="character" w:customStyle="1" w:styleId="157">
    <w:name w:val="Char Char5"/>
    <w:autoRedefine/>
    <w:qFormat/>
    <w:uiPriority w:val="0"/>
    <w:rPr>
      <w:rFonts w:ascii="宋体" w:hAnsi="宋体" w:eastAsia="宋体" w:cs="宋体"/>
      <w:sz w:val="24"/>
      <w:szCs w:val="24"/>
      <w:lang w:val="en-US" w:eastAsia="zh-CN" w:bidi="ar-SA"/>
    </w:rPr>
  </w:style>
  <w:style w:type="character" w:customStyle="1" w:styleId="158">
    <w:name w:val="标题 3 Char Char Char Char Char"/>
    <w:autoRedefine/>
    <w:qFormat/>
    <w:uiPriority w:val="0"/>
    <w:rPr>
      <w:rFonts w:eastAsia="宋体"/>
      <w:b/>
      <w:bCs/>
      <w:kern w:val="2"/>
      <w:sz w:val="32"/>
      <w:szCs w:val="32"/>
      <w:lang w:val="en-US" w:eastAsia="zh-CN" w:bidi="ar-SA"/>
    </w:rPr>
  </w:style>
  <w:style w:type="character" w:customStyle="1" w:styleId="159">
    <w:name w:val="表格正文 Char"/>
    <w:link w:val="160"/>
    <w:autoRedefine/>
    <w:qFormat/>
    <w:uiPriority w:val="0"/>
    <w:rPr>
      <w:rFonts w:ascii="仿宋_GB2312" w:eastAsia="仿宋_GB2312"/>
      <w:kern w:val="2"/>
      <w:sz w:val="21"/>
      <w:szCs w:val="24"/>
      <w:lang w:val="en-US" w:eastAsia="zh-CN" w:bidi="ar-SA"/>
    </w:rPr>
  </w:style>
  <w:style w:type="paragraph" w:customStyle="1" w:styleId="160">
    <w:name w:val="表格正文"/>
    <w:basedOn w:val="1"/>
    <w:link w:val="159"/>
    <w:autoRedefine/>
    <w:qFormat/>
    <w:uiPriority w:val="0"/>
    <w:pPr>
      <w:jc w:val="center"/>
    </w:pPr>
    <w:rPr>
      <w:rFonts w:ascii="仿宋_GB2312" w:eastAsia="仿宋_GB2312"/>
      <w:sz w:val="21"/>
      <w:szCs w:val="24"/>
    </w:rPr>
  </w:style>
  <w:style w:type="character" w:customStyle="1" w:styleId="161">
    <w:name w:val="1正文段落 Char"/>
    <w:link w:val="162"/>
    <w:autoRedefine/>
    <w:qFormat/>
    <w:locked/>
    <w:uiPriority w:val="0"/>
    <w:rPr>
      <w:rFonts w:ascii="宋体" w:hAnsi="宋体" w:eastAsia="宋体"/>
      <w:snapToGrid w:val="0"/>
      <w:sz w:val="24"/>
      <w:lang w:val="en-US" w:eastAsia="zh-CN" w:bidi="ar-SA"/>
    </w:rPr>
  </w:style>
  <w:style w:type="paragraph" w:customStyle="1" w:styleId="162">
    <w:name w:val="1正文段落"/>
    <w:basedOn w:val="1"/>
    <w:link w:val="161"/>
    <w:autoRedefine/>
    <w:qFormat/>
    <w:uiPriority w:val="0"/>
    <w:pPr>
      <w:snapToGrid w:val="0"/>
      <w:spacing w:line="360" w:lineRule="auto"/>
      <w:ind w:firstLine="480" w:firstLineChars="200"/>
      <w:jc w:val="left"/>
    </w:pPr>
    <w:rPr>
      <w:rFonts w:ascii="宋体" w:hAnsi="宋体"/>
      <w:snapToGrid w:val="0"/>
    </w:rPr>
  </w:style>
  <w:style w:type="character" w:customStyle="1" w:styleId="163">
    <w:name w:val="A标准格式 Char Char"/>
    <w:link w:val="164"/>
    <w:autoRedefine/>
    <w:qFormat/>
    <w:uiPriority w:val="0"/>
    <w:rPr>
      <w:rFonts w:eastAsia="宋体"/>
      <w:kern w:val="2"/>
      <w:sz w:val="24"/>
      <w:szCs w:val="24"/>
      <w:lang w:val="en-US" w:eastAsia="zh-CN" w:bidi="ar-SA"/>
    </w:rPr>
  </w:style>
  <w:style w:type="paragraph" w:customStyle="1" w:styleId="164">
    <w:name w:val="A标准格式"/>
    <w:basedOn w:val="1"/>
    <w:link w:val="163"/>
    <w:autoRedefine/>
    <w:qFormat/>
    <w:uiPriority w:val="0"/>
    <w:pPr>
      <w:spacing w:line="440" w:lineRule="exact"/>
      <w:ind w:firstLine="480" w:firstLineChars="200"/>
    </w:pPr>
    <w:rPr>
      <w:szCs w:val="24"/>
    </w:rPr>
  </w:style>
  <w:style w:type="character" w:customStyle="1" w:styleId="165">
    <w:name w:val="表头 Char Char"/>
    <w:link w:val="74"/>
    <w:autoRedefine/>
    <w:qFormat/>
    <w:uiPriority w:val="0"/>
    <w:rPr>
      <w:rFonts w:hAnsi="宋体" w:eastAsia="宋体"/>
      <w:b/>
      <w:color w:val="000000"/>
      <w:kern w:val="2"/>
      <w:position w:val="2"/>
      <w:sz w:val="24"/>
      <w:szCs w:val="24"/>
      <w:lang w:val="en-US" w:eastAsia="zh-CN" w:bidi="ar-SA"/>
    </w:rPr>
  </w:style>
  <w:style w:type="character" w:customStyle="1" w:styleId="166">
    <w:name w:val="正文（首行缩进两字） Char Char Char Char Char Char Char Char"/>
    <w:autoRedefine/>
    <w:qFormat/>
    <w:uiPriority w:val="0"/>
    <w:rPr>
      <w:rFonts w:eastAsia="华文中宋"/>
      <w:w w:val="90"/>
      <w:sz w:val="28"/>
      <w:lang w:val="en-US" w:eastAsia="zh-CN" w:bidi="ar-SA"/>
    </w:rPr>
  </w:style>
  <w:style w:type="character" w:customStyle="1" w:styleId="167">
    <w:name w:val="普通文字 Char Char1"/>
    <w:autoRedefine/>
    <w:qFormat/>
    <w:uiPriority w:val="0"/>
    <w:rPr>
      <w:rFonts w:ascii="宋体" w:hAnsi="Courier New" w:eastAsia="宋体"/>
      <w:spacing w:val="-2"/>
      <w:kern w:val="28"/>
      <w:sz w:val="21"/>
      <w:lang w:val="en-US" w:eastAsia="zh-CN" w:bidi="ar-SA"/>
    </w:rPr>
  </w:style>
  <w:style w:type="character" w:customStyle="1" w:styleId="168">
    <w:name w:val="Char Char21"/>
    <w:autoRedefine/>
    <w:qFormat/>
    <w:uiPriority w:val="0"/>
    <w:rPr>
      <w:rFonts w:eastAsia="宋体"/>
      <w:kern w:val="2"/>
      <w:sz w:val="18"/>
      <w:szCs w:val="18"/>
      <w:lang w:val="en-US" w:eastAsia="zh-CN" w:bidi="ar-SA"/>
    </w:rPr>
  </w:style>
  <w:style w:type="character" w:customStyle="1" w:styleId="169">
    <w:name w:val="表格 Char Char"/>
    <w:autoRedefine/>
    <w:qFormat/>
    <w:uiPriority w:val="0"/>
    <w:rPr>
      <w:rFonts w:eastAsia="宋体"/>
      <w:kern w:val="2"/>
      <w:sz w:val="24"/>
      <w:lang w:val="en-US" w:eastAsia="zh-CN" w:bidi="ar-SA"/>
    </w:rPr>
  </w:style>
  <w:style w:type="character" w:customStyle="1" w:styleId="170">
    <w:name w:val="书籍标题1"/>
    <w:autoRedefine/>
    <w:qFormat/>
    <w:uiPriority w:val="0"/>
    <w:rPr>
      <w:b/>
    </w:rPr>
  </w:style>
  <w:style w:type="character" w:customStyle="1" w:styleId="171">
    <w:name w:val="正文（首行缩进） Char Char Char"/>
    <w:link w:val="172"/>
    <w:autoRedefine/>
    <w:qFormat/>
    <w:locked/>
    <w:uiPriority w:val="0"/>
    <w:rPr>
      <w:sz w:val="24"/>
      <w:lang w:bidi="ar-SA"/>
    </w:rPr>
  </w:style>
  <w:style w:type="paragraph" w:customStyle="1" w:styleId="172">
    <w:name w:val="正文（首行缩进） Char"/>
    <w:basedOn w:val="1"/>
    <w:link w:val="171"/>
    <w:autoRedefine/>
    <w:qFormat/>
    <w:uiPriority w:val="0"/>
    <w:pPr>
      <w:widowControl/>
      <w:overflowPunct w:val="0"/>
      <w:topLinePunct/>
      <w:autoSpaceDE w:val="0"/>
      <w:autoSpaceDN w:val="0"/>
      <w:adjustRightInd w:val="0"/>
      <w:snapToGrid w:val="0"/>
      <w:spacing w:line="360" w:lineRule="auto"/>
      <w:ind w:firstLine="480" w:firstLineChars="200"/>
    </w:pPr>
    <w:rPr>
      <w:lang w:val="zh-CN"/>
    </w:rPr>
  </w:style>
  <w:style w:type="character" w:customStyle="1" w:styleId="173">
    <w:name w:val="Char Char41"/>
    <w:autoRedefine/>
    <w:qFormat/>
    <w:uiPriority w:val="0"/>
    <w:rPr>
      <w:rFonts w:eastAsia="宋体"/>
      <w:kern w:val="2"/>
      <w:sz w:val="28"/>
      <w:szCs w:val="24"/>
      <w:lang w:val="en-US" w:eastAsia="zh-CN" w:bidi="ar-SA"/>
    </w:rPr>
  </w:style>
  <w:style w:type="character" w:customStyle="1" w:styleId="174">
    <w:name w:val="普通 (Web) Char1"/>
    <w:autoRedefine/>
    <w:qFormat/>
    <w:locked/>
    <w:uiPriority w:val="0"/>
    <w:rPr>
      <w:rFonts w:ascii="宋体" w:hAnsi="宋体" w:eastAsia="宋体" w:cs="宋体"/>
      <w:sz w:val="24"/>
      <w:szCs w:val="24"/>
      <w:lang w:val="en-US" w:eastAsia="zh-CN" w:bidi="ar-SA"/>
    </w:rPr>
  </w:style>
  <w:style w:type="character" w:customStyle="1" w:styleId="175">
    <w:name w:val="apple-converted-space"/>
    <w:autoRedefine/>
    <w:qFormat/>
    <w:uiPriority w:val="0"/>
  </w:style>
  <w:style w:type="character" w:customStyle="1" w:styleId="176">
    <w:name w:val="正文缩进 Char1"/>
    <w:autoRedefine/>
    <w:qFormat/>
    <w:uiPriority w:val="0"/>
    <w:rPr>
      <w:rFonts w:eastAsia="宋体"/>
      <w:spacing w:val="20"/>
      <w:sz w:val="24"/>
    </w:rPr>
  </w:style>
  <w:style w:type="character" w:customStyle="1" w:styleId="177">
    <w:name w:val="text06"/>
    <w:autoRedefine/>
    <w:qFormat/>
    <w:uiPriority w:val="0"/>
  </w:style>
  <w:style w:type="character" w:customStyle="1" w:styleId="178">
    <w:name w:val="0二级标题 Char"/>
    <w:link w:val="179"/>
    <w:autoRedefine/>
    <w:qFormat/>
    <w:uiPriority w:val="0"/>
    <w:rPr>
      <w:b/>
      <w:sz w:val="24"/>
      <w:lang w:bidi="en-US"/>
    </w:rPr>
  </w:style>
  <w:style w:type="paragraph" w:customStyle="1" w:styleId="179">
    <w:name w:val="0二级标题"/>
    <w:basedOn w:val="180"/>
    <w:link w:val="178"/>
    <w:autoRedefine/>
    <w:qFormat/>
    <w:uiPriority w:val="0"/>
    <w:pPr>
      <w:framePr w:hSpace="180" w:wrap="around" w:vAnchor="text" w:hAnchor="text" w:xAlign="center" w:y="1"/>
      <w:suppressOverlap/>
      <w:wordWrap/>
    </w:pPr>
    <w:rPr>
      <w:b/>
    </w:rPr>
  </w:style>
  <w:style w:type="paragraph" w:customStyle="1" w:styleId="180">
    <w:name w:val="0报告正文格式1"/>
    <w:basedOn w:val="1"/>
    <w:qFormat/>
    <w:uiPriority w:val="0"/>
    <w:pPr>
      <w:widowControl/>
      <w:wordWrap w:val="0"/>
      <w:adjustRightInd w:val="0"/>
      <w:snapToGrid w:val="0"/>
      <w:spacing w:after="0" w:line="460" w:lineRule="exact"/>
      <w:ind w:firstLine="200" w:firstLineChars="200"/>
    </w:pPr>
    <w:rPr>
      <w:lang w:bidi="en-US"/>
    </w:rPr>
  </w:style>
  <w:style w:type="paragraph" w:customStyle="1" w:styleId="181">
    <w:name w:val="新正文"/>
    <w:basedOn w:val="1"/>
    <w:autoRedefine/>
    <w:qFormat/>
    <w:uiPriority w:val="0"/>
    <w:pPr>
      <w:spacing w:line="480" w:lineRule="exact"/>
      <w:ind w:firstLine="567"/>
    </w:pPr>
    <w:rPr>
      <w:rFonts w:ascii="仿宋_GB2312" w:eastAsia="仿宋_GB2312"/>
      <w:bCs/>
      <w:sz w:val="28"/>
    </w:rPr>
  </w:style>
  <w:style w:type="paragraph" w:customStyle="1" w:styleId="182">
    <w:name w:val="表格 32"/>
    <w:basedOn w:val="1"/>
    <w:autoRedefine/>
    <w:qFormat/>
    <w:uiPriority w:val="0"/>
    <w:pPr>
      <w:autoSpaceDE w:val="0"/>
      <w:autoSpaceDN w:val="0"/>
      <w:adjustRightInd w:val="0"/>
      <w:spacing w:line="240" w:lineRule="atLeast"/>
      <w:jc w:val="center"/>
    </w:pPr>
  </w:style>
  <w:style w:type="paragraph" w:customStyle="1" w:styleId="183">
    <w:name w:val="样式 列表 2 + 华文仿宋 居中"/>
    <w:basedOn w:val="29"/>
    <w:autoRedefine/>
    <w:qFormat/>
    <w:uiPriority w:val="0"/>
    <w:pPr>
      <w:spacing w:line="240" w:lineRule="exact"/>
      <w:ind w:left="0" w:leftChars="0" w:firstLine="0" w:firstLineChars="0"/>
      <w:jc w:val="center"/>
    </w:pPr>
    <w:rPr>
      <w:sz w:val="21"/>
    </w:rPr>
  </w:style>
  <w:style w:type="paragraph" w:customStyle="1" w:styleId="184">
    <w:name w:val="列出段落1"/>
    <w:basedOn w:val="1"/>
    <w:autoRedefine/>
    <w:qFormat/>
    <w:uiPriority w:val="0"/>
    <w:pPr>
      <w:autoSpaceDE w:val="0"/>
      <w:autoSpaceDN w:val="0"/>
      <w:ind w:left="1383" w:hanging="841"/>
      <w:jc w:val="left"/>
    </w:pPr>
    <w:rPr>
      <w:rFonts w:ascii="宋体" w:hAnsi="宋体" w:cs="宋体"/>
      <w:sz w:val="22"/>
      <w:szCs w:val="22"/>
    </w:rPr>
  </w:style>
  <w:style w:type="paragraph" w:customStyle="1" w:styleId="185">
    <w:name w:val="2 Char"/>
    <w:basedOn w:val="1"/>
    <w:autoRedefine/>
    <w:qFormat/>
    <w:uiPriority w:val="0"/>
    <w:pPr>
      <w:spacing w:line="360" w:lineRule="auto"/>
      <w:ind w:firstLine="200" w:firstLineChars="200"/>
    </w:pPr>
    <w:rPr>
      <w:rFonts w:ascii="宋体" w:hAnsi="宋体" w:cs="宋体"/>
    </w:rPr>
  </w:style>
  <w:style w:type="paragraph" w:customStyle="1" w:styleId="186">
    <w:name w:val="pic-info"/>
    <w:basedOn w:val="1"/>
    <w:autoRedefine/>
    <w:qFormat/>
    <w:uiPriority w:val="0"/>
    <w:pPr>
      <w:widowControl/>
      <w:spacing w:before="100" w:beforeAutospacing="1" w:after="100" w:afterAutospacing="1"/>
      <w:jc w:val="left"/>
    </w:pPr>
    <w:rPr>
      <w:rFonts w:ascii="宋体" w:hAnsi="宋体" w:cs="宋体"/>
    </w:rPr>
  </w:style>
  <w:style w:type="paragraph" w:customStyle="1" w:styleId="187">
    <w:name w:val="字元 字元"/>
    <w:basedOn w:val="1"/>
    <w:autoRedefine/>
    <w:qFormat/>
    <w:uiPriority w:val="0"/>
  </w:style>
  <w:style w:type="paragraph" w:customStyle="1" w:styleId="188">
    <w:name w:val="p0"/>
    <w:basedOn w:val="1"/>
    <w:autoRedefine/>
    <w:qFormat/>
    <w:uiPriority w:val="99"/>
    <w:pPr>
      <w:widowControl/>
      <w:snapToGrid w:val="0"/>
      <w:spacing w:line="312" w:lineRule="atLeast"/>
    </w:pPr>
  </w:style>
  <w:style w:type="paragraph" w:customStyle="1" w:styleId="189">
    <w:name w:val="zxz5"/>
    <w:next w:val="1"/>
    <w:autoRedefine/>
    <w:qFormat/>
    <w:uiPriority w:val="0"/>
    <w:pPr>
      <w:tabs>
        <w:tab w:val="left" w:pos="0"/>
      </w:tabs>
      <w:spacing w:after="160" w:line="278" w:lineRule="auto"/>
      <w:jc w:val="center"/>
    </w:pPr>
    <w:rPr>
      <w:rFonts w:ascii="Times New Roman" w:hAnsi="Times New Roman" w:eastAsia="宋体" w:cs="Times New Roman"/>
      <w:kern w:val="2"/>
      <w:sz w:val="24"/>
      <w:szCs w:val="21"/>
      <w:lang w:val="en-US" w:eastAsia="zh-CN" w:bidi="ar-SA"/>
    </w:rPr>
  </w:style>
  <w:style w:type="paragraph" w:customStyle="1" w:styleId="190">
    <w:name w:val="font5"/>
    <w:basedOn w:val="1"/>
    <w:autoRedefine/>
    <w:qFormat/>
    <w:uiPriority w:val="0"/>
    <w:pPr>
      <w:widowControl/>
      <w:spacing w:before="100" w:beforeAutospacing="1" w:after="100" w:afterAutospacing="1"/>
      <w:jc w:val="left"/>
    </w:pPr>
    <w:rPr>
      <w:rFonts w:hint="eastAsia" w:ascii="宋体" w:hAnsi="宋体"/>
      <w:sz w:val="18"/>
      <w:szCs w:val="18"/>
    </w:rPr>
  </w:style>
  <w:style w:type="paragraph" w:customStyle="1" w:styleId="191">
    <w:name w:val="默认段落字体 Para Char Char Char Char"/>
    <w:basedOn w:val="1"/>
    <w:autoRedefine/>
    <w:qFormat/>
    <w:uiPriority w:val="0"/>
    <w:pPr>
      <w:widowControl/>
      <w:jc w:val="left"/>
    </w:pPr>
    <w:rPr>
      <w:rFonts w:cs="宋体"/>
    </w:rPr>
  </w:style>
  <w:style w:type="paragraph" w:customStyle="1" w:styleId="192">
    <w:name w:val="中文报告书样式"/>
    <w:basedOn w:val="1"/>
    <w:autoRedefine/>
    <w:qFormat/>
    <w:uiPriority w:val="0"/>
    <w:pPr>
      <w:adjustRightInd w:val="0"/>
      <w:spacing w:line="480" w:lineRule="atLeast"/>
      <w:ind w:firstLine="482"/>
      <w:textAlignment w:val="baseline"/>
    </w:pPr>
    <w:rPr>
      <w:kern w:val="24"/>
    </w:rPr>
  </w:style>
  <w:style w:type="paragraph" w:customStyle="1" w:styleId="193">
    <w:name w:val="标题 31"/>
    <w:basedOn w:val="1"/>
    <w:next w:val="1"/>
    <w:autoRedefine/>
    <w:qFormat/>
    <w:uiPriority w:val="0"/>
    <w:pPr>
      <w:keepNext/>
      <w:keepLines/>
      <w:tabs>
        <w:tab w:val="left" w:pos="1620"/>
      </w:tabs>
      <w:spacing w:before="156" w:beforeLines="50" w:line="460" w:lineRule="exact"/>
      <w:ind w:firstLine="573"/>
      <w:outlineLvl w:val="2"/>
    </w:pPr>
    <w:rPr>
      <w:rFonts w:ascii="ºÚÌå" w:hAnsi="宋体" w:cs="ºÚÌå"/>
      <w:b/>
      <w:bCs/>
      <w:spacing w:val="-8"/>
      <w:sz w:val="30"/>
    </w:rPr>
  </w:style>
  <w:style w:type="paragraph" w:customStyle="1" w:styleId="194">
    <w:name w:val="正文2"/>
    <w:autoRedefine/>
    <w:qFormat/>
    <w:uiPriority w:val="0"/>
    <w:pPr>
      <w:spacing w:after="160" w:line="278" w:lineRule="auto"/>
    </w:pPr>
    <w:rPr>
      <w:rFonts w:ascii="Times New Roman" w:hAnsi="Times New Roman" w:eastAsia="宋体" w:cs="宋体"/>
      <w:kern w:val="2"/>
      <w:sz w:val="28"/>
      <w:szCs w:val="21"/>
      <w:lang w:val="en-US" w:eastAsia="zh-CN" w:bidi="ar-SA"/>
    </w:rPr>
  </w:style>
  <w:style w:type="paragraph" w:customStyle="1" w:styleId="195">
    <w:name w:val="Char Char Char Char Char Char Char1"/>
    <w:basedOn w:val="1"/>
    <w:autoRedefine/>
    <w:qFormat/>
    <w:uiPriority w:val="0"/>
    <w:pPr>
      <w:adjustRightInd w:val="0"/>
      <w:spacing w:line="360" w:lineRule="auto"/>
    </w:pPr>
  </w:style>
  <w:style w:type="paragraph" w:customStyle="1" w:styleId="196">
    <w:name w:val="正文1"/>
    <w:autoRedefine/>
    <w:qFormat/>
    <w:uiPriority w:val="0"/>
    <w:pPr>
      <w:spacing w:after="160" w:line="278" w:lineRule="auto"/>
      <w:jc w:val="both"/>
    </w:pPr>
    <w:rPr>
      <w:rFonts w:ascii="Calibri" w:hAnsi="Calibri" w:eastAsia="宋体" w:cs="宋体"/>
      <w:kern w:val="2"/>
      <w:sz w:val="21"/>
      <w:szCs w:val="21"/>
      <w:lang w:val="en-US" w:eastAsia="zh-CN" w:bidi="ar-SA"/>
    </w:rPr>
  </w:style>
  <w:style w:type="paragraph" w:customStyle="1" w:styleId="197">
    <w:name w:val="Char Char Char Char1"/>
    <w:basedOn w:val="1"/>
    <w:autoRedefine/>
    <w:qFormat/>
    <w:uiPriority w:val="0"/>
  </w:style>
  <w:style w:type="paragraph" w:customStyle="1" w:styleId="198">
    <w:name w:val="默认段落字体 Para Char Char Char Char Char Char Char Char Char Char Char Char Char"/>
    <w:basedOn w:val="1"/>
    <w:autoRedefine/>
    <w:qFormat/>
    <w:uiPriority w:val="0"/>
    <w:pPr>
      <w:spacing w:line="360" w:lineRule="auto"/>
      <w:ind w:firstLine="200" w:firstLineChars="200"/>
    </w:pPr>
    <w:rPr>
      <w:spacing w:val="10"/>
    </w:rPr>
  </w:style>
  <w:style w:type="paragraph" w:customStyle="1" w:styleId="199">
    <w:name w:val="表内容"/>
    <w:basedOn w:val="1"/>
    <w:next w:val="1"/>
    <w:autoRedefine/>
    <w:qFormat/>
    <w:uiPriority w:val="0"/>
    <w:pPr>
      <w:spacing w:line="320" w:lineRule="exact"/>
      <w:jc w:val="center"/>
    </w:pPr>
  </w:style>
  <w:style w:type="paragraph" w:customStyle="1" w:styleId="200">
    <w:name w:val="Char1"/>
    <w:basedOn w:val="1"/>
    <w:autoRedefine/>
    <w:qFormat/>
    <w:uiPriority w:val="0"/>
    <w:rPr>
      <w:rFonts w:ascii="宋体" w:hAnsi="宋体" w:eastAsia="Times New Roman" w:cs="宋体"/>
      <w:bCs/>
      <w:sz w:val="18"/>
      <w:szCs w:val="18"/>
    </w:rPr>
  </w:style>
  <w:style w:type="paragraph" w:customStyle="1" w:styleId="201">
    <w:name w:val="正文 03"/>
    <w:basedOn w:val="1"/>
    <w:autoRedefine/>
    <w:qFormat/>
    <w:uiPriority w:val="0"/>
    <w:pPr>
      <w:autoSpaceDE w:val="0"/>
      <w:autoSpaceDN w:val="0"/>
      <w:adjustRightInd w:val="0"/>
      <w:textAlignment w:val="baseline"/>
    </w:pPr>
    <w:rPr>
      <w:rFonts w:eastAsia="楷体_GB2312"/>
    </w:rPr>
  </w:style>
  <w:style w:type="paragraph" w:customStyle="1" w:styleId="202">
    <w:name w:val="表格文字2"/>
    <w:basedOn w:val="2"/>
    <w:link w:val="203"/>
    <w:autoRedefine/>
    <w:qFormat/>
    <w:uiPriority w:val="0"/>
    <w:pPr>
      <w:adjustRightInd w:val="0"/>
      <w:spacing w:before="60"/>
      <w:jc w:val="center"/>
      <w:textAlignment w:val="baseline"/>
    </w:pPr>
    <w:rPr>
      <w:rFonts w:hAnsi="Times New Roman"/>
      <w:sz w:val="24"/>
      <w:lang w:val="zh-CN"/>
    </w:rPr>
  </w:style>
  <w:style w:type="character" w:customStyle="1" w:styleId="203">
    <w:name w:val="表格文字2 Char"/>
    <w:link w:val="202"/>
    <w:autoRedefine/>
    <w:qFormat/>
    <w:uiPriority w:val="0"/>
    <w:rPr>
      <w:rFonts w:ascii="宋体"/>
      <w:sz w:val="24"/>
    </w:rPr>
  </w:style>
  <w:style w:type="paragraph" w:customStyle="1" w:styleId="204">
    <w:name w:val="xl36"/>
    <w:basedOn w:val="1"/>
    <w:autoRedefine/>
    <w:qFormat/>
    <w:uiPriority w:val="0"/>
    <w:pPr>
      <w:widowControl/>
      <w:spacing w:before="100" w:beforeAutospacing="1" w:after="100" w:afterAutospacing="1"/>
      <w:jc w:val="center"/>
    </w:pPr>
    <w:rPr>
      <w:rFonts w:ascii="楷体_GB2312" w:hAnsi="Arial Unicode MS" w:eastAsia="楷体_GB2312"/>
      <w:b/>
      <w:bCs/>
      <w:sz w:val="28"/>
      <w:szCs w:val="28"/>
    </w:rPr>
  </w:style>
  <w:style w:type="paragraph" w:customStyle="1" w:styleId="205">
    <w:name w:val="1表格"/>
    <w:basedOn w:val="1"/>
    <w:autoRedefine/>
    <w:qFormat/>
    <w:uiPriority w:val="0"/>
    <w:pPr>
      <w:snapToGrid w:val="0"/>
      <w:spacing w:line="160" w:lineRule="atLeast"/>
      <w:jc w:val="center"/>
    </w:pPr>
    <w:rPr>
      <w:rFonts w:eastAsia="仿宋_GB2312"/>
    </w:rPr>
  </w:style>
  <w:style w:type="paragraph" w:customStyle="1" w:styleId="206">
    <w:name w:val="Table Paragraph"/>
    <w:basedOn w:val="1"/>
    <w:autoRedefine/>
    <w:qFormat/>
    <w:uiPriority w:val="1"/>
    <w:pPr>
      <w:jc w:val="left"/>
    </w:pPr>
    <w:rPr>
      <w:rFonts w:ascii="Calibri" w:hAnsi="Calibri"/>
      <w:sz w:val="22"/>
      <w:szCs w:val="22"/>
      <w:lang w:eastAsia="en-US"/>
    </w:rPr>
  </w:style>
  <w:style w:type="paragraph" w:customStyle="1" w:styleId="207">
    <w:name w:val="Char Char1 Char"/>
    <w:basedOn w:val="1"/>
    <w:autoRedefine/>
    <w:qFormat/>
    <w:uiPriority w:val="0"/>
    <w:pPr>
      <w:adjustRightInd w:val="0"/>
      <w:spacing w:line="360" w:lineRule="auto"/>
    </w:pPr>
  </w:style>
  <w:style w:type="paragraph" w:customStyle="1" w:styleId="208">
    <w:name w:val="1正文"/>
    <w:basedOn w:val="1"/>
    <w:autoRedefine/>
    <w:qFormat/>
    <w:uiPriority w:val="0"/>
    <w:pPr>
      <w:widowControl/>
      <w:spacing w:line="360" w:lineRule="auto"/>
      <w:ind w:firstLine="200" w:firstLineChars="200"/>
    </w:pPr>
    <w:rPr>
      <w:lang w:val="en-GB"/>
    </w:rPr>
  </w:style>
  <w:style w:type="paragraph" w:customStyle="1" w:styleId="209">
    <w:name w:val="标题 21"/>
    <w:basedOn w:val="1"/>
    <w:autoRedefine/>
    <w:qFormat/>
    <w:uiPriority w:val="0"/>
    <w:pPr>
      <w:spacing w:before="26"/>
      <w:ind w:left="721"/>
      <w:jc w:val="left"/>
      <w:outlineLvl w:val="2"/>
    </w:pPr>
    <w:rPr>
      <w:rFonts w:ascii="宋体" w:hAnsi="宋体"/>
      <w:b/>
      <w:bCs/>
      <w:lang w:eastAsia="en-US"/>
    </w:rPr>
  </w:style>
  <w:style w:type="paragraph" w:customStyle="1" w:styleId="210">
    <w:name w:val="我的表格"/>
    <w:autoRedefine/>
    <w:qFormat/>
    <w:uiPriority w:val="0"/>
    <w:pPr>
      <w:adjustRightInd w:val="0"/>
      <w:snapToGrid w:val="0"/>
      <w:spacing w:after="160" w:line="300" w:lineRule="exact"/>
      <w:jc w:val="center"/>
    </w:pPr>
    <w:rPr>
      <w:rFonts w:ascii="Times New Roman" w:hAnsi="Times New Roman" w:eastAsia="宋体" w:cs="Times New Roman"/>
      <w:spacing w:val="4"/>
      <w:kern w:val="2"/>
      <w:sz w:val="21"/>
      <w:szCs w:val="24"/>
      <w:lang w:val="en-US" w:eastAsia="zh-CN" w:bidi="ar-SA"/>
    </w:rPr>
  </w:style>
  <w:style w:type="paragraph" w:customStyle="1" w:styleId="211">
    <w:name w:val="表格内容"/>
    <w:basedOn w:val="212"/>
    <w:next w:val="1"/>
    <w:link w:val="213"/>
    <w:autoRedefine/>
    <w:qFormat/>
    <w:uiPriority w:val="0"/>
    <w:rPr>
      <w:sz w:val="21"/>
      <w:szCs w:val="22"/>
      <w:lang w:val="zh-CN"/>
    </w:rPr>
  </w:style>
  <w:style w:type="paragraph" w:customStyle="1" w:styleId="212">
    <w:name w:val="表格标题"/>
    <w:basedOn w:val="17"/>
    <w:next w:val="211"/>
    <w:autoRedefine/>
    <w:qFormat/>
    <w:uiPriority w:val="0"/>
    <w:pPr>
      <w:keepNext/>
      <w:spacing w:line="440" w:lineRule="exact"/>
      <w:jc w:val="center"/>
    </w:pPr>
    <w:rPr>
      <w:rFonts w:ascii="Times New Roman" w:hAnsi="宋体" w:eastAsia="Times New Roman" w:cs="Times New Roman"/>
      <w:sz w:val="24"/>
      <w:szCs w:val="21"/>
    </w:rPr>
  </w:style>
  <w:style w:type="character" w:customStyle="1" w:styleId="213">
    <w:name w:val="表格内容 Char"/>
    <w:link w:val="211"/>
    <w:autoRedefine/>
    <w:qFormat/>
    <w:uiPriority w:val="0"/>
    <w:rPr>
      <w:rFonts w:hAnsi="宋体" w:eastAsia="Times New Roman"/>
      <w:kern w:val="2"/>
      <w:sz w:val="21"/>
      <w:szCs w:val="22"/>
    </w:rPr>
  </w:style>
  <w:style w:type="paragraph" w:customStyle="1" w:styleId="214">
    <w:name w:val="Char Char Char Char Char Char Char Char Char Char Char Char Char Char Char Char Char Char Char Char Char Char Char Char Char"/>
    <w:basedOn w:val="1"/>
    <w:autoRedefine/>
    <w:qFormat/>
    <w:uiPriority w:val="0"/>
  </w:style>
  <w:style w:type="paragraph" w:customStyle="1" w:styleId="215">
    <w:name w:val="xl34"/>
    <w:basedOn w:val="1"/>
    <w:autoRedefine/>
    <w:qFormat/>
    <w:uiPriority w:val="0"/>
    <w:pPr>
      <w:widowControl/>
      <w:spacing w:before="100" w:beforeAutospacing="1" w:after="100" w:afterAutospacing="1"/>
      <w:jc w:val="center"/>
    </w:pPr>
    <w:rPr>
      <w:rFonts w:ascii="Arial Unicode MS" w:hAnsi="Arial Unicode MS" w:eastAsia="Arial Unicode MS"/>
    </w:rPr>
  </w:style>
  <w:style w:type="paragraph" w:customStyle="1" w:styleId="216">
    <w:name w:val="WPS Plain"/>
    <w:autoRedefine/>
    <w:qFormat/>
    <w:uiPriority w:val="0"/>
    <w:pPr>
      <w:spacing w:after="160" w:line="278" w:lineRule="auto"/>
    </w:pPr>
    <w:rPr>
      <w:rFonts w:ascii="Times New Roman" w:hAnsi="Times New Roman" w:eastAsia="宋体" w:cs="Times New Roman"/>
      <w:kern w:val="2"/>
      <w:sz w:val="24"/>
      <w:szCs w:val="24"/>
      <w:lang w:val="en-US" w:eastAsia="zh-CN" w:bidi="ar-SA"/>
    </w:rPr>
  </w:style>
  <w:style w:type="paragraph" w:customStyle="1" w:styleId="217">
    <w:name w:val="æ­￡æ–‡ç¼©è¿›"/>
    <w:basedOn w:val="1"/>
    <w:autoRedefine/>
    <w:unhideWhenUsed/>
    <w:qFormat/>
    <w:uiPriority w:val="0"/>
    <w:pPr>
      <w:spacing w:line="440" w:lineRule="exact"/>
      <w:ind w:firstLine="420"/>
    </w:pPr>
    <w:rPr>
      <w:rFonts w:hint="eastAsia"/>
    </w:rPr>
  </w:style>
  <w:style w:type="paragraph" w:customStyle="1" w:styleId="218">
    <w:name w:val="样式1"/>
    <w:basedOn w:val="1"/>
    <w:link w:val="219"/>
    <w:autoRedefine/>
    <w:qFormat/>
    <w:uiPriority w:val="99"/>
    <w:pPr>
      <w:snapToGrid w:val="0"/>
      <w:jc w:val="center"/>
    </w:pPr>
    <w:rPr>
      <w:rFonts w:ascii="宋体"/>
      <w:sz w:val="21"/>
      <w:lang w:val="zh-CN"/>
    </w:rPr>
  </w:style>
  <w:style w:type="character" w:customStyle="1" w:styleId="219">
    <w:name w:val="样式1 Char"/>
    <w:link w:val="218"/>
    <w:autoRedefine/>
    <w:qFormat/>
    <w:locked/>
    <w:uiPriority w:val="99"/>
    <w:rPr>
      <w:rFonts w:ascii="宋体"/>
      <w:kern w:val="2"/>
      <w:sz w:val="21"/>
    </w:rPr>
  </w:style>
  <w:style w:type="paragraph" w:customStyle="1" w:styleId="220">
    <w:name w:val="正文首行缩进＋湿地"/>
    <w:basedOn w:val="1"/>
    <w:autoRedefine/>
    <w:qFormat/>
    <w:uiPriority w:val="0"/>
    <w:pPr>
      <w:spacing w:line="440" w:lineRule="exact"/>
      <w:ind w:firstLine="540" w:firstLineChars="225"/>
    </w:pPr>
    <w:rPr>
      <w:rFonts w:ascii="仿宋_GB2312" w:hAnsi="宋体" w:eastAsia="仿宋_GB2312"/>
      <w:sz w:val="28"/>
    </w:rPr>
  </w:style>
  <w:style w:type="paragraph" w:customStyle="1" w:styleId="221">
    <w:name w:val="表格式"/>
    <w:basedOn w:val="42"/>
    <w:autoRedefine/>
    <w:qFormat/>
    <w:uiPriority w:val="0"/>
    <w:pPr>
      <w:spacing w:line="400" w:lineRule="exact"/>
    </w:pPr>
    <w:rPr>
      <w:rFonts w:ascii="宋体" w:eastAsia="宋体"/>
      <w:sz w:val="21"/>
    </w:rPr>
  </w:style>
  <w:style w:type="paragraph" w:customStyle="1" w:styleId="222">
    <w:name w:val="Char Char1 Char Char Char Char Char Char Char Char Char Char Char Char Char Char Char Char Char Char"/>
    <w:basedOn w:val="1"/>
    <w:autoRedefine/>
    <w:qFormat/>
    <w:uiPriority w:val="0"/>
    <w:pPr>
      <w:spacing w:line="360" w:lineRule="auto"/>
      <w:ind w:firstLine="200" w:firstLineChars="200"/>
    </w:pPr>
    <w:rPr>
      <w:rFonts w:ascii="宋体" w:hAnsi="宋体" w:cs="宋体"/>
    </w:rPr>
  </w:style>
  <w:style w:type="paragraph" w:customStyle="1" w:styleId="223">
    <w:name w:val="表文字"/>
    <w:basedOn w:val="1"/>
    <w:autoRedefine/>
    <w:qFormat/>
    <w:uiPriority w:val="0"/>
    <w:pPr>
      <w:overflowPunct w:val="0"/>
      <w:autoSpaceDE w:val="0"/>
      <w:autoSpaceDN w:val="0"/>
      <w:adjustRightInd w:val="0"/>
      <w:spacing w:line="240" w:lineRule="atLeast"/>
      <w:jc w:val="center"/>
      <w:textAlignment w:val="baseline"/>
    </w:pPr>
  </w:style>
  <w:style w:type="paragraph" w:customStyle="1" w:styleId="224">
    <w:name w:val="表格内容自定"/>
    <w:basedOn w:val="1"/>
    <w:autoRedefine/>
    <w:qFormat/>
    <w:uiPriority w:val="0"/>
    <w:pPr>
      <w:spacing w:line="280" w:lineRule="exact"/>
      <w:jc w:val="center"/>
    </w:pPr>
    <w:rPr>
      <w:sz w:val="18"/>
    </w:rPr>
  </w:style>
  <w:style w:type="paragraph" w:customStyle="1" w:styleId="225">
    <w:name w:val="CM11"/>
    <w:basedOn w:val="76"/>
    <w:next w:val="76"/>
    <w:autoRedefine/>
    <w:unhideWhenUsed/>
    <w:qFormat/>
    <w:uiPriority w:val="0"/>
    <w:pPr>
      <w:spacing w:line="460" w:lineRule="atLeast"/>
    </w:pPr>
    <w:rPr>
      <w:rFonts w:hint="eastAsia" w:ascii="黑体" w:eastAsia="黑体" w:cs="Times New Roman"/>
      <w:sz w:val="20"/>
      <w:szCs w:val="20"/>
    </w:rPr>
  </w:style>
  <w:style w:type="paragraph" w:customStyle="1" w:styleId="226">
    <w:name w:val="附图标题"/>
    <w:link w:val="227"/>
    <w:autoRedefine/>
    <w:qFormat/>
    <w:uiPriority w:val="0"/>
    <w:pPr>
      <w:adjustRightInd w:val="0"/>
      <w:snapToGrid w:val="0"/>
      <w:spacing w:after="160" w:line="278" w:lineRule="auto"/>
      <w:jc w:val="center"/>
    </w:pPr>
    <w:rPr>
      <w:rFonts w:ascii="Times New Roman" w:hAnsi="Times New Roman" w:eastAsia="Times New Roman" w:cs="Times New Roman"/>
      <w:b/>
      <w:kern w:val="2"/>
      <w:sz w:val="21"/>
      <w:szCs w:val="24"/>
      <w:lang w:val="zh-CN" w:eastAsia="zh-CN" w:bidi="ar-SA"/>
    </w:rPr>
  </w:style>
  <w:style w:type="character" w:customStyle="1" w:styleId="227">
    <w:name w:val="附图标题 字符"/>
    <w:link w:val="226"/>
    <w:autoRedefine/>
    <w:qFormat/>
    <w:uiPriority w:val="0"/>
    <w:rPr>
      <w:rFonts w:eastAsia="Times New Roman"/>
      <w:b/>
      <w:kern w:val="2"/>
      <w:sz w:val="21"/>
      <w:szCs w:val="24"/>
      <w:lang w:val="zh-CN"/>
    </w:rPr>
  </w:style>
  <w:style w:type="paragraph" w:customStyle="1" w:styleId="228">
    <w:name w:val="表体"/>
    <w:link w:val="229"/>
    <w:autoRedefine/>
    <w:qFormat/>
    <w:uiPriority w:val="0"/>
    <w:pPr>
      <w:spacing w:after="160" w:line="278" w:lineRule="auto"/>
      <w:jc w:val="center"/>
    </w:pPr>
    <w:rPr>
      <w:rFonts w:ascii="宋体" w:hAnsi="Times New Roman" w:eastAsia="宋体" w:cs="Times New Roman"/>
      <w:color w:val="000080"/>
      <w:kern w:val="2"/>
      <w:sz w:val="21"/>
      <w:szCs w:val="24"/>
      <w:lang w:val="en-US" w:eastAsia="zh-CN" w:bidi="ar-SA"/>
    </w:rPr>
  </w:style>
  <w:style w:type="character" w:customStyle="1" w:styleId="229">
    <w:name w:val="表体 Char"/>
    <w:link w:val="228"/>
    <w:autoRedefine/>
    <w:qFormat/>
    <w:uiPriority w:val="0"/>
    <w:rPr>
      <w:rFonts w:ascii="宋体"/>
      <w:color w:val="000080"/>
      <w:kern w:val="2"/>
      <w:sz w:val="21"/>
      <w:szCs w:val="24"/>
      <w:lang w:val="en-US" w:eastAsia="zh-CN" w:bidi="ar-SA"/>
    </w:rPr>
  </w:style>
  <w:style w:type="character" w:customStyle="1" w:styleId="230">
    <w:name w:val="正文（海红） Char"/>
    <w:link w:val="231"/>
    <w:autoRedefine/>
    <w:qFormat/>
    <w:uiPriority w:val="0"/>
    <w:rPr>
      <w:rFonts w:eastAsia="宋体"/>
      <w:kern w:val="2"/>
      <w:sz w:val="24"/>
      <w:szCs w:val="24"/>
      <w:lang w:val="en-US" w:eastAsia="zh-CN" w:bidi="ar-SA"/>
    </w:rPr>
  </w:style>
  <w:style w:type="paragraph" w:customStyle="1" w:styleId="231">
    <w:name w:val="正文（海红）"/>
    <w:basedOn w:val="1"/>
    <w:link w:val="230"/>
    <w:autoRedefine/>
    <w:qFormat/>
    <w:uiPriority w:val="0"/>
    <w:pPr>
      <w:spacing w:line="500" w:lineRule="exact"/>
      <w:ind w:firstLine="200" w:firstLineChars="200"/>
    </w:pPr>
    <w:rPr>
      <w:szCs w:val="24"/>
    </w:rPr>
  </w:style>
  <w:style w:type="paragraph" w:customStyle="1" w:styleId="232">
    <w:name w:val="reader-word-layer reader-word-s6-7"/>
    <w:basedOn w:val="1"/>
    <w:autoRedefine/>
    <w:qFormat/>
    <w:uiPriority w:val="0"/>
    <w:pPr>
      <w:widowControl/>
      <w:spacing w:before="100" w:beforeAutospacing="1" w:after="100" w:afterAutospacing="1"/>
      <w:jc w:val="left"/>
    </w:pPr>
    <w:rPr>
      <w:rFonts w:ascii="宋体" w:hAnsi="宋体" w:cs="宋体"/>
    </w:rPr>
  </w:style>
  <w:style w:type="character" w:customStyle="1" w:styleId="233">
    <w:name w:val="description"/>
    <w:autoRedefine/>
    <w:qFormat/>
    <w:uiPriority w:val="0"/>
  </w:style>
  <w:style w:type="paragraph" w:customStyle="1" w:styleId="234">
    <w:name w:val="报告正文"/>
    <w:basedOn w:val="1"/>
    <w:autoRedefine/>
    <w:qFormat/>
    <w:uiPriority w:val="0"/>
    <w:pPr>
      <w:spacing w:line="360" w:lineRule="auto"/>
      <w:ind w:firstLine="200" w:firstLineChars="200"/>
      <w:jc w:val="left"/>
    </w:pPr>
  </w:style>
  <w:style w:type="paragraph" w:customStyle="1" w:styleId="235">
    <w:name w:val="表格内文字"/>
    <w:basedOn w:val="1"/>
    <w:link w:val="743"/>
    <w:autoRedefine/>
    <w:qFormat/>
    <w:uiPriority w:val="0"/>
    <w:pPr>
      <w:adjustRightInd w:val="0"/>
      <w:snapToGrid w:val="0"/>
      <w:jc w:val="center"/>
    </w:pPr>
    <w:rPr>
      <w:rFonts w:eastAsia="仿宋_GB2312"/>
    </w:rPr>
  </w:style>
  <w:style w:type="character" w:customStyle="1" w:styleId="236">
    <w:name w:val="15"/>
    <w:autoRedefine/>
    <w:qFormat/>
    <w:uiPriority w:val="0"/>
    <w:rPr>
      <w:rFonts w:hint="default" w:ascii="Tahoma" w:hAnsi="Tahoma" w:cs="Tahoma"/>
      <w:sz w:val="21"/>
      <w:szCs w:val="21"/>
    </w:rPr>
  </w:style>
  <w:style w:type="paragraph" w:customStyle="1" w:styleId="237">
    <w:name w:val="表中文字"/>
    <w:basedOn w:val="1"/>
    <w:autoRedefine/>
    <w:qFormat/>
    <w:uiPriority w:val="0"/>
    <w:pPr>
      <w:adjustRightInd w:val="0"/>
      <w:snapToGrid w:val="0"/>
      <w:spacing w:line="240" w:lineRule="atLeast"/>
      <w:ind w:firstLine="200" w:firstLineChars="200"/>
      <w:jc w:val="center"/>
    </w:pPr>
    <w:rPr>
      <w:szCs w:val="22"/>
    </w:rPr>
  </w:style>
  <w:style w:type="paragraph" w:customStyle="1" w:styleId="238">
    <w:name w:val="+正文"/>
    <w:basedOn w:val="1"/>
    <w:qFormat/>
    <w:uiPriority w:val="0"/>
    <w:pPr>
      <w:spacing w:line="360" w:lineRule="auto"/>
      <w:ind w:firstLine="200" w:firstLineChars="200"/>
      <w:jc w:val="left"/>
    </w:pPr>
    <w:rPr>
      <w:szCs w:val="28"/>
    </w:rPr>
  </w:style>
  <w:style w:type="character" w:customStyle="1" w:styleId="239">
    <w:name w:val="预案正文 Char"/>
    <w:link w:val="240"/>
    <w:autoRedefine/>
    <w:qFormat/>
    <w:uiPriority w:val="0"/>
    <w:rPr>
      <w:sz w:val="24"/>
      <w:lang w:bidi="ar-SA"/>
    </w:rPr>
  </w:style>
  <w:style w:type="paragraph" w:customStyle="1" w:styleId="240">
    <w:name w:val="预案正文"/>
    <w:basedOn w:val="1"/>
    <w:link w:val="239"/>
    <w:autoRedefine/>
    <w:qFormat/>
    <w:uiPriority w:val="0"/>
    <w:pPr>
      <w:spacing w:line="360" w:lineRule="auto"/>
      <w:ind w:firstLine="200" w:firstLineChars="200"/>
    </w:pPr>
    <w:rPr>
      <w:lang w:val="zh-CN"/>
    </w:rPr>
  </w:style>
  <w:style w:type="paragraph" w:customStyle="1" w:styleId="241">
    <w:name w:val="正文01"/>
    <w:basedOn w:val="1"/>
    <w:link w:val="242"/>
    <w:autoRedefine/>
    <w:qFormat/>
    <w:uiPriority w:val="99"/>
    <w:pPr>
      <w:spacing w:before="60" w:line="460" w:lineRule="exact"/>
      <w:ind w:firstLine="200" w:firstLineChars="200"/>
    </w:pPr>
    <w:rPr>
      <w:lang w:val="zh-CN"/>
    </w:rPr>
  </w:style>
  <w:style w:type="character" w:customStyle="1" w:styleId="242">
    <w:name w:val="正文01 Char"/>
    <w:link w:val="241"/>
    <w:autoRedefine/>
    <w:qFormat/>
    <w:uiPriority w:val="99"/>
    <w:rPr>
      <w:kern w:val="2"/>
      <w:sz w:val="24"/>
    </w:rPr>
  </w:style>
  <w:style w:type="paragraph" w:customStyle="1" w:styleId="243">
    <w:name w:val="默认段落字体 Para Char Char Char Char Char Char Char Char Char Char Char Char Char1 Char"/>
    <w:basedOn w:val="19"/>
    <w:autoRedefine/>
    <w:qFormat/>
    <w:uiPriority w:val="0"/>
    <w:pPr>
      <w:shd w:val="clear" w:color="auto" w:fill="000080"/>
    </w:pPr>
    <w:rPr>
      <w:rFonts w:ascii="Tahoma" w:hAnsi="Tahoma"/>
      <w:sz w:val="24"/>
      <w:szCs w:val="24"/>
    </w:rPr>
  </w:style>
  <w:style w:type="table" w:customStyle="1" w:styleId="244">
    <w:name w:val="Table Normal"/>
    <w:basedOn w:val="57"/>
    <w:autoRedefine/>
    <w:qFormat/>
    <w:uiPriority w:val="0"/>
    <w:tblPr>
      <w:tblCellMar>
        <w:left w:w="0" w:type="dxa"/>
        <w:right w:w="0" w:type="dxa"/>
      </w:tblCellMar>
    </w:tblPr>
  </w:style>
  <w:style w:type="paragraph" w:customStyle="1" w:styleId="245">
    <w:name w:val="报告表正文"/>
    <w:basedOn w:val="1"/>
    <w:link w:val="246"/>
    <w:autoRedefine/>
    <w:qFormat/>
    <w:uiPriority w:val="0"/>
    <w:pPr>
      <w:adjustRightInd w:val="0"/>
      <w:spacing w:line="312" w:lineRule="auto"/>
      <w:ind w:left="113" w:right="113" w:firstLine="482"/>
      <w:jc w:val="left"/>
    </w:pPr>
  </w:style>
  <w:style w:type="character" w:customStyle="1" w:styleId="246">
    <w:name w:val="报告表正文 Char Char"/>
    <w:link w:val="245"/>
    <w:autoRedefine/>
    <w:qFormat/>
    <w:uiPriority w:val="0"/>
    <w:rPr>
      <w:rFonts w:eastAsia="宋体"/>
      <w:sz w:val="24"/>
      <w:lang w:val="en-US" w:eastAsia="zh-CN" w:bidi="ar-SA"/>
    </w:rPr>
  </w:style>
  <w:style w:type="paragraph" w:customStyle="1" w:styleId="247">
    <w:name w:val="标号正文"/>
    <w:basedOn w:val="1"/>
    <w:next w:val="1"/>
    <w:autoRedefine/>
    <w:qFormat/>
    <w:uiPriority w:val="0"/>
    <w:pPr>
      <w:tabs>
        <w:tab w:val="left" w:pos="1540"/>
      </w:tabs>
      <w:overflowPunct w:val="0"/>
      <w:snapToGrid w:val="0"/>
      <w:spacing w:line="360" w:lineRule="auto"/>
      <w:ind w:firstLine="1040"/>
      <w:jc w:val="left"/>
    </w:pPr>
    <w:rPr>
      <w:rFonts w:ascii="Arial" w:hAnsi="Arial" w:cs="黑体"/>
    </w:rPr>
  </w:style>
  <w:style w:type="paragraph" w:customStyle="1" w:styleId="248">
    <w:name w:val="Char Char Char Char Char Char Char Char Char Char1 Char Char Char Char Char"/>
    <w:basedOn w:val="1"/>
    <w:next w:val="1"/>
    <w:autoRedefine/>
    <w:qFormat/>
    <w:uiPriority w:val="0"/>
    <w:pPr>
      <w:keepNext/>
      <w:keepLines/>
      <w:widowControl/>
      <w:adjustRightInd w:val="0"/>
      <w:spacing w:before="40" w:after="40" w:line="360" w:lineRule="auto"/>
      <w:ind w:firstLine="200" w:firstLineChars="200"/>
      <w:textAlignment w:val="baseline"/>
    </w:pPr>
    <w:rPr>
      <w:rFonts w:cs="宋体"/>
      <w:szCs w:val="28"/>
    </w:rPr>
  </w:style>
  <w:style w:type="character" w:customStyle="1" w:styleId="249">
    <w:name w:val="标题 3 Char Char Char Char Char3"/>
    <w:autoRedefine/>
    <w:qFormat/>
    <w:uiPriority w:val="0"/>
    <w:rPr>
      <w:rFonts w:eastAsia="宋体"/>
      <w:b/>
      <w:bCs/>
      <w:kern w:val="2"/>
      <w:sz w:val="32"/>
      <w:szCs w:val="32"/>
      <w:lang w:val="en-US" w:eastAsia="zh-CN" w:bidi="ar-SA"/>
    </w:rPr>
  </w:style>
  <w:style w:type="paragraph" w:customStyle="1" w:styleId="250">
    <w:name w:val="Char2"/>
    <w:basedOn w:val="1"/>
    <w:autoRedefine/>
    <w:qFormat/>
    <w:uiPriority w:val="0"/>
    <w:pPr>
      <w:ind w:firstLine="200" w:firstLineChars="200"/>
    </w:pPr>
    <w:rPr>
      <w:rFonts w:ascii="宋体" w:hAnsi="宋体" w:cs="宋体"/>
    </w:rPr>
  </w:style>
  <w:style w:type="paragraph" w:customStyle="1" w:styleId="251">
    <w:name w:val="我的表头"/>
    <w:basedOn w:val="1"/>
    <w:next w:val="1"/>
    <w:autoRedefine/>
    <w:qFormat/>
    <w:uiPriority w:val="0"/>
    <w:pPr>
      <w:jc w:val="center"/>
    </w:pPr>
    <w:rPr>
      <w:b/>
    </w:rPr>
  </w:style>
  <w:style w:type="paragraph" w:customStyle="1" w:styleId="252">
    <w:name w:val="！正文"/>
    <w:basedOn w:val="1"/>
    <w:autoRedefine/>
    <w:qFormat/>
    <w:uiPriority w:val="0"/>
    <w:pPr>
      <w:spacing w:line="520" w:lineRule="exact"/>
      <w:ind w:firstLine="200" w:firstLineChars="200"/>
    </w:pPr>
    <w:rPr>
      <w:color w:val="000000"/>
    </w:rPr>
  </w:style>
  <w:style w:type="character" w:customStyle="1" w:styleId="253">
    <w:name w:val="标题 #6 + Arial Unicode MS"/>
    <w:autoRedefine/>
    <w:qFormat/>
    <w:uiPriority w:val="0"/>
    <w:rPr>
      <w:rFonts w:ascii="Arial Unicode MS" w:hAnsi="Arial Unicode MS" w:eastAsia="Arial Unicode MS" w:cs="Arial Unicode MS"/>
      <w:color w:val="000000"/>
      <w:spacing w:val="0"/>
      <w:w w:val="100"/>
      <w:position w:val="0"/>
      <w:sz w:val="11"/>
      <w:szCs w:val="11"/>
      <w:shd w:val="clear" w:color="auto" w:fill="FFFFFF"/>
      <w:lang w:val="zh-TW"/>
    </w:rPr>
  </w:style>
  <w:style w:type="character" w:customStyle="1" w:styleId="254">
    <w:name w:val="标题 #6_"/>
    <w:link w:val="255"/>
    <w:autoRedefine/>
    <w:qFormat/>
    <w:uiPriority w:val="0"/>
    <w:rPr>
      <w:rFonts w:ascii="宋体" w:hAnsi="宋体" w:eastAsia="宋体"/>
      <w:sz w:val="14"/>
      <w:szCs w:val="14"/>
      <w:shd w:val="clear" w:color="auto" w:fill="FFFFFF"/>
      <w:lang w:bidi="ar-SA"/>
    </w:rPr>
  </w:style>
  <w:style w:type="paragraph" w:customStyle="1" w:styleId="255">
    <w:name w:val="标题 #6"/>
    <w:basedOn w:val="1"/>
    <w:link w:val="254"/>
    <w:autoRedefine/>
    <w:qFormat/>
    <w:uiPriority w:val="0"/>
    <w:pPr>
      <w:shd w:val="clear" w:color="auto" w:fill="FFFFFF"/>
      <w:spacing w:after="120" w:line="0" w:lineRule="atLeast"/>
      <w:ind w:hanging="260"/>
      <w:jc w:val="left"/>
      <w:outlineLvl w:val="5"/>
    </w:pPr>
    <w:rPr>
      <w:rFonts w:ascii="宋体" w:hAnsi="宋体"/>
      <w:sz w:val="14"/>
      <w:szCs w:val="14"/>
      <w:shd w:val="clear" w:color="auto" w:fill="FFFFFF"/>
      <w:lang w:val="zh-CN"/>
    </w:rPr>
  </w:style>
  <w:style w:type="character" w:customStyle="1" w:styleId="256">
    <w:name w:val="正文表格 Char"/>
    <w:link w:val="257"/>
    <w:autoRedefine/>
    <w:qFormat/>
    <w:uiPriority w:val="0"/>
    <w:rPr>
      <w:rFonts w:eastAsia="宋体"/>
      <w:kern w:val="24"/>
      <w:sz w:val="24"/>
      <w:szCs w:val="24"/>
      <w:lang w:bidi="ar-SA"/>
    </w:rPr>
  </w:style>
  <w:style w:type="paragraph" w:customStyle="1" w:styleId="257">
    <w:name w:val="正文表格"/>
    <w:basedOn w:val="1"/>
    <w:link w:val="256"/>
    <w:autoRedefine/>
    <w:qFormat/>
    <w:uiPriority w:val="0"/>
    <w:pPr>
      <w:adjustRightInd w:val="0"/>
      <w:snapToGrid w:val="0"/>
      <w:jc w:val="center"/>
    </w:pPr>
    <w:rPr>
      <w:kern w:val="24"/>
      <w:szCs w:val="24"/>
      <w:lang w:val="zh-CN"/>
    </w:rPr>
  </w:style>
  <w:style w:type="paragraph" w:customStyle="1" w:styleId="258">
    <w:name w:val="3 Char Char Char Char"/>
    <w:basedOn w:val="1"/>
    <w:next w:val="1"/>
    <w:autoRedefine/>
    <w:qFormat/>
    <w:uiPriority w:val="0"/>
    <w:pPr>
      <w:spacing w:line="360" w:lineRule="auto"/>
      <w:ind w:firstLine="200" w:firstLineChars="200"/>
    </w:pPr>
    <w:rPr>
      <w:rFonts w:ascii="宋体" w:hAnsi="宋体" w:eastAsia="汉鼎简书宋" w:cs="宋体"/>
    </w:rPr>
  </w:style>
  <w:style w:type="character" w:customStyle="1" w:styleId="259">
    <w:name w:val="可研正文 Char Char"/>
    <w:link w:val="260"/>
    <w:autoRedefine/>
    <w:qFormat/>
    <w:uiPriority w:val="0"/>
    <w:rPr>
      <w:rFonts w:ascii="宋体" w:hAnsi="宋体" w:eastAsia="宋体"/>
      <w:sz w:val="28"/>
      <w:lang w:bidi="ar-SA"/>
    </w:rPr>
  </w:style>
  <w:style w:type="paragraph" w:customStyle="1" w:styleId="260">
    <w:name w:val="可研正文"/>
    <w:basedOn w:val="1"/>
    <w:link w:val="259"/>
    <w:autoRedefine/>
    <w:qFormat/>
    <w:uiPriority w:val="0"/>
    <w:pPr>
      <w:spacing w:line="360" w:lineRule="auto"/>
      <w:ind w:firstLine="560" w:firstLineChars="200"/>
    </w:pPr>
    <w:rPr>
      <w:rFonts w:ascii="宋体" w:hAnsi="宋体"/>
      <w:sz w:val="28"/>
      <w:lang w:val="zh-CN"/>
    </w:rPr>
  </w:style>
  <w:style w:type="paragraph" w:customStyle="1" w:styleId="261">
    <w:name w:val="p17"/>
    <w:basedOn w:val="1"/>
    <w:autoRedefine/>
    <w:qFormat/>
    <w:uiPriority w:val="0"/>
    <w:pPr>
      <w:widowControl/>
      <w:snapToGrid w:val="0"/>
      <w:spacing w:line="312" w:lineRule="auto"/>
      <w:ind w:left="113" w:right="113" w:firstLine="482"/>
      <w:jc w:val="left"/>
    </w:pPr>
  </w:style>
  <w:style w:type="character" w:customStyle="1" w:styleId="262">
    <w:name w:val="font31"/>
    <w:autoRedefine/>
    <w:qFormat/>
    <w:uiPriority w:val="0"/>
    <w:rPr>
      <w:rFonts w:hint="default" w:ascii="Calibri" w:hAnsi="Calibri" w:eastAsia="仿宋_GB2312" w:cs="”“Times New Roman”“"/>
      <w:color w:val="000000"/>
      <w:kern w:val="0"/>
      <w:sz w:val="21"/>
      <w:szCs w:val="21"/>
      <w:u w:val="none"/>
      <w:vertAlign w:val="superscript"/>
      <w:lang w:eastAsia="en-US"/>
    </w:rPr>
  </w:style>
  <w:style w:type="paragraph" w:customStyle="1" w:styleId="263">
    <w:name w:val="reader-word-layer reader-word-s6-9"/>
    <w:basedOn w:val="1"/>
    <w:autoRedefine/>
    <w:qFormat/>
    <w:uiPriority w:val="0"/>
    <w:pPr>
      <w:widowControl/>
      <w:spacing w:before="100" w:beforeAutospacing="1" w:after="100" w:afterAutospacing="1"/>
      <w:jc w:val="left"/>
    </w:pPr>
    <w:rPr>
      <w:rFonts w:ascii="宋体" w:hAnsi="宋体" w:cs="宋体"/>
    </w:rPr>
  </w:style>
  <w:style w:type="paragraph" w:customStyle="1" w:styleId="264">
    <w:name w:val="reader-word-layer reader-word-s6-13"/>
    <w:basedOn w:val="1"/>
    <w:autoRedefine/>
    <w:qFormat/>
    <w:uiPriority w:val="0"/>
    <w:pPr>
      <w:widowControl/>
      <w:spacing w:before="100" w:beforeAutospacing="1" w:after="100" w:afterAutospacing="1"/>
      <w:jc w:val="left"/>
    </w:pPr>
    <w:rPr>
      <w:rFonts w:ascii="宋体" w:hAnsi="宋体" w:cs="宋体"/>
    </w:rPr>
  </w:style>
  <w:style w:type="character" w:customStyle="1" w:styleId="265">
    <w:name w:val="样式 宋体 小四 Char"/>
    <w:link w:val="266"/>
    <w:autoRedefine/>
    <w:qFormat/>
    <w:uiPriority w:val="0"/>
    <w:rPr>
      <w:rFonts w:eastAsia="宋体"/>
      <w:color w:val="000000"/>
      <w:sz w:val="24"/>
      <w:lang w:val="en-US" w:eastAsia="zh-CN" w:bidi="ar-SA"/>
    </w:rPr>
  </w:style>
  <w:style w:type="paragraph" w:customStyle="1" w:styleId="266">
    <w:name w:val="样式 宋体 小四"/>
    <w:basedOn w:val="1"/>
    <w:link w:val="265"/>
    <w:autoRedefine/>
    <w:qFormat/>
    <w:uiPriority w:val="0"/>
    <w:pPr>
      <w:widowControl/>
      <w:spacing w:line="500" w:lineRule="exact"/>
      <w:ind w:firstLine="200" w:firstLineChars="200"/>
      <w:textAlignment w:val="baseline"/>
    </w:pPr>
    <w:rPr>
      <w:color w:val="000000"/>
    </w:rPr>
  </w:style>
  <w:style w:type="paragraph" w:customStyle="1" w:styleId="267">
    <w:name w:val="xl59"/>
    <w:basedOn w:val="1"/>
    <w:autoRedefine/>
    <w:qFormat/>
    <w:uiPriority w:val="0"/>
    <w:pPr>
      <w:widowControl/>
      <w:pBdr>
        <w:bottom w:val="single" w:color="auto" w:sz="8" w:space="0"/>
        <w:right w:val="single" w:color="000000" w:sz="8" w:space="0"/>
      </w:pBdr>
      <w:spacing w:before="100" w:beforeAutospacing="1" w:after="100" w:afterAutospacing="1"/>
      <w:textAlignment w:val="top"/>
    </w:pPr>
    <w:rPr>
      <w:rFonts w:ascii="Arial Unicode MS" w:hAnsi="Arial Unicode MS" w:eastAsia="Arial Unicode MS" w:cs="Arial Unicode MS"/>
    </w:rPr>
  </w:style>
  <w:style w:type="paragraph" w:customStyle="1" w:styleId="268">
    <w:name w:val="样式 表格正文 + 黑色 段后: 0.1 行 行距: 最小值 12 磅"/>
    <w:basedOn w:val="1"/>
    <w:autoRedefine/>
    <w:qFormat/>
    <w:uiPriority w:val="0"/>
    <w:pPr>
      <w:spacing w:line="360" w:lineRule="atLeast"/>
      <w:jc w:val="center"/>
    </w:pPr>
    <w:rPr>
      <w:rFonts w:hint="eastAsia"/>
      <w:color w:val="000000"/>
    </w:rPr>
  </w:style>
  <w:style w:type="paragraph" w:customStyle="1" w:styleId="269">
    <w:name w:val="正文（1）"/>
    <w:basedOn w:val="1"/>
    <w:autoRedefine/>
    <w:qFormat/>
    <w:uiPriority w:val="0"/>
    <w:pPr>
      <w:autoSpaceDE w:val="0"/>
      <w:autoSpaceDN w:val="0"/>
      <w:adjustRightInd w:val="0"/>
      <w:snapToGrid w:val="0"/>
      <w:spacing w:line="480" w:lineRule="exact"/>
      <w:ind w:firstLine="480" w:firstLineChars="200"/>
    </w:pPr>
    <w:rPr>
      <w:lang w:val="zh-CN"/>
    </w:rPr>
  </w:style>
  <w:style w:type="paragraph" w:customStyle="1" w:styleId="270">
    <w:name w:val="Char12"/>
    <w:basedOn w:val="1"/>
    <w:autoRedefine/>
    <w:qFormat/>
    <w:uiPriority w:val="0"/>
  </w:style>
  <w:style w:type="paragraph" w:customStyle="1" w:styleId="271">
    <w:name w:val="环评正文"/>
    <w:basedOn w:val="1"/>
    <w:autoRedefine/>
    <w:qFormat/>
    <w:uiPriority w:val="0"/>
    <w:pPr>
      <w:spacing w:line="360" w:lineRule="auto"/>
      <w:ind w:firstLine="200" w:firstLineChars="200"/>
    </w:pPr>
  </w:style>
  <w:style w:type="character" w:customStyle="1" w:styleId="272">
    <w:name w:val="24磅正文 Char"/>
    <w:link w:val="273"/>
    <w:autoRedefine/>
    <w:qFormat/>
    <w:uiPriority w:val="0"/>
    <w:rPr>
      <w:kern w:val="2"/>
      <w:sz w:val="24"/>
      <w:szCs w:val="24"/>
    </w:rPr>
  </w:style>
  <w:style w:type="paragraph" w:customStyle="1" w:styleId="273">
    <w:name w:val="24磅正文"/>
    <w:basedOn w:val="1"/>
    <w:link w:val="272"/>
    <w:autoRedefine/>
    <w:qFormat/>
    <w:uiPriority w:val="0"/>
    <w:pPr>
      <w:topLinePunct/>
      <w:autoSpaceDE w:val="0"/>
      <w:spacing w:line="480" w:lineRule="exact"/>
      <w:ind w:firstLine="480" w:firstLineChars="200"/>
    </w:pPr>
    <w:rPr>
      <w:szCs w:val="24"/>
      <w:lang w:val="zh-CN"/>
    </w:rPr>
  </w:style>
  <w:style w:type="character" w:customStyle="1" w:styleId="274">
    <w:name w:val="标题 Char1"/>
    <w:autoRedefine/>
    <w:qFormat/>
    <w:uiPriority w:val="0"/>
    <w:rPr>
      <w:rFonts w:ascii="Calibri Light" w:hAnsi="Calibri Light" w:cs="Times New Roman"/>
      <w:b/>
      <w:bCs/>
      <w:kern w:val="2"/>
      <w:sz w:val="32"/>
      <w:szCs w:val="32"/>
    </w:rPr>
  </w:style>
  <w:style w:type="character" w:customStyle="1" w:styleId="275">
    <w:name w:val="表格 仿宋5号 Char"/>
    <w:link w:val="276"/>
    <w:autoRedefine/>
    <w:qFormat/>
    <w:uiPriority w:val="0"/>
    <w:rPr>
      <w:rFonts w:eastAsia="仿宋"/>
      <w:color w:val="000000"/>
      <w:szCs w:val="21"/>
    </w:rPr>
  </w:style>
  <w:style w:type="paragraph" w:customStyle="1" w:styleId="276">
    <w:name w:val="表格 仿宋5号"/>
    <w:basedOn w:val="1"/>
    <w:link w:val="275"/>
    <w:autoRedefine/>
    <w:qFormat/>
    <w:uiPriority w:val="0"/>
    <w:pPr>
      <w:widowControl/>
      <w:adjustRightInd w:val="0"/>
      <w:snapToGrid w:val="0"/>
      <w:jc w:val="center"/>
    </w:pPr>
    <w:rPr>
      <w:rFonts w:eastAsia="仿宋"/>
      <w:color w:val="000000"/>
      <w:sz w:val="20"/>
      <w:lang w:val="zh-CN"/>
    </w:rPr>
  </w:style>
  <w:style w:type="paragraph" w:customStyle="1" w:styleId="277">
    <w:name w:val="Char Char8"/>
    <w:basedOn w:val="1"/>
    <w:autoRedefine/>
    <w:qFormat/>
    <w:uiPriority w:val="0"/>
  </w:style>
  <w:style w:type="character" w:customStyle="1" w:styleId="278">
    <w:name w:val="1正文，首行缩进 Char"/>
    <w:link w:val="279"/>
    <w:autoRedefine/>
    <w:qFormat/>
    <w:uiPriority w:val="0"/>
    <w:rPr>
      <w:snapToGrid/>
      <w:color w:val="000000"/>
      <w:sz w:val="24"/>
    </w:rPr>
  </w:style>
  <w:style w:type="paragraph" w:customStyle="1" w:styleId="279">
    <w:name w:val="1正文，首行缩进"/>
    <w:basedOn w:val="1"/>
    <w:link w:val="278"/>
    <w:autoRedefine/>
    <w:qFormat/>
    <w:uiPriority w:val="0"/>
    <w:pPr>
      <w:topLinePunct/>
      <w:adjustRightInd w:val="0"/>
      <w:snapToGrid w:val="0"/>
      <w:spacing w:line="360" w:lineRule="auto"/>
      <w:ind w:left="20" w:leftChars="20" w:right="20" w:rightChars="20" w:firstLine="200" w:firstLineChars="200"/>
    </w:pPr>
    <w:rPr>
      <w:color w:val="000000"/>
      <w:lang w:val="zh-CN"/>
    </w:rPr>
  </w:style>
  <w:style w:type="paragraph" w:customStyle="1" w:styleId="280">
    <w:name w:val="标准文本 首行缩进:2 字符 行距1倍"/>
    <w:basedOn w:val="1"/>
    <w:autoRedefine/>
    <w:qFormat/>
    <w:uiPriority w:val="0"/>
    <w:pPr>
      <w:widowControl/>
      <w:adjustRightInd w:val="0"/>
      <w:snapToGrid w:val="0"/>
      <w:spacing w:line="360" w:lineRule="auto"/>
      <w:ind w:firstLine="474" w:firstLineChars="225"/>
      <w:jc w:val="center"/>
      <w:textAlignment w:val="center"/>
    </w:pPr>
    <w:rPr>
      <w:b/>
      <w:color w:val="0000FF"/>
    </w:rPr>
  </w:style>
  <w:style w:type="paragraph" w:customStyle="1" w:styleId="281">
    <w:name w:val="表格文本 五号 居中 单倍行距"/>
    <w:basedOn w:val="1"/>
    <w:autoRedefine/>
    <w:qFormat/>
    <w:uiPriority w:val="0"/>
    <w:pPr>
      <w:widowControl/>
      <w:jc w:val="center"/>
    </w:pPr>
    <w:rPr>
      <w:rFonts w:ascii="黑体" w:eastAsia="黑体"/>
      <w:sz w:val="28"/>
      <w:szCs w:val="28"/>
    </w:rPr>
  </w:style>
  <w:style w:type="character" w:customStyle="1" w:styleId="282">
    <w:name w:val="正文文本 字符"/>
    <w:autoRedefine/>
    <w:qFormat/>
    <w:locked/>
    <w:uiPriority w:val="0"/>
    <w:rPr>
      <w:sz w:val="18"/>
    </w:rPr>
  </w:style>
  <w:style w:type="character" w:customStyle="1" w:styleId="283">
    <w:name w:val="正文缩进 字符"/>
    <w:autoRedefine/>
    <w:qFormat/>
    <w:uiPriority w:val="99"/>
    <w:rPr>
      <w:rFonts w:eastAsia="宋体"/>
      <w:spacing w:val="20"/>
      <w:kern w:val="2"/>
      <w:sz w:val="24"/>
      <w:lang w:val="en-US" w:eastAsia="zh-CN" w:bidi="ar-SA"/>
    </w:rPr>
  </w:style>
  <w:style w:type="character" w:customStyle="1" w:styleId="284">
    <w:name w:val="报告表正文 Char"/>
    <w:autoRedefine/>
    <w:qFormat/>
    <w:locked/>
    <w:uiPriority w:val="0"/>
    <w:rPr>
      <w:rFonts w:ascii="Times New Roman" w:hAnsi="Times New Roman" w:eastAsia="宋体" w:cs="Times New Roman"/>
      <w:kern w:val="0"/>
      <w:sz w:val="24"/>
      <w:szCs w:val="20"/>
    </w:rPr>
  </w:style>
  <w:style w:type="paragraph" w:customStyle="1" w:styleId="285">
    <w:name w:val="0表头"/>
    <w:basedOn w:val="1"/>
    <w:link w:val="729"/>
    <w:autoRedefine/>
    <w:qFormat/>
    <w:uiPriority w:val="0"/>
    <w:pPr>
      <w:framePr w:hSpace="180" w:wrap="around" w:vAnchor="text" w:hAnchor="text" w:xAlign="center" w:y="1"/>
      <w:suppressOverlap/>
      <w:adjustRightInd w:val="0"/>
      <w:snapToGrid w:val="0"/>
      <w:spacing w:after="0" w:line="460" w:lineRule="exact"/>
      <w:jc w:val="center"/>
    </w:pPr>
    <w:rPr>
      <w:b/>
      <w:sz w:val="21"/>
      <w:szCs w:val="22"/>
    </w:rPr>
  </w:style>
  <w:style w:type="paragraph" w:customStyle="1" w:styleId="286">
    <w:name w:val="0表内"/>
    <w:link w:val="680"/>
    <w:qFormat/>
    <w:uiPriority w:val="0"/>
    <w:pPr>
      <w:framePr w:hSpace="180" w:wrap="around" w:vAnchor="text" w:hAnchor="text" w:xAlign="center" w:y="1"/>
      <w:suppressOverlap/>
      <w:adjustRightInd w:val="0"/>
      <w:snapToGrid w:val="0"/>
      <w:jc w:val="center"/>
    </w:pPr>
    <w:rPr>
      <w:rFonts w:ascii="Times New Roman" w:hAnsi="Times New Roman" w:eastAsia="宋体" w:cs="宋体"/>
      <w:kern w:val="2"/>
      <w:sz w:val="18"/>
      <w:szCs w:val="22"/>
      <w:lang w:val="zh-CN" w:eastAsia="zh-CN" w:bidi="ar-SA"/>
    </w:rPr>
  </w:style>
  <w:style w:type="paragraph" w:customStyle="1" w:styleId="287">
    <w:name w:val="A表格"/>
    <w:basedOn w:val="1"/>
    <w:link w:val="288"/>
    <w:autoRedefine/>
    <w:qFormat/>
    <w:uiPriority w:val="0"/>
    <w:pPr>
      <w:framePr w:hSpace="180" w:wrap="around" w:vAnchor="text" w:hAnchor="text" w:xAlign="center" w:y="1"/>
      <w:adjustRightInd w:val="0"/>
      <w:snapToGrid w:val="0"/>
      <w:jc w:val="center"/>
    </w:pPr>
    <w:rPr>
      <w:rFonts w:eastAsia="Times New Roman"/>
      <w:sz w:val="18"/>
      <w:lang w:val="zh-CN"/>
    </w:rPr>
  </w:style>
  <w:style w:type="character" w:customStyle="1" w:styleId="288">
    <w:name w:val="A表格 Char"/>
    <w:link w:val="287"/>
    <w:autoRedefine/>
    <w:qFormat/>
    <w:uiPriority w:val="0"/>
    <w:rPr>
      <w:rFonts w:eastAsia="Times New Roman"/>
      <w:kern w:val="2"/>
      <w:sz w:val="18"/>
      <w:szCs w:val="21"/>
      <w:lang w:val="zh-CN" w:eastAsia="zh-CN"/>
    </w:rPr>
  </w:style>
  <w:style w:type="paragraph" w:customStyle="1" w:styleId="289">
    <w:name w:val="Default1"/>
    <w:next w:val="1"/>
    <w:qFormat/>
    <w:uiPriority w:val="0"/>
    <w:pPr>
      <w:widowControl w:val="0"/>
      <w:autoSpaceDE w:val="0"/>
      <w:autoSpaceDN w:val="0"/>
      <w:adjustRightInd w:val="0"/>
      <w:spacing w:after="160" w:line="278" w:lineRule="auto"/>
    </w:pPr>
    <w:rPr>
      <w:rFonts w:ascii="宋体" w:hAnsi="Times New Roman" w:eastAsia="宋体" w:cs="Times New Roman"/>
      <w:color w:val="000000"/>
      <w:kern w:val="2"/>
      <w:sz w:val="24"/>
      <w:szCs w:val="24"/>
      <w:lang w:val="en-US" w:eastAsia="zh-CN" w:bidi="ar-SA"/>
    </w:rPr>
  </w:style>
  <w:style w:type="paragraph" w:customStyle="1" w:styleId="290">
    <w:name w:val="Char Char1161"/>
    <w:basedOn w:val="1"/>
    <w:qFormat/>
    <w:uiPriority w:val="0"/>
    <w:pPr>
      <w:spacing w:line="360" w:lineRule="auto"/>
      <w:ind w:firstLine="200" w:firstLineChars="200"/>
    </w:pPr>
    <w:rPr>
      <w:rFonts w:ascii="宋体" w:hAnsi="宋体"/>
    </w:rPr>
  </w:style>
  <w:style w:type="paragraph" w:customStyle="1" w:styleId="291">
    <w:name w:val="文本正文"/>
    <w:basedOn w:val="2"/>
    <w:next w:val="1"/>
    <w:link w:val="292"/>
    <w:qFormat/>
    <w:uiPriority w:val="0"/>
    <w:pPr>
      <w:spacing w:before="50" w:beforeLines="50"/>
      <w:ind w:firstLine="560" w:firstLineChars="200"/>
    </w:pPr>
    <w:rPr>
      <w:rFonts w:ascii="Times New Roman" w:hAnsi="Times New Roman"/>
      <w:sz w:val="18"/>
      <w:szCs w:val="24"/>
      <w:lang w:val="zh-CN"/>
    </w:rPr>
  </w:style>
  <w:style w:type="character" w:customStyle="1" w:styleId="292">
    <w:name w:val="文本正文 Char"/>
    <w:link w:val="291"/>
    <w:qFormat/>
    <w:uiPriority w:val="0"/>
    <w:rPr>
      <w:kern w:val="2"/>
      <w:sz w:val="18"/>
      <w:szCs w:val="24"/>
    </w:rPr>
  </w:style>
  <w:style w:type="paragraph" w:customStyle="1" w:styleId="293">
    <w:name w:val="表内正文"/>
    <w:basedOn w:val="1"/>
    <w:link w:val="294"/>
    <w:qFormat/>
    <w:uiPriority w:val="0"/>
    <w:pPr>
      <w:wordWrap w:val="0"/>
      <w:spacing w:line="360" w:lineRule="auto"/>
      <w:ind w:firstLine="1044" w:firstLineChars="200"/>
      <w:jc w:val="left"/>
    </w:pPr>
    <w:rPr>
      <w:rFonts w:hint="eastAsia"/>
      <w:sz w:val="20"/>
      <w:lang w:val="zh-CN"/>
    </w:rPr>
  </w:style>
  <w:style w:type="character" w:customStyle="1" w:styleId="294">
    <w:name w:val="表内正文 Char"/>
    <w:link w:val="293"/>
    <w:qFormat/>
    <w:uiPriority w:val="0"/>
    <w:rPr>
      <w:rFonts w:hint="eastAsia"/>
    </w:rPr>
  </w:style>
  <w:style w:type="paragraph" w:customStyle="1" w:styleId="295">
    <w:name w:val="表内最终版"/>
    <w:basedOn w:val="296"/>
    <w:unhideWhenUsed/>
    <w:qFormat/>
    <w:uiPriority w:val="0"/>
    <w:pPr>
      <w:adjustRightInd w:val="0"/>
      <w:spacing w:line="240" w:lineRule="auto"/>
      <w:ind w:firstLine="0" w:firstLineChars="0"/>
      <w:jc w:val="center"/>
      <w:textAlignment w:val="baseline"/>
    </w:pPr>
    <w:rPr>
      <w:sz w:val="21"/>
    </w:rPr>
  </w:style>
  <w:style w:type="paragraph" w:customStyle="1" w:styleId="296">
    <w:name w:val="正文最终"/>
    <w:qFormat/>
    <w:uiPriority w:val="0"/>
    <w:pPr>
      <w:widowControl w:val="0"/>
      <w:snapToGrid w:val="0"/>
      <w:spacing w:after="160" w:line="360" w:lineRule="auto"/>
      <w:ind w:firstLine="200" w:firstLineChars="200"/>
    </w:pPr>
    <w:rPr>
      <w:rFonts w:ascii="Times New Roman" w:hAnsi="Times New Roman" w:eastAsia="宋体" w:cs="Times New Roman"/>
      <w:kern w:val="2"/>
      <w:sz w:val="24"/>
      <w:szCs w:val="24"/>
      <w:lang w:val="en-US" w:eastAsia="zh-CN" w:bidi="ar-SA"/>
    </w:rPr>
  </w:style>
  <w:style w:type="paragraph" w:customStyle="1" w:styleId="297">
    <w:name w:val="图标 表标"/>
    <w:basedOn w:val="1"/>
    <w:qFormat/>
    <w:uiPriority w:val="0"/>
    <w:pPr>
      <w:autoSpaceDE w:val="0"/>
      <w:autoSpaceDN w:val="0"/>
      <w:adjustRightInd w:val="0"/>
      <w:jc w:val="center"/>
    </w:pPr>
    <w:rPr>
      <w:b/>
      <w:bCs/>
      <w:kern w:val="21"/>
    </w:rPr>
  </w:style>
  <w:style w:type="paragraph" w:customStyle="1" w:styleId="298">
    <w:name w:val="表格标题、图标最终版"/>
    <w:basedOn w:val="1"/>
    <w:next w:val="1"/>
    <w:unhideWhenUsed/>
    <w:qFormat/>
    <w:uiPriority w:val="0"/>
    <w:pPr>
      <w:jc w:val="center"/>
    </w:pPr>
    <w:rPr>
      <w:b/>
    </w:rPr>
  </w:style>
  <w:style w:type="paragraph" w:customStyle="1" w:styleId="299">
    <w:name w:val="表头文字"/>
    <w:basedOn w:val="1"/>
    <w:qFormat/>
    <w:uiPriority w:val="0"/>
    <w:pPr>
      <w:spacing w:line="240" w:lineRule="atLeast"/>
      <w:jc w:val="center"/>
    </w:pPr>
    <w:rPr>
      <w:position w:val="-10"/>
      <w:szCs w:val="22"/>
    </w:rPr>
  </w:style>
  <w:style w:type="character" w:customStyle="1" w:styleId="300">
    <w:name w:val="表内文字 Char"/>
    <w:qFormat/>
    <w:uiPriority w:val="0"/>
    <w:rPr>
      <w:kern w:val="2"/>
      <w:sz w:val="18"/>
      <w:szCs w:val="18"/>
    </w:rPr>
  </w:style>
  <w:style w:type="character" w:customStyle="1" w:styleId="301">
    <w:name w:val="表头 Char"/>
    <w:qFormat/>
    <w:uiPriority w:val="0"/>
    <w:rPr>
      <w:b/>
      <w:kern w:val="2"/>
      <w:sz w:val="21"/>
      <w:szCs w:val="21"/>
    </w:rPr>
  </w:style>
  <w:style w:type="paragraph" w:customStyle="1" w:styleId="302">
    <w:name w:val="图片"/>
    <w:basedOn w:val="1"/>
    <w:next w:val="1"/>
    <w:link w:val="303"/>
    <w:qFormat/>
    <w:uiPriority w:val="0"/>
    <w:pPr>
      <w:wordWrap w:val="0"/>
      <w:adjustRightInd w:val="0"/>
      <w:snapToGrid w:val="0"/>
      <w:jc w:val="center"/>
    </w:pPr>
    <w:rPr>
      <w:szCs w:val="24"/>
      <w:lang w:val="zh-CN"/>
    </w:rPr>
  </w:style>
  <w:style w:type="character" w:customStyle="1" w:styleId="303">
    <w:name w:val="图片 Char"/>
    <w:link w:val="302"/>
    <w:qFormat/>
    <w:uiPriority w:val="0"/>
    <w:rPr>
      <w:kern w:val="2"/>
      <w:sz w:val="24"/>
      <w:szCs w:val="24"/>
    </w:rPr>
  </w:style>
  <w:style w:type="paragraph" w:customStyle="1" w:styleId="304">
    <w:name w:val="Table Text"/>
    <w:basedOn w:val="1"/>
    <w:semiHidden/>
    <w:qFormat/>
    <w:uiPriority w:val="0"/>
    <w:pPr>
      <w:wordWrap w:val="0"/>
      <w:spacing w:line="480" w:lineRule="exact"/>
      <w:ind w:firstLine="480" w:firstLineChars="200"/>
      <w:jc w:val="left"/>
    </w:pPr>
    <w:rPr>
      <w:rFonts w:ascii="宋体" w:hAnsi="宋体" w:cs="宋体"/>
      <w:lang w:eastAsia="en-US"/>
    </w:rPr>
  </w:style>
  <w:style w:type="paragraph" w:customStyle="1" w:styleId="305">
    <w:name w:val="样式 (中文) 仿宋_GB2312 四号 首行缩进:  0.98 厘米 行距: 固定值 22 磅"/>
    <w:basedOn w:val="1"/>
    <w:qFormat/>
    <w:uiPriority w:val="0"/>
    <w:pPr>
      <w:wordWrap w:val="0"/>
      <w:spacing w:line="300" w:lineRule="auto"/>
      <w:ind w:firstLine="556" w:firstLineChars="200"/>
      <w:jc w:val="left"/>
    </w:pPr>
    <w:rPr>
      <w:rFonts w:eastAsia="仿宋_GB2312" w:cs="宋体"/>
      <w:spacing w:val="-2"/>
      <w:sz w:val="28"/>
    </w:rPr>
  </w:style>
  <w:style w:type="character" w:customStyle="1" w:styleId="306">
    <w:name w:val="表格正文 Char1"/>
    <w:qFormat/>
    <w:uiPriority w:val="0"/>
  </w:style>
  <w:style w:type="character" w:customStyle="1" w:styleId="307">
    <w:name w:val="font11"/>
    <w:qFormat/>
    <w:uiPriority w:val="0"/>
    <w:rPr>
      <w:rFonts w:hint="default" w:ascii="Times New Roman" w:hAnsi="Times New Roman" w:cs="Times New Roman"/>
      <w:color w:val="000000"/>
      <w:sz w:val="21"/>
      <w:szCs w:val="21"/>
      <w:u w:val="none"/>
    </w:rPr>
  </w:style>
  <w:style w:type="character" w:customStyle="1" w:styleId="308">
    <w:name w:val="font21"/>
    <w:qFormat/>
    <w:uiPriority w:val="0"/>
    <w:rPr>
      <w:rFonts w:hint="eastAsia" w:ascii="宋体" w:hAnsi="宋体" w:eastAsia="宋体"/>
      <w:color w:val="000000"/>
      <w:sz w:val="21"/>
      <w:szCs w:val="21"/>
      <w:u w:val="none"/>
    </w:rPr>
  </w:style>
  <w:style w:type="character" w:customStyle="1" w:styleId="309">
    <w:name w:val="未处理的提及1"/>
    <w:unhideWhenUsed/>
    <w:qFormat/>
    <w:uiPriority w:val="99"/>
    <w:rPr>
      <w:color w:val="605E5C"/>
      <w:shd w:val="clear" w:color="auto" w:fill="E1DFDD"/>
    </w:rPr>
  </w:style>
  <w:style w:type="character" w:customStyle="1" w:styleId="310">
    <w:name w:val="脚注文本 字符"/>
    <w:qFormat/>
    <w:uiPriority w:val="0"/>
    <w:rPr>
      <w:rFonts w:ascii="Arial" w:hAnsi="Arial" w:eastAsia="仿宋_GB2312"/>
      <w:sz w:val="18"/>
      <w:szCs w:val="18"/>
    </w:rPr>
  </w:style>
  <w:style w:type="character" w:customStyle="1" w:styleId="311">
    <w:name w:val="标题 2 Char1"/>
    <w:qFormat/>
    <w:uiPriority w:val="0"/>
    <w:rPr>
      <w:rFonts w:ascii="等线 Light" w:hAnsi="等线 Light" w:eastAsia="等线 Light" w:cs="Times New Roman"/>
      <w:b/>
      <w:bCs/>
      <w:kern w:val="2"/>
      <w:sz w:val="32"/>
      <w:szCs w:val="32"/>
    </w:rPr>
  </w:style>
  <w:style w:type="character" w:customStyle="1" w:styleId="312">
    <w:name w:val="标题 3 Char1"/>
    <w:qFormat/>
    <w:uiPriority w:val="0"/>
    <w:rPr>
      <w:b/>
      <w:bCs/>
      <w:kern w:val="2"/>
      <w:sz w:val="32"/>
      <w:szCs w:val="32"/>
    </w:rPr>
  </w:style>
  <w:style w:type="character" w:customStyle="1" w:styleId="313">
    <w:name w:val="正文文本 Char3"/>
    <w:qFormat/>
    <w:locked/>
    <w:uiPriority w:val="0"/>
    <w:rPr>
      <w:sz w:val="18"/>
    </w:rPr>
  </w:style>
  <w:style w:type="character" w:customStyle="1" w:styleId="314">
    <w:name w:val="页脚 Char1"/>
    <w:qFormat/>
    <w:locked/>
    <w:uiPriority w:val="99"/>
    <w:rPr>
      <w:sz w:val="18"/>
    </w:rPr>
  </w:style>
  <w:style w:type="character" w:customStyle="1" w:styleId="315">
    <w:name w:val="页眉 Char1"/>
    <w:qFormat/>
    <w:locked/>
    <w:uiPriority w:val="0"/>
    <w:rPr>
      <w:sz w:val="18"/>
    </w:rPr>
  </w:style>
  <w:style w:type="table" w:customStyle="1" w:styleId="316">
    <w:name w:val="网格型1"/>
    <w:basedOn w:val="5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317">
    <w:name w:val="批注文字1"/>
    <w:qFormat/>
    <w:uiPriority w:val="0"/>
    <w:pPr>
      <w:widowControl w:val="0"/>
      <w:spacing w:after="160" w:line="278" w:lineRule="auto"/>
    </w:pPr>
    <w:rPr>
      <w:rFonts w:ascii="Times New Roman" w:hAnsi="Times New Roman" w:eastAsia="宋体" w:cs="Times New Roman"/>
      <w:color w:val="000000"/>
      <w:kern w:val="2"/>
      <w:sz w:val="21"/>
      <w:szCs w:val="24"/>
      <w:lang w:val="en-US" w:eastAsia="zh-CN" w:bidi="ar-SA"/>
    </w:rPr>
  </w:style>
  <w:style w:type="paragraph" w:customStyle="1" w:styleId="318">
    <w:name w:val="纯文本11"/>
    <w:basedOn w:val="1"/>
    <w:qFormat/>
    <w:uiPriority w:val="0"/>
    <w:pPr>
      <w:widowControl/>
      <w:spacing w:before="100" w:beforeAutospacing="1" w:after="100" w:afterAutospacing="1"/>
      <w:jc w:val="left"/>
    </w:pPr>
    <w:rPr>
      <w:rFonts w:ascii="宋体" w:hAnsi="宋体"/>
    </w:rPr>
  </w:style>
  <w:style w:type="paragraph" w:customStyle="1" w:styleId="319">
    <w:name w:val="正文文字 6"/>
    <w:next w:val="1"/>
    <w:qFormat/>
    <w:uiPriority w:val="0"/>
    <w:pPr>
      <w:widowControl w:val="0"/>
      <w:spacing w:after="160" w:line="278" w:lineRule="auto"/>
      <w:ind w:left="240"/>
      <w:jc w:val="both"/>
    </w:pPr>
    <w:rPr>
      <w:rFonts w:ascii="宋体" w:hAnsi="Times New Roman" w:eastAsia="宋体" w:cs="Times New Roman"/>
      <w:b/>
      <w:bCs/>
      <w:kern w:val="2"/>
      <w:sz w:val="32"/>
      <w:szCs w:val="32"/>
      <w:lang w:val="en-US" w:eastAsia="zh-CN" w:bidi="ar-SA"/>
    </w:rPr>
  </w:style>
  <w:style w:type="character" w:customStyle="1" w:styleId="320">
    <w:name w:val="Char Char1 Char6"/>
    <w:link w:val="321"/>
    <w:qFormat/>
    <w:locked/>
    <w:uiPriority w:val="99"/>
    <w:rPr>
      <w:rFonts w:ascii="宋体"/>
      <w:kern w:val="2"/>
      <w:sz w:val="24"/>
    </w:rPr>
  </w:style>
  <w:style w:type="paragraph" w:customStyle="1" w:styleId="321">
    <w:name w:val="Char Char16"/>
    <w:basedOn w:val="1"/>
    <w:link w:val="320"/>
    <w:qFormat/>
    <w:uiPriority w:val="99"/>
    <w:pPr>
      <w:spacing w:line="360" w:lineRule="auto"/>
      <w:ind w:firstLine="200" w:firstLineChars="200"/>
    </w:pPr>
    <w:rPr>
      <w:rFonts w:ascii="宋体"/>
      <w:lang w:val="zh-CN"/>
    </w:rPr>
  </w:style>
  <w:style w:type="character" w:customStyle="1" w:styleId="322">
    <w:name w:val="正文首行缩进2个字 Char"/>
    <w:link w:val="323"/>
    <w:qFormat/>
    <w:uiPriority w:val="0"/>
    <w:rPr>
      <w:kern w:val="2"/>
      <w:sz w:val="24"/>
    </w:rPr>
  </w:style>
  <w:style w:type="paragraph" w:customStyle="1" w:styleId="323">
    <w:name w:val="正文首行缩进2个字"/>
    <w:basedOn w:val="1"/>
    <w:link w:val="322"/>
    <w:qFormat/>
    <w:uiPriority w:val="0"/>
    <w:pPr>
      <w:spacing w:line="360" w:lineRule="auto"/>
      <w:ind w:firstLine="480" w:firstLineChars="200"/>
    </w:pPr>
    <w:rPr>
      <w:lang w:val="zh-CN"/>
    </w:rPr>
  </w:style>
  <w:style w:type="character" w:customStyle="1" w:styleId="324">
    <w:name w:val="正文文本首行缩进 字符"/>
    <w:qFormat/>
    <w:uiPriority w:val="0"/>
    <w:rPr>
      <w:kern w:val="2"/>
      <w:sz w:val="21"/>
      <w:szCs w:val="24"/>
    </w:rPr>
  </w:style>
  <w:style w:type="character" w:customStyle="1" w:styleId="325">
    <w:name w:val="postbody"/>
    <w:qFormat/>
    <w:uiPriority w:val="0"/>
  </w:style>
  <w:style w:type="character" w:customStyle="1" w:styleId="326">
    <w:name w:val="表格外标 Char"/>
    <w:link w:val="327"/>
    <w:qFormat/>
    <w:uiPriority w:val="0"/>
    <w:rPr>
      <w:rFonts w:eastAsia="黑体"/>
      <w:sz w:val="24"/>
      <w:szCs w:val="24"/>
    </w:rPr>
  </w:style>
  <w:style w:type="paragraph" w:customStyle="1" w:styleId="327">
    <w:name w:val="表格外标"/>
    <w:basedOn w:val="1"/>
    <w:next w:val="1"/>
    <w:link w:val="326"/>
    <w:qFormat/>
    <w:uiPriority w:val="0"/>
    <w:pPr>
      <w:adjustRightInd w:val="0"/>
      <w:snapToGrid w:val="0"/>
      <w:spacing w:beforeLines="50" w:afterLines="20"/>
      <w:jc w:val="center"/>
    </w:pPr>
    <w:rPr>
      <w:rFonts w:eastAsia="黑体"/>
      <w:szCs w:val="24"/>
      <w:lang w:val="zh-CN"/>
    </w:rPr>
  </w:style>
  <w:style w:type="paragraph" w:customStyle="1" w:styleId="328">
    <w:name w:val="1-正文"/>
    <w:basedOn w:val="1"/>
    <w:qFormat/>
    <w:uiPriority w:val="0"/>
    <w:pPr>
      <w:spacing w:line="360" w:lineRule="auto"/>
      <w:ind w:firstLine="480" w:firstLineChars="200"/>
    </w:pPr>
    <w:rPr>
      <w:rFonts w:ascii="宋体" w:cs="宋体"/>
    </w:rPr>
  </w:style>
  <w:style w:type="character" w:customStyle="1" w:styleId="329">
    <w:name w:val="题注 Char1"/>
    <w:qFormat/>
    <w:uiPriority w:val="0"/>
    <w:rPr>
      <w:rFonts w:ascii="Arial" w:hAnsi="Arial" w:eastAsia="黑体" w:cs="Arial"/>
      <w:kern w:val="2"/>
      <w:lang w:val="en-US" w:eastAsia="zh-CN" w:bidi="ar-SA"/>
    </w:rPr>
  </w:style>
  <w:style w:type="character" w:customStyle="1" w:styleId="330">
    <w:name w:val="样式9 Char"/>
    <w:link w:val="331"/>
    <w:qFormat/>
    <w:uiPriority w:val="0"/>
    <w:rPr>
      <w:rFonts w:ascii="Arial" w:hAnsi="Arial" w:cs="Arial"/>
      <w:kern w:val="2"/>
      <w:sz w:val="24"/>
      <w:szCs w:val="24"/>
    </w:rPr>
  </w:style>
  <w:style w:type="paragraph" w:customStyle="1" w:styleId="331">
    <w:name w:val="样式9"/>
    <w:basedOn w:val="1"/>
    <w:link w:val="330"/>
    <w:qFormat/>
    <w:uiPriority w:val="0"/>
    <w:pPr>
      <w:spacing w:line="360" w:lineRule="auto"/>
      <w:ind w:firstLine="480" w:firstLineChars="200"/>
    </w:pPr>
    <w:rPr>
      <w:rFonts w:ascii="Arial" w:hAnsi="Arial"/>
      <w:szCs w:val="24"/>
      <w:lang w:val="zh-CN"/>
    </w:rPr>
  </w:style>
  <w:style w:type="character" w:customStyle="1" w:styleId="332">
    <w:name w:val="表头1 Char"/>
    <w:link w:val="333"/>
    <w:qFormat/>
    <w:uiPriority w:val="0"/>
    <w:rPr>
      <w:rFonts w:cs="宋体"/>
      <w:b/>
      <w:bCs/>
      <w:kern w:val="2"/>
      <w:sz w:val="21"/>
    </w:rPr>
  </w:style>
  <w:style w:type="paragraph" w:customStyle="1" w:styleId="333">
    <w:name w:val="表头1"/>
    <w:basedOn w:val="23"/>
    <w:next w:val="75"/>
    <w:link w:val="332"/>
    <w:qFormat/>
    <w:uiPriority w:val="0"/>
    <w:pPr>
      <w:widowControl w:val="0"/>
      <w:snapToGrid/>
      <w:spacing w:before="0" w:after="0" w:line="240" w:lineRule="auto"/>
      <w:ind w:right="0"/>
      <w:jc w:val="center"/>
      <w:textAlignment w:val="center"/>
    </w:pPr>
    <w:rPr>
      <w:b/>
      <w:bCs/>
      <w:kern w:val="2"/>
      <w:sz w:val="21"/>
    </w:rPr>
  </w:style>
  <w:style w:type="character" w:customStyle="1" w:styleId="334">
    <w:name w:val="Char Char1 Char1"/>
    <w:link w:val="335"/>
    <w:qFormat/>
    <w:locked/>
    <w:uiPriority w:val="99"/>
    <w:rPr>
      <w:rFonts w:ascii="宋体"/>
      <w:kern w:val="2"/>
      <w:sz w:val="24"/>
    </w:rPr>
  </w:style>
  <w:style w:type="paragraph" w:customStyle="1" w:styleId="335">
    <w:name w:val="Char Char1"/>
    <w:basedOn w:val="1"/>
    <w:link w:val="334"/>
    <w:qFormat/>
    <w:uiPriority w:val="0"/>
    <w:pPr>
      <w:spacing w:line="360" w:lineRule="auto"/>
      <w:ind w:firstLine="200" w:firstLineChars="200"/>
    </w:pPr>
    <w:rPr>
      <w:rFonts w:ascii="宋体"/>
      <w:lang w:val="zh-CN"/>
    </w:rPr>
  </w:style>
  <w:style w:type="character" w:customStyle="1" w:styleId="336">
    <w:name w:val="表格 Char1"/>
    <w:qFormat/>
    <w:uiPriority w:val="0"/>
    <w:rPr>
      <w:rFonts w:ascii="宋体" w:hAnsi="宋体" w:eastAsia="宋体"/>
      <w:snapToGrid w:val="0"/>
      <w:sz w:val="21"/>
      <w:lang w:val="en-US" w:eastAsia="zh-CN" w:bidi="ar-SA"/>
    </w:rPr>
  </w:style>
  <w:style w:type="character" w:customStyle="1" w:styleId="337">
    <w:name w:val="标题 4 字符"/>
    <w:semiHidden/>
    <w:qFormat/>
    <w:uiPriority w:val="0"/>
    <w:rPr>
      <w:rFonts w:ascii="等线 Light" w:hAnsi="等线 Light" w:eastAsia="等线 Light" w:cs="Times New Roman"/>
      <w:b/>
      <w:bCs/>
      <w:kern w:val="2"/>
      <w:sz w:val="28"/>
      <w:szCs w:val="28"/>
    </w:rPr>
  </w:style>
  <w:style w:type="character" w:customStyle="1" w:styleId="338">
    <w:name w:val="Other|1_"/>
    <w:link w:val="339"/>
    <w:qFormat/>
    <w:locked/>
    <w:uiPriority w:val="0"/>
    <w:rPr>
      <w:rFonts w:ascii="宋体" w:hAnsi="宋体" w:cs="宋体"/>
      <w:lang w:val="zh-TW" w:eastAsia="zh-TW" w:bidi="zh-TW"/>
    </w:rPr>
  </w:style>
  <w:style w:type="paragraph" w:customStyle="1" w:styleId="339">
    <w:name w:val="Other|1"/>
    <w:basedOn w:val="1"/>
    <w:link w:val="338"/>
    <w:qFormat/>
    <w:uiPriority w:val="0"/>
    <w:pPr>
      <w:spacing w:line="269" w:lineRule="exact"/>
      <w:jc w:val="center"/>
    </w:pPr>
    <w:rPr>
      <w:rFonts w:ascii="宋体" w:hAnsi="宋体" w:cs="宋体"/>
      <w:sz w:val="20"/>
      <w:lang w:val="zh-TW" w:eastAsia="zh-TW" w:bidi="zh-TW"/>
    </w:rPr>
  </w:style>
  <w:style w:type="character" w:customStyle="1" w:styleId="340">
    <w:name w:val="正文文本 Char2"/>
    <w:qFormat/>
    <w:uiPriority w:val="0"/>
    <w:rPr>
      <w:rFonts w:eastAsia="宋体"/>
      <w:kern w:val="2"/>
      <w:sz w:val="24"/>
      <w:szCs w:val="24"/>
      <w:lang w:val="en-US" w:eastAsia="zh-CN" w:bidi="ar-SA"/>
    </w:rPr>
  </w:style>
  <w:style w:type="character" w:customStyle="1" w:styleId="341">
    <w:name w:val="正文文本 Char1"/>
    <w:qFormat/>
    <w:uiPriority w:val="0"/>
    <w:rPr>
      <w:rFonts w:eastAsia="宋体"/>
      <w:kern w:val="2"/>
      <w:sz w:val="24"/>
      <w:szCs w:val="24"/>
      <w:lang w:val="en-US" w:eastAsia="zh-CN" w:bidi="ar-SA"/>
    </w:rPr>
  </w:style>
  <w:style w:type="character" w:customStyle="1" w:styleId="342">
    <w:name w:val="Body text|1_"/>
    <w:link w:val="343"/>
    <w:qFormat/>
    <w:locked/>
    <w:uiPriority w:val="0"/>
    <w:rPr>
      <w:rFonts w:ascii="宋体" w:hAnsi="宋体" w:cs="宋体"/>
      <w:lang w:val="zh-TW" w:eastAsia="zh-TW" w:bidi="zh-TW"/>
    </w:rPr>
  </w:style>
  <w:style w:type="paragraph" w:customStyle="1" w:styleId="343">
    <w:name w:val="Body text|1"/>
    <w:basedOn w:val="1"/>
    <w:link w:val="342"/>
    <w:qFormat/>
    <w:uiPriority w:val="0"/>
    <w:pPr>
      <w:jc w:val="left"/>
    </w:pPr>
    <w:rPr>
      <w:rFonts w:ascii="宋体" w:hAnsi="宋体" w:cs="宋体"/>
      <w:sz w:val="20"/>
      <w:lang w:val="zh-TW" w:eastAsia="zh-TW" w:bidi="zh-TW"/>
    </w:rPr>
  </w:style>
  <w:style w:type="character" w:customStyle="1" w:styleId="344">
    <w:name w:val="样式8 Char"/>
    <w:link w:val="345"/>
    <w:qFormat/>
    <w:uiPriority w:val="0"/>
    <w:rPr>
      <w:rFonts w:ascii="Arial" w:hAnsi="Arial" w:eastAsia="仿宋_GB2312" w:cs="Arial"/>
      <w:color w:val="000000"/>
      <w:kern w:val="2"/>
      <w:sz w:val="24"/>
      <w:szCs w:val="24"/>
    </w:rPr>
  </w:style>
  <w:style w:type="paragraph" w:customStyle="1" w:styleId="345">
    <w:name w:val="样式8"/>
    <w:basedOn w:val="9"/>
    <w:link w:val="344"/>
    <w:qFormat/>
    <w:uiPriority w:val="0"/>
    <w:pPr>
      <w:tabs>
        <w:tab w:val="left" w:pos="425"/>
      </w:tabs>
      <w:spacing w:before="120" w:after="0" w:line="264" w:lineRule="auto"/>
      <w:jc w:val="center"/>
    </w:pPr>
    <w:rPr>
      <w:rFonts w:eastAsia="仿宋_GB2312"/>
      <w:b w:val="0"/>
      <w:bCs w:val="0"/>
      <w:color w:val="000000"/>
      <w:sz w:val="24"/>
      <w:szCs w:val="24"/>
    </w:rPr>
  </w:style>
  <w:style w:type="character" w:customStyle="1" w:styleId="346">
    <w:name w:val="标题 5 字符"/>
    <w:qFormat/>
    <w:uiPriority w:val="0"/>
    <w:rPr>
      <w:b/>
      <w:bCs/>
      <w:kern w:val="2"/>
      <w:sz w:val="28"/>
      <w:szCs w:val="28"/>
    </w:rPr>
  </w:style>
  <w:style w:type="character" w:customStyle="1" w:styleId="347">
    <w:name w:val="环评文本样式 Char"/>
    <w:link w:val="348"/>
    <w:qFormat/>
    <w:uiPriority w:val="0"/>
    <w:rPr>
      <w:rFonts w:hAnsi="宋体"/>
      <w:kern w:val="2"/>
      <w:sz w:val="24"/>
      <w:szCs w:val="24"/>
      <w:lang w:val="en-US" w:eastAsia="zh-CN" w:bidi="ar-SA"/>
    </w:rPr>
  </w:style>
  <w:style w:type="paragraph" w:customStyle="1" w:styleId="348">
    <w:name w:val="环评文本样式"/>
    <w:link w:val="347"/>
    <w:qFormat/>
    <w:uiPriority w:val="0"/>
    <w:pPr>
      <w:spacing w:after="160" w:line="480" w:lineRule="exact"/>
      <w:ind w:firstLine="200" w:firstLineChars="200"/>
    </w:pPr>
    <w:rPr>
      <w:rFonts w:ascii="Times New Roman" w:hAnsi="宋体" w:eastAsia="宋体" w:cs="Times New Roman"/>
      <w:kern w:val="2"/>
      <w:sz w:val="24"/>
      <w:szCs w:val="24"/>
      <w:lang w:val="en-US" w:eastAsia="zh-CN" w:bidi="ar-SA"/>
    </w:rPr>
  </w:style>
  <w:style w:type="character" w:customStyle="1" w:styleId="349">
    <w:name w:val="标题 字符"/>
    <w:qFormat/>
    <w:uiPriority w:val="0"/>
    <w:rPr>
      <w:rFonts w:ascii="等线 Light" w:hAnsi="等线 Light" w:cs="Times New Roman"/>
      <w:b/>
      <w:bCs/>
      <w:kern w:val="2"/>
      <w:sz w:val="32"/>
      <w:szCs w:val="32"/>
    </w:rPr>
  </w:style>
  <w:style w:type="character" w:customStyle="1" w:styleId="350">
    <w:name w:val="hangju1"/>
    <w:qFormat/>
    <w:uiPriority w:val="0"/>
  </w:style>
  <w:style w:type="character" w:customStyle="1" w:styleId="351">
    <w:name w:val="headline-content"/>
    <w:qFormat/>
    <w:uiPriority w:val="0"/>
  </w:style>
  <w:style w:type="character" w:customStyle="1" w:styleId="352">
    <w:name w:val="ft1"/>
    <w:qFormat/>
    <w:uiPriority w:val="0"/>
    <w:rPr>
      <w:rFonts w:hint="default" w:ascii="Arial" w:hAnsi="Arial" w:cs="Arial"/>
      <w:color w:val="000000"/>
      <w:sz w:val="22"/>
      <w:szCs w:val="22"/>
      <w:u w:val="none"/>
    </w:rPr>
  </w:style>
  <w:style w:type="character" w:customStyle="1" w:styleId="353">
    <w:name w:val="正文11"/>
    <w:qFormat/>
    <w:uiPriority w:val="0"/>
    <w:rPr>
      <w:rFonts w:hint="eastAsia" w:ascii="宋体" w:hAnsi="宋体" w:eastAsia="宋体"/>
      <w:color w:val="000000"/>
      <w:sz w:val="22"/>
      <w:szCs w:val="22"/>
    </w:rPr>
  </w:style>
  <w:style w:type="character" w:customStyle="1" w:styleId="354">
    <w:name w:val="纯文本 字符"/>
    <w:qFormat/>
    <w:uiPriority w:val="0"/>
    <w:rPr>
      <w:rFonts w:ascii="宋体" w:hAnsi="Courier New" w:cs="Courier New"/>
      <w:kern w:val="2"/>
      <w:sz w:val="21"/>
      <w:szCs w:val="21"/>
    </w:rPr>
  </w:style>
  <w:style w:type="character" w:customStyle="1" w:styleId="355">
    <w:name w:val="正文00000 Char"/>
    <w:link w:val="356"/>
    <w:qFormat/>
    <w:uiPriority w:val="0"/>
    <w:rPr>
      <w:kern w:val="2"/>
      <w:sz w:val="24"/>
    </w:rPr>
  </w:style>
  <w:style w:type="paragraph" w:customStyle="1" w:styleId="356">
    <w:name w:val="正文00000"/>
    <w:basedOn w:val="1"/>
    <w:link w:val="355"/>
    <w:qFormat/>
    <w:uiPriority w:val="0"/>
    <w:pPr>
      <w:adjustRightInd w:val="0"/>
      <w:snapToGrid w:val="0"/>
      <w:spacing w:line="440" w:lineRule="atLeast"/>
      <w:ind w:firstLine="482"/>
    </w:pPr>
    <w:rPr>
      <w:lang w:val="zh-CN"/>
    </w:rPr>
  </w:style>
  <w:style w:type="character" w:customStyle="1" w:styleId="357">
    <w:name w:val="1级标题 Char"/>
    <w:link w:val="358"/>
    <w:qFormat/>
    <w:uiPriority w:val="0"/>
    <w:rPr>
      <w:b/>
      <w:kern w:val="2"/>
      <w:sz w:val="32"/>
      <w:szCs w:val="24"/>
    </w:rPr>
  </w:style>
  <w:style w:type="paragraph" w:customStyle="1" w:styleId="358">
    <w:name w:val="1级标题"/>
    <w:basedOn w:val="1"/>
    <w:link w:val="357"/>
    <w:qFormat/>
    <w:uiPriority w:val="0"/>
    <w:pPr>
      <w:spacing w:before="60" w:line="460" w:lineRule="exact"/>
      <w:outlineLvl w:val="0"/>
    </w:pPr>
    <w:rPr>
      <w:b/>
      <w:sz w:val="32"/>
      <w:szCs w:val="24"/>
      <w:lang w:val="zh-CN"/>
    </w:rPr>
  </w:style>
  <w:style w:type="character" w:customStyle="1" w:styleId="359">
    <w:name w:val="样式4 Char"/>
    <w:link w:val="360"/>
    <w:qFormat/>
    <w:locked/>
    <w:uiPriority w:val="0"/>
    <w:rPr>
      <w:rFonts w:ascii="Arial" w:hAnsi="Arial" w:cs="Arial"/>
      <w:kern w:val="2"/>
      <w:sz w:val="24"/>
      <w:szCs w:val="24"/>
    </w:rPr>
  </w:style>
  <w:style w:type="paragraph" w:customStyle="1" w:styleId="360">
    <w:name w:val="样式4"/>
    <w:basedOn w:val="16"/>
    <w:link w:val="359"/>
    <w:qFormat/>
    <w:uiPriority w:val="0"/>
    <w:pPr>
      <w:spacing w:line="360" w:lineRule="auto"/>
      <w:ind w:firstLine="480" w:firstLineChars="200"/>
    </w:pPr>
    <w:rPr>
      <w:rFonts w:ascii="Arial" w:hAnsi="Arial"/>
      <w:spacing w:val="0"/>
      <w:szCs w:val="24"/>
      <w:lang w:val="zh-CN"/>
    </w:rPr>
  </w:style>
  <w:style w:type="character" w:customStyle="1" w:styleId="361">
    <w:name w:val="样式 样式 (中文) 宋体 小四 行距: 多倍行距 1.1 字行 + 首行缩进:  2 字符 Char"/>
    <w:link w:val="362"/>
    <w:qFormat/>
    <w:uiPriority w:val="0"/>
    <w:rPr>
      <w:rFonts w:ascii="Arial" w:hAnsi="Arial" w:cs="宋体"/>
      <w:spacing w:val="10"/>
      <w:kern w:val="2"/>
      <w:sz w:val="24"/>
      <w:szCs w:val="24"/>
    </w:rPr>
  </w:style>
  <w:style w:type="paragraph" w:customStyle="1" w:styleId="362">
    <w:name w:val="样式 样式 (中文) 宋体 小四 行距: 多倍行距 1.1 字行 + 首行缩进:  2 字符"/>
    <w:basedOn w:val="1"/>
    <w:link w:val="361"/>
    <w:qFormat/>
    <w:uiPriority w:val="0"/>
    <w:pPr>
      <w:spacing w:line="264" w:lineRule="auto"/>
      <w:ind w:firstLine="489" w:firstLineChars="200"/>
      <w:textAlignment w:val="center"/>
    </w:pPr>
    <w:rPr>
      <w:rFonts w:ascii="Arial" w:hAnsi="Arial"/>
      <w:spacing w:val="10"/>
      <w:szCs w:val="24"/>
      <w:lang w:val="zh-CN"/>
    </w:rPr>
  </w:style>
  <w:style w:type="character" w:customStyle="1" w:styleId="363">
    <w:name w:val="样式 题注 + (中文) 宋体 小四 加粗 Char"/>
    <w:link w:val="364"/>
    <w:qFormat/>
    <w:uiPriority w:val="0"/>
    <w:rPr>
      <w:rFonts w:ascii="Arial" w:hAnsi="Arial"/>
      <w:b/>
      <w:bCs/>
      <w:sz w:val="24"/>
      <w:szCs w:val="24"/>
    </w:rPr>
  </w:style>
  <w:style w:type="paragraph" w:customStyle="1" w:styleId="364">
    <w:name w:val="样式 题注 + (中文) 宋体 小四 加粗"/>
    <w:basedOn w:val="17"/>
    <w:link w:val="363"/>
    <w:qFormat/>
    <w:uiPriority w:val="0"/>
    <w:pPr>
      <w:keepNext/>
      <w:spacing w:before="160" w:line="0" w:lineRule="atLeast"/>
      <w:contextualSpacing/>
      <w:jc w:val="center"/>
    </w:pPr>
    <w:rPr>
      <w:rFonts w:eastAsia="宋体" w:cs="Times New Roman"/>
      <w:sz w:val="24"/>
      <w:szCs w:val="24"/>
      <w:lang w:val="zh-CN"/>
    </w:rPr>
  </w:style>
  <w:style w:type="character" w:customStyle="1" w:styleId="365">
    <w:name w:val="正文文本的样式 Char"/>
    <w:link w:val="366"/>
    <w:qFormat/>
    <w:uiPriority w:val="0"/>
    <w:rPr>
      <w:rFonts w:ascii="Arial" w:hAnsi="Arial" w:cs="Arial"/>
      <w:sz w:val="24"/>
      <w:lang w:bidi="en-US"/>
    </w:rPr>
  </w:style>
  <w:style w:type="paragraph" w:customStyle="1" w:styleId="366">
    <w:name w:val="正文文本的样式"/>
    <w:basedOn w:val="1"/>
    <w:link w:val="365"/>
    <w:qFormat/>
    <w:uiPriority w:val="0"/>
    <w:pPr>
      <w:widowControl/>
      <w:spacing w:line="360" w:lineRule="auto"/>
      <w:ind w:firstLine="200" w:firstLineChars="200"/>
      <w:jc w:val="left"/>
    </w:pPr>
    <w:rPr>
      <w:rFonts w:ascii="Arial" w:hAnsi="Arial" w:cs="Arial"/>
      <w:lang w:val="zh-CN" w:bidi="en-US"/>
    </w:rPr>
  </w:style>
  <w:style w:type="character" w:customStyle="1" w:styleId="367">
    <w:name w:val="表格正文样式 Char"/>
    <w:link w:val="368"/>
    <w:qFormat/>
    <w:uiPriority w:val="0"/>
    <w:rPr>
      <w:rFonts w:ascii="Arial" w:hAnsi="Arial"/>
      <w:color w:val="000000"/>
      <w:sz w:val="21"/>
      <w:szCs w:val="21"/>
      <w:lang w:eastAsia="en-US" w:bidi="en-US"/>
    </w:rPr>
  </w:style>
  <w:style w:type="paragraph" w:customStyle="1" w:styleId="368">
    <w:name w:val="表格正文样式"/>
    <w:basedOn w:val="1"/>
    <w:link w:val="367"/>
    <w:qFormat/>
    <w:uiPriority w:val="0"/>
    <w:pPr>
      <w:widowControl/>
      <w:spacing w:line="0" w:lineRule="atLeast"/>
      <w:jc w:val="center"/>
    </w:pPr>
    <w:rPr>
      <w:rFonts w:ascii="Arial" w:hAnsi="Arial"/>
      <w:color w:val="000000"/>
      <w:sz w:val="21"/>
      <w:lang w:val="zh-CN" w:eastAsia="en-US" w:bidi="en-US"/>
    </w:rPr>
  </w:style>
  <w:style w:type="character" w:customStyle="1" w:styleId="369">
    <w:name w:val="javascript1"/>
    <w:qFormat/>
    <w:uiPriority w:val="0"/>
    <w:rPr>
      <w:rFonts w:ascii="Tahoma" w:hAnsi="Tahoma" w:eastAsia="宋体" w:cs="Tahoma"/>
      <w:i/>
      <w:spacing w:val="240"/>
      <w:sz w:val="24"/>
      <w:szCs w:val="18"/>
      <w:shd w:val="clear" w:color="auto" w:fill="CCCCCC"/>
    </w:rPr>
  </w:style>
  <w:style w:type="paragraph" w:customStyle="1" w:styleId="370">
    <w:name w:val="样式 加粗 居中"/>
    <w:basedOn w:val="1"/>
    <w:qFormat/>
    <w:uiPriority w:val="0"/>
    <w:pPr>
      <w:jc w:val="center"/>
    </w:pPr>
    <w:rPr>
      <w:rFonts w:ascii="Arial" w:hAnsi="Arial" w:cs="宋体"/>
      <w:b/>
      <w:bCs/>
    </w:rPr>
  </w:style>
  <w:style w:type="paragraph" w:customStyle="1" w:styleId="371">
    <w:name w:val="xl37"/>
    <w:basedOn w:val="1"/>
    <w:qFormat/>
    <w:uiPriority w:val="0"/>
    <w:pPr>
      <w:widowControl/>
      <w:spacing w:before="100" w:beforeAutospacing="1" w:after="100" w:afterAutospacing="1"/>
      <w:jc w:val="center"/>
    </w:pPr>
    <w:rPr>
      <w:rFonts w:ascii="宋体" w:hAnsi="宋体"/>
    </w:rPr>
  </w:style>
  <w:style w:type="paragraph" w:customStyle="1" w:styleId="372">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ind w:firstLine="200" w:firstLineChars="200"/>
      <w:jc w:val="center"/>
    </w:pPr>
    <w:rPr>
      <w:rFonts w:ascii="宋体" w:hAnsi="宋体"/>
    </w:rPr>
  </w:style>
  <w:style w:type="paragraph" w:customStyle="1" w:styleId="373">
    <w:name w:val="04正文"/>
    <w:basedOn w:val="1"/>
    <w:semiHidden/>
    <w:qFormat/>
    <w:uiPriority w:val="0"/>
    <w:pPr>
      <w:spacing w:line="360" w:lineRule="auto"/>
      <w:ind w:firstLine="480" w:firstLineChars="200"/>
    </w:pPr>
    <w:rPr>
      <w:color w:val="000000"/>
    </w:rPr>
  </w:style>
  <w:style w:type="paragraph" w:customStyle="1" w:styleId="374">
    <w:name w:val="Char Char119"/>
    <w:basedOn w:val="1"/>
    <w:qFormat/>
    <w:uiPriority w:val="0"/>
    <w:pPr>
      <w:spacing w:line="360" w:lineRule="auto"/>
      <w:ind w:firstLine="200" w:firstLineChars="200"/>
    </w:pPr>
    <w:rPr>
      <w:rFonts w:ascii="宋体" w:hAnsi="宋体"/>
      <w:szCs w:val="22"/>
    </w:rPr>
  </w:style>
  <w:style w:type="paragraph" w:customStyle="1" w:styleId="375">
    <w:name w:val="Char Char13"/>
    <w:basedOn w:val="1"/>
    <w:qFormat/>
    <w:uiPriority w:val="0"/>
    <w:pPr>
      <w:spacing w:line="360" w:lineRule="auto"/>
      <w:ind w:firstLine="200" w:firstLineChars="200"/>
    </w:pPr>
    <w:rPr>
      <w:rFonts w:ascii="宋体" w:hAnsi="宋体" w:cs="宋体"/>
    </w:rPr>
  </w:style>
  <w:style w:type="paragraph" w:customStyle="1" w:styleId="376">
    <w:name w:val="Char Char1 Char Char Char Char Char Char Char Char Char Char Char Char Char Char Char Char Char Char Char Char1 Char"/>
    <w:basedOn w:val="1"/>
    <w:qFormat/>
    <w:uiPriority w:val="0"/>
    <w:pPr>
      <w:spacing w:line="360" w:lineRule="auto"/>
      <w:ind w:firstLine="200" w:firstLineChars="200"/>
    </w:pPr>
    <w:rPr>
      <w:rFonts w:ascii="宋体" w:hAnsi="宋体" w:cs="宋体"/>
    </w:rPr>
  </w:style>
  <w:style w:type="paragraph" w:customStyle="1" w:styleId="377">
    <w:name w:val="表格内部的标题"/>
    <w:basedOn w:val="1"/>
    <w:qFormat/>
    <w:uiPriority w:val="99"/>
    <w:pPr>
      <w:keepNext/>
      <w:keepLines/>
      <w:jc w:val="center"/>
    </w:pPr>
    <w:rPr>
      <w:rFonts w:ascii="黑体" w:eastAsia="黑体"/>
      <w:sz w:val="20"/>
    </w:rPr>
  </w:style>
  <w:style w:type="paragraph" w:customStyle="1" w:styleId="378">
    <w:name w:val="_Style 42"/>
    <w:basedOn w:val="1"/>
    <w:next w:val="1"/>
    <w:qFormat/>
    <w:uiPriority w:val="39"/>
    <w:pPr>
      <w:tabs>
        <w:tab w:val="left" w:pos="599"/>
        <w:tab w:val="right" w:leader="dot" w:pos="9060"/>
      </w:tabs>
      <w:spacing w:before="120" w:after="120" w:line="480" w:lineRule="exact"/>
      <w:jc w:val="left"/>
    </w:pPr>
    <w:rPr>
      <w:rFonts w:eastAsia="华文中宋"/>
      <w:b/>
      <w:bCs/>
      <w:caps/>
      <w:sz w:val="28"/>
      <w:szCs w:val="28"/>
    </w:rPr>
  </w:style>
  <w:style w:type="paragraph" w:customStyle="1" w:styleId="379">
    <w:name w:val="表格下方正文"/>
    <w:basedOn w:val="380"/>
    <w:qFormat/>
    <w:uiPriority w:val="0"/>
    <w:pPr>
      <w:spacing w:before="400" w:after="0" w:line="460" w:lineRule="exact"/>
      <w:ind w:left="0" w:firstLine="200" w:firstLineChars="200"/>
    </w:pPr>
    <w:rPr>
      <w:rFonts w:ascii="Times New Roman" w:hAnsi="Times New Roman"/>
      <w:szCs w:val="24"/>
    </w:rPr>
  </w:style>
  <w:style w:type="paragraph" w:customStyle="1" w:styleId="380">
    <w:name w:val="注释"/>
    <w:basedOn w:val="1"/>
    <w:qFormat/>
    <w:uiPriority w:val="0"/>
    <w:pPr>
      <w:spacing w:before="60" w:after="60"/>
      <w:ind w:left="567" w:firstLine="425"/>
    </w:pPr>
    <w:rPr>
      <w:rFonts w:ascii="Arial" w:hAnsi="Arial"/>
    </w:rPr>
  </w:style>
  <w:style w:type="paragraph" w:customStyle="1" w:styleId="381">
    <w:name w:val="样式 xl26 + Arial 段前: 自动 段后: 自动 底端: (无框线) 左侧: (无框线) 右侧: (无框线)"/>
    <w:basedOn w:val="372"/>
    <w:qFormat/>
    <w:uiPriority w:val="0"/>
    <w:pPr>
      <w:pBdr>
        <w:left w:val="none" w:color="auto" w:sz="0" w:space="0"/>
        <w:bottom w:val="none" w:color="auto" w:sz="0" w:space="0"/>
        <w:right w:val="none" w:color="auto" w:sz="0" w:space="0"/>
      </w:pBdr>
      <w:spacing w:before="0" w:after="0"/>
      <w:ind w:firstLine="0" w:firstLineChars="0"/>
    </w:pPr>
    <w:rPr>
      <w:rFonts w:ascii="Arial" w:hAnsi="Arial" w:cs="宋体"/>
      <w:kern w:val="2"/>
    </w:rPr>
  </w:style>
  <w:style w:type="paragraph" w:customStyle="1" w:styleId="382">
    <w:name w:val="Char22"/>
    <w:basedOn w:val="1"/>
    <w:qFormat/>
    <w:uiPriority w:val="0"/>
    <w:pPr>
      <w:spacing w:line="360" w:lineRule="auto"/>
      <w:ind w:firstLine="200" w:firstLineChars="200"/>
    </w:pPr>
    <w:rPr>
      <w:rFonts w:ascii="宋体" w:hAnsi="宋体" w:cs="宋体"/>
    </w:rPr>
  </w:style>
  <w:style w:type="paragraph" w:customStyle="1" w:styleId="383">
    <w:name w:val="样式 表格001 + Arial 五号 行距: 最小值 0 磅"/>
    <w:basedOn w:val="1"/>
    <w:qFormat/>
    <w:uiPriority w:val="0"/>
    <w:pPr>
      <w:spacing w:line="0" w:lineRule="atLeast"/>
      <w:jc w:val="center"/>
    </w:pPr>
    <w:rPr>
      <w:rFonts w:ascii="Arial" w:hAnsi="Arial" w:cs="宋体"/>
      <w:spacing w:val="10"/>
    </w:rPr>
  </w:style>
  <w:style w:type="paragraph" w:customStyle="1" w:styleId="384">
    <w:name w:val="Char Char Char Char Char Char1 Char"/>
    <w:basedOn w:val="1"/>
    <w:qFormat/>
    <w:uiPriority w:val="0"/>
    <w:pPr>
      <w:widowControl/>
      <w:jc w:val="left"/>
    </w:pPr>
    <w:rPr>
      <w:rFonts w:ascii="宋体" w:hAnsi="宋体" w:cs="宋体"/>
    </w:rPr>
  </w:style>
  <w:style w:type="paragraph" w:customStyle="1" w:styleId="385">
    <w:name w:val="页面标题3"/>
    <w:basedOn w:val="1"/>
    <w:qFormat/>
    <w:uiPriority w:val="0"/>
    <w:pPr>
      <w:adjustRightInd w:val="0"/>
      <w:spacing w:line="360" w:lineRule="auto"/>
      <w:jc w:val="center"/>
      <w:textAlignment w:val="baseline"/>
    </w:pPr>
    <w:rPr>
      <w:rFonts w:ascii="黑体" w:hAnsi="宋体" w:eastAsia="黑体"/>
      <w:b/>
      <w:kern w:val="24"/>
      <w:sz w:val="32"/>
    </w:rPr>
  </w:style>
  <w:style w:type="paragraph" w:customStyle="1" w:styleId="386">
    <w:name w:val="表格内段落"/>
    <w:basedOn w:val="1"/>
    <w:qFormat/>
    <w:uiPriority w:val="0"/>
    <w:pPr>
      <w:widowControl/>
      <w:spacing w:line="0" w:lineRule="atLeast"/>
      <w:ind w:firstLine="200" w:firstLineChars="200"/>
      <w:jc w:val="left"/>
    </w:pPr>
    <w:rPr>
      <w:rFonts w:ascii="Arial" w:hAnsi="Arial"/>
    </w:rPr>
  </w:style>
  <w:style w:type="paragraph" w:customStyle="1" w:styleId="387">
    <w:name w:val="应填表格"/>
    <w:basedOn w:val="388"/>
    <w:qFormat/>
    <w:uiPriority w:val="0"/>
    <w:pPr>
      <w:jc w:val="left"/>
    </w:pPr>
    <w:rPr>
      <w:b w:val="0"/>
    </w:rPr>
  </w:style>
  <w:style w:type="paragraph" w:customStyle="1" w:styleId="388">
    <w:name w:val="已有表格"/>
    <w:basedOn w:val="1"/>
    <w:qFormat/>
    <w:uiPriority w:val="0"/>
    <w:pPr>
      <w:adjustRightInd w:val="0"/>
      <w:spacing w:before="40" w:after="40"/>
      <w:jc w:val="center"/>
      <w:textAlignment w:val="baseline"/>
    </w:pPr>
    <w:rPr>
      <w:b/>
    </w:rPr>
  </w:style>
  <w:style w:type="paragraph" w:customStyle="1" w:styleId="389">
    <w:name w:val="缩进"/>
    <w:basedOn w:val="348"/>
    <w:qFormat/>
    <w:uiPriority w:val="0"/>
    <w:pPr>
      <w:ind w:firstLine="0" w:firstLineChars="0"/>
    </w:pPr>
    <w:rPr>
      <w:rFonts w:hAnsi="Times New Roman"/>
    </w:rPr>
  </w:style>
  <w:style w:type="paragraph" w:customStyle="1" w:styleId="390">
    <w:name w:val="正文编号(1)"/>
    <w:basedOn w:val="1"/>
    <w:next w:val="16"/>
    <w:qFormat/>
    <w:uiPriority w:val="0"/>
    <w:pPr>
      <w:widowControl/>
      <w:numPr>
        <w:ilvl w:val="0"/>
        <w:numId w:val="2"/>
      </w:numPr>
      <w:tabs>
        <w:tab w:val="left" w:pos="896"/>
      </w:tabs>
      <w:contextualSpacing/>
    </w:pPr>
    <w:rPr>
      <w:rFonts w:ascii="Arial" w:hAnsi="Arial"/>
      <w:szCs w:val="22"/>
    </w:rPr>
  </w:style>
  <w:style w:type="paragraph" w:customStyle="1" w:styleId="391">
    <w:name w:val="标题3.5"/>
    <w:basedOn w:val="1"/>
    <w:qFormat/>
    <w:uiPriority w:val="0"/>
    <w:rPr>
      <w:rFonts w:eastAsia="仿宋_GB2312"/>
    </w:rPr>
  </w:style>
  <w:style w:type="paragraph" w:customStyle="1" w:styleId="392">
    <w:name w:val="Body Text 22"/>
    <w:basedOn w:val="1"/>
    <w:qFormat/>
    <w:uiPriority w:val="0"/>
    <w:pPr>
      <w:adjustRightInd w:val="0"/>
      <w:spacing w:line="440" w:lineRule="atLeast"/>
      <w:ind w:firstLine="480"/>
      <w:textAlignment w:val="baseline"/>
    </w:pPr>
    <w:rPr>
      <w:rFonts w:ascii="Arial" w:hAnsi="Arial" w:eastAsia="仿宋_GB2312"/>
    </w:rPr>
  </w:style>
  <w:style w:type="paragraph" w:customStyle="1" w:styleId="393">
    <w:name w:val="样式 首行缩进:  2 字符"/>
    <w:basedOn w:val="1"/>
    <w:qFormat/>
    <w:uiPriority w:val="0"/>
    <w:pPr>
      <w:spacing w:line="360" w:lineRule="auto"/>
      <w:ind w:firstLine="480" w:firstLineChars="200"/>
    </w:pPr>
    <w:rPr>
      <w:rFonts w:ascii="Arial" w:hAnsi="Arial"/>
    </w:rPr>
  </w:style>
  <w:style w:type="paragraph" w:customStyle="1" w:styleId="394">
    <w:name w:val="表名"/>
    <w:basedOn w:val="1"/>
    <w:qFormat/>
    <w:uiPriority w:val="0"/>
    <w:pPr>
      <w:adjustRightInd w:val="0"/>
      <w:spacing w:before="120" w:after="120" w:line="400" w:lineRule="atLeast"/>
      <w:jc w:val="center"/>
      <w:textAlignment w:val="baseline"/>
    </w:pPr>
    <w:rPr>
      <w:rFonts w:ascii="Arial" w:hAnsi="Arial"/>
      <w:b/>
      <w:bCs/>
    </w:rPr>
  </w:style>
  <w:style w:type="paragraph" w:customStyle="1" w:styleId="395">
    <w:name w:val="标题02"/>
    <w:basedOn w:val="1"/>
    <w:next w:val="1"/>
    <w:qFormat/>
    <w:uiPriority w:val="0"/>
    <w:pPr>
      <w:snapToGrid w:val="0"/>
      <w:spacing w:line="480" w:lineRule="exact"/>
      <w:outlineLvl w:val="1"/>
    </w:pPr>
    <w:rPr>
      <w:rFonts w:ascii="Arial" w:hAnsi="Arial"/>
      <w:b/>
      <w:bCs/>
      <w:i/>
    </w:rPr>
  </w:style>
  <w:style w:type="paragraph" w:customStyle="1" w:styleId="396">
    <w:name w:val="样式 表格样式1 + (西文) Arial (中文) 宋体 自动设置 两端对齐 行距: 单倍行距"/>
    <w:basedOn w:val="397"/>
    <w:qFormat/>
    <w:uiPriority w:val="0"/>
    <w:pPr>
      <w:widowControl w:val="0"/>
      <w:tabs>
        <w:tab w:val="center" w:pos="546"/>
      </w:tabs>
      <w:spacing w:line="240" w:lineRule="auto"/>
    </w:pPr>
    <w:rPr>
      <w:rFonts w:ascii="Arial" w:hAnsi="Arial" w:eastAsia="宋体" w:cs="宋体"/>
      <w:iCs w:val="0"/>
    </w:rPr>
  </w:style>
  <w:style w:type="paragraph" w:customStyle="1" w:styleId="397">
    <w:name w:val="表格样式1"/>
    <w:qFormat/>
    <w:uiPriority w:val="0"/>
    <w:pPr>
      <w:tabs>
        <w:tab w:val="center" w:pos="546"/>
      </w:tabs>
      <w:spacing w:after="160" w:line="440" w:lineRule="exact"/>
      <w:jc w:val="center"/>
    </w:pPr>
    <w:rPr>
      <w:rFonts w:ascii="Times New Roman" w:hAnsi="Times New Roman" w:eastAsia="仿宋_GB2312" w:cs="Times New Roman"/>
      <w:iCs/>
      <w:kern w:val="2"/>
      <w:sz w:val="21"/>
      <w:szCs w:val="21"/>
      <w:lang w:val="en-US" w:eastAsia="zh-CN" w:bidi="ar-SA"/>
    </w:rPr>
  </w:style>
  <w:style w:type="paragraph" w:customStyle="1" w:styleId="398">
    <w:name w:val="★表格正文"/>
    <w:basedOn w:val="1"/>
    <w:qFormat/>
    <w:uiPriority w:val="0"/>
    <w:pPr>
      <w:adjustRightInd w:val="0"/>
      <w:snapToGrid w:val="0"/>
      <w:spacing w:line="320" w:lineRule="exact"/>
      <w:jc w:val="center"/>
    </w:pPr>
    <w:rPr>
      <w:rFonts w:ascii="Arial" w:hAnsi="Arial"/>
      <w:lang w:val="zh-CN"/>
    </w:rPr>
  </w:style>
  <w:style w:type="paragraph" w:customStyle="1" w:styleId="399">
    <w:name w:val="char"/>
    <w:basedOn w:val="1"/>
    <w:qFormat/>
    <w:uiPriority w:val="0"/>
    <w:pPr>
      <w:widowControl/>
      <w:spacing w:line="240" w:lineRule="exact"/>
      <w:jc w:val="left"/>
    </w:pPr>
    <w:rPr>
      <w:rFonts w:ascii="Verdana" w:hAnsi="Verdana" w:eastAsia="仿宋_GB2312" w:cs="”“Times New Roman”“"/>
      <w:lang w:eastAsia="en-US"/>
    </w:rPr>
  </w:style>
  <w:style w:type="paragraph" w:customStyle="1" w:styleId="400">
    <w:name w:val="居中正文"/>
    <w:basedOn w:val="55"/>
    <w:link w:val="742"/>
    <w:qFormat/>
    <w:uiPriority w:val="0"/>
    <w:pPr>
      <w:adjustRightInd w:val="0"/>
      <w:spacing w:before="120" w:after="0" w:line="360" w:lineRule="auto"/>
      <w:ind w:firstLine="0" w:firstLineChars="0"/>
      <w:jc w:val="center"/>
      <w:textAlignment w:val="baseline"/>
    </w:pPr>
    <w:rPr>
      <w:rFonts w:ascii="宋体" w:hAnsi="Arial"/>
      <w:kern w:val="28"/>
      <w:sz w:val="24"/>
      <w:szCs w:val="20"/>
    </w:rPr>
  </w:style>
  <w:style w:type="paragraph" w:customStyle="1" w:styleId="401">
    <w:name w:val="正文样式1"/>
    <w:basedOn w:val="36"/>
    <w:qFormat/>
    <w:uiPriority w:val="0"/>
    <w:pPr>
      <w:snapToGrid w:val="0"/>
      <w:spacing w:after="0" w:line="540" w:lineRule="exact"/>
      <w:ind w:left="0" w:leftChars="0" w:firstLine="200" w:firstLineChars="200"/>
    </w:pPr>
    <w:rPr>
      <w:rFonts w:ascii="Arial" w:hAnsi="Arial"/>
      <w:sz w:val="24"/>
      <w:szCs w:val="20"/>
    </w:rPr>
  </w:style>
  <w:style w:type="paragraph" w:customStyle="1" w:styleId="402">
    <w:name w:val="正文 报告书"/>
    <w:basedOn w:val="373"/>
    <w:qFormat/>
    <w:uiPriority w:val="0"/>
    <w:pPr>
      <w:spacing w:line="480" w:lineRule="exact"/>
      <w:ind w:firstLine="200"/>
    </w:pPr>
    <w:rPr>
      <w:rFonts w:hAnsi="宋体"/>
    </w:rPr>
  </w:style>
  <w:style w:type="paragraph" w:customStyle="1" w:styleId="403">
    <w:name w:val="样式25"/>
    <w:basedOn w:val="8"/>
    <w:qFormat/>
    <w:uiPriority w:val="0"/>
    <w:pPr>
      <w:tabs>
        <w:tab w:val="left" w:pos="1080"/>
      </w:tabs>
      <w:spacing w:before="120" w:after="120" w:line="240" w:lineRule="auto"/>
      <w:ind w:left="709" w:hanging="709"/>
    </w:pPr>
    <w:rPr>
      <w:rFonts w:ascii="仿宋_GB2312" w:hAnsi="Arial" w:eastAsia="仿宋_GB2312"/>
      <w:bCs w:val="0"/>
      <w:sz w:val="24"/>
      <w:szCs w:val="20"/>
    </w:rPr>
  </w:style>
  <w:style w:type="paragraph" w:customStyle="1" w:styleId="404">
    <w:name w:val="Char Char1 Char Char Char Char Char Char Char Char Char Char Char Char Char Char Char Char Char Char Char Char1 Char2"/>
    <w:basedOn w:val="1"/>
    <w:qFormat/>
    <w:uiPriority w:val="0"/>
    <w:pPr>
      <w:spacing w:line="360" w:lineRule="auto"/>
      <w:ind w:firstLine="200" w:firstLineChars="200"/>
    </w:pPr>
    <w:rPr>
      <w:rFonts w:ascii="宋体" w:hAnsi="宋体" w:cs="宋体"/>
    </w:rPr>
  </w:style>
  <w:style w:type="paragraph" w:customStyle="1" w:styleId="405">
    <w:name w:val="样式26"/>
    <w:basedOn w:val="9"/>
    <w:qFormat/>
    <w:uiPriority w:val="0"/>
    <w:pPr>
      <w:tabs>
        <w:tab w:val="left" w:pos="2903"/>
      </w:tabs>
      <w:spacing w:before="120" w:after="0" w:line="240" w:lineRule="auto"/>
      <w:ind w:left="2903" w:hanging="563"/>
      <w:jc w:val="center"/>
    </w:pPr>
    <w:rPr>
      <w:rFonts w:eastAsia="仿宋_GB2312"/>
      <w:bCs w:val="0"/>
      <w:sz w:val="24"/>
      <w:szCs w:val="20"/>
    </w:rPr>
  </w:style>
  <w:style w:type="paragraph" w:customStyle="1" w:styleId="406">
    <w:name w:val="表格首行字体"/>
    <w:basedOn w:val="1"/>
    <w:qFormat/>
    <w:uiPriority w:val="0"/>
    <w:pPr>
      <w:jc w:val="center"/>
    </w:pPr>
    <w:rPr>
      <w:rFonts w:ascii="宋体" w:hAnsi="宋体"/>
      <w:b/>
    </w:rPr>
  </w:style>
  <w:style w:type="paragraph" w:customStyle="1" w:styleId="407">
    <w:name w:val="默认段落字体 Para Char Char Char Char Char Char Char"/>
    <w:basedOn w:val="19"/>
    <w:qFormat/>
    <w:uiPriority w:val="0"/>
    <w:pPr>
      <w:shd w:val="clear" w:color="auto" w:fill="000080"/>
    </w:pPr>
    <w:rPr>
      <w:rFonts w:ascii="Tahoma" w:hAnsi="Tahoma" w:cs="Tahoma"/>
      <w:sz w:val="24"/>
      <w:szCs w:val="24"/>
    </w:rPr>
  </w:style>
  <w:style w:type="paragraph" w:customStyle="1" w:styleId="408">
    <w:name w:val="AA报告表标题3"/>
    <w:basedOn w:val="1"/>
    <w:qFormat/>
    <w:uiPriority w:val="0"/>
    <w:pPr>
      <w:keepNext/>
      <w:keepLines/>
      <w:spacing w:line="480" w:lineRule="exact"/>
      <w:ind w:firstLine="200" w:firstLineChars="200"/>
      <w:outlineLvl w:val="2"/>
    </w:pPr>
    <w:rPr>
      <w:rFonts w:cs="宋体"/>
      <w:b/>
    </w:rPr>
  </w:style>
  <w:style w:type="paragraph" w:customStyle="1" w:styleId="409">
    <w:name w:val="Char Char Char Char"/>
    <w:basedOn w:val="1"/>
    <w:qFormat/>
    <w:uiPriority w:val="0"/>
  </w:style>
  <w:style w:type="paragraph" w:customStyle="1" w:styleId="410">
    <w:name w:val="font8"/>
    <w:basedOn w:val="1"/>
    <w:qFormat/>
    <w:uiPriority w:val="0"/>
    <w:pPr>
      <w:widowControl/>
      <w:spacing w:before="100" w:beforeAutospacing="1" w:after="100" w:afterAutospacing="1"/>
      <w:jc w:val="left"/>
    </w:pPr>
    <w:rPr>
      <w:rFonts w:eastAsia="Arial Unicode MS"/>
    </w:rPr>
  </w:style>
  <w:style w:type="paragraph" w:customStyle="1" w:styleId="411">
    <w:name w:val="Char4"/>
    <w:basedOn w:val="1"/>
    <w:link w:val="412"/>
    <w:qFormat/>
    <w:uiPriority w:val="0"/>
    <w:pPr>
      <w:tabs>
        <w:tab w:val="left" w:pos="937"/>
      </w:tabs>
      <w:ind w:left="1"/>
    </w:pPr>
    <w:rPr>
      <w:rFonts w:ascii="Arial" w:hAnsi="Arial"/>
      <w:b/>
      <w:bCs/>
      <w:sz w:val="32"/>
      <w:szCs w:val="32"/>
      <w:lang w:val="zh-CN"/>
    </w:rPr>
  </w:style>
  <w:style w:type="character" w:customStyle="1" w:styleId="412">
    <w:name w:val="Char Char7"/>
    <w:link w:val="411"/>
    <w:qFormat/>
    <w:uiPriority w:val="0"/>
    <w:rPr>
      <w:rFonts w:ascii="Arial" w:hAnsi="Arial" w:cs="Arial"/>
      <w:b/>
      <w:bCs/>
      <w:kern w:val="2"/>
      <w:sz w:val="32"/>
      <w:szCs w:val="32"/>
    </w:rPr>
  </w:style>
  <w:style w:type="paragraph" w:customStyle="1" w:styleId="413">
    <w:name w:val="标题01"/>
    <w:basedOn w:val="1"/>
    <w:qFormat/>
    <w:uiPriority w:val="0"/>
    <w:pPr>
      <w:spacing w:after="120" w:line="460" w:lineRule="atLeast"/>
      <w:outlineLvl w:val="0"/>
    </w:pPr>
    <w:rPr>
      <w:b/>
      <w:bCs/>
      <w:sz w:val="30"/>
      <w:szCs w:val="30"/>
    </w:rPr>
  </w:style>
  <w:style w:type="paragraph" w:customStyle="1" w:styleId="414">
    <w:name w:val="内容"/>
    <w:basedOn w:val="1"/>
    <w:qFormat/>
    <w:uiPriority w:val="0"/>
    <w:pPr>
      <w:adjustRightInd w:val="0"/>
      <w:spacing w:after="120" w:line="360" w:lineRule="atLeast"/>
      <w:ind w:left="851"/>
      <w:textAlignment w:val="baseline"/>
    </w:pPr>
    <w:rPr>
      <w:rFonts w:ascii="Arial" w:hAnsi="Arial"/>
    </w:rPr>
  </w:style>
  <w:style w:type="paragraph" w:customStyle="1" w:styleId="415">
    <w:name w:val="xl24"/>
    <w:basedOn w:val="1"/>
    <w:qFormat/>
    <w:uiPriority w:val="0"/>
    <w:pPr>
      <w:widowControl/>
      <w:spacing w:before="100" w:beforeAutospacing="1" w:after="100" w:afterAutospacing="1" w:line="360" w:lineRule="auto"/>
      <w:ind w:firstLine="200" w:firstLineChars="200"/>
      <w:jc w:val="center"/>
    </w:pPr>
    <w:rPr>
      <w:rFonts w:ascii="Arial Unicode MS" w:hAnsi="Arial Unicode MS" w:eastAsia="Arial Unicode MS" w:cs="Arial Unicode MS"/>
    </w:rPr>
  </w:style>
  <w:style w:type="paragraph" w:customStyle="1" w:styleId="416">
    <w:name w:val="正文001"/>
    <w:basedOn w:val="1"/>
    <w:link w:val="417"/>
    <w:qFormat/>
    <w:uiPriority w:val="0"/>
    <w:pPr>
      <w:spacing w:before="60" w:line="460" w:lineRule="exact"/>
      <w:ind w:firstLine="482"/>
    </w:pPr>
    <w:rPr>
      <w:lang w:val="zh-CN"/>
    </w:rPr>
  </w:style>
  <w:style w:type="character" w:customStyle="1" w:styleId="417">
    <w:name w:val="正文001 Char1"/>
    <w:link w:val="416"/>
    <w:qFormat/>
    <w:uiPriority w:val="0"/>
    <w:rPr>
      <w:kern w:val="2"/>
      <w:sz w:val="24"/>
    </w:rPr>
  </w:style>
  <w:style w:type="paragraph" w:customStyle="1" w:styleId="418">
    <w:name w:val="样式 样式 (西文) Arial (中文) 宋体 五号 居中 +"/>
    <w:basedOn w:val="1"/>
    <w:qFormat/>
    <w:uiPriority w:val="0"/>
    <w:pPr>
      <w:jc w:val="center"/>
      <w:textAlignment w:val="center"/>
    </w:pPr>
    <w:rPr>
      <w:rFonts w:ascii="Arial" w:hAnsi="Arial" w:cs="宋体"/>
    </w:rPr>
  </w:style>
  <w:style w:type="paragraph" w:customStyle="1" w:styleId="419">
    <w:name w:val="Body Text 21"/>
    <w:basedOn w:val="1"/>
    <w:qFormat/>
    <w:uiPriority w:val="0"/>
    <w:pPr>
      <w:autoSpaceDE w:val="0"/>
      <w:autoSpaceDN w:val="0"/>
      <w:adjustRightInd w:val="0"/>
      <w:spacing w:line="480" w:lineRule="exact"/>
      <w:ind w:firstLine="540"/>
      <w:textAlignment w:val="baseline"/>
    </w:pPr>
    <w:rPr>
      <w:rFonts w:ascii="宋体" w:hAnsi="Tms Rmn"/>
    </w:rPr>
  </w:style>
  <w:style w:type="paragraph" w:customStyle="1" w:styleId="420">
    <w:name w:val="样式3"/>
    <w:basedOn w:val="16"/>
    <w:next w:val="1"/>
    <w:qFormat/>
    <w:uiPriority w:val="0"/>
    <w:pPr>
      <w:spacing w:line="360" w:lineRule="auto"/>
      <w:ind w:firstLine="480"/>
    </w:pPr>
    <w:rPr>
      <w:rFonts w:ascii="Arial" w:hAnsi="Arial"/>
      <w:spacing w:val="10"/>
    </w:rPr>
  </w:style>
  <w:style w:type="paragraph" w:customStyle="1" w:styleId="421">
    <w:name w:val="xl23"/>
    <w:basedOn w:val="1"/>
    <w:qFormat/>
    <w:uiPriority w:val="0"/>
    <w:pPr>
      <w:widowControl/>
      <w:pBdr>
        <w:top w:val="single" w:color="auto" w:sz="4" w:space="0"/>
        <w:left w:val="single" w:color="auto" w:sz="4" w:space="0"/>
      </w:pBdr>
      <w:spacing w:before="100" w:beforeAutospacing="1" w:after="100" w:afterAutospacing="1"/>
      <w:jc w:val="center"/>
    </w:pPr>
    <w:rPr>
      <w:rFonts w:ascii="Arial" w:hAnsi="Arial" w:eastAsia="Arial Unicode MS"/>
    </w:rPr>
  </w:style>
  <w:style w:type="paragraph" w:customStyle="1" w:styleId="422">
    <w:name w:val="样式11"/>
    <w:basedOn w:val="1"/>
    <w:qFormat/>
    <w:uiPriority w:val="0"/>
    <w:pPr>
      <w:spacing w:line="360" w:lineRule="auto"/>
      <w:ind w:firstLine="480" w:firstLineChars="200"/>
    </w:pPr>
    <w:rPr>
      <w:rFonts w:ascii="Arial" w:hAnsi="Arial" w:cs="Arial"/>
    </w:rPr>
  </w:style>
  <w:style w:type="paragraph" w:customStyle="1" w:styleId="423">
    <w:name w:val="正文编号1."/>
    <w:basedOn w:val="16"/>
    <w:next w:val="16"/>
    <w:qFormat/>
    <w:uiPriority w:val="0"/>
    <w:pPr>
      <w:widowControl/>
      <w:numPr>
        <w:ilvl w:val="0"/>
        <w:numId w:val="3"/>
      </w:numPr>
      <w:tabs>
        <w:tab w:val="left" w:pos="709"/>
      </w:tabs>
      <w:spacing w:line="240" w:lineRule="auto"/>
      <w:ind w:left="1145" w:hanging="720"/>
      <w:contextualSpacing/>
    </w:pPr>
    <w:rPr>
      <w:rFonts w:ascii="Arial" w:hAnsi="Arial"/>
      <w:spacing w:val="0"/>
      <w:szCs w:val="22"/>
    </w:rPr>
  </w:style>
  <w:style w:type="paragraph" w:customStyle="1" w:styleId="424">
    <w:name w:val="表格正文正文"/>
    <w:basedOn w:val="1"/>
    <w:qFormat/>
    <w:uiPriority w:val="0"/>
    <w:pPr>
      <w:spacing w:line="0" w:lineRule="atLeast"/>
      <w:jc w:val="center"/>
    </w:pPr>
    <w:rPr>
      <w:rFonts w:ascii="Arial" w:hAnsi="Arial" w:cs="Arial"/>
    </w:rPr>
  </w:style>
  <w:style w:type="paragraph" w:customStyle="1" w:styleId="425">
    <w:name w:val="样式28"/>
    <w:basedOn w:val="16"/>
    <w:qFormat/>
    <w:uiPriority w:val="0"/>
    <w:pPr>
      <w:spacing w:line="264" w:lineRule="auto"/>
      <w:ind w:firstLine="476"/>
    </w:pPr>
    <w:rPr>
      <w:rFonts w:ascii="Arial" w:hAnsi="Arial"/>
      <w:spacing w:val="10"/>
    </w:rPr>
  </w:style>
  <w:style w:type="paragraph" w:customStyle="1" w:styleId="426">
    <w:name w:val="AA正文"/>
    <w:basedOn w:val="1"/>
    <w:qFormat/>
    <w:uiPriority w:val="0"/>
    <w:pPr>
      <w:spacing w:line="480" w:lineRule="exact"/>
      <w:ind w:firstLine="200" w:firstLineChars="200"/>
    </w:pPr>
    <w:rPr>
      <w:szCs w:val="22"/>
      <w:lang w:bidi="en-US"/>
    </w:rPr>
  </w:style>
  <w:style w:type="paragraph" w:customStyle="1" w:styleId="427">
    <w:name w:val="Char Char Char Char Char Char1 Char Char Char Char"/>
    <w:basedOn w:val="1"/>
    <w:qFormat/>
    <w:uiPriority w:val="0"/>
  </w:style>
  <w:style w:type="paragraph" w:customStyle="1" w:styleId="428">
    <w:name w:val="表头  报告书"/>
    <w:basedOn w:val="1"/>
    <w:qFormat/>
    <w:uiPriority w:val="0"/>
    <w:pPr>
      <w:spacing w:before="50" w:beforeLines="50" w:line="360" w:lineRule="auto"/>
      <w:jc w:val="center"/>
    </w:pPr>
    <w:rPr>
      <w:rFonts w:hAnsi="宋体"/>
      <w:b/>
    </w:rPr>
  </w:style>
  <w:style w:type="paragraph" w:customStyle="1" w:styleId="429">
    <w:name w:val="报告正文-连续目录"/>
    <w:basedOn w:val="1"/>
    <w:link w:val="430"/>
    <w:qFormat/>
    <w:uiPriority w:val="0"/>
    <w:pPr>
      <w:spacing w:line="440" w:lineRule="exact"/>
      <w:ind w:firstLine="200" w:firstLineChars="200"/>
    </w:pPr>
    <w:rPr>
      <w:rFonts w:ascii="Arial" w:hAnsi="Arial"/>
      <w:szCs w:val="24"/>
      <w:lang w:val="zh-CN"/>
    </w:rPr>
  </w:style>
  <w:style w:type="character" w:customStyle="1" w:styleId="430">
    <w:name w:val="报告正文-连续目录 Char Char"/>
    <w:link w:val="429"/>
    <w:qFormat/>
    <w:uiPriority w:val="0"/>
    <w:rPr>
      <w:rFonts w:ascii="Arial" w:hAnsi="Arial"/>
      <w:snapToGrid/>
      <w:sz w:val="24"/>
      <w:szCs w:val="24"/>
    </w:rPr>
  </w:style>
  <w:style w:type="character" w:customStyle="1" w:styleId="431">
    <w:name w:val="9p1"/>
    <w:qFormat/>
    <w:uiPriority w:val="0"/>
    <w:rPr>
      <w:sz w:val="18"/>
      <w:szCs w:val="18"/>
    </w:rPr>
  </w:style>
  <w:style w:type="table" w:customStyle="1" w:styleId="432">
    <w:name w:val="Table Normal1"/>
    <w:unhideWhenUsed/>
    <w:qFormat/>
    <w:uiPriority w:val="0"/>
    <w:rPr>
      <w:kern w:val="2"/>
      <w:szCs w:val="21"/>
    </w:rPr>
    <w:tblPr>
      <w:tblCellMar>
        <w:top w:w="0" w:type="dxa"/>
        <w:left w:w="0" w:type="dxa"/>
        <w:bottom w:w="0" w:type="dxa"/>
        <w:right w:w="0" w:type="dxa"/>
      </w:tblCellMar>
    </w:tblPr>
  </w:style>
  <w:style w:type="paragraph" w:customStyle="1" w:styleId="433">
    <w:name w:val="段"/>
    <w:qFormat/>
    <w:uiPriority w:val="0"/>
    <w:pPr>
      <w:tabs>
        <w:tab w:val="center" w:pos="4201"/>
        <w:tab w:val="right" w:leader="dot" w:pos="9298"/>
      </w:tabs>
      <w:autoSpaceDE w:val="0"/>
      <w:autoSpaceDN w:val="0"/>
      <w:spacing w:after="160" w:line="278" w:lineRule="auto"/>
      <w:ind w:firstLine="420" w:firstLineChars="200"/>
      <w:jc w:val="both"/>
    </w:pPr>
    <w:rPr>
      <w:rFonts w:ascii="宋体" w:hAnsi="Times New Roman" w:eastAsia="宋体" w:cs="Times New Roman"/>
      <w:kern w:val="2"/>
      <w:sz w:val="21"/>
      <w:szCs w:val="21"/>
      <w:lang w:val="en-US" w:eastAsia="zh-CN" w:bidi="ar-SA"/>
    </w:rPr>
  </w:style>
  <w:style w:type="paragraph" w:customStyle="1" w:styleId="434">
    <w:name w:val="UserStyle_0"/>
    <w:basedOn w:val="1"/>
    <w:qFormat/>
    <w:uiPriority w:val="0"/>
    <w:pPr>
      <w:spacing w:before="60" w:line="460" w:lineRule="exact"/>
      <w:textAlignment w:val="baseline"/>
    </w:pPr>
    <w:rPr>
      <w:rFonts w:ascii="Calibri" w:hAnsi="Calibri"/>
      <w:b/>
      <w:sz w:val="32"/>
    </w:rPr>
  </w:style>
  <w:style w:type="character" w:customStyle="1" w:styleId="435">
    <w:name w:val="样式 四号"/>
    <w:qFormat/>
    <w:uiPriority w:val="0"/>
    <w:rPr>
      <w:rFonts w:ascii="Times New Roman" w:hAnsi="Times New Roman" w:eastAsia="宋体"/>
      <w:sz w:val="28"/>
    </w:rPr>
  </w:style>
  <w:style w:type="paragraph" w:customStyle="1" w:styleId="436">
    <w:name w:val="表内表"/>
    <w:basedOn w:val="1"/>
    <w:semiHidden/>
    <w:qFormat/>
    <w:uiPriority w:val="0"/>
    <w:pPr>
      <w:jc w:val="center"/>
    </w:pPr>
    <w:rPr>
      <w:rFonts w:eastAsia="仿宋_GB2312"/>
    </w:rPr>
  </w:style>
  <w:style w:type="paragraph" w:customStyle="1" w:styleId="437">
    <w:name w:val="正文波"/>
    <w:basedOn w:val="1"/>
    <w:qFormat/>
    <w:uiPriority w:val="0"/>
    <w:pPr>
      <w:spacing w:line="490" w:lineRule="exact"/>
      <w:ind w:firstLine="560" w:firstLineChars="200"/>
    </w:pPr>
    <w:rPr>
      <w:rFonts w:cs="宋体"/>
      <w:sz w:val="28"/>
    </w:rPr>
  </w:style>
  <w:style w:type="paragraph" w:customStyle="1" w:styleId="438">
    <w:name w:val="正文+波"/>
    <w:basedOn w:val="439"/>
    <w:qFormat/>
    <w:uiPriority w:val="0"/>
    <w:pPr>
      <w:ind w:firstLine="560"/>
    </w:pPr>
    <w:rPr>
      <w:sz w:val="28"/>
    </w:rPr>
  </w:style>
  <w:style w:type="paragraph" w:customStyle="1" w:styleId="439">
    <w:name w:val="正文+ 波"/>
    <w:basedOn w:val="1"/>
    <w:qFormat/>
    <w:uiPriority w:val="0"/>
    <w:pPr>
      <w:spacing w:line="360" w:lineRule="auto"/>
      <w:ind w:firstLine="200" w:firstLineChars="200"/>
    </w:pPr>
    <w:rPr>
      <w:rFonts w:cs="宋体"/>
    </w:rPr>
  </w:style>
  <w:style w:type="table" w:customStyle="1" w:styleId="440">
    <w:name w:val="网格型121"/>
    <w:basedOn w:val="57"/>
    <w:qFormat/>
    <w:uiPriority w:val="59"/>
    <w:pPr>
      <w:jc w:val="both"/>
    </w:pPr>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441">
    <w:name w:val="No Spacing"/>
    <w:qFormat/>
    <w:uiPriority w:val="0"/>
    <w:pPr>
      <w:widowControl w:val="0"/>
      <w:spacing w:after="160" w:line="360" w:lineRule="auto"/>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442">
    <w:name w:val="my"/>
    <w:basedOn w:val="1"/>
    <w:qFormat/>
    <w:uiPriority w:val="0"/>
    <w:pPr>
      <w:widowControl/>
      <w:tabs>
        <w:tab w:val="left" w:pos="0"/>
      </w:tabs>
      <w:adjustRightInd w:val="0"/>
      <w:spacing w:line="360" w:lineRule="auto"/>
      <w:ind w:firstLine="480" w:firstLineChars="200"/>
    </w:pPr>
    <w:rPr>
      <w:rFonts w:hAnsi="宋体"/>
    </w:rPr>
  </w:style>
  <w:style w:type="paragraph" w:customStyle="1" w:styleId="443">
    <w:name w:val="表格文字2018"/>
    <w:basedOn w:val="1"/>
    <w:unhideWhenUsed/>
    <w:qFormat/>
    <w:uiPriority w:val="0"/>
    <w:pPr>
      <w:widowControl/>
      <w:spacing w:line="320" w:lineRule="exact"/>
      <w:jc w:val="center"/>
    </w:pPr>
    <w:rPr>
      <w:rFonts w:eastAsia="仿宋_GB2312"/>
    </w:rPr>
  </w:style>
  <w:style w:type="paragraph" w:customStyle="1" w:styleId="444">
    <w:name w:val="1.1.1.1"/>
    <w:basedOn w:val="9"/>
    <w:next w:val="23"/>
    <w:qFormat/>
    <w:uiPriority w:val="0"/>
    <w:pPr>
      <w:ind w:firstLine="420" w:firstLineChars="200"/>
      <w:outlineLvl w:val="5"/>
    </w:pPr>
    <w:rPr>
      <w:rFonts w:ascii="Times New Roman" w:hAnsi="Times New Roman" w:eastAsia="宋体"/>
      <w:sz w:val="24"/>
    </w:rPr>
  </w:style>
  <w:style w:type="character" w:customStyle="1" w:styleId="445">
    <w:name w:val="批注文字 字符"/>
    <w:qFormat/>
    <w:locked/>
    <w:uiPriority w:val="0"/>
    <w:rPr>
      <w:rFonts w:ascii="Times New Roman" w:hAnsi="Times New Roman" w:eastAsia="宋体"/>
      <w:sz w:val="24"/>
    </w:rPr>
  </w:style>
  <w:style w:type="table" w:customStyle="1" w:styleId="446">
    <w:name w:val="网格型2"/>
    <w:basedOn w:val="5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447">
    <w:name w:val="标题 2 字符"/>
    <w:qFormat/>
    <w:uiPriority w:val="0"/>
    <w:rPr>
      <w:rFonts w:ascii="Arial" w:hAnsi="Arial" w:eastAsia="黑体"/>
      <w:b/>
      <w:bCs/>
      <w:kern w:val="2"/>
      <w:sz w:val="32"/>
      <w:szCs w:val="32"/>
    </w:rPr>
  </w:style>
  <w:style w:type="character" w:customStyle="1" w:styleId="448">
    <w:name w:val="标题 3 字符"/>
    <w:qFormat/>
    <w:uiPriority w:val="0"/>
    <w:rPr>
      <w:b/>
      <w:bCs/>
      <w:kern w:val="2"/>
      <w:sz w:val="32"/>
      <w:szCs w:val="32"/>
    </w:rPr>
  </w:style>
  <w:style w:type="character" w:customStyle="1" w:styleId="449">
    <w:name w:val="题注 字符"/>
    <w:qFormat/>
    <w:uiPriority w:val="0"/>
    <w:rPr>
      <w:rFonts w:ascii="Arial" w:hAnsi="Arial" w:eastAsia="黑体" w:cs="Arial"/>
      <w:kern w:val="2"/>
    </w:rPr>
  </w:style>
  <w:style w:type="character" w:customStyle="1" w:styleId="450">
    <w:name w:val="文档结构图 字符"/>
    <w:qFormat/>
    <w:uiPriority w:val="0"/>
    <w:rPr>
      <w:kern w:val="2"/>
      <w:sz w:val="21"/>
      <w:szCs w:val="24"/>
      <w:shd w:val="clear" w:color="auto" w:fill="000080"/>
    </w:rPr>
  </w:style>
  <w:style w:type="character" w:customStyle="1" w:styleId="451">
    <w:name w:val="正文文本缩进 字符"/>
    <w:semiHidden/>
    <w:qFormat/>
    <w:locked/>
    <w:uiPriority w:val="0"/>
    <w:rPr>
      <w:rFonts w:ascii="Times New Roman" w:hAnsi="Times New Roman" w:eastAsia="宋体"/>
      <w:sz w:val="24"/>
    </w:rPr>
  </w:style>
  <w:style w:type="character" w:customStyle="1" w:styleId="452">
    <w:name w:val="日期 字符1"/>
    <w:qFormat/>
    <w:locked/>
    <w:uiPriority w:val="0"/>
    <w:rPr>
      <w:rFonts w:ascii="Times New Roman" w:hAnsi="Times New Roman" w:eastAsia="宋体"/>
      <w:sz w:val="24"/>
    </w:rPr>
  </w:style>
  <w:style w:type="character" w:customStyle="1" w:styleId="453">
    <w:name w:val="正文文本缩进 2 字符"/>
    <w:qFormat/>
    <w:uiPriority w:val="0"/>
    <w:rPr>
      <w:kern w:val="2"/>
      <w:sz w:val="21"/>
      <w:szCs w:val="24"/>
    </w:rPr>
  </w:style>
  <w:style w:type="character" w:customStyle="1" w:styleId="454">
    <w:name w:val="批注框文本 字符"/>
    <w:qFormat/>
    <w:locked/>
    <w:uiPriority w:val="0"/>
    <w:rPr>
      <w:rFonts w:ascii="Times New Roman" w:hAnsi="Times New Roman" w:eastAsia="宋体"/>
      <w:sz w:val="18"/>
    </w:rPr>
  </w:style>
  <w:style w:type="character" w:customStyle="1" w:styleId="455">
    <w:name w:val="页脚 字符1"/>
    <w:qFormat/>
    <w:locked/>
    <w:uiPriority w:val="99"/>
    <w:rPr>
      <w:sz w:val="18"/>
    </w:rPr>
  </w:style>
  <w:style w:type="character" w:customStyle="1" w:styleId="456">
    <w:name w:val="页眉 字符"/>
    <w:qFormat/>
    <w:locked/>
    <w:uiPriority w:val="0"/>
    <w:rPr>
      <w:sz w:val="18"/>
    </w:rPr>
  </w:style>
  <w:style w:type="character" w:customStyle="1" w:styleId="457">
    <w:name w:val="正文文本缩进 3 字符"/>
    <w:qFormat/>
    <w:uiPriority w:val="0"/>
    <w:rPr>
      <w:kern w:val="2"/>
      <w:sz w:val="16"/>
      <w:szCs w:val="16"/>
    </w:rPr>
  </w:style>
  <w:style w:type="character" w:customStyle="1" w:styleId="458">
    <w:name w:val="普通(网站) 字符"/>
    <w:qFormat/>
    <w:locked/>
    <w:uiPriority w:val="99"/>
    <w:rPr>
      <w:rFonts w:ascii="宋体" w:hAnsi="宋体" w:eastAsia="宋体"/>
      <w:sz w:val="24"/>
    </w:rPr>
  </w:style>
  <w:style w:type="character" w:customStyle="1" w:styleId="459">
    <w:name w:val="批注主题 字符"/>
    <w:qFormat/>
    <w:locked/>
    <w:uiPriority w:val="0"/>
    <w:rPr>
      <w:rFonts w:ascii="Times New Roman" w:hAnsi="Times New Roman" w:eastAsia="宋体"/>
      <w:b/>
      <w:kern w:val="2"/>
      <w:sz w:val="24"/>
    </w:rPr>
  </w:style>
  <w:style w:type="character" w:customStyle="1" w:styleId="460">
    <w:name w:val="正文文本首行缩进 字符1"/>
    <w:qFormat/>
    <w:uiPriority w:val="0"/>
    <w:rPr>
      <w:kern w:val="2"/>
      <w:sz w:val="21"/>
      <w:szCs w:val="24"/>
    </w:rPr>
  </w:style>
  <w:style w:type="character" w:customStyle="1" w:styleId="461">
    <w:name w:val="表后文 Char"/>
    <w:qFormat/>
    <w:uiPriority w:val="0"/>
    <w:rPr>
      <w:rFonts w:eastAsia="宋体"/>
      <w:kern w:val="2"/>
      <w:sz w:val="21"/>
      <w:lang w:val="en-US" w:eastAsia="zh-CN" w:bidi="ar-SA"/>
    </w:rPr>
  </w:style>
  <w:style w:type="character" w:customStyle="1" w:styleId="462">
    <w:name w:val="ddd"/>
    <w:qFormat/>
    <w:uiPriority w:val="0"/>
  </w:style>
  <w:style w:type="character" w:customStyle="1" w:styleId="463">
    <w:name w:val="正文 居中 Char Char"/>
    <w:qFormat/>
    <w:uiPriority w:val="0"/>
    <w:rPr>
      <w:rFonts w:eastAsia="宋体" w:cs="黑体"/>
      <w:kern w:val="2"/>
      <w:sz w:val="24"/>
      <w:szCs w:val="24"/>
      <w:lang w:val="zh-CN" w:eastAsia="zh-CN" w:bidi="ar-SA"/>
    </w:rPr>
  </w:style>
  <w:style w:type="character" w:customStyle="1" w:styleId="464">
    <w:name w:val="内容小标题 Char"/>
    <w:link w:val="465"/>
    <w:qFormat/>
    <w:uiPriority w:val="0"/>
    <w:rPr>
      <w:b/>
      <w:kern w:val="2"/>
      <w:sz w:val="24"/>
      <w:szCs w:val="24"/>
    </w:rPr>
  </w:style>
  <w:style w:type="paragraph" w:customStyle="1" w:styleId="465">
    <w:name w:val="内容小标题"/>
    <w:basedOn w:val="1"/>
    <w:link w:val="464"/>
    <w:qFormat/>
    <w:uiPriority w:val="0"/>
    <w:pPr>
      <w:spacing w:line="360" w:lineRule="auto"/>
      <w:jc w:val="left"/>
    </w:pPr>
    <w:rPr>
      <w:b/>
      <w:szCs w:val="24"/>
      <w:lang w:val="zh-CN"/>
    </w:rPr>
  </w:style>
  <w:style w:type="character" w:customStyle="1" w:styleId="466">
    <w:name w:val="纯文本 Char2"/>
    <w:qFormat/>
    <w:uiPriority w:val="0"/>
    <w:rPr>
      <w:rFonts w:ascii="宋体" w:hAnsi="Courier New" w:cs="Courier New"/>
      <w:kern w:val="2"/>
      <w:sz w:val="21"/>
      <w:szCs w:val="21"/>
    </w:rPr>
  </w:style>
  <w:style w:type="character" w:customStyle="1" w:styleId="467">
    <w:name w:val="正文文本缩进 3 Char1"/>
    <w:qFormat/>
    <w:uiPriority w:val="0"/>
    <w:rPr>
      <w:kern w:val="2"/>
      <w:sz w:val="16"/>
      <w:szCs w:val="16"/>
    </w:rPr>
  </w:style>
  <w:style w:type="character" w:customStyle="1" w:styleId="468">
    <w:name w:val="正文001- Char"/>
    <w:link w:val="469"/>
    <w:qFormat/>
    <w:uiPriority w:val="0"/>
    <w:rPr>
      <w:bCs/>
      <w:kern w:val="2"/>
      <w:sz w:val="24"/>
      <w:szCs w:val="24"/>
    </w:rPr>
  </w:style>
  <w:style w:type="paragraph" w:customStyle="1" w:styleId="469">
    <w:name w:val="正文001-"/>
    <w:basedOn w:val="1"/>
    <w:link w:val="468"/>
    <w:qFormat/>
    <w:uiPriority w:val="0"/>
    <w:pPr>
      <w:adjustRightInd w:val="0"/>
      <w:snapToGrid w:val="0"/>
      <w:spacing w:before="60" w:line="460" w:lineRule="exact"/>
      <w:ind w:firstLine="480" w:firstLineChars="200"/>
    </w:pPr>
    <w:rPr>
      <w:bCs/>
      <w:szCs w:val="24"/>
      <w:lang w:val="zh-CN"/>
    </w:rPr>
  </w:style>
  <w:style w:type="character" w:customStyle="1" w:styleId="470">
    <w:name w:val="信息表 Char Char"/>
    <w:link w:val="471"/>
    <w:qFormat/>
    <w:uiPriority w:val="0"/>
    <w:rPr>
      <w:rFonts w:ascii="宋体" w:hAnsi="宋体"/>
      <w:kern w:val="2"/>
      <w:sz w:val="24"/>
      <w:szCs w:val="24"/>
      <w:lang w:val="en-US" w:eastAsia="zh-CN" w:bidi="ar-SA"/>
    </w:rPr>
  </w:style>
  <w:style w:type="paragraph" w:customStyle="1" w:styleId="471">
    <w:name w:val="信息表"/>
    <w:next w:val="1"/>
    <w:link w:val="470"/>
    <w:qFormat/>
    <w:uiPriority w:val="0"/>
    <w:pPr>
      <w:widowControl w:val="0"/>
      <w:autoSpaceDE w:val="0"/>
      <w:autoSpaceDN w:val="0"/>
      <w:spacing w:after="160" w:line="360" w:lineRule="auto"/>
      <w:ind w:firstLine="480" w:firstLineChars="200"/>
      <w:jc w:val="both"/>
    </w:pPr>
    <w:rPr>
      <w:rFonts w:ascii="宋体" w:hAnsi="宋体" w:eastAsia="宋体" w:cs="Times New Roman"/>
      <w:kern w:val="2"/>
      <w:sz w:val="24"/>
      <w:szCs w:val="24"/>
      <w:lang w:val="en-US" w:eastAsia="zh-CN" w:bidi="ar-SA"/>
    </w:rPr>
  </w:style>
  <w:style w:type="character" w:customStyle="1" w:styleId="472">
    <w:name w:val="正文 居中 Char"/>
    <w:link w:val="473"/>
    <w:qFormat/>
    <w:uiPriority w:val="0"/>
    <w:rPr>
      <w:rFonts w:cs="黑体"/>
      <w:kern w:val="2"/>
      <w:sz w:val="24"/>
      <w:szCs w:val="24"/>
      <w:lang w:val="zh-CN"/>
    </w:rPr>
  </w:style>
  <w:style w:type="paragraph" w:customStyle="1" w:styleId="473">
    <w:name w:val="正文 居中"/>
    <w:basedOn w:val="1"/>
    <w:link w:val="472"/>
    <w:qFormat/>
    <w:uiPriority w:val="0"/>
    <w:pPr>
      <w:adjustRightInd w:val="0"/>
      <w:snapToGrid w:val="0"/>
      <w:jc w:val="center"/>
    </w:pPr>
    <w:rPr>
      <w:szCs w:val="24"/>
      <w:lang w:val="zh-CN"/>
    </w:rPr>
  </w:style>
  <w:style w:type="character" w:customStyle="1" w:styleId="474">
    <w:name w:val="bititle"/>
    <w:qFormat/>
    <w:uiPriority w:val="0"/>
  </w:style>
  <w:style w:type="paragraph" w:customStyle="1" w:styleId="475">
    <w:name w:val="样式 标题 3 + 小四 非加粗 段前: 0 磅 段后: 0 磅 行距: 1.5 倍行距"/>
    <w:basedOn w:val="8"/>
    <w:qFormat/>
    <w:uiPriority w:val="0"/>
    <w:pPr>
      <w:spacing w:before="0" w:after="0" w:line="360" w:lineRule="auto"/>
    </w:pPr>
    <w:rPr>
      <w:rFonts w:cs="宋体"/>
      <w:sz w:val="24"/>
      <w:szCs w:val="24"/>
    </w:rPr>
  </w:style>
  <w:style w:type="paragraph" w:customStyle="1" w:styleId="476">
    <w:name w:val="表图题"/>
    <w:basedOn w:val="1"/>
    <w:qFormat/>
    <w:uiPriority w:val="0"/>
    <w:pPr>
      <w:spacing w:line="440" w:lineRule="exact"/>
      <w:jc w:val="center"/>
    </w:pPr>
    <w:rPr>
      <w:rFonts w:eastAsia="华文细黑"/>
      <w:b/>
      <w:szCs w:val="28"/>
    </w:rPr>
  </w:style>
  <w:style w:type="paragraph" w:customStyle="1" w:styleId="477">
    <w:name w:val="Char Char Char Char2"/>
    <w:basedOn w:val="1"/>
    <w:qFormat/>
    <w:uiPriority w:val="0"/>
  </w:style>
  <w:style w:type="paragraph" w:customStyle="1" w:styleId="478">
    <w:name w:val="样式12"/>
    <w:basedOn w:val="1"/>
    <w:qFormat/>
    <w:uiPriority w:val="0"/>
    <w:pPr>
      <w:spacing w:line="360" w:lineRule="auto"/>
    </w:pPr>
    <w:rPr>
      <w:rFonts w:ascii="Arial" w:hAnsi="Arial" w:cs="Arial"/>
      <w:b/>
      <w:bCs/>
    </w:rPr>
  </w:style>
  <w:style w:type="paragraph" w:customStyle="1" w:styleId="479">
    <w:name w:val="Char Char1 Char Char Char Char Char Char Char Char Char Char Char Char Char Char Char Char Char Char2"/>
    <w:basedOn w:val="1"/>
    <w:qFormat/>
    <w:uiPriority w:val="0"/>
    <w:pPr>
      <w:spacing w:line="360" w:lineRule="auto"/>
      <w:ind w:firstLine="200" w:firstLineChars="200"/>
    </w:pPr>
    <w:rPr>
      <w:rFonts w:ascii="宋体" w:hAnsi="宋体" w:cs="宋体"/>
    </w:rPr>
  </w:style>
  <w:style w:type="paragraph" w:customStyle="1" w:styleId="480">
    <w:name w:val="二级标题"/>
    <w:basedOn w:val="1"/>
    <w:qFormat/>
    <w:uiPriority w:val="0"/>
    <w:pPr>
      <w:spacing w:before="120" w:line="540" w:lineRule="exact"/>
      <w:outlineLvl w:val="1"/>
    </w:pPr>
    <w:rPr>
      <w:b/>
      <w:sz w:val="28"/>
    </w:rPr>
  </w:style>
  <w:style w:type="paragraph" w:customStyle="1" w:styleId="481">
    <w:name w:val="字元 字元1 Char Char Char Char"/>
    <w:basedOn w:val="1"/>
    <w:qFormat/>
    <w:uiPriority w:val="0"/>
    <w:pPr>
      <w:spacing w:line="360" w:lineRule="auto"/>
      <w:ind w:firstLine="200" w:firstLineChars="200"/>
    </w:pPr>
    <w:rPr>
      <w:rFonts w:ascii="宋体" w:hAnsi="宋体" w:cs="宋体"/>
    </w:rPr>
  </w:style>
  <w:style w:type="paragraph" w:customStyle="1" w:styleId="482">
    <w:name w:val="Char1 Char Char Char Char Char"/>
    <w:basedOn w:val="1"/>
    <w:qFormat/>
    <w:uiPriority w:val="0"/>
    <w:pPr>
      <w:spacing w:line="360" w:lineRule="auto"/>
      <w:ind w:firstLine="200" w:firstLineChars="200"/>
    </w:pPr>
  </w:style>
  <w:style w:type="paragraph" w:customStyle="1" w:styleId="483">
    <w:name w:val="Char Char Char Char Char Char Char Char Char Char Char Char1 Char Char Char Char Char Char Char Char Char Char Char Char Char Char Char Char Char Char Char"/>
    <w:basedOn w:val="1"/>
    <w:qFormat/>
    <w:uiPriority w:val="0"/>
    <w:pPr>
      <w:spacing w:line="360" w:lineRule="auto"/>
      <w:ind w:firstLine="200" w:firstLineChars="200"/>
    </w:pPr>
    <w:rPr>
      <w:rFonts w:ascii="宋体" w:hAnsi="宋体" w:cs="宋体"/>
    </w:rPr>
  </w:style>
  <w:style w:type="paragraph" w:customStyle="1" w:styleId="484">
    <w:name w:val="Char Char Char Char Char Char Char Char Char Char Char Char1 Char Char Char Char Char Char Char Char Char Char Char Char Char Char Char Char Char Char Char1"/>
    <w:basedOn w:val="1"/>
    <w:qFormat/>
    <w:uiPriority w:val="0"/>
    <w:pPr>
      <w:spacing w:line="360" w:lineRule="auto"/>
      <w:ind w:firstLine="200" w:firstLineChars="200"/>
    </w:pPr>
    <w:rPr>
      <w:rFonts w:ascii="宋体" w:hAnsi="宋体" w:cs="宋体"/>
    </w:rPr>
  </w:style>
  <w:style w:type="paragraph" w:customStyle="1" w:styleId="485">
    <w:name w:val="标题4"/>
    <w:basedOn w:val="1"/>
    <w:qFormat/>
    <w:uiPriority w:val="0"/>
    <w:pPr>
      <w:widowControl/>
      <w:spacing w:line="600" w:lineRule="exact"/>
      <w:jc w:val="left"/>
    </w:pPr>
    <w:rPr>
      <w:b/>
    </w:rPr>
  </w:style>
  <w:style w:type="paragraph" w:customStyle="1" w:styleId="486">
    <w:name w:val="Char11"/>
    <w:basedOn w:val="1"/>
    <w:qFormat/>
    <w:uiPriority w:val="0"/>
    <w:pPr>
      <w:spacing w:line="360" w:lineRule="auto"/>
      <w:ind w:firstLine="200" w:firstLineChars="200"/>
    </w:pPr>
  </w:style>
  <w:style w:type="paragraph" w:customStyle="1" w:styleId="487">
    <w:name w:val="xl25"/>
    <w:basedOn w:val="1"/>
    <w:qFormat/>
    <w:uiPriority w:val="0"/>
    <w:pPr>
      <w:widowControl/>
      <w:pBdr>
        <w:top w:val="single" w:color="auto" w:sz="4" w:space="0"/>
        <w:left w:val="single" w:color="auto" w:sz="8" w:space="0"/>
        <w:bottom w:val="single" w:color="auto" w:sz="8" w:space="0"/>
        <w:right w:val="single" w:color="auto" w:sz="4" w:space="0"/>
      </w:pBdr>
      <w:spacing w:before="100" w:beforeAutospacing="1" w:after="100" w:afterAutospacing="1"/>
      <w:jc w:val="center"/>
      <w:textAlignment w:val="center"/>
    </w:pPr>
    <w:rPr>
      <w:rFonts w:hint="eastAsia" w:ascii="方正姚体" w:hAnsi="Arial Unicode MS" w:eastAsia="方正姚体" w:cs="Arial Unicode MS"/>
      <w:color w:val="000000"/>
      <w:sz w:val="18"/>
      <w:szCs w:val="18"/>
    </w:rPr>
  </w:style>
  <w:style w:type="character" w:customStyle="1" w:styleId="488">
    <w:name w:val="3级标题 Char"/>
    <w:link w:val="489"/>
    <w:qFormat/>
    <w:uiPriority w:val="0"/>
    <w:rPr>
      <w:b/>
      <w:sz w:val="24"/>
    </w:rPr>
  </w:style>
  <w:style w:type="paragraph" w:customStyle="1" w:styleId="489">
    <w:name w:val="3级标题"/>
    <w:basedOn w:val="1"/>
    <w:link w:val="488"/>
    <w:qFormat/>
    <w:uiPriority w:val="0"/>
    <w:pPr>
      <w:spacing w:before="300" w:line="460" w:lineRule="exact"/>
      <w:outlineLvl w:val="2"/>
    </w:pPr>
    <w:rPr>
      <w:b/>
      <w:lang w:val="zh-CN"/>
    </w:rPr>
  </w:style>
  <w:style w:type="character" w:customStyle="1" w:styleId="490">
    <w:name w:val="标题 3 Char2"/>
    <w:qFormat/>
    <w:uiPriority w:val="0"/>
    <w:rPr>
      <w:rFonts w:eastAsia="宋体"/>
      <w:b/>
      <w:bCs/>
      <w:kern w:val="2"/>
      <w:sz w:val="32"/>
      <w:szCs w:val="32"/>
      <w:lang w:val="en-US" w:eastAsia="zh-CN" w:bidi="ar-SA"/>
    </w:rPr>
  </w:style>
  <w:style w:type="paragraph" w:customStyle="1" w:styleId="491">
    <w:name w:val="内表头"/>
    <w:basedOn w:val="1"/>
    <w:qFormat/>
    <w:uiPriority w:val="0"/>
    <w:pPr>
      <w:adjustRightInd w:val="0"/>
      <w:snapToGrid w:val="0"/>
      <w:jc w:val="center"/>
    </w:pPr>
    <w:rPr>
      <w:rFonts w:eastAsia="黑体" w:cs="Arial"/>
      <w:sz w:val="20"/>
    </w:rPr>
  </w:style>
  <w:style w:type="paragraph" w:customStyle="1" w:styleId="492">
    <w:name w:val="TOC 标题1"/>
    <w:basedOn w:val="5"/>
    <w:next w:val="1"/>
    <w:qFormat/>
    <w:uiPriority w:val="39"/>
    <w:pPr>
      <w:keepLines/>
      <w:framePr w:wrap="around"/>
      <w:widowControl/>
      <w:snapToGrid/>
      <w:spacing w:before="480" w:line="276" w:lineRule="auto"/>
      <w:jc w:val="left"/>
      <w:outlineLvl w:val="9"/>
    </w:pPr>
    <w:rPr>
      <w:rFonts w:ascii="Cambria" w:hAnsi="Cambria"/>
      <w:color w:val="365F91"/>
      <w:sz w:val="28"/>
      <w:szCs w:val="28"/>
    </w:rPr>
  </w:style>
  <w:style w:type="character" w:customStyle="1" w:styleId="493">
    <w:name w:val="正文000000000000000 宋体 小四 黑色 首行缩进:  0.85 厘米 行距: 固定值 22 磅 Char Char"/>
    <w:link w:val="494"/>
    <w:qFormat/>
    <w:uiPriority w:val="0"/>
    <w:rPr>
      <w:color w:val="000000"/>
      <w:kern w:val="2"/>
      <w:sz w:val="24"/>
      <w:szCs w:val="24"/>
    </w:rPr>
  </w:style>
  <w:style w:type="paragraph" w:customStyle="1" w:styleId="494">
    <w:name w:val="正文000000000000000 宋体 小四 黑色 首行缩进:  0.85 厘米 行距: 固定值 22 磅"/>
    <w:basedOn w:val="1"/>
    <w:link w:val="493"/>
    <w:qFormat/>
    <w:uiPriority w:val="0"/>
    <w:pPr>
      <w:spacing w:line="440" w:lineRule="exact"/>
      <w:ind w:firstLine="200" w:firstLineChars="200"/>
    </w:pPr>
    <w:rPr>
      <w:color w:val="000000"/>
      <w:szCs w:val="24"/>
      <w:lang w:val="zh-CN"/>
    </w:rPr>
  </w:style>
  <w:style w:type="character" w:customStyle="1" w:styleId="495">
    <w:name w:val="正文首行缩进 2 + Times New Roman Char Char"/>
    <w:link w:val="496"/>
    <w:qFormat/>
    <w:uiPriority w:val="0"/>
    <w:rPr>
      <w:bCs/>
      <w:kern w:val="2"/>
      <w:sz w:val="24"/>
      <w:szCs w:val="24"/>
    </w:rPr>
  </w:style>
  <w:style w:type="paragraph" w:customStyle="1" w:styleId="496">
    <w:name w:val="正文首行缩进 2 + Times New Roman"/>
    <w:basedOn w:val="1"/>
    <w:link w:val="495"/>
    <w:qFormat/>
    <w:uiPriority w:val="0"/>
    <w:pPr>
      <w:tabs>
        <w:tab w:val="left" w:pos="0"/>
        <w:tab w:val="left" w:pos="870"/>
        <w:tab w:val="left" w:pos="3150"/>
      </w:tabs>
      <w:autoSpaceDE w:val="0"/>
      <w:autoSpaceDN w:val="0"/>
      <w:spacing w:line="360" w:lineRule="auto"/>
      <w:ind w:firstLine="480" w:firstLineChars="200"/>
      <w:jc w:val="left"/>
    </w:pPr>
    <w:rPr>
      <w:bCs/>
      <w:szCs w:val="24"/>
      <w:lang w:val="zh-CN"/>
    </w:rPr>
  </w:style>
  <w:style w:type="character" w:customStyle="1" w:styleId="497">
    <w:name w:val="font41"/>
    <w:qFormat/>
    <w:uiPriority w:val="0"/>
    <w:rPr>
      <w:rFonts w:hint="eastAsia" w:ascii="宋体" w:hAnsi="宋体" w:eastAsia="宋体" w:cs="宋体"/>
      <w:color w:val="000000"/>
      <w:sz w:val="22"/>
      <w:szCs w:val="22"/>
      <w:u w:val="none"/>
    </w:rPr>
  </w:style>
  <w:style w:type="character" w:customStyle="1" w:styleId="498">
    <w:name w:val="font51"/>
    <w:qFormat/>
    <w:uiPriority w:val="0"/>
    <w:rPr>
      <w:rFonts w:hint="default" w:ascii="Times New Roman" w:hAnsi="Times New Roman" w:cs="Times New Roman"/>
      <w:color w:val="000000"/>
      <w:sz w:val="22"/>
      <w:szCs w:val="22"/>
      <w:u w:val="none"/>
    </w:rPr>
  </w:style>
  <w:style w:type="character" w:customStyle="1" w:styleId="499">
    <w:name w:val="font61"/>
    <w:qFormat/>
    <w:uiPriority w:val="0"/>
    <w:rPr>
      <w:rFonts w:hint="default" w:ascii="Times New Roman" w:hAnsi="Times New Roman" w:cs="Times New Roman"/>
      <w:color w:val="000000"/>
      <w:sz w:val="22"/>
      <w:szCs w:val="22"/>
      <w:u w:val="none"/>
    </w:rPr>
  </w:style>
  <w:style w:type="paragraph" w:customStyle="1" w:styleId="500">
    <w:name w:val="表格正文8"/>
    <w:basedOn w:val="1"/>
    <w:qFormat/>
    <w:uiPriority w:val="0"/>
    <w:pPr>
      <w:spacing w:line="360" w:lineRule="exact"/>
      <w:jc w:val="center"/>
    </w:pPr>
    <w:rPr>
      <w:snapToGrid w:val="0"/>
    </w:rPr>
  </w:style>
  <w:style w:type="paragraph" w:customStyle="1" w:styleId="501">
    <w:name w:val="正文-7"/>
    <w:basedOn w:val="1"/>
    <w:qFormat/>
    <w:uiPriority w:val="0"/>
    <w:pPr>
      <w:spacing w:before="30" w:beforeLines="30" w:line="460" w:lineRule="exact"/>
      <w:ind w:firstLine="200" w:firstLineChars="200"/>
    </w:pPr>
    <w:rPr>
      <w:snapToGrid w:val="0"/>
    </w:rPr>
  </w:style>
  <w:style w:type="paragraph" w:customStyle="1" w:styleId="502">
    <w:name w:val="样式14"/>
    <w:basedOn w:val="1"/>
    <w:qFormat/>
    <w:uiPriority w:val="0"/>
    <w:pPr>
      <w:adjustRightInd w:val="0"/>
      <w:snapToGrid w:val="0"/>
      <w:jc w:val="center"/>
    </w:pPr>
    <w:rPr>
      <w:rFonts w:cs="Arial"/>
      <w:bCs/>
      <w:color w:val="000000"/>
    </w:rPr>
  </w:style>
  <w:style w:type="character" w:customStyle="1" w:styleId="503">
    <w:name w:val="副标题 Char1"/>
    <w:qFormat/>
    <w:uiPriority w:val="0"/>
    <w:rPr>
      <w:rFonts w:ascii="Cambria" w:hAnsi="Cambria" w:cs="Times New Roman"/>
      <w:b/>
      <w:bCs/>
      <w:kern w:val="28"/>
      <w:sz w:val="32"/>
      <w:szCs w:val="32"/>
    </w:rPr>
  </w:style>
  <w:style w:type="character" w:customStyle="1" w:styleId="504">
    <w:name w:val="fontstyle01"/>
    <w:qFormat/>
    <w:uiPriority w:val="0"/>
    <w:rPr>
      <w:rFonts w:hint="eastAsia" w:ascii="宋体" w:hAnsi="宋体" w:eastAsia="宋体" w:cs="宋体"/>
      <w:color w:val="000000"/>
      <w:sz w:val="24"/>
      <w:szCs w:val="24"/>
    </w:rPr>
  </w:style>
  <w:style w:type="paragraph" w:customStyle="1" w:styleId="505">
    <w:name w:val="小标"/>
    <w:basedOn w:val="1"/>
    <w:qFormat/>
    <w:uiPriority w:val="0"/>
    <w:pPr>
      <w:widowControl/>
      <w:ind w:firstLine="482" w:firstLineChars="200"/>
      <w:jc w:val="left"/>
    </w:pPr>
    <w:rPr>
      <w:b/>
      <w:bCs/>
    </w:rPr>
  </w:style>
  <w:style w:type="paragraph" w:customStyle="1" w:styleId="506">
    <w:name w:val="表格下方正文8"/>
    <w:basedOn w:val="1"/>
    <w:qFormat/>
    <w:uiPriority w:val="0"/>
    <w:pPr>
      <w:spacing w:before="300" w:line="460" w:lineRule="exact"/>
      <w:ind w:firstLine="200" w:firstLineChars="200"/>
    </w:pPr>
    <w:rPr>
      <w:snapToGrid w:val="0"/>
    </w:rPr>
  </w:style>
  <w:style w:type="paragraph" w:customStyle="1" w:styleId="507">
    <w:name w:val="正文-biao"/>
    <w:basedOn w:val="1"/>
    <w:link w:val="508"/>
    <w:qFormat/>
    <w:uiPriority w:val="0"/>
    <w:pPr>
      <w:spacing w:before="60" w:line="460" w:lineRule="exact"/>
      <w:ind w:firstLine="482"/>
    </w:pPr>
    <w:rPr>
      <w:rFonts w:hAnsi="宋体"/>
      <w:szCs w:val="24"/>
      <w:lang w:val="zh-CN"/>
    </w:rPr>
  </w:style>
  <w:style w:type="character" w:customStyle="1" w:styleId="508">
    <w:name w:val="正文-biao Char"/>
    <w:link w:val="507"/>
    <w:qFormat/>
    <w:uiPriority w:val="0"/>
    <w:rPr>
      <w:rFonts w:hAnsi="宋体"/>
      <w:kern w:val="2"/>
      <w:sz w:val="24"/>
      <w:szCs w:val="24"/>
    </w:rPr>
  </w:style>
  <w:style w:type="paragraph" w:customStyle="1" w:styleId="509">
    <w:name w:val="样式 表头 + 段前: 0.5 行 段后: 0.5 行"/>
    <w:basedOn w:val="1"/>
    <w:qFormat/>
    <w:uiPriority w:val="0"/>
    <w:pPr>
      <w:autoSpaceDE w:val="0"/>
      <w:autoSpaceDN w:val="0"/>
      <w:adjustRightInd w:val="0"/>
      <w:spacing w:before="100" w:beforeAutospacing="1" w:after="100" w:afterAutospacing="1" w:line="480" w:lineRule="exact"/>
      <w:jc w:val="center"/>
    </w:pPr>
    <w:rPr>
      <w:b/>
      <w:bCs/>
      <w:lang w:val="zh-CN"/>
    </w:rPr>
  </w:style>
  <w:style w:type="character" w:customStyle="1" w:styleId="510">
    <w:name w:val="表格正文 Char Char"/>
    <w:qFormat/>
    <w:uiPriority w:val="0"/>
    <w:rPr>
      <w:rFonts w:eastAsia="宋体"/>
      <w:kern w:val="2"/>
      <w:sz w:val="21"/>
      <w:szCs w:val="24"/>
      <w:lang w:val="en-US" w:eastAsia="zh-CN" w:bidi="ar-SA"/>
    </w:rPr>
  </w:style>
  <w:style w:type="paragraph" w:customStyle="1" w:styleId="511">
    <w:name w:val="※正文"/>
    <w:basedOn w:val="3"/>
    <w:link w:val="512"/>
    <w:qFormat/>
    <w:uiPriority w:val="0"/>
    <w:pPr>
      <w:adjustRightInd w:val="0"/>
      <w:snapToGrid w:val="0"/>
      <w:spacing w:before="120" w:after="120" w:line="460" w:lineRule="exact"/>
      <w:ind w:firstLine="200" w:firstLineChars="200"/>
      <w:jc w:val="left"/>
    </w:pPr>
    <w:rPr>
      <w:rFonts w:ascii="Arial" w:hAnsi="Arial"/>
      <w:color w:val="000000"/>
      <w:lang w:val="zh-CN"/>
    </w:rPr>
  </w:style>
  <w:style w:type="character" w:customStyle="1" w:styleId="512">
    <w:name w:val="※正文 Char"/>
    <w:link w:val="511"/>
    <w:qFormat/>
    <w:uiPriority w:val="0"/>
    <w:rPr>
      <w:rFonts w:ascii="Arial" w:hAnsi="Arial"/>
      <w:color w:val="000000"/>
      <w:sz w:val="24"/>
      <w:szCs w:val="21"/>
    </w:rPr>
  </w:style>
  <w:style w:type="paragraph" w:customStyle="1" w:styleId="513">
    <w:name w:val="※题注"/>
    <w:basedOn w:val="9"/>
    <w:qFormat/>
    <w:uiPriority w:val="0"/>
    <w:pPr>
      <w:tabs>
        <w:tab w:val="left" w:pos="851"/>
      </w:tabs>
      <w:adjustRightInd w:val="0"/>
      <w:snapToGrid w:val="0"/>
      <w:spacing w:before="0" w:after="0" w:line="460" w:lineRule="exact"/>
      <w:jc w:val="center"/>
    </w:pPr>
    <w:rPr>
      <w:rFonts w:eastAsia="宋体"/>
      <w:sz w:val="21"/>
      <w:szCs w:val="24"/>
      <w:lang w:val="en-GB"/>
    </w:rPr>
  </w:style>
  <w:style w:type="paragraph" w:customStyle="1" w:styleId="514">
    <w:name w:val="报告表表格"/>
    <w:basedOn w:val="1"/>
    <w:qFormat/>
    <w:uiPriority w:val="0"/>
    <w:pPr>
      <w:spacing w:line="360" w:lineRule="exact"/>
      <w:jc w:val="center"/>
    </w:pPr>
    <w:rPr>
      <w:rFonts w:ascii="Arial" w:hAnsi="Arial"/>
    </w:rPr>
  </w:style>
  <w:style w:type="paragraph" w:customStyle="1" w:styleId="515">
    <w:name w:val="※表格正文"/>
    <w:basedOn w:val="1"/>
    <w:qFormat/>
    <w:uiPriority w:val="0"/>
    <w:pPr>
      <w:adjustRightInd w:val="0"/>
      <w:snapToGrid w:val="0"/>
      <w:spacing w:line="320" w:lineRule="exact"/>
      <w:jc w:val="center"/>
    </w:pPr>
    <w:rPr>
      <w:rFonts w:ascii="Arial" w:hAnsi="Arial" w:cs="Arial"/>
    </w:rPr>
  </w:style>
  <w:style w:type="character" w:customStyle="1" w:styleId="516">
    <w:name w:val="fontstyle21"/>
    <w:qFormat/>
    <w:uiPriority w:val="0"/>
    <w:rPr>
      <w:rFonts w:ascii="TimesNewRomanPS-BoldMT" w:hAnsi="TimesNewRomanPS-BoldMT" w:eastAsia="TimesNewRomanPS-BoldMT" w:cs="TimesNewRomanPS-BoldMT"/>
      <w:b/>
      <w:color w:val="000000"/>
      <w:sz w:val="24"/>
      <w:szCs w:val="24"/>
    </w:rPr>
  </w:style>
  <w:style w:type="paragraph" w:customStyle="1" w:styleId="517">
    <w:name w:val="表格中"/>
    <w:basedOn w:val="1"/>
    <w:next w:val="1"/>
    <w:qFormat/>
    <w:uiPriority w:val="0"/>
    <w:pPr>
      <w:widowControl/>
      <w:spacing w:line="360" w:lineRule="exact"/>
      <w:ind w:firstLine="200" w:firstLineChars="200"/>
      <w:jc w:val="center"/>
    </w:pPr>
    <w:rPr>
      <w:sz w:val="20"/>
    </w:rPr>
  </w:style>
  <w:style w:type="paragraph" w:customStyle="1" w:styleId="518">
    <w:name w:val="※表格正文1"/>
    <w:basedOn w:val="515"/>
    <w:qFormat/>
    <w:uiPriority w:val="0"/>
  </w:style>
  <w:style w:type="paragraph" w:customStyle="1" w:styleId="519">
    <w:name w:val="Char Char11"/>
    <w:basedOn w:val="1"/>
    <w:qFormat/>
    <w:uiPriority w:val="99"/>
    <w:pPr>
      <w:spacing w:line="360" w:lineRule="auto"/>
      <w:ind w:firstLine="200" w:firstLineChars="200"/>
    </w:pPr>
    <w:rPr>
      <w:rFonts w:ascii="宋体" w:hAnsi="宋体"/>
    </w:rPr>
  </w:style>
  <w:style w:type="character" w:customStyle="1" w:styleId="520">
    <w:name w:val="正文缩进 字符1"/>
    <w:qFormat/>
    <w:uiPriority w:val="99"/>
    <w:rPr>
      <w:kern w:val="2"/>
      <w:sz w:val="21"/>
    </w:rPr>
  </w:style>
  <w:style w:type="table" w:customStyle="1" w:styleId="521">
    <w:name w:val="Table Normal2"/>
    <w:unhideWhenUsed/>
    <w:qFormat/>
    <w:uiPriority w:val="0"/>
    <w:pPr>
      <w:widowControl w:val="0"/>
      <w:autoSpaceDE w:val="0"/>
      <w:autoSpaceDN w:val="0"/>
    </w:pPr>
    <w:rPr>
      <w:kern w:val="2"/>
      <w:sz w:val="22"/>
      <w:szCs w:val="21"/>
      <w:lang w:eastAsia="en-US"/>
    </w:rPr>
    <w:tblPr>
      <w:tblCellMar>
        <w:top w:w="0" w:type="dxa"/>
        <w:left w:w="0" w:type="dxa"/>
        <w:bottom w:w="0" w:type="dxa"/>
        <w:right w:w="0" w:type="dxa"/>
      </w:tblCellMar>
    </w:tblPr>
  </w:style>
  <w:style w:type="character" w:customStyle="1" w:styleId="522">
    <w:name w:val="标题 1 字符"/>
    <w:qFormat/>
    <w:uiPriority w:val="0"/>
    <w:rPr>
      <w:rFonts w:eastAsia="黑体"/>
      <w:b/>
      <w:bCs/>
      <w:color w:val="000000"/>
      <w:kern w:val="44"/>
      <w:sz w:val="30"/>
      <w:szCs w:val="30"/>
    </w:rPr>
  </w:style>
  <w:style w:type="character" w:customStyle="1" w:styleId="523">
    <w:name w:val="标题 4 字符1"/>
    <w:qFormat/>
    <w:uiPriority w:val="0"/>
    <w:rPr>
      <w:rFonts w:ascii="Cambria" w:hAnsi="Cambria"/>
      <w:b/>
      <w:bCs/>
      <w:kern w:val="2"/>
      <w:sz w:val="28"/>
      <w:szCs w:val="28"/>
    </w:rPr>
  </w:style>
  <w:style w:type="character" w:customStyle="1" w:styleId="524">
    <w:name w:val="标题 5 字符1"/>
    <w:qFormat/>
    <w:uiPriority w:val="0"/>
    <w:rPr>
      <w:rFonts w:ascii="Arial" w:hAnsi="Arial"/>
      <w:b/>
      <w:bCs/>
      <w:color w:val="000000"/>
      <w:kern w:val="1"/>
      <w:sz w:val="28"/>
      <w:szCs w:val="28"/>
      <w:lang w:eastAsia="ar-SA"/>
    </w:rPr>
  </w:style>
  <w:style w:type="character" w:customStyle="1" w:styleId="525">
    <w:name w:val="纯文本 字符1"/>
    <w:qFormat/>
    <w:uiPriority w:val="0"/>
    <w:rPr>
      <w:rFonts w:ascii="宋体" w:hAnsi="Courier New"/>
      <w:kern w:val="2"/>
      <w:sz w:val="21"/>
    </w:rPr>
  </w:style>
  <w:style w:type="character" w:customStyle="1" w:styleId="526">
    <w:name w:val="正文文本 2 字符"/>
    <w:qFormat/>
    <w:uiPriority w:val="0"/>
    <w:rPr>
      <w:color w:val="000000"/>
      <w:kern w:val="1"/>
      <w:sz w:val="24"/>
      <w:szCs w:val="21"/>
      <w:lang w:eastAsia="ar-SA"/>
    </w:rPr>
  </w:style>
  <w:style w:type="character" w:customStyle="1" w:styleId="527">
    <w:name w:val="标题 字符1"/>
    <w:qFormat/>
    <w:uiPriority w:val="0"/>
    <w:rPr>
      <w:rFonts w:ascii="Cambria" w:hAnsi="Cambria"/>
      <w:b/>
      <w:bCs/>
      <w:kern w:val="2"/>
      <w:sz w:val="32"/>
      <w:szCs w:val="32"/>
    </w:rPr>
  </w:style>
  <w:style w:type="character" w:customStyle="1" w:styleId="528">
    <w:name w:val="hot-word-count"/>
    <w:qFormat/>
    <w:uiPriority w:val="0"/>
    <w:rPr>
      <w:color w:val="FC5531"/>
    </w:rPr>
  </w:style>
  <w:style w:type="character" w:customStyle="1" w:styleId="529">
    <w:name w:val="fontborder"/>
    <w:qFormat/>
    <w:uiPriority w:val="0"/>
    <w:rPr>
      <w:bdr w:val="single" w:color="000000" w:sz="6" w:space="0"/>
    </w:rPr>
  </w:style>
  <w:style w:type="character" w:customStyle="1" w:styleId="530">
    <w:name w:val="hover5"/>
    <w:qFormat/>
    <w:uiPriority w:val="0"/>
  </w:style>
  <w:style w:type="character" w:customStyle="1" w:styleId="531">
    <w:name w:val="reward-close"/>
    <w:qFormat/>
    <w:uiPriority w:val="0"/>
  </w:style>
  <w:style w:type="character" w:customStyle="1" w:styleId="532">
    <w:name w:val="first-child"/>
    <w:qFormat/>
    <w:uiPriority w:val="0"/>
    <w:rPr>
      <w:shd w:val="clear" w:color="auto" w:fill="3083EB"/>
    </w:rPr>
  </w:style>
  <w:style w:type="character" w:customStyle="1" w:styleId="533">
    <w:name w:val="hover"/>
    <w:qFormat/>
    <w:uiPriority w:val="0"/>
    <w:rPr>
      <w:color w:val="FC5531"/>
      <w:bdr w:val="single" w:color="FC5531" w:sz="6" w:space="0"/>
    </w:rPr>
  </w:style>
  <w:style w:type="character" w:customStyle="1" w:styleId="534">
    <w:name w:val="hover7"/>
    <w:qFormat/>
    <w:uiPriority w:val="0"/>
    <w:rPr>
      <w:color w:val="FC5531"/>
      <w:bdr w:val="single" w:color="FC5531" w:sz="6" w:space="0"/>
    </w:rPr>
  </w:style>
  <w:style w:type="character" w:customStyle="1" w:styleId="535">
    <w:name w:val="quote2"/>
    <w:qFormat/>
    <w:uiPriority w:val="0"/>
    <w:rPr>
      <w:color w:val="6B6B6B"/>
      <w:sz w:val="18"/>
      <w:szCs w:val="18"/>
    </w:rPr>
  </w:style>
  <w:style w:type="character" w:customStyle="1" w:styleId="536">
    <w:name w:val="text"/>
    <w:qFormat/>
    <w:uiPriority w:val="0"/>
    <w:rPr>
      <w:vertAlign w:val="superscript"/>
    </w:rPr>
  </w:style>
  <w:style w:type="character" w:customStyle="1" w:styleId="537">
    <w:name w:val="hover6"/>
    <w:qFormat/>
    <w:uiPriority w:val="0"/>
    <w:rPr>
      <w:color w:val="FC5531"/>
      <w:bdr w:val="single" w:color="FC5531" w:sz="6" w:space="0"/>
    </w:rPr>
  </w:style>
  <w:style w:type="character" w:customStyle="1" w:styleId="538">
    <w:name w:val="fontstrikethrough"/>
    <w:qFormat/>
    <w:uiPriority w:val="0"/>
    <w:rPr>
      <w:strike/>
    </w:rPr>
  </w:style>
  <w:style w:type="character" w:customStyle="1" w:styleId="539">
    <w:name w:val="search-txt"/>
    <w:qFormat/>
    <w:uiPriority w:val="0"/>
    <w:rPr>
      <w:sz w:val="24"/>
      <w:szCs w:val="24"/>
    </w:rPr>
  </w:style>
  <w:style w:type="character" w:customStyle="1" w:styleId="540">
    <w:name w:val="search-bt"/>
    <w:qFormat/>
    <w:uiPriority w:val="0"/>
    <w:rPr>
      <w:color w:val="4E4E4E"/>
      <w:sz w:val="21"/>
      <w:szCs w:val="21"/>
      <w:shd w:val="clear" w:color="auto" w:fill="FFFFFF"/>
    </w:rPr>
  </w:style>
  <w:style w:type="character" w:customStyle="1" w:styleId="541">
    <w:name w:val="last-child"/>
    <w:qFormat/>
    <w:uiPriority w:val="0"/>
  </w:style>
  <w:style w:type="character" w:customStyle="1" w:styleId="542">
    <w:name w:val="hover1"/>
    <w:qFormat/>
    <w:uiPriority w:val="0"/>
    <w:rPr>
      <w:color w:val="FC5531"/>
    </w:rPr>
  </w:style>
  <w:style w:type="character" w:customStyle="1" w:styleId="543">
    <w:name w:val="advert-money"/>
    <w:qFormat/>
    <w:uiPriority w:val="0"/>
    <w:rPr>
      <w:b/>
      <w:color w:val="FC5531"/>
      <w:sz w:val="24"/>
      <w:szCs w:val="24"/>
    </w:rPr>
  </w:style>
  <w:style w:type="character" w:customStyle="1" w:styleId="544">
    <w:name w:val="first-child1"/>
    <w:qFormat/>
    <w:uiPriority w:val="0"/>
  </w:style>
  <w:style w:type="character" w:customStyle="1" w:styleId="545">
    <w:name w:val="小节标题 Char"/>
    <w:qFormat/>
    <w:uiPriority w:val="0"/>
    <w:rPr>
      <w:rFonts w:eastAsia="宋体"/>
      <w:b/>
      <w:bCs/>
      <w:kern w:val="2"/>
      <w:sz w:val="24"/>
      <w:szCs w:val="24"/>
      <w:lang w:val="en-US" w:eastAsia="zh-CN" w:bidi="ar-SA"/>
    </w:rPr>
  </w:style>
  <w:style w:type="character" w:customStyle="1" w:styleId="546">
    <w:name w:val="name"/>
    <w:qFormat/>
    <w:uiPriority w:val="0"/>
    <w:rPr>
      <w:color w:val="555666"/>
      <w:sz w:val="21"/>
      <w:szCs w:val="21"/>
    </w:rPr>
  </w:style>
  <w:style w:type="character" w:customStyle="1" w:styleId="547">
    <w:name w:val="nth-child(3n+1)"/>
    <w:qFormat/>
    <w:uiPriority w:val="0"/>
  </w:style>
  <w:style w:type="character" w:customStyle="1" w:styleId="548">
    <w:name w:val="tip2"/>
    <w:qFormat/>
    <w:uiPriority w:val="0"/>
    <w:rPr>
      <w:color w:val="999AAA"/>
      <w:sz w:val="18"/>
      <w:szCs w:val="18"/>
    </w:rPr>
  </w:style>
  <w:style w:type="character" w:customStyle="1" w:styleId="549">
    <w:name w:val="tip"/>
    <w:qFormat/>
    <w:uiPriority w:val="0"/>
    <w:rPr>
      <w:color w:val="999AAA"/>
      <w:sz w:val="18"/>
      <w:szCs w:val="18"/>
    </w:rPr>
  </w:style>
  <w:style w:type="character" w:customStyle="1" w:styleId="550">
    <w:name w:val="toolbar-adver-btn"/>
    <w:qFormat/>
    <w:uiPriority w:val="0"/>
    <w:rPr>
      <w:color w:val="FFFFFF"/>
      <w:sz w:val="33"/>
      <w:szCs w:val="33"/>
    </w:rPr>
  </w:style>
  <w:style w:type="character" w:customStyle="1" w:styleId="551">
    <w:name w:val="c-icon26"/>
    <w:qFormat/>
    <w:uiPriority w:val="0"/>
  </w:style>
  <w:style w:type="character" w:customStyle="1" w:styleId="552">
    <w:name w:val="count"/>
    <w:qFormat/>
    <w:uiPriority w:val="0"/>
    <w:rPr>
      <w:color w:val="999AAA"/>
      <w:sz w:val="18"/>
      <w:szCs w:val="18"/>
    </w:rPr>
  </w:style>
  <w:style w:type="character" w:customStyle="1" w:styleId="553">
    <w:name w:val="last-child1"/>
    <w:qFormat/>
    <w:uiPriority w:val="0"/>
    <w:rPr>
      <w:color w:val="3083EB"/>
      <w:sz w:val="24"/>
      <w:szCs w:val="24"/>
    </w:rPr>
  </w:style>
  <w:style w:type="character" w:customStyle="1" w:styleId="554">
    <w:name w:val="hot-word-bar"/>
    <w:qFormat/>
    <w:uiPriority w:val="0"/>
    <w:rPr>
      <w:shd w:val="clear" w:color="auto" w:fill="B1B1B1"/>
    </w:rPr>
  </w:style>
  <w:style w:type="character" w:customStyle="1" w:styleId="555">
    <w:name w:val="quote1"/>
    <w:qFormat/>
    <w:uiPriority w:val="0"/>
    <w:rPr>
      <w:color w:val="6B6B6B"/>
      <w:sz w:val="18"/>
      <w:szCs w:val="18"/>
    </w:rPr>
  </w:style>
  <w:style w:type="character" w:customStyle="1" w:styleId="556">
    <w:name w:val="toolbar-adver-btn1"/>
    <w:qFormat/>
    <w:uiPriority w:val="0"/>
    <w:rPr>
      <w:color w:val="FFFFFF"/>
      <w:sz w:val="33"/>
      <w:szCs w:val="33"/>
    </w:rPr>
  </w:style>
  <w:style w:type="character" w:customStyle="1" w:styleId="557">
    <w:name w:val="countx"/>
    <w:qFormat/>
    <w:uiPriority w:val="0"/>
    <w:rPr>
      <w:sz w:val="18"/>
      <w:szCs w:val="18"/>
    </w:rPr>
  </w:style>
  <w:style w:type="character" w:customStyle="1" w:styleId="558">
    <w:name w:val="text10"/>
    <w:qFormat/>
    <w:uiPriority w:val="0"/>
    <w:rPr>
      <w:vertAlign w:val="superscript"/>
    </w:rPr>
  </w:style>
  <w:style w:type="character" w:customStyle="1" w:styleId="559">
    <w:name w:val="引用1"/>
    <w:qFormat/>
    <w:uiPriority w:val="0"/>
    <w:rPr>
      <w:color w:val="6B6B6B"/>
      <w:sz w:val="18"/>
      <w:szCs w:val="18"/>
    </w:rPr>
  </w:style>
  <w:style w:type="character" w:customStyle="1" w:styleId="560">
    <w:name w:val="text8"/>
    <w:qFormat/>
    <w:uiPriority w:val="0"/>
    <w:rPr>
      <w:vertAlign w:val="superscript"/>
    </w:rPr>
  </w:style>
  <w:style w:type="character" w:customStyle="1" w:styleId="561">
    <w:name w:val="name7"/>
    <w:qFormat/>
    <w:uiPriority w:val="0"/>
    <w:rPr>
      <w:color w:val="555666"/>
      <w:sz w:val="21"/>
      <w:szCs w:val="21"/>
    </w:rPr>
  </w:style>
  <w:style w:type="character" w:customStyle="1" w:styleId="562">
    <w:name w:val="after2"/>
    <w:qFormat/>
    <w:uiPriority w:val="0"/>
  </w:style>
  <w:style w:type="character" w:customStyle="1" w:styleId="563">
    <w:name w:val="name10"/>
    <w:qFormat/>
    <w:uiPriority w:val="0"/>
    <w:rPr>
      <w:color w:val="555666"/>
      <w:sz w:val="21"/>
      <w:szCs w:val="21"/>
    </w:rPr>
  </w:style>
  <w:style w:type="character" w:customStyle="1" w:styleId="564">
    <w:name w:val="red"/>
    <w:qFormat/>
    <w:uiPriority w:val="0"/>
    <w:rPr>
      <w:color w:val="FF0000"/>
    </w:rPr>
  </w:style>
  <w:style w:type="character" w:customStyle="1" w:styleId="565">
    <w:name w:val="hover8"/>
    <w:qFormat/>
    <w:uiPriority w:val="0"/>
    <w:rPr>
      <w:color w:val="FC5531"/>
    </w:rPr>
  </w:style>
  <w:style w:type="character" w:customStyle="1" w:styleId="566">
    <w:name w:val="hover29"/>
    <w:qFormat/>
    <w:uiPriority w:val="0"/>
  </w:style>
  <w:style w:type="character" w:customStyle="1" w:styleId="567">
    <w:name w:val="hover30"/>
    <w:qFormat/>
    <w:uiPriority w:val="0"/>
    <w:rPr>
      <w:color w:val="315EFB"/>
    </w:rPr>
  </w:style>
  <w:style w:type="character" w:customStyle="1" w:styleId="568">
    <w:name w:val="count1"/>
    <w:qFormat/>
    <w:uiPriority w:val="0"/>
    <w:rPr>
      <w:color w:val="555666"/>
      <w:sz w:val="21"/>
      <w:szCs w:val="21"/>
    </w:rPr>
  </w:style>
  <w:style w:type="character" w:customStyle="1" w:styleId="569">
    <w:name w:val="advert-count-people"/>
    <w:qFormat/>
    <w:uiPriority w:val="0"/>
    <w:rPr>
      <w:color w:val="FC5531"/>
      <w:sz w:val="21"/>
      <w:szCs w:val="21"/>
    </w:rPr>
  </w:style>
  <w:style w:type="character" w:customStyle="1" w:styleId="570">
    <w:name w:val="txt"/>
    <w:qFormat/>
    <w:uiPriority w:val="0"/>
  </w:style>
  <w:style w:type="character" w:customStyle="1" w:styleId="571">
    <w:name w:val="choosed"/>
    <w:qFormat/>
    <w:uiPriority w:val="0"/>
    <w:rPr>
      <w:color w:val="FC5531"/>
      <w:bdr w:val="single" w:color="FC5531" w:sz="6" w:space="0"/>
    </w:rPr>
  </w:style>
  <w:style w:type="character" w:customStyle="1" w:styleId="572">
    <w:name w:val="quote3"/>
    <w:qFormat/>
    <w:uiPriority w:val="0"/>
    <w:rPr>
      <w:color w:val="6B6B6B"/>
      <w:sz w:val="18"/>
      <w:szCs w:val="18"/>
    </w:rPr>
  </w:style>
  <w:style w:type="paragraph" w:customStyle="1" w:styleId="573">
    <w:name w:val="Char Char121"/>
    <w:basedOn w:val="1"/>
    <w:qFormat/>
    <w:uiPriority w:val="0"/>
    <w:pPr>
      <w:spacing w:line="360" w:lineRule="auto"/>
      <w:ind w:firstLine="200" w:firstLineChars="200"/>
    </w:pPr>
    <w:rPr>
      <w:rFonts w:ascii="宋体" w:hAnsi="宋体" w:cs="宋体"/>
      <w:color w:val="000000"/>
      <w:kern w:val="1"/>
      <w:lang w:eastAsia="ar-SA"/>
    </w:rPr>
  </w:style>
  <w:style w:type="paragraph" w:customStyle="1" w:styleId="574">
    <w:name w:val="Char21"/>
    <w:basedOn w:val="1"/>
    <w:qFormat/>
    <w:uiPriority w:val="0"/>
    <w:pPr>
      <w:spacing w:line="360" w:lineRule="auto"/>
      <w:ind w:firstLine="200" w:firstLineChars="200"/>
    </w:pPr>
    <w:rPr>
      <w:rFonts w:ascii="宋体" w:hAnsi="宋体" w:cs="宋体"/>
      <w:color w:val="000000"/>
      <w:kern w:val="1"/>
      <w:lang w:eastAsia="ar-SA"/>
    </w:rPr>
  </w:style>
  <w:style w:type="paragraph" w:customStyle="1" w:styleId="575">
    <w:name w:val="Char Char Char Char11"/>
    <w:basedOn w:val="1"/>
    <w:qFormat/>
    <w:uiPriority w:val="0"/>
    <w:rPr>
      <w:color w:val="000000"/>
      <w:kern w:val="1"/>
      <w:lang w:eastAsia="ar-SA"/>
    </w:rPr>
  </w:style>
  <w:style w:type="paragraph" w:customStyle="1" w:styleId="576">
    <w:name w:val="Char3"/>
    <w:basedOn w:val="1"/>
    <w:qFormat/>
    <w:uiPriority w:val="0"/>
    <w:pPr>
      <w:tabs>
        <w:tab w:val="left" w:pos="937"/>
      </w:tabs>
      <w:ind w:left="1"/>
    </w:pPr>
    <w:rPr>
      <w:rFonts w:ascii="Arial" w:hAnsi="Arial" w:cs="Arial"/>
      <w:b/>
      <w:bCs/>
      <w:color w:val="000000"/>
      <w:kern w:val="1"/>
      <w:sz w:val="32"/>
      <w:szCs w:val="32"/>
      <w:lang w:eastAsia="ar-SA"/>
    </w:rPr>
  </w:style>
  <w:style w:type="paragraph" w:customStyle="1" w:styleId="577">
    <w:name w:val="正文3"/>
    <w:basedOn w:val="1"/>
    <w:qFormat/>
    <w:uiPriority w:val="0"/>
    <w:pPr>
      <w:suppressAutoHyphens/>
    </w:pPr>
    <w:rPr>
      <w:color w:val="000000"/>
      <w:kern w:val="1"/>
      <w:sz w:val="20"/>
      <w:lang w:eastAsia="ar-SA"/>
    </w:rPr>
  </w:style>
  <w:style w:type="paragraph" w:customStyle="1" w:styleId="578">
    <w:name w:val="Char Char1 Char Char Char Char Char Char Char Char Char Char Char Char Char Char Char Char Char Char Char Char1 Char1"/>
    <w:basedOn w:val="1"/>
    <w:qFormat/>
    <w:uiPriority w:val="0"/>
    <w:pPr>
      <w:spacing w:line="360" w:lineRule="auto"/>
      <w:ind w:firstLine="200" w:firstLineChars="200"/>
    </w:pPr>
    <w:rPr>
      <w:rFonts w:ascii="宋体" w:hAnsi="宋体" w:cs="宋体"/>
      <w:color w:val="000000"/>
      <w:kern w:val="1"/>
      <w:lang w:eastAsia="ar-SA"/>
    </w:rPr>
  </w:style>
  <w:style w:type="paragraph" w:customStyle="1" w:styleId="579">
    <w:name w:val="Char Char1 Char Char Char Char Char Char Char Char Char Char Char Char Char Char Char Char Char Char1"/>
    <w:basedOn w:val="1"/>
    <w:qFormat/>
    <w:uiPriority w:val="0"/>
    <w:pPr>
      <w:spacing w:line="360" w:lineRule="auto"/>
      <w:ind w:firstLine="200" w:firstLineChars="200"/>
    </w:pPr>
    <w:rPr>
      <w:rFonts w:ascii="宋体" w:hAnsi="宋体" w:cs="宋体"/>
      <w:color w:val="000000"/>
      <w:kern w:val="1"/>
      <w:lang w:eastAsia="ar-SA"/>
    </w:rPr>
  </w:style>
  <w:style w:type="paragraph" w:customStyle="1" w:styleId="580">
    <w:name w:val="Char Char Char1"/>
    <w:basedOn w:val="1"/>
    <w:qFormat/>
    <w:uiPriority w:val="0"/>
    <w:rPr>
      <w:rFonts w:ascii="Arial" w:hAnsi="Arial"/>
      <w:color w:val="000000"/>
      <w:kern w:val="1"/>
      <w:lang w:eastAsia="ar-SA"/>
    </w:rPr>
  </w:style>
  <w:style w:type="paragraph" w:customStyle="1" w:styleId="581">
    <w:name w:val="Char Char Char Char Char Char1 Char Char Char Char2"/>
    <w:basedOn w:val="1"/>
    <w:qFormat/>
    <w:uiPriority w:val="0"/>
    <w:rPr>
      <w:color w:val="000000"/>
      <w:kern w:val="1"/>
      <w:lang w:eastAsia="ar-SA"/>
    </w:rPr>
  </w:style>
  <w:style w:type="paragraph" w:customStyle="1" w:styleId="582">
    <w:name w:val="Char Char Char Char Char Char1 Char1"/>
    <w:basedOn w:val="1"/>
    <w:qFormat/>
    <w:uiPriority w:val="0"/>
    <w:pPr>
      <w:widowControl/>
      <w:jc w:val="left"/>
    </w:pPr>
    <w:rPr>
      <w:rFonts w:ascii="宋体" w:hAnsi="宋体" w:cs="宋体"/>
      <w:color w:val="000000"/>
      <w:lang w:eastAsia="ar-SA"/>
    </w:rPr>
  </w:style>
  <w:style w:type="paragraph" w:customStyle="1" w:styleId="583">
    <w:name w:val="Char Char Char Char Char Char1 Char Char Char Char1"/>
    <w:basedOn w:val="1"/>
    <w:qFormat/>
    <w:uiPriority w:val="0"/>
  </w:style>
  <w:style w:type="character" w:customStyle="1" w:styleId="584">
    <w:name w:val="正文缩进 字符2"/>
    <w:qFormat/>
    <w:uiPriority w:val="0"/>
    <w:rPr>
      <w:kern w:val="2"/>
      <w:sz w:val="21"/>
    </w:rPr>
  </w:style>
  <w:style w:type="paragraph" w:customStyle="1" w:styleId="585">
    <w:name w:val="_Style 7"/>
    <w:basedOn w:val="1"/>
    <w:next w:val="27"/>
    <w:qFormat/>
    <w:uiPriority w:val="34"/>
    <w:pPr>
      <w:ind w:firstLine="420" w:firstLineChars="200"/>
    </w:pPr>
  </w:style>
  <w:style w:type="paragraph" w:customStyle="1" w:styleId="586">
    <w:name w:val="表格1"/>
    <w:basedOn w:val="1"/>
    <w:next w:val="1"/>
    <w:qFormat/>
    <w:uiPriority w:val="0"/>
    <w:pPr>
      <w:adjustRightInd w:val="0"/>
      <w:snapToGrid w:val="0"/>
      <w:spacing w:beforeLines="10" w:line="254" w:lineRule="auto"/>
      <w:jc w:val="center"/>
    </w:pPr>
    <w:rPr>
      <w:rFonts w:hint="eastAsia" w:ascii="宋体"/>
      <w:color w:val="000000"/>
    </w:rPr>
  </w:style>
  <w:style w:type="paragraph" w:customStyle="1" w:styleId="587">
    <w:name w:val="表与图标题"/>
    <w:basedOn w:val="1"/>
    <w:qFormat/>
    <w:uiPriority w:val="0"/>
    <w:pPr>
      <w:adjustRightInd w:val="0"/>
      <w:jc w:val="center"/>
    </w:pPr>
    <w:rPr>
      <w:b/>
      <w:color w:val="000000"/>
      <w:kern w:val="1"/>
      <w:sz w:val="20"/>
    </w:rPr>
  </w:style>
  <w:style w:type="paragraph" w:customStyle="1" w:styleId="588">
    <w:name w:val="表格内字体（左对齐）"/>
    <w:basedOn w:val="235"/>
    <w:qFormat/>
    <w:uiPriority w:val="0"/>
    <w:pPr>
      <w:adjustRightInd/>
      <w:snapToGrid/>
      <w:jc w:val="both"/>
    </w:pPr>
    <w:rPr>
      <w:rFonts w:eastAsia="仿宋"/>
      <w:color w:val="000000"/>
      <w:kern w:val="1"/>
      <w:sz w:val="21"/>
    </w:rPr>
  </w:style>
  <w:style w:type="table" w:customStyle="1" w:styleId="589">
    <w:name w:val="网格型3"/>
    <w:basedOn w:val="5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590">
    <w:name w:val="Table Normal3"/>
    <w:unhideWhenUsed/>
    <w:qFormat/>
    <w:uiPriority w:val="0"/>
    <w:pPr>
      <w:widowControl w:val="0"/>
      <w:autoSpaceDE w:val="0"/>
      <w:autoSpaceDN w:val="0"/>
    </w:pPr>
    <w:rPr>
      <w:kern w:val="2"/>
      <w:sz w:val="22"/>
      <w:szCs w:val="21"/>
      <w:lang w:eastAsia="en-US"/>
    </w:rPr>
    <w:tblPr>
      <w:tblCellMar>
        <w:top w:w="0" w:type="dxa"/>
        <w:left w:w="0" w:type="dxa"/>
        <w:bottom w:w="0" w:type="dxa"/>
        <w:right w:w="0" w:type="dxa"/>
      </w:tblCellMar>
    </w:tblPr>
  </w:style>
  <w:style w:type="character" w:customStyle="1" w:styleId="591">
    <w:name w:val="脚注文本 字符1"/>
    <w:qFormat/>
    <w:uiPriority w:val="0"/>
    <w:rPr>
      <w:rFonts w:ascii="Arial" w:hAnsi="Arial" w:eastAsia="仿宋_GB2312"/>
      <w:sz w:val="18"/>
      <w:szCs w:val="18"/>
    </w:rPr>
  </w:style>
  <w:style w:type="paragraph" w:customStyle="1" w:styleId="592">
    <w:name w:val="插入图片"/>
    <w:basedOn w:val="1"/>
    <w:qFormat/>
    <w:uiPriority w:val="0"/>
    <w:pPr>
      <w:framePr w:hSpace="180" w:wrap="around" w:vAnchor="text" w:hAnchor="text" w:xAlign="center" w:y="1"/>
      <w:adjustRightInd w:val="0"/>
      <w:spacing w:line="460" w:lineRule="exact"/>
      <w:jc w:val="center"/>
    </w:pPr>
    <w:rPr>
      <w:szCs w:val="22"/>
    </w:rPr>
  </w:style>
  <w:style w:type="paragraph" w:customStyle="1" w:styleId="593">
    <w:name w:val="111图片"/>
    <w:basedOn w:val="592"/>
    <w:qFormat/>
    <w:uiPriority w:val="0"/>
    <w:pPr>
      <w:framePr w:wrap="around"/>
      <w:spacing w:line="360" w:lineRule="auto"/>
    </w:pPr>
  </w:style>
  <w:style w:type="paragraph" w:customStyle="1" w:styleId="594">
    <w:name w:val="标题1"/>
    <w:basedOn w:val="1"/>
    <w:qFormat/>
    <w:uiPriority w:val="0"/>
    <w:pPr>
      <w:numPr>
        <w:ilvl w:val="0"/>
        <w:numId w:val="4"/>
      </w:numPr>
    </w:pPr>
  </w:style>
  <w:style w:type="paragraph" w:customStyle="1" w:styleId="595">
    <w:name w:val="标题2"/>
    <w:basedOn w:val="1"/>
    <w:qFormat/>
    <w:uiPriority w:val="0"/>
    <w:pPr>
      <w:numPr>
        <w:ilvl w:val="1"/>
        <w:numId w:val="4"/>
      </w:numPr>
    </w:pPr>
  </w:style>
  <w:style w:type="paragraph" w:customStyle="1" w:styleId="596">
    <w:name w:val="标题3"/>
    <w:basedOn w:val="1"/>
    <w:qFormat/>
    <w:uiPriority w:val="0"/>
    <w:pPr>
      <w:numPr>
        <w:ilvl w:val="2"/>
        <w:numId w:val="4"/>
      </w:numPr>
    </w:pPr>
  </w:style>
  <w:style w:type="paragraph" w:customStyle="1" w:styleId="597">
    <w:name w:val="列出段落2"/>
    <w:basedOn w:val="1"/>
    <w:qFormat/>
    <w:uiPriority w:val="0"/>
    <w:pPr>
      <w:autoSpaceDE w:val="0"/>
      <w:autoSpaceDN w:val="0"/>
      <w:ind w:left="1383" w:hanging="841"/>
      <w:jc w:val="left"/>
    </w:pPr>
    <w:rPr>
      <w:rFonts w:ascii="宋体" w:hAnsi="宋体" w:cs="宋体"/>
      <w:sz w:val="22"/>
      <w:szCs w:val="22"/>
    </w:rPr>
  </w:style>
  <w:style w:type="paragraph" w:customStyle="1" w:styleId="598">
    <w:name w:val="0一级标题"/>
    <w:basedOn w:val="1"/>
    <w:qFormat/>
    <w:uiPriority w:val="0"/>
    <w:pPr>
      <w:framePr w:hSpace="180" w:wrap="around" w:vAnchor="text" w:hAnchor="text" w:xAlign="center" w:y="1"/>
      <w:adjustRightInd w:val="0"/>
      <w:snapToGrid w:val="0"/>
      <w:spacing w:after="0" w:line="460" w:lineRule="exact"/>
      <w:jc w:val="left"/>
    </w:pPr>
    <w:rPr>
      <w:b/>
      <w:szCs w:val="22"/>
    </w:rPr>
  </w:style>
  <w:style w:type="paragraph" w:customStyle="1" w:styleId="599">
    <w:name w:val="正文my"/>
    <w:basedOn w:val="28"/>
    <w:qFormat/>
    <w:uiPriority w:val="0"/>
    <w:pPr>
      <w:ind w:firstLine="200" w:firstLineChars="200"/>
    </w:pPr>
  </w:style>
  <w:style w:type="paragraph" w:customStyle="1" w:styleId="600">
    <w:name w:val="WPSOffice手动目录 1"/>
    <w:qFormat/>
    <w:uiPriority w:val="0"/>
    <w:pPr>
      <w:spacing w:after="160" w:line="278" w:lineRule="auto"/>
    </w:pPr>
    <w:rPr>
      <w:rFonts w:ascii="Times New Roman" w:hAnsi="Times New Roman" w:eastAsia="宋体" w:cs="Times New Roman"/>
      <w:sz w:val="24"/>
      <w:lang w:val="en-US" w:eastAsia="zh-CN" w:bidi="ar-SA"/>
    </w:rPr>
  </w:style>
  <w:style w:type="paragraph" w:customStyle="1" w:styleId="601">
    <w:name w:val="11111111111"/>
    <w:basedOn w:val="1"/>
    <w:link w:val="602"/>
    <w:qFormat/>
    <w:uiPriority w:val="0"/>
    <w:pPr>
      <w:spacing w:line="480" w:lineRule="exact"/>
      <w:jc w:val="center"/>
    </w:pPr>
    <w:rPr>
      <w:b/>
      <w:sz w:val="21"/>
      <w:szCs w:val="24"/>
      <w:lang w:val="zh-CN"/>
    </w:rPr>
  </w:style>
  <w:style w:type="character" w:customStyle="1" w:styleId="602">
    <w:name w:val="11111111111 Char"/>
    <w:link w:val="601"/>
    <w:qFormat/>
    <w:locked/>
    <w:uiPriority w:val="0"/>
    <w:rPr>
      <w:b/>
      <w:kern w:val="2"/>
      <w:sz w:val="21"/>
      <w:szCs w:val="24"/>
    </w:rPr>
  </w:style>
  <w:style w:type="paragraph" w:customStyle="1" w:styleId="603">
    <w:name w:val="样式 样式 表头 + 段后: 0.5 行1 + 段前: 0.2 行 段后: 0.5 行"/>
    <w:basedOn w:val="1"/>
    <w:qFormat/>
    <w:uiPriority w:val="0"/>
    <w:pPr>
      <w:ind w:firstLine="422" w:firstLineChars="200"/>
      <w:jc w:val="center"/>
    </w:pPr>
    <w:rPr>
      <w:rFonts w:cs="宋体"/>
      <w:b/>
      <w:bCs/>
      <w:sz w:val="21"/>
    </w:rPr>
  </w:style>
  <w:style w:type="character" w:customStyle="1" w:styleId="604">
    <w:name w:val="表格内容 Char Char"/>
    <w:qFormat/>
    <w:uiPriority w:val="0"/>
    <w:rPr>
      <w:sz w:val="21"/>
      <w:szCs w:val="21"/>
      <w:lang w:val="zh-CN"/>
    </w:rPr>
  </w:style>
  <w:style w:type="paragraph" w:customStyle="1" w:styleId="605">
    <w:name w:val="TOC 标题2"/>
    <w:basedOn w:val="5"/>
    <w:next w:val="1"/>
    <w:unhideWhenUsed/>
    <w:qFormat/>
    <w:uiPriority w:val="39"/>
    <w:pPr>
      <w:keepNext/>
      <w:keepLines/>
      <w:framePr w:hSpace="0" w:wrap="around" w:vAnchor="margin" w:xAlign="left" w:yAlign="inline"/>
      <w:widowControl/>
      <w:adjustRightInd/>
      <w:snapToGrid/>
      <w:spacing w:before="240" w:line="259" w:lineRule="auto"/>
      <w:jc w:val="left"/>
      <w:outlineLvl w:val="9"/>
    </w:pPr>
    <w:rPr>
      <w:rFonts w:ascii="Calibri Light" w:hAnsi="Calibri Light"/>
      <w:color w:val="2E74B5"/>
      <w:sz w:val="32"/>
      <w:szCs w:val="32"/>
    </w:rPr>
  </w:style>
  <w:style w:type="character" w:customStyle="1" w:styleId="606">
    <w:name w:val="正文文本 3 Char1"/>
    <w:link w:val="22"/>
    <w:qFormat/>
    <w:uiPriority w:val="0"/>
    <w:rPr>
      <w:sz w:val="16"/>
      <w:szCs w:val="16"/>
    </w:rPr>
  </w:style>
  <w:style w:type="table" w:customStyle="1" w:styleId="607">
    <w:name w:val="网格型4"/>
    <w:basedOn w:val="5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08">
    <w:name w:val="表内字 Char1"/>
    <w:qFormat/>
    <w:uiPriority w:val="0"/>
    <w:rPr>
      <w:rFonts w:cs="Calibri"/>
      <w:sz w:val="24"/>
      <w:szCs w:val="24"/>
    </w:rPr>
  </w:style>
  <w:style w:type="paragraph" w:customStyle="1" w:styleId="609">
    <w:name w:val="w表格文字"/>
    <w:qFormat/>
    <w:uiPriority w:val="0"/>
    <w:pPr>
      <w:widowControl w:val="0"/>
      <w:adjustRightInd w:val="0"/>
      <w:snapToGrid w:val="0"/>
      <w:spacing w:after="160" w:line="278" w:lineRule="auto"/>
      <w:jc w:val="center"/>
    </w:pPr>
    <w:rPr>
      <w:rFonts w:ascii="Times New Roman" w:hAnsi="Times New Roman" w:eastAsia="宋体" w:cs="宋体"/>
      <w:color w:val="000000"/>
      <w:sz w:val="18"/>
      <w:szCs w:val="18"/>
      <w:u w:color="000000"/>
      <w:lang w:val="en-US" w:eastAsia="zh-CN" w:bidi="en-US"/>
    </w:rPr>
  </w:style>
  <w:style w:type="paragraph" w:customStyle="1" w:styleId="610">
    <w:name w:val="正文-ls"/>
    <w:basedOn w:val="1"/>
    <w:qFormat/>
    <w:uiPriority w:val="0"/>
    <w:pPr>
      <w:spacing w:line="360" w:lineRule="auto"/>
      <w:ind w:firstLine="200" w:firstLineChars="200"/>
    </w:pPr>
    <w:rPr>
      <w:rFonts w:ascii="Calibri" w:hAnsi="宋体"/>
      <w:szCs w:val="24"/>
    </w:rPr>
  </w:style>
  <w:style w:type="paragraph" w:customStyle="1" w:styleId="611">
    <w:name w:val="图表标题"/>
    <w:basedOn w:val="1"/>
    <w:qFormat/>
    <w:uiPriority w:val="0"/>
    <w:pPr>
      <w:spacing w:before="60" w:beforeLines="25" w:after="60" w:afterLines="25" w:line="360" w:lineRule="auto"/>
      <w:jc w:val="center"/>
      <w:outlineLvl w:val="4"/>
    </w:pPr>
    <w:rPr>
      <w:rFonts w:hint="eastAsia" w:ascii="宋体" w:hAnsi="宋体"/>
      <w:b/>
      <w:sz w:val="21"/>
      <w:szCs w:val="24"/>
    </w:rPr>
  </w:style>
  <w:style w:type="paragraph" w:customStyle="1" w:styleId="612">
    <w:name w:val="List Paragraph1"/>
    <w:basedOn w:val="1"/>
    <w:qFormat/>
    <w:uiPriority w:val="0"/>
    <w:pPr>
      <w:ind w:firstLine="420"/>
    </w:pPr>
    <w:rPr>
      <w:sz w:val="21"/>
      <w:szCs w:val="24"/>
    </w:rPr>
  </w:style>
  <w:style w:type="paragraph" w:customStyle="1" w:styleId="613">
    <w:name w:val="_Style 2"/>
    <w:basedOn w:val="1"/>
    <w:qFormat/>
    <w:uiPriority w:val="34"/>
    <w:pPr>
      <w:ind w:firstLine="420"/>
    </w:pPr>
    <w:rPr>
      <w:rFonts w:ascii="Calibri" w:hAnsi="Calibri"/>
      <w:sz w:val="21"/>
      <w:szCs w:val="24"/>
    </w:rPr>
  </w:style>
  <w:style w:type="paragraph" w:customStyle="1" w:styleId="614">
    <w:name w:val="标题4改"/>
    <w:basedOn w:val="1"/>
    <w:next w:val="1"/>
    <w:qFormat/>
    <w:uiPriority w:val="0"/>
    <w:pPr>
      <w:widowControl/>
      <w:spacing w:before="120" w:after="120"/>
      <w:jc w:val="left"/>
      <w:outlineLvl w:val="3"/>
    </w:pPr>
    <w:rPr>
      <w:rFonts w:eastAsia="黑体"/>
      <w:sz w:val="21"/>
      <w:szCs w:val="24"/>
    </w:rPr>
  </w:style>
  <w:style w:type="paragraph" w:customStyle="1" w:styleId="615">
    <w:name w:val="Char Char1111"/>
    <w:basedOn w:val="1"/>
    <w:qFormat/>
    <w:uiPriority w:val="0"/>
    <w:pPr>
      <w:spacing w:line="360" w:lineRule="auto"/>
      <w:ind w:firstLine="200" w:firstLineChars="200"/>
    </w:pPr>
    <w:rPr>
      <w:rFonts w:ascii="宋体" w:hAnsi="宋体"/>
      <w:szCs w:val="24"/>
    </w:rPr>
  </w:style>
  <w:style w:type="paragraph" w:customStyle="1" w:styleId="616">
    <w:name w:val="Char Char116"/>
    <w:basedOn w:val="1"/>
    <w:qFormat/>
    <w:uiPriority w:val="0"/>
    <w:pPr>
      <w:spacing w:line="360" w:lineRule="auto"/>
      <w:ind w:firstLine="200" w:firstLineChars="200"/>
    </w:pPr>
    <w:rPr>
      <w:rFonts w:ascii="宋体" w:hAnsi="宋体"/>
      <w:szCs w:val="24"/>
    </w:rPr>
  </w:style>
  <w:style w:type="paragraph" w:customStyle="1" w:styleId="617">
    <w:name w:val="4级（小）标题"/>
    <w:basedOn w:val="1"/>
    <w:qFormat/>
    <w:uiPriority w:val="0"/>
    <w:pPr>
      <w:spacing w:before="60" w:line="360" w:lineRule="auto"/>
      <w:ind w:firstLine="150" w:firstLineChars="150"/>
      <w:outlineLvl w:val="3"/>
    </w:pPr>
    <w:rPr>
      <w:b/>
      <w:szCs w:val="24"/>
    </w:rPr>
  </w:style>
  <w:style w:type="paragraph" w:customStyle="1" w:styleId="618">
    <w:name w:val="Char Char141"/>
    <w:basedOn w:val="1"/>
    <w:qFormat/>
    <w:uiPriority w:val="0"/>
    <w:pPr>
      <w:spacing w:line="360" w:lineRule="auto"/>
      <w:ind w:firstLine="200" w:firstLineChars="200"/>
    </w:pPr>
    <w:rPr>
      <w:rFonts w:ascii="宋体" w:hAnsi="宋体"/>
      <w:szCs w:val="24"/>
    </w:rPr>
  </w:style>
  <w:style w:type="paragraph" w:customStyle="1" w:styleId="619">
    <w:name w:val="表-标题"/>
    <w:next w:val="1"/>
    <w:qFormat/>
    <w:uiPriority w:val="99"/>
    <w:pPr>
      <w:spacing w:after="160" w:line="360" w:lineRule="auto"/>
      <w:jc w:val="center"/>
      <w:outlineLvl w:val="4"/>
    </w:pPr>
    <w:rPr>
      <w:rFonts w:ascii="Times New Roman" w:hAnsi="Times New Roman" w:eastAsia="宋体" w:cs="Times New Roman"/>
      <w:b/>
      <w:kern w:val="2"/>
      <w:sz w:val="21"/>
      <w:szCs w:val="22"/>
      <w:lang w:val="en-US" w:eastAsia="zh-CN" w:bidi="ar-SA"/>
    </w:rPr>
  </w:style>
  <w:style w:type="paragraph" w:customStyle="1" w:styleId="620">
    <w:name w:val="样式 表格 32 + 首行缩进:  2 字符"/>
    <w:basedOn w:val="1"/>
    <w:qFormat/>
    <w:uiPriority w:val="0"/>
    <w:pPr>
      <w:autoSpaceDE w:val="0"/>
      <w:autoSpaceDN w:val="0"/>
      <w:adjustRightInd w:val="0"/>
      <w:spacing w:line="0" w:lineRule="atLeast"/>
      <w:jc w:val="center"/>
      <w:textAlignment w:val="baseline"/>
    </w:pPr>
    <w:rPr>
      <w:sz w:val="21"/>
    </w:rPr>
  </w:style>
  <w:style w:type="paragraph" w:customStyle="1" w:styleId="621">
    <w:name w:val="标准表格"/>
    <w:basedOn w:val="75"/>
    <w:qFormat/>
    <w:uiPriority w:val="99"/>
    <w:pPr>
      <w:spacing w:line="240" w:lineRule="auto"/>
    </w:pPr>
    <w:rPr>
      <w:rFonts w:ascii="Times New Roman" w:cs="宋体"/>
      <w:lang w:val="en-US"/>
    </w:rPr>
  </w:style>
  <w:style w:type="paragraph" w:customStyle="1" w:styleId="622">
    <w:name w:val="小四表格"/>
    <w:basedOn w:val="1"/>
    <w:qFormat/>
    <w:uiPriority w:val="0"/>
    <w:pPr>
      <w:adjustRightInd w:val="0"/>
      <w:snapToGrid w:val="0"/>
      <w:spacing w:line="276" w:lineRule="auto"/>
      <w:jc w:val="center"/>
    </w:pPr>
    <w:rPr>
      <w:sz w:val="21"/>
      <w:szCs w:val="24"/>
    </w:rPr>
  </w:style>
  <w:style w:type="paragraph" w:customStyle="1" w:styleId="623">
    <w:name w:val="样式 标题 2标题 2 Char标题节标题节 Char Char标题 2 Char Char Char标题 2 Cha..."/>
    <w:basedOn w:val="6"/>
    <w:qFormat/>
    <w:uiPriority w:val="0"/>
    <w:pPr>
      <w:keepNext/>
      <w:keepLines/>
      <w:framePr w:hSpace="0" w:wrap="around" w:vAnchor="margin" w:xAlign="left" w:yAlign="inline"/>
      <w:adjustRightInd/>
      <w:snapToGrid/>
      <w:spacing w:line="360" w:lineRule="auto"/>
      <w:ind w:left="567" w:hanging="567"/>
    </w:pPr>
    <w:rPr>
      <w:rFonts w:cs="宋体"/>
      <w:bCs/>
      <w:sz w:val="28"/>
      <w:szCs w:val="20"/>
    </w:rPr>
  </w:style>
  <w:style w:type="paragraph" w:customStyle="1" w:styleId="624">
    <w:name w:val="Char Char114"/>
    <w:basedOn w:val="1"/>
    <w:qFormat/>
    <w:uiPriority w:val="0"/>
    <w:pPr>
      <w:spacing w:line="360" w:lineRule="auto"/>
      <w:ind w:firstLine="200" w:firstLineChars="200"/>
    </w:pPr>
    <w:rPr>
      <w:rFonts w:ascii="宋体" w:hAnsi="宋体"/>
      <w:szCs w:val="24"/>
    </w:rPr>
  </w:style>
  <w:style w:type="paragraph" w:customStyle="1" w:styleId="625">
    <w:name w:val="表格001"/>
    <w:basedOn w:val="1"/>
    <w:qFormat/>
    <w:uiPriority w:val="0"/>
    <w:pPr>
      <w:jc w:val="center"/>
    </w:pPr>
    <w:rPr>
      <w:rFonts w:ascii="Arial" w:hAnsi="Arial"/>
      <w:sz w:val="21"/>
    </w:rPr>
  </w:style>
  <w:style w:type="paragraph" w:customStyle="1" w:styleId="626">
    <w:name w:val="表标题"/>
    <w:basedOn w:val="1"/>
    <w:qFormat/>
    <w:uiPriority w:val="0"/>
    <w:pPr>
      <w:spacing w:line="500" w:lineRule="exact"/>
      <w:jc w:val="center"/>
    </w:pPr>
    <w:rPr>
      <w:rFonts w:eastAsia="黑体"/>
      <w:sz w:val="21"/>
      <w:szCs w:val="24"/>
    </w:rPr>
  </w:style>
  <w:style w:type="paragraph" w:customStyle="1" w:styleId="627">
    <w:name w:val="一级标题"/>
    <w:basedOn w:val="1"/>
    <w:qFormat/>
    <w:uiPriority w:val="0"/>
    <w:pPr>
      <w:widowControl/>
      <w:spacing w:before="60" w:line="460" w:lineRule="exact"/>
      <w:jc w:val="left"/>
      <w:outlineLvl w:val="0"/>
    </w:pPr>
    <w:rPr>
      <w:rFonts w:ascii="等线" w:hAnsi="等线" w:eastAsia="等线"/>
      <w:b/>
      <w:sz w:val="32"/>
      <w:szCs w:val="24"/>
    </w:rPr>
  </w:style>
  <w:style w:type="paragraph" w:customStyle="1" w:styleId="628">
    <w:name w:val="正文开头二"/>
    <w:basedOn w:val="1"/>
    <w:qFormat/>
    <w:uiPriority w:val="39"/>
    <w:pPr>
      <w:autoSpaceDE w:val="0"/>
      <w:autoSpaceDN w:val="0"/>
      <w:adjustRightInd w:val="0"/>
      <w:spacing w:before="60" w:line="400" w:lineRule="atLeast"/>
    </w:pPr>
    <w:rPr>
      <w:sz w:val="21"/>
      <w:szCs w:val="24"/>
    </w:rPr>
  </w:style>
  <w:style w:type="paragraph" w:customStyle="1" w:styleId="629">
    <w:name w:val="Char Char14"/>
    <w:basedOn w:val="1"/>
    <w:qFormat/>
    <w:uiPriority w:val="99"/>
    <w:pPr>
      <w:spacing w:line="360" w:lineRule="auto"/>
      <w:ind w:firstLine="200" w:firstLineChars="200"/>
    </w:pPr>
    <w:rPr>
      <w:rFonts w:ascii="宋体" w:hAnsi="宋体" w:eastAsia="等线"/>
      <w:szCs w:val="24"/>
    </w:rPr>
  </w:style>
  <w:style w:type="paragraph" w:customStyle="1" w:styleId="630">
    <w:name w:val="11111三级标题"/>
    <w:basedOn w:val="1"/>
    <w:qFormat/>
    <w:uiPriority w:val="0"/>
    <w:pPr>
      <w:spacing w:before="60" w:after="60" w:line="460" w:lineRule="exact"/>
      <w:ind w:firstLine="200" w:firstLineChars="200"/>
      <w:outlineLvl w:val="2"/>
    </w:pPr>
    <w:rPr>
      <w:rFonts w:ascii="Arial" w:hAnsi="Arial"/>
      <w:b/>
      <w:bCs/>
      <w:color w:val="000000"/>
      <w:sz w:val="34"/>
      <w:szCs w:val="34"/>
    </w:rPr>
  </w:style>
  <w:style w:type="paragraph" w:customStyle="1" w:styleId="631">
    <w:name w:val="Char Char122"/>
    <w:basedOn w:val="1"/>
    <w:qFormat/>
    <w:uiPriority w:val="0"/>
    <w:pPr>
      <w:spacing w:line="360" w:lineRule="auto"/>
      <w:ind w:firstLine="200" w:firstLineChars="200"/>
    </w:pPr>
    <w:rPr>
      <w:rFonts w:ascii="宋体" w:hAnsi="宋体"/>
      <w:szCs w:val="24"/>
    </w:rPr>
  </w:style>
  <w:style w:type="paragraph" w:customStyle="1" w:styleId="632">
    <w:name w:val="Char Char15"/>
    <w:basedOn w:val="1"/>
    <w:qFormat/>
    <w:uiPriority w:val="0"/>
    <w:pPr>
      <w:spacing w:line="360" w:lineRule="auto"/>
      <w:ind w:firstLine="200" w:firstLineChars="200"/>
    </w:pPr>
    <w:rPr>
      <w:rFonts w:ascii="宋体" w:hAnsi="宋体"/>
      <w:szCs w:val="24"/>
    </w:rPr>
  </w:style>
  <w:style w:type="paragraph" w:customStyle="1" w:styleId="633">
    <w:name w:val="普通表格1"/>
    <w:basedOn w:val="2"/>
    <w:qFormat/>
    <w:uiPriority w:val="0"/>
    <w:pPr>
      <w:snapToGrid w:val="0"/>
      <w:spacing w:line="276" w:lineRule="auto"/>
      <w:jc w:val="center"/>
    </w:pPr>
  </w:style>
  <w:style w:type="paragraph" w:customStyle="1" w:styleId="634">
    <w:name w:val="三级标题"/>
    <w:basedOn w:val="1"/>
    <w:qFormat/>
    <w:uiPriority w:val="0"/>
    <w:pPr>
      <w:spacing w:before="300" w:line="460" w:lineRule="exact"/>
      <w:outlineLvl w:val="2"/>
    </w:pPr>
    <w:rPr>
      <w:b/>
      <w:bCs/>
      <w:color w:val="000000"/>
      <w:szCs w:val="24"/>
    </w:rPr>
  </w:style>
  <w:style w:type="paragraph" w:customStyle="1" w:styleId="635">
    <w:name w:val="w正文"/>
    <w:basedOn w:val="1"/>
    <w:link w:val="751"/>
    <w:qFormat/>
    <w:uiPriority w:val="0"/>
    <w:pPr>
      <w:overflowPunct w:val="0"/>
      <w:spacing w:line="360" w:lineRule="auto"/>
      <w:ind w:firstLine="200" w:firstLineChars="200"/>
    </w:pPr>
    <w:rPr>
      <w:rFonts w:eastAsia="Times New Roman"/>
    </w:rPr>
  </w:style>
  <w:style w:type="paragraph" w:customStyle="1" w:styleId="636">
    <w:name w:val="表内文字1"/>
    <w:basedOn w:val="1"/>
    <w:qFormat/>
    <w:uiPriority w:val="0"/>
    <w:pPr>
      <w:spacing w:line="440" w:lineRule="exact"/>
    </w:pPr>
    <w:rPr>
      <w:color w:val="000000"/>
    </w:rPr>
  </w:style>
  <w:style w:type="table" w:customStyle="1" w:styleId="637">
    <w:name w:val="Table Normal4"/>
    <w:basedOn w:val="57"/>
    <w:unhideWhenUsed/>
    <w:qFormat/>
    <w:uiPriority w:val="0"/>
    <w:tblPr>
      <w:tblCellMar>
        <w:left w:w="0" w:type="dxa"/>
        <w:right w:w="0" w:type="dxa"/>
      </w:tblCellMar>
    </w:tblPr>
  </w:style>
  <w:style w:type="table" w:customStyle="1" w:styleId="638">
    <w:name w:val="网格型5"/>
    <w:basedOn w:val="5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39">
    <w:name w:val="Table Normal5"/>
    <w:basedOn w:val="57"/>
    <w:unhideWhenUsed/>
    <w:qFormat/>
    <w:uiPriority w:val="0"/>
    <w:tblPr>
      <w:tblCellMar>
        <w:left w:w="0" w:type="dxa"/>
        <w:right w:w="0" w:type="dxa"/>
      </w:tblCellMar>
    </w:tblPr>
  </w:style>
  <w:style w:type="character" w:customStyle="1" w:styleId="640">
    <w:name w:val="称呼 Char"/>
    <w:basedOn w:val="60"/>
    <w:link w:val="21"/>
    <w:qFormat/>
    <w:uiPriority w:val="0"/>
    <w:rPr>
      <w:rFonts w:hint="default" w:ascii="Tahoma" w:hAnsi="Tahoma" w:eastAsia="Tahoma" w:cs="Tahoma"/>
      <w:kern w:val="2"/>
      <w:sz w:val="21"/>
      <w:szCs w:val="24"/>
    </w:rPr>
  </w:style>
  <w:style w:type="paragraph" w:customStyle="1" w:styleId="641">
    <w:name w:val="2"/>
    <w:basedOn w:val="1"/>
    <w:next w:val="27"/>
    <w:qFormat/>
    <w:uiPriority w:val="99"/>
    <w:pPr>
      <w:ind w:firstLine="420" w:firstLineChars="200"/>
    </w:pPr>
    <w:rPr>
      <w:szCs w:val="22"/>
    </w:rPr>
  </w:style>
  <w:style w:type="table" w:customStyle="1" w:styleId="642">
    <w:name w:val="网格型6"/>
    <w:basedOn w:val="57"/>
    <w:qFormat/>
    <w:uiPriority w:val="0"/>
    <w:rPr>
      <w:kern w:val="2"/>
      <w:sz w:val="21"/>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43">
    <w:name w:val="表格主题1"/>
    <w:basedOn w:val="5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644">
    <w:name w:val="Char Char31"/>
    <w:qFormat/>
    <w:uiPriority w:val="0"/>
    <w:rPr>
      <w:kern w:val="2"/>
      <w:sz w:val="28"/>
      <w:szCs w:val="24"/>
    </w:rPr>
  </w:style>
  <w:style w:type="character" w:customStyle="1" w:styleId="645">
    <w:name w:val="Char Char Char2"/>
    <w:qFormat/>
    <w:uiPriority w:val="0"/>
    <w:rPr>
      <w:rFonts w:eastAsia="宋体"/>
      <w:kern w:val="2"/>
      <w:sz w:val="28"/>
      <w:szCs w:val="24"/>
      <w:lang w:val="en-US" w:eastAsia="zh-CN" w:bidi="ar-SA"/>
    </w:rPr>
  </w:style>
  <w:style w:type="character" w:customStyle="1" w:styleId="646">
    <w:name w:val="Char Char123"/>
    <w:qFormat/>
    <w:uiPriority w:val="0"/>
    <w:rPr>
      <w:rFonts w:hint="eastAsia" w:ascii="宋体" w:hAnsi="宋体" w:eastAsia="宋体" w:cs="宋体"/>
      <w:kern w:val="2"/>
      <w:sz w:val="28"/>
      <w:szCs w:val="21"/>
      <w:lang w:val="en-US" w:eastAsia="zh-CN" w:bidi="ar"/>
    </w:rPr>
  </w:style>
  <w:style w:type="character" w:customStyle="1" w:styleId="647">
    <w:name w:val="Char Char61"/>
    <w:qFormat/>
    <w:uiPriority w:val="0"/>
    <w:rPr>
      <w:rFonts w:eastAsia="宋体"/>
      <w:b/>
      <w:bCs/>
      <w:kern w:val="2"/>
      <w:sz w:val="32"/>
      <w:szCs w:val="32"/>
      <w:lang w:val="en-US" w:eastAsia="zh-CN" w:bidi="ar-SA"/>
    </w:rPr>
  </w:style>
  <w:style w:type="character" w:customStyle="1" w:styleId="648">
    <w:name w:val="Char Char9"/>
    <w:qFormat/>
    <w:uiPriority w:val="0"/>
    <w:rPr>
      <w:rFonts w:eastAsia="宋体"/>
      <w:kern w:val="2"/>
      <w:sz w:val="18"/>
      <w:szCs w:val="18"/>
      <w:lang w:val="en-US" w:eastAsia="zh-CN" w:bidi="ar-SA"/>
    </w:rPr>
  </w:style>
  <w:style w:type="character" w:customStyle="1" w:styleId="649">
    <w:name w:val="Char Char51"/>
    <w:qFormat/>
    <w:uiPriority w:val="0"/>
    <w:rPr>
      <w:rFonts w:ascii="宋体" w:hAnsi="宋体" w:eastAsia="宋体" w:cs="宋体"/>
      <w:sz w:val="24"/>
      <w:szCs w:val="24"/>
      <w:lang w:val="en-US" w:eastAsia="zh-CN" w:bidi="ar-SA"/>
    </w:rPr>
  </w:style>
  <w:style w:type="character" w:customStyle="1" w:styleId="650">
    <w:name w:val="Char Char22"/>
    <w:qFormat/>
    <w:uiPriority w:val="0"/>
    <w:rPr>
      <w:rFonts w:eastAsia="宋体"/>
      <w:kern w:val="2"/>
      <w:sz w:val="18"/>
      <w:szCs w:val="18"/>
      <w:lang w:val="en-US" w:eastAsia="zh-CN" w:bidi="ar-SA"/>
    </w:rPr>
  </w:style>
  <w:style w:type="character" w:customStyle="1" w:styleId="651">
    <w:name w:val="Char Char42"/>
    <w:qFormat/>
    <w:uiPriority w:val="0"/>
    <w:rPr>
      <w:rFonts w:eastAsia="宋体"/>
      <w:kern w:val="2"/>
      <w:sz w:val="28"/>
      <w:szCs w:val="24"/>
      <w:lang w:val="en-US" w:eastAsia="zh-CN" w:bidi="ar-SA"/>
    </w:rPr>
  </w:style>
  <w:style w:type="character" w:customStyle="1" w:styleId="652">
    <w:name w:val="111表格 Char"/>
    <w:link w:val="653"/>
    <w:qFormat/>
    <w:uiPriority w:val="0"/>
    <w:rPr>
      <w:color w:val="C00000"/>
      <w:kern w:val="2"/>
      <w:sz w:val="21"/>
      <w:szCs w:val="21"/>
    </w:rPr>
  </w:style>
  <w:style w:type="paragraph" w:customStyle="1" w:styleId="653">
    <w:name w:val="111表格"/>
    <w:basedOn w:val="1"/>
    <w:link w:val="652"/>
    <w:qFormat/>
    <w:uiPriority w:val="0"/>
    <w:pPr>
      <w:jc w:val="center"/>
    </w:pPr>
    <w:rPr>
      <w:color w:val="C00000"/>
      <w:kern w:val="2"/>
      <w:sz w:val="21"/>
      <w:szCs w:val="21"/>
    </w:rPr>
  </w:style>
  <w:style w:type="paragraph" w:customStyle="1" w:styleId="654">
    <w:name w:val="列表段落1"/>
    <w:basedOn w:val="1"/>
    <w:qFormat/>
    <w:uiPriority w:val="0"/>
    <w:pPr>
      <w:autoSpaceDE w:val="0"/>
      <w:autoSpaceDN w:val="0"/>
      <w:ind w:left="1383" w:hanging="841"/>
      <w:jc w:val="left"/>
    </w:pPr>
    <w:rPr>
      <w:rFonts w:ascii="宋体" w:hAnsi="宋体" w:cs="宋体"/>
      <w:sz w:val="22"/>
      <w:szCs w:val="22"/>
    </w:rPr>
  </w:style>
  <w:style w:type="paragraph" w:customStyle="1" w:styleId="655">
    <w:name w:val="字元 字元1"/>
    <w:basedOn w:val="1"/>
    <w:qFormat/>
    <w:uiPriority w:val="0"/>
  </w:style>
  <w:style w:type="paragraph" w:customStyle="1" w:styleId="656">
    <w:name w:val="Char Char Char Char Char Char Char2"/>
    <w:basedOn w:val="1"/>
    <w:qFormat/>
    <w:uiPriority w:val="0"/>
    <w:pPr>
      <w:adjustRightInd w:val="0"/>
      <w:spacing w:line="360" w:lineRule="auto"/>
    </w:pPr>
  </w:style>
  <w:style w:type="paragraph" w:customStyle="1" w:styleId="657">
    <w:name w:val="正文4"/>
    <w:qFormat/>
    <w:uiPriority w:val="0"/>
    <w:pPr>
      <w:spacing w:after="160" w:line="278" w:lineRule="auto"/>
      <w:jc w:val="both"/>
    </w:pPr>
    <w:rPr>
      <w:rFonts w:ascii="Calibri" w:hAnsi="Calibri" w:eastAsia="宋体" w:cs="宋体"/>
      <w:snapToGrid w:val="0"/>
      <w:color w:val="000000"/>
      <w:kern w:val="2"/>
      <w:sz w:val="21"/>
      <w:szCs w:val="21"/>
      <w:lang w:val="en-US" w:eastAsia="zh-CN" w:bidi="ar-SA"/>
    </w:rPr>
  </w:style>
  <w:style w:type="paragraph" w:customStyle="1" w:styleId="658">
    <w:name w:val="Char Char Char Char12"/>
    <w:basedOn w:val="1"/>
    <w:qFormat/>
    <w:uiPriority w:val="0"/>
  </w:style>
  <w:style w:type="paragraph" w:customStyle="1" w:styleId="659">
    <w:name w:val="Char Char1 Char2"/>
    <w:basedOn w:val="1"/>
    <w:qFormat/>
    <w:uiPriority w:val="0"/>
    <w:pPr>
      <w:adjustRightInd w:val="0"/>
      <w:spacing w:line="360" w:lineRule="auto"/>
    </w:pPr>
  </w:style>
  <w:style w:type="paragraph" w:customStyle="1" w:styleId="660">
    <w:name w:val="标题 22"/>
    <w:basedOn w:val="1"/>
    <w:qFormat/>
    <w:uiPriority w:val="0"/>
    <w:pPr>
      <w:spacing w:before="26"/>
      <w:ind w:left="721"/>
      <w:jc w:val="left"/>
      <w:outlineLvl w:val="2"/>
    </w:pPr>
    <w:rPr>
      <w:rFonts w:ascii="宋体" w:hAnsi="宋体"/>
      <w:b/>
      <w:bCs/>
      <w:lang w:eastAsia="en-US"/>
    </w:rPr>
  </w:style>
  <w:style w:type="paragraph" w:customStyle="1" w:styleId="661">
    <w:name w:val="Char Char Char Char Char Char Char Char Char Char Char Char Char Char Char Char Char Char Char Char Char Char Char Char Char1"/>
    <w:basedOn w:val="1"/>
    <w:qFormat/>
    <w:uiPriority w:val="0"/>
  </w:style>
  <w:style w:type="paragraph" w:customStyle="1" w:styleId="662">
    <w:name w:val="纯文本2"/>
    <w:basedOn w:val="1"/>
    <w:qFormat/>
    <w:uiPriority w:val="0"/>
    <w:rPr>
      <w:rFonts w:hint="eastAsia" w:ascii="宋体" w:hAnsi="Courier New"/>
    </w:rPr>
  </w:style>
  <w:style w:type="paragraph" w:customStyle="1" w:styleId="663">
    <w:name w:val="Char Char1 Char Char Char Char Char Char Char Char Char Char Char Char Char Char Char Char Char Char3"/>
    <w:basedOn w:val="1"/>
    <w:qFormat/>
    <w:uiPriority w:val="0"/>
    <w:pPr>
      <w:spacing w:line="360" w:lineRule="auto"/>
      <w:ind w:firstLine="200" w:firstLineChars="200"/>
    </w:pPr>
    <w:rPr>
      <w:rFonts w:ascii="宋体" w:hAnsi="宋体" w:cs="宋体"/>
    </w:rPr>
  </w:style>
  <w:style w:type="paragraph" w:customStyle="1" w:styleId="664">
    <w:name w:val="1"/>
    <w:basedOn w:val="1"/>
    <w:link w:val="712"/>
    <w:qFormat/>
    <w:uiPriority w:val="0"/>
  </w:style>
  <w:style w:type="table" w:customStyle="1" w:styleId="665">
    <w:name w:val="Table Normal6"/>
    <w:basedOn w:val="57"/>
    <w:qFormat/>
    <w:uiPriority w:val="0"/>
    <w:rPr>
      <w:kern w:val="2"/>
      <w:sz w:val="21"/>
      <w:szCs w:val="22"/>
    </w:rPr>
    <w:tblPr>
      <w:tblCellMar>
        <w:left w:w="0" w:type="dxa"/>
        <w:right w:w="0" w:type="dxa"/>
      </w:tblCellMar>
    </w:tblPr>
  </w:style>
  <w:style w:type="paragraph" w:customStyle="1" w:styleId="666">
    <w:name w:val="Char Char Char Char Char Char Char Char Char Char1 Char Char Char Char Char1"/>
    <w:basedOn w:val="1"/>
    <w:next w:val="1"/>
    <w:qFormat/>
    <w:uiPriority w:val="0"/>
    <w:pPr>
      <w:keepNext/>
      <w:keepLines/>
      <w:widowControl/>
      <w:adjustRightInd w:val="0"/>
      <w:spacing w:before="40" w:after="40" w:line="360" w:lineRule="auto"/>
      <w:ind w:firstLine="200" w:firstLineChars="200"/>
      <w:textAlignment w:val="baseline"/>
    </w:pPr>
    <w:rPr>
      <w:rFonts w:cs="宋体"/>
      <w:szCs w:val="28"/>
    </w:rPr>
  </w:style>
  <w:style w:type="paragraph" w:customStyle="1" w:styleId="667">
    <w:name w:val="Char13"/>
    <w:basedOn w:val="1"/>
    <w:qFormat/>
    <w:uiPriority w:val="0"/>
  </w:style>
  <w:style w:type="paragraph" w:customStyle="1" w:styleId="668">
    <w:name w:val="00表格内容"/>
    <w:basedOn w:val="1"/>
    <w:qFormat/>
    <w:uiPriority w:val="0"/>
    <w:pPr>
      <w:framePr w:hSpace="180" w:wrap="around" w:vAnchor="text" w:hAnchor="text" w:xAlign="center" w:y="1"/>
      <w:autoSpaceDE w:val="0"/>
      <w:autoSpaceDN w:val="0"/>
      <w:adjustRightInd w:val="0"/>
      <w:snapToGrid w:val="0"/>
      <w:jc w:val="center"/>
    </w:pPr>
    <w:rPr>
      <w:rFonts w:eastAsia="Times New Roman"/>
      <w:bCs/>
      <w:spacing w:val="3"/>
      <w:szCs w:val="21"/>
      <w:lang w:val="zh-CN"/>
    </w:rPr>
  </w:style>
  <w:style w:type="paragraph" w:customStyle="1" w:styleId="669">
    <w:name w:val="0报告正文"/>
    <w:basedOn w:val="180"/>
    <w:link w:val="683"/>
    <w:qFormat/>
    <w:uiPriority w:val="0"/>
    <w:pPr>
      <w:ind w:firstLine="480"/>
    </w:pPr>
  </w:style>
  <w:style w:type="character" w:customStyle="1" w:styleId="670">
    <w:name w:val="未处理的提及2"/>
    <w:unhideWhenUsed/>
    <w:qFormat/>
    <w:uiPriority w:val="99"/>
    <w:rPr>
      <w:color w:val="605E5C"/>
      <w:shd w:val="clear" w:color="auto" w:fill="E1DFDD"/>
    </w:rPr>
  </w:style>
  <w:style w:type="character" w:customStyle="1" w:styleId="671">
    <w:name w:val="批注文字 Char2"/>
    <w:qFormat/>
    <w:locked/>
    <w:uiPriority w:val="0"/>
    <w:rPr>
      <w:rFonts w:ascii="Times New Roman" w:hAnsi="Times New Roman" w:eastAsia="宋体"/>
      <w:sz w:val="24"/>
    </w:rPr>
  </w:style>
  <w:style w:type="character" w:customStyle="1" w:styleId="672">
    <w:name w:val="批注文字 Char"/>
    <w:qFormat/>
    <w:locked/>
    <w:uiPriority w:val="0"/>
    <w:rPr>
      <w:rFonts w:ascii="Times New Roman" w:hAnsi="Times New Roman" w:eastAsia="宋体"/>
      <w:sz w:val="24"/>
    </w:rPr>
  </w:style>
  <w:style w:type="table" w:customStyle="1" w:styleId="673">
    <w:name w:val="Table Normal11"/>
    <w:unhideWhenUsed/>
    <w:qFormat/>
    <w:uiPriority w:val="0"/>
    <w:rPr>
      <w:snapToGrid w:val="0"/>
      <w:color w:val="000000"/>
      <w:kern w:val="2"/>
      <w:szCs w:val="21"/>
    </w:rPr>
    <w:tblPr>
      <w:tblCellMar>
        <w:top w:w="0" w:type="dxa"/>
        <w:left w:w="0" w:type="dxa"/>
        <w:bottom w:w="0" w:type="dxa"/>
        <w:right w:w="0" w:type="dxa"/>
      </w:tblCellMar>
    </w:tblPr>
  </w:style>
  <w:style w:type="table" w:customStyle="1" w:styleId="674">
    <w:name w:val="Table Normal21"/>
    <w:unhideWhenUsed/>
    <w:qFormat/>
    <w:uiPriority w:val="0"/>
    <w:pPr>
      <w:widowControl w:val="0"/>
      <w:autoSpaceDE w:val="0"/>
      <w:autoSpaceDN w:val="0"/>
    </w:pPr>
    <w:rPr>
      <w:snapToGrid w:val="0"/>
      <w:color w:val="000000"/>
      <w:kern w:val="2"/>
      <w:sz w:val="22"/>
      <w:szCs w:val="21"/>
      <w:lang w:eastAsia="en-US"/>
    </w:rPr>
    <w:tblPr>
      <w:tblCellMar>
        <w:top w:w="0" w:type="dxa"/>
        <w:left w:w="0" w:type="dxa"/>
        <w:bottom w:w="0" w:type="dxa"/>
        <w:right w:w="0" w:type="dxa"/>
      </w:tblCellMar>
    </w:tblPr>
  </w:style>
  <w:style w:type="table" w:customStyle="1" w:styleId="675">
    <w:name w:val="Table Normal31"/>
    <w:unhideWhenUsed/>
    <w:qFormat/>
    <w:uiPriority w:val="0"/>
    <w:pPr>
      <w:widowControl w:val="0"/>
      <w:autoSpaceDE w:val="0"/>
      <w:autoSpaceDN w:val="0"/>
    </w:pPr>
    <w:rPr>
      <w:snapToGrid w:val="0"/>
      <w:color w:val="000000"/>
      <w:kern w:val="2"/>
      <w:sz w:val="22"/>
      <w:szCs w:val="21"/>
      <w:lang w:eastAsia="en-US"/>
    </w:rPr>
    <w:tblPr>
      <w:tblCellMar>
        <w:top w:w="0" w:type="dxa"/>
        <w:left w:w="0" w:type="dxa"/>
        <w:bottom w:w="0" w:type="dxa"/>
        <w:right w:w="0" w:type="dxa"/>
      </w:tblCellMar>
    </w:tblPr>
  </w:style>
  <w:style w:type="table" w:customStyle="1" w:styleId="676">
    <w:name w:val="网格型61"/>
    <w:basedOn w:val="5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7">
    <w:name w:val="表格主题11"/>
    <w:basedOn w:val="5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678">
    <w:name w:val="Table Normal61"/>
    <w:basedOn w:val="57"/>
    <w:qFormat/>
    <w:uiPriority w:val="0"/>
    <w:tblPr>
      <w:tblCellMar>
        <w:left w:w="0" w:type="dxa"/>
        <w:right w:w="0" w:type="dxa"/>
      </w:tblCellMar>
    </w:tblPr>
  </w:style>
  <w:style w:type="paragraph" w:customStyle="1" w:styleId="679">
    <w:name w:val="0biaonei"/>
    <w:basedOn w:val="286"/>
    <w:link w:val="681"/>
    <w:qFormat/>
    <w:uiPriority w:val="0"/>
    <w:pPr>
      <w:framePr w:wrap="around"/>
    </w:pPr>
  </w:style>
  <w:style w:type="character" w:customStyle="1" w:styleId="680">
    <w:name w:val="0表内 字符"/>
    <w:basedOn w:val="60"/>
    <w:link w:val="286"/>
    <w:qFormat/>
    <w:uiPriority w:val="0"/>
    <w:rPr>
      <w:rFonts w:cs="宋体"/>
      <w:kern w:val="2"/>
      <w:sz w:val="18"/>
      <w:szCs w:val="22"/>
      <w:lang w:val="zh-CN"/>
    </w:rPr>
  </w:style>
  <w:style w:type="character" w:customStyle="1" w:styleId="681">
    <w:name w:val="0biaonei 字符"/>
    <w:basedOn w:val="680"/>
    <w:link w:val="679"/>
    <w:qFormat/>
    <w:uiPriority w:val="0"/>
    <w:rPr>
      <w:rFonts w:ascii="Times New Roman" w:hAnsi="Times New Roman" w:cs="宋体"/>
      <w:kern w:val="2"/>
      <w:sz w:val="18"/>
      <w:szCs w:val="22"/>
      <w:lang w:val="zh-CN"/>
    </w:rPr>
  </w:style>
  <w:style w:type="paragraph" w:customStyle="1" w:styleId="682">
    <w:name w:val="0zw"/>
    <w:basedOn w:val="669"/>
    <w:link w:val="684"/>
    <w:qFormat/>
    <w:uiPriority w:val="0"/>
    <w:rPr>
      <w:shd w:val="clear" w:color="auto" w:fill="FFFFFF"/>
    </w:rPr>
  </w:style>
  <w:style w:type="character" w:customStyle="1" w:styleId="683">
    <w:name w:val="0报告正文 字符"/>
    <w:basedOn w:val="60"/>
    <w:link w:val="669"/>
    <w:qFormat/>
    <w:uiPriority w:val="0"/>
    <w:rPr>
      <w:sz w:val="24"/>
      <w:lang w:bidi="en-US"/>
    </w:rPr>
  </w:style>
  <w:style w:type="character" w:customStyle="1" w:styleId="684">
    <w:name w:val="0zw 字符"/>
    <w:basedOn w:val="683"/>
    <w:link w:val="682"/>
    <w:qFormat/>
    <w:uiPriority w:val="0"/>
    <w:rPr>
      <w:snapToGrid/>
      <w:color w:val="000000"/>
      <w:kern w:val="2"/>
      <w:sz w:val="24"/>
      <w:szCs w:val="24"/>
      <w:lang w:bidi="en-US"/>
    </w:rPr>
  </w:style>
  <w:style w:type="character" w:customStyle="1" w:styleId="685">
    <w:name w:val="标题 1 Char"/>
    <w:qFormat/>
    <w:uiPriority w:val="99"/>
    <w:rPr>
      <w:b/>
    </w:rPr>
  </w:style>
  <w:style w:type="character" w:customStyle="1" w:styleId="686">
    <w:name w:val="标题 2 Char"/>
    <w:qFormat/>
    <w:uiPriority w:val="0"/>
    <w:rPr>
      <w:b/>
      <w:sz w:val="24"/>
      <w:szCs w:val="24"/>
    </w:rPr>
  </w:style>
  <w:style w:type="character" w:customStyle="1" w:styleId="687">
    <w:name w:val="标题 3 Char"/>
    <w:qFormat/>
    <w:uiPriority w:val="0"/>
    <w:rPr>
      <w:rFonts w:eastAsia="宋体"/>
      <w:b/>
      <w:bCs/>
      <w:kern w:val="2"/>
      <w:sz w:val="32"/>
      <w:szCs w:val="32"/>
      <w:lang w:val="en-US" w:eastAsia="zh-CN" w:bidi="ar-SA"/>
    </w:rPr>
  </w:style>
  <w:style w:type="character" w:customStyle="1" w:styleId="688">
    <w:name w:val="标题 4 Char"/>
    <w:qFormat/>
    <w:uiPriority w:val="0"/>
    <w:rPr>
      <w:rFonts w:ascii="Arial" w:hAnsi="Arial" w:eastAsia="黑体"/>
      <w:b/>
      <w:bCs/>
      <w:kern w:val="2"/>
      <w:sz w:val="28"/>
      <w:szCs w:val="28"/>
    </w:rPr>
  </w:style>
  <w:style w:type="character" w:customStyle="1" w:styleId="689">
    <w:name w:val="标题 5 Char"/>
    <w:qFormat/>
    <w:uiPriority w:val="0"/>
    <w:rPr>
      <w:b/>
      <w:kern w:val="2"/>
      <w:sz w:val="28"/>
      <w:szCs w:val="24"/>
    </w:rPr>
  </w:style>
  <w:style w:type="character" w:customStyle="1" w:styleId="690">
    <w:name w:val="正文缩进 Char"/>
    <w:qFormat/>
    <w:uiPriority w:val="99"/>
    <w:rPr>
      <w:rFonts w:eastAsia="宋体"/>
      <w:spacing w:val="20"/>
      <w:kern w:val="2"/>
      <w:sz w:val="24"/>
      <w:lang w:val="en-US" w:eastAsia="zh-CN" w:bidi="ar-SA"/>
    </w:rPr>
  </w:style>
  <w:style w:type="character" w:customStyle="1" w:styleId="691">
    <w:name w:val="正文文本 Char"/>
    <w:qFormat/>
    <w:locked/>
    <w:uiPriority w:val="0"/>
    <w:rPr>
      <w:sz w:val="18"/>
    </w:rPr>
  </w:style>
  <w:style w:type="character" w:customStyle="1" w:styleId="692">
    <w:name w:val="题注 Char"/>
    <w:qFormat/>
    <w:uiPriority w:val="0"/>
    <w:rPr>
      <w:rFonts w:ascii="Arial" w:hAnsi="Arial" w:eastAsia="黑体" w:cs="Arial"/>
      <w:kern w:val="2"/>
      <w:lang w:val="en-US" w:eastAsia="zh-CN" w:bidi="ar-SA"/>
    </w:rPr>
  </w:style>
  <w:style w:type="character" w:customStyle="1" w:styleId="693">
    <w:name w:val="文档结构图 Char"/>
    <w:qFormat/>
    <w:uiPriority w:val="0"/>
    <w:rPr>
      <w:rFonts w:ascii="宋体"/>
      <w:kern w:val="2"/>
      <w:sz w:val="18"/>
      <w:szCs w:val="18"/>
    </w:rPr>
  </w:style>
  <w:style w:type="character" w:customStyle="1" w:styleId="694">
    <w:name w:val="正文文本缩进 Char"/>
    <w:semiHidden/>
    <w:qFormat/>
    <w:locked/>
    <w:uiPriority w:val="0"/>
    <w:rPr>
      <w:rFonts w:ascii="Times New Roman" w:hAnsi="Times New Roman" w:eastAsia="宋体"/>
      <w:sz w:val="24"/>
    </w:rPr>
  </w:style>
  <w:style w:type="character" w:customStyle="1" w:styleId="695">
    <w:name w:val="纯文本 Char"/>
    <w:qFormat/>
    <w:uiPriority w:val="0"/>
    <w:rPr>
      <w:rFonts w:ascii="宋体" w:hAnsi="Courier New" w:eastAsia="宋体"/>
      <w:kern w:val="2"/>
      <w:sz w:val="21"/>
      <w:szCs w:val="21"/>
      <w:lang w:val="en-US" w:eastAsia="zh-CN" w:bidi="ar-SA"/>
    </w:rPr>
  </w:style>
  <w:style w:type="character" w:customStyle="1" w:styleId="696">
    <w:name w:val="日期 Char"/>
    <w:qFormat/>
    <w:locked/>
    <w:uiPriority w:val="0"/>
    <w:rPr>
      <w:rFonts w:ascii="Times New Roman" w:hAnsi="Times New Roman" w:eastAsia="宋体"/>
      <w:sz w:val="24"/>
    </w:rPr>
  </w:style>
  <w:style w:type="character" w:customStyle="1" w:styleId="697">
    <w:name w:val="正文文本缩进 2 Char"/>
    <w:qFormat/>
    <w:uiPriority w:val="0"/>
    <w:rPr>
      <w:kern w:val="2"/>
      <w:sz w:val="28"/>
      <w:szCs w:val="24"/>
    </w:rPr>
  </w:style>
  <w:style w:type="character" w:customStyle="1" w:styleId="698">
    <w:name w:val="批注框文本 Char"/>
    <w:qFormat/>
    <w:locked/>
    <w:uiPriority w:val="0"/>
    <w:rPr>
      <w:rFonts w:ascii="Times New Roman" w:hAnsi="Times New Roman" w:eastAsia="宋体"/>
      <w:sz w:val="18"/>
    </w:rPr>
  </w:style>
  <w:style w:type="character" w:customStyle="1" w:styleId="699">
    <w:name w:val="页脚 Char"/>
    <w:qFormat/>
    <w:locked/>
    <w:uiPriority w:val="0"/>
    <w:rPr>
      <w:sz w:val="18"/>
    </w:rPr>
  </w:style>
  <w:style w:type="character" w:customStyle="1" w:styleId="700">
    <w:name w:val="页眉 Char"/>
    <w:qFormat/>
    <w:locked/>
    <w:uiPriority w:val="0"/>
    <w:rPr>
      <w:sz w:val="18"/>
    </w:rPr>
  </w:style>
  <w:style w:type="character" w:customStyle="1" w:styleId="701">
    <w:name w:val="副标题 Char"/>
    <w:qFormat/>
    <w:uiPriority w:val="0"/>
    <w:rPr>
      <w:rFonts w:ascii="宋体" w:hAnsi="宋体" w:eastAsia="仿宋" w:cs="宋体"/>
      <w:spacing w:val="-16"/>
      <w:kern w:val="2"/>
      <w:sz w:val="21"/>
      <w:szCs w:val="21"/>
    </w:rPr>
  </w:style>
  <w:style w:type="character" w:customStyle="1" w:styleId="702">
    <w:name w:val="脚注文本 Char"/>
    <w:qFormat/>
    <w:uiPriority w:val="0"/>
    <w:rPr>
      <w:rFonts w:ascii="Arial" w:hAnsi="Arial" w:eastAsia="仿宋_GB2312"/>
      <w:sz w:val="18"/>
      <w:szCs w:val="18"/>
    </w:rPr>
  </w:style>
  <w:style w:type="character" w:customStyle="1" w:styleId="703">
    <w:name w:val="正文文本缩进 3 Char"/>
    <w:qFormat/>
    <w:uiPriority w:val="0"/>
    <w:rPr>
      <w:kern w:val="2"/>
      <w:sz w:val="16"/>
      <w:szCs w:val="16"/>
    </w:rPr>
  </w:style>
  <w:style w:type="character" w:customStyle="1" w:styleId="704">
    <w:name w:val="正文文本 2 Char"/>
    <w:qFormat/>
    <w:uiPriority w:val="0"/>
    <w:rPr>
      <w:kern w:val="2"/>
      <w:sz w:val="28"/>
      <w:szCs w:val="24"/>
    </w:rPr>
  </w:style>
  <w:style w:type="character" w:customStyle="1" w:styleId="705">
    <w:name w:val="HTML 预设格式 Char"/>
    <w:qFormat/>
    <w:uiPriority w:val="0"/>
    <w:rPr>
      <w:rFonts w:ascii="Arial" w:hAnsi="Arial"/>
      <w:kern w:val="2"/>
      <w:sz w:val="21"/>
      <w:szCs w:val="21"/>
    </w:rPr>
  </w:style>
  <w:style w:type="character" w:customStyle="1" w:styleId="706">
    <w:name w:val="普通(网站) Char"/>
    <w:qFormat/>
    <w:locked/>
    <w:uiPriority w:val="0"/>
    <w:rPr>
      <w:rFonts w:ascii="宋体" w:hAnsi="宋体" w:eastAsia="宋体"/>
      <w:sz w:val="24"/>
    </w:rPr>
  </w:style>
  <w:style w:type="character" w:customStyle="1" w:styleId="707">
    <w:name w:val="标题 Char"/>
    <w:qFormat/>
    <w:uiPriority w:val="0"/>
    <w:rPr>
      <w:rFonts w:ascii="Cambria" w:hAnsi="Cambria" w:eastAsia="Times New Roman"/>
      <w:b/>
      <w:bCs/>
      <w:kern w:val="2"/>
      <w:sz w:val="21"/>
      <w:szCs w:val="32"/>
    </w:rPr>
  </w:style>
  <w:style w:type="character" w:customStyle="1" w:styleId="708">
    <w:name w:val="批注主题 Char"/>
    <w:qFormat/>
    <w:locked/>
    <w:uiPriority w:val="0"/>
    <w:rPr>
      <w:rFonts w:ascii="Times New Roman" w:hAnsi="Times New Roman" w:eastAsia="宋体"/>
      <w:b/>
      <w:kern w:val="2"/>
      <w:sz w:val="24"/>
    </w:rPr>
  </w:style>
  <w:style w:type="character" w:customStyle="1" w:styleId="709">
    <w:name w:val="正文首行缩进 Char"/>
    <w:qFormat/>
    <w:locked/>
    <w:uiPriority w:val="0"/>
    <w:rPr>
      <w:rFonts w:eastAsia="宋体"/>
      <w:kern w:val="2"/>
      <w:sz w:val="21"/>
      <w:szCs w:val="24"/>
      <w:lang w:val="en-US" w:eastAsia="zh-CN" w:bidi="ar-SA"/>
    </w:rPr>
  </w:style>
  <w:style w:type="character" w:customStyle="1" w:styleId="710">
    <w:name w:val="正文首行缩进 2 Char"/>
    <w:qFormat/>
    <w:uiPriority w:val="0"/>
    <w:rPr>
      <w:kern w:val="2"/>
      <w:sz w:val="21"/>
      <w:szCs w:val="24"/>
    </w:rPr>
  </w:style>
  <w:style w:type="table" w:customStyle="1" w:styleId="711">
    <w:name w:val="网格型7"/>
    <w:basedOn w:val="5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712">
    <w:name w:val="1 Char"/>
    <w:link w:val="664"/>
    <w:qFormat/>
    <w:uiPriority w:val="0"/>
  </w:style>
  <w:style w:type="table" w:customStyle="1" w:styleId="713">
    <w:name w:val="Table Normal7"/>
    <w:basedOn w:val="57"/>
    <w:qFormat/>
    <w:uiPriority w:val="0"/>
    <w:tblPr>
      <w:tblCellMar>
        <w:left w:w="0" w:type="dxa"/>
        <w:right w:w="0" w:type="dxa"/>
      </w:tblCellMar>
    </w:tblPr>
  </w:style>
  <w:style w:type="table" w:customStyle="1" w:styleId="714">
    <w:name w:val="网格型11"/>
    <w:basedOn w:val="5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5">
    <w:name w:val="Table Normal111"/>
    <w:unhideWhenUsed/>
    <w:qFormat/>
    <w:uiPriority w:val="0"/>
    <w:rPr>
      <w:kern w:val="2"/>
      <w:szCs w:val="21"/>
    </w:rPr>
    <w:tblPr>
      <w:tblCellMar>
        <w:top w:w="0" w:type="dxa"/>
        <w:left w:w="0" w:type="dxa"/>
        <w:bottom w:w="0" w:type="dxa"/>
        <w:right w:w="0" w:type="dxa"/>
      </w:tblCellMar>
    </w:tblPr>
  </w:style>
  <w:style w:type="table" w:customStyle="1" w:styleId="716">
    <w:name w:val="网格型1211"/>
    <w:basedOn w:val="57"/>
    <w:qFormat/>
    <w:uiPriority w:val="59"/>
    <w:pPr>
      <w:jc w:val="both"/>
    </w:pPr>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7">
    <w:name w:val="网格型21"/>
    <w:basedOn w:val="5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18">
    <w:name w:val="Table Normal211"/>
    <w:unhideWhenUsed/>
    <w:qFormat/>
    <w:uiPriority w:val="0"/>
    <w:pPr>
      <w:widowControl w:val="0"/>
      <w:autoSpaceDE w:val="0"/>
      <w:autoSpaceDN w:val="0"/>
    </w:pPr>
    <w:rPr>
      <w:kern w:val="2"/>
      <w:sz w:val="22"/>
      <w:szCs w:val="21"/>
      <w:lang w:eastAsia="en-US"/>
    </w:rPr>
    <w:tblPr>
      <w:tblCellMar>
        <w:top w:w="0" w:type="dxa"/>
        <w:left w:w="0" w:type="dxa"/>
        <w:bottom w:w="0" w:type="dxa"/>
        <w:right w:w="0" w:type="dxa"/>
      </w:tblCellMar>
    </w:tblPr>
  </w:style>
  <w:style w:type="table" w:customStyle="1" w:styleId="719">
    <w:name w:val="网格型31"/>
    <w:basedOn w:val="57"/>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0">
    <w:name w:val="Table Normal311"/>
    <w:unhideWhenUsed/>
    <w:qFormat/>
    <w:uiPriority w:val="0"/>
    <w:pPr>
      <w:widowControl w:val="0"/>
      <w:autoSpaceDE w:val="0"/>
      <w:autoSpaceDN w:val="0"/>
    </w:pPr>
    <w:rPr>
      <w:kern w:val="2"/>
      <w:sz w:val="22"/>
      <w:szCs w:val="21"/>
      <w:lang w:eastAsia="en-US"/>
    </w:rPr>
    <w:tblPr>
      <w:tblCellMar>
        <w:top w:w="0" w:type="dxa"/>
        <w:left w:w="0" w:type="dxa"/>
        <w:bottom w:w="0" w:type="dxa"/>
        <w:right w:w="0" w:type="dxa"/>
      </w:tblCellMar>
    </w:tblPr>
  </w:style>
  <w:style w:type="paragraph" w:customStyle="1" w:styleId="721">
    <w:name w:val="TOC 标题3"/>
    <w:basedOn w:val="5"/>
    <w:next w:val="1"/>
    <w:unhideWhenUsed/>
    <w:qFormat/>
    <w:uiPriority w:val="39"/>
    <w:pPr>
      <w:keepNext/>
      <w:keepLines/>
      <w:framePr w:hSpace="0" w:wrap="around" w:vAnchor="margin" w:xAlign="left" w:yAlign="inline"/>
      <w:widowControl/>
      <w:adjustRightInd/>
      <w:snapToGrid/>
      <w:spacing w:before="240" w:line="259" w:lineRule="auto"/>
      <w:jc w:val="left"/>
      <w:outlineLvl w:val="9"/>
    </w:pPr>
    <w:rPr>
      <w:rFonts w:ascii="Calibri Light" w:hAnsi="Calibri Light"/>
      <w:color w:val="2E74B5"/>
      <w:sz w:val="32"/>
      <w:szCs w:val="32"/>
    </w:rPr>
  </w:style>
  <w:style w:type="character" w:customStyle="1" w:styleId="722">
    <w:name w:val="正文文本 3 Char"/>
    <w:qFormat/>
    <w:uiPriority w:val="0"/>
    <w:rPr>
      <w:sz w:val="16"/>
      <w:szCs w:val="16"/>
    </w:rPr>
  </w:style>
  <w:style w:type="table" w:customStyle="1" w:styleId="723">
    <w:name w:val="网格型41"/>
    <w:basedOn w:val="5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24">
    <w:name w:val="Char Char17"/>
    <w:basedOn w:val="1"/>
    <w:qFormat/>
    <w:uiPriority w:val="0"/>
    <w:pPr>
      <w:spacing w:line="360" w:lineRule="auto"/>
      <w:ind w:firstLine="200" w:firstLineChars="200"/>
    </w:pPr>
    <w:rPr>
      <w:rFonts w:ascii="宋体" w:hAnsi="宋体"/>
      <w:kern w:val="2"/>
      <w:szCs w:val="24"/>
    </w:rPr>
  </w:style>
  <w:style w:type="table" w:customStyle="1" w:styleId="725">
    <w:name w:val="Table Normal41"/>
    <w:basedOn w:val="57"/>
    <w:unhideWhenUsed/>
    <w:qFormat/>
    <w:uiPriority w:val="0"/>
    <w:tblPr>
      <w:tblCellMar>
        <w:left w:w="0" w:type="dxa"/>
        <w:right w:w="0" w:type="dxa"/>
      </w:tblCellMar>
    </w:tblPr>
  </w:style>
  <w:style w:type="table" w:customStyle="1" w:styleId="726">
    <w:name w:val="网格型51"/>
    <w:basedOn w:val="57"/>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727">
    <w:name w:val="Table Normal51"/>
    <w:basedOn w:val="57"/>
    <w:unhideWhenUsed/>
    <w:qFormat/>
    <w:uiPriority w:val="0"/>
    <w:tblPr>
      <w:tblCellMar>
        <w:left w:w="0" w:type="dxa"/>
        <w:right w:w="0" w:type="dxa"/>
      </w:tblCellMar>
    </w:tblPr>
  </w:style>
  <w:style w:type="paragraph" w:customStyle="1" w:styleId="728">
    <w:name w:val="0BT"/>
    <w:basedOn w:val="285"/>
    <w:link w:val="730"/>
    <w:qFormat/>
    <w:uiPriority w:val="0"/>
    <w:pPr>
      <w:framePr w:hSpace="0" w:wrap="around" w:vAnchor="margin" w:xAlign="left" w:yAlign="inline"/>
      <w:spacing w:line="440" w:lineRule="exact"/>
    </w:pPr>
    <w:rPr>
      <w:snapToGrid w:val="0"/>
      <w:kern w:val="2"/>
    </w:rPr>
  </w:style>
  <w:style w:type="character" w:customStyle="1" w:styleId="729">
    <w:name w:val="0表头 字符"/>
    <w:basedOn w:val="60"/>
    <w:link w:val="285"/>
    <w:qFormat/>
    <w:uiPriority w:val="0"/>
    <w:rPr>
      <w:b/>
      <w:sz w:val="21"/>
      <w:szCs w:val="22"/>
    </w:rPr>
  </w:style>
  <w:style w:type="character" w:customStyle="1" w:styleId="730">
    <w:name w:val="0BT 字符"/>
    <w:basedOn w:val="729"/>
    <w:link w:val="728"/>
    <w:qFormat/>
    <w:uiPriority w:val="0"/>
    <w:rPr>
      <w:rFonts w:ascii="Times New Roman" w:hAnsi="Times New Roman" w:cs="Times New Roman"/>
      <w:snapToGrid w:val="0"/>
      <w:kern w:val="2"/>
      <w:sz w:val="21"/>
      <w:szCs w:val="22"/>
    </w:rPr>
  </w:style>
  <w:style w:type="paragraph" w:customStyle="1" w:styleId="731">
    <w:name w:val="0BN"/>
    <w:link w:val="732"/>
    <w:qFormat/>
    <w:uiPriority w:val="0"/>
    <w:pPr>
      <w:spacing w:after="160" w:line="278" w:lineRule="auto"/>
      <w:jc w:val="center"/>
    </w:pPr>
    <w:rPr>
      <w:rFonts w:ascii="Times New Roman" w:hAnsi="Times New Roman" w:eastAsia="宋体" w:cs="Times New Roman"/>
      <w:color w:val="000000"/>
      <w:kern w:val="2"/>
      <w:sz w:val="18"/>
      <w:szCs w:val="22"/>
      <w:lang w:val="en-US" w:eastAsia="zh-CN" w:bidi="ar-SA"/>
    </w:rPr>
  </w:style>
  <w:style w:type="character" w:customStyle="1" w:styleId="732">
    <w:name w:val="0BN 字符"/>
    <w:basedOn w:val="60"/>
    <w:link w:val="731"/>
    <w:qFormat/>
    <w:uiPriority w:val="0"/>
    <w:rPr>
      <w:color w:val="000000"/>
      <w:kern w:val="2"/>
      <w:sz w:val="18"/>
      <w:szCs w:val="22"/>
    </w:rPr>
  </w:style>
  <w:style w:type="character" w:customStyle="1" w:styleId="733">
    <w:name w:val="标题 7 Char"/>
    <w:basedOn w:val="60"/>
    <w:link w:val="12"/>
    <w:semiHidden/>
    <w:qFormat/>
    <w:uiPriority w:val="0"/>
    <w:rPr>
      <w:b/>
      <w:bCs/>
      <w:szCs w:val="24"/>
    </w:rPr>
  </w:style>
  <w:style w:type="character" w:customStyle="1" w:styleId="734">
    <w:name w:val="未处理的提及3"/>
    <w:basedOn w:val="60"/>
    <w:semiHidden/>
    <w:unhideWhenUsed/>
    <w:qFormat/>
    <w:uiPriority w:val="99"/>
    <w:rPr>
      <w:color w:val="605E5C"/>
      <w:shd w:val="clear" w:color="auto" w:fill="E1DFDD"/>
    </w:rPr>
  </w:style>
  <w:style w:type="character" w:customStyle="1" w:styleId="735">
    <w:name w:val="宏文本 Char"/>
    <w:basedOn w:val="60"/>
    <w:link w:val="4"/>
    <w:qFormat/>
    <w:uiPriority w:val="0"/>
    <w:rPr>
      <w:rFonts w:ascii="Courier New" w:hAnsi="Courier New"/>
      <w:sz w:val="24"/>
      <w:szCs w:val="24"/>
    </w:rPr>
  </w:style>
  <w:style w:type="paragraph" w:customStyle="1" w:styleId="736">
    <w:name w:val="S307"/>
    <w:qFormat/>
    <w:uiPriority w:val="0"/>
    <w:pPr>
      <w:widowControl w:val="0"/>
      <w:tabs>
        <w:tab w:val="left" w:pos="6096"/>
      </w:tabs>
      <w:spacing w:after="160" w:line="360" w:lineRule="auto"/>
      <w:ind w:firstLine="480" w:firstLineChars="200"/>
      <w:jc w:val="both"/>
    </w:pPr>
    <w:rPr>
      <w:rFonts w:ascii="Times New Roman" w:hAnsi="Times New Roman" w:eastAsia="宋体" w:cs="Times New Roman"/>
      <w:sz w:val="24"/>
      <w:szCs w:val="21"/>
      <w:lang w:val="en-US" w:eastAsia="zh-CN" w:bidi="ar-SA"/>
    </w:rPr>
  </w:style>
  <w:style w:type="character" w:customStyle="1" w:styleId="737">
    <w:name w:val="首行缩进两字 Char"/>
    <w:qFormat/>
    <w:uiPriority w:val="0"/>
    <w:rPr>
      <w:rFonts w:ascii="Arial" w:hAnsi="Arial" w:eastAsia="宋体"/>
      <w:spacing w:val="10"/>
      <w:kern w:val="2"/>
      <w:sz w:val="24"/>
      <w:lang w:val="en-US" w:eastAsia="zh-CN" w:bidi="ar-SA"/>
    </w:rPr>
  </w:style>
  <w:style w:type="paragraph" w:customStyle="1" w:styleId="738">
    <w:name w:val="_Style 122"/>
    <w:basedOn w:val="1"/>
    <w:next w:val="1"/>
    <w:qFormat/>
    <w:uiPriority w:val="39"/>
    <w:pPr>
      <w:tabs>
        <w:tab w:val="left" w:pos="599"/>
        <w:tab w:val="right" w:leader="dot" w:pos="9060"/>
      </w:tabs>
      <w:spacing w:before="120" w:after="120" w:line="480" w:lineRule="exact"/>
      <w:jc w:val="left"/>
    </w:pPr>
    <w:rPr>
      <w:rFonts w:eastAsia="华文中宋"/>
      <w:b/>
      <w:bCs/>
      <w:caps/>
      <w:kern w:val="2"/>
      <w:sz w:val="28"/>
      <w:szCs w:val="28"/>
    </w:rPr>
  </w:style>
  <w:style w:type="paragraph" w:customStyle="1" w:styleId="739">
    <w:name w:val="reader-word-layer reader-word-s3-0"/>
    <w:basedOn w:val="1"/>
    <w:qFormat/>
    <w:uiPriority w:val="0"/>
    <w:pPr>
      <w:widowControl/>
      <w:spacing w:before="100" w:beforeAutospacing="1" w:after="100" w:afterAutospacing="1"/>
      <w:jc w:val="left"/>
    </w:pPr>
    <w:rPr>
      <w:rFonts w:ascii="宋体" w:hAnsi="宋体" w:cs="宋体"/>
      <w:sz w:val="21"/>
      <w:szCs w:val="24"/>
    </w:rPr>
  </w:style>
  <w:style w:type="paragraph" w:customStyle="1" w:styleId="740">
    <w:name w:val="reader-word-layer"/>
    <w:basedOn w:val="1"/>
    <w:qFormat/>
    <w:uiPriority w:val="0"/>
    <w:pPr>
      <w:widowControl/>
      <w:spacing w:before="100" w:beforeAutospacing="1" w:after="100" w:afterAutospacing="1"/>
      <w:jc w:val="left"/>
    </w:pPr>
    <w:rPr>
      <w:rFonts w:ascii="宋体" w:hAnsi="宋体" w:cs="宋体"/>
      <w:sz w:val="21"/>
      <w:szCs w:val="24"/>
    </w:rPr>
  </w:style>
  <w:style w:type="paragraph" w:customStyle="1" w:styleId="741">
    <w:name w:val="p24"/>
    <w:basedOn w:val="1"/>
    <w:qFormat/>
    <w:uiPriority w:val="0"/>
    <w:pPr>
      <w:widowControl/>
      <w:spacing w:before="100" w:beforeAutospacing="1" w:after="100" w:afterAutospacing="1"/>
      <w:jc w:val="left"/>
    </w:pPr>
    <w:rPr>
      <w:rFonts w:ascii="宋体" w:hAnsi="宋体" w:cs="宋体"/>
      <w:szCs w:val="24"/>
    </w:rPr>
  </w:style>
  <w:style w:type="character" w:customStyle="1" w:styleId="742">
    <w:name w:val="居中正文 Char"/>
    <w:link w:val="400"/>
    <w:qFormat/>
    <w:uiPriority w:val="0"/>
    <w:rPr>
      <w:rFonts w:ascii="宋体" w:hAnsi="Arial"/>
      <w:kern w:val="28"/>
      <w:sz w:val="24"/>
    </w:rPr>
  </w:style>
  <w:style w:type="character" w:customStyle="1" w:styleId="743">
    <w:name w:val="表格内文字 Char"/>
    <w:link w:val="235"/>
    <w:qFormat/>
    <w:uiPriority w:val="0"/>
    <w:rPr>
      <w:rFonts w:eastAsia="仿宋_GB2312"/>
      <w:sz w:val="24"/>
    </w:rPr>
  </w:style>
  <w:style w:type="character" w:customStyle="1" w:styleId="744">
    <w:name w:val="主体 Char"/>
    <w:link w:val="745"/>
    <w:qFormat/>
    <w:uiPriority w:val="0"/>
    <w:rPr>
      <w:rFonts w:eastAsia="仿宋_GB2312"/>
      <w:bCs/>
      <w:kern w:val="2"/>
      <w:sz w:val="24"/>
      <w:szCs w:val="24"/>
    </w:rPr>
  </w:style>
  <w:style w:type="paragraph" w:customStyle="1" w:styleId="745">
    <w:name w:val="主体"/>
    <w:link w:val="744"/>
    <w:qFormat/>
    <w:uiPriority w:val="0"/>
    <w:pPr>
      <w:widowControl w:val="0"/>
      <w:autoSpaceDE w:val="0"/>
      <w:autoSpaceDN w:val="0"/>
      <w:spacing w:after="160" w:line="440" w:lineRule="exact"/>
      <w:ind w:firstLine="480" w:firstLineChars="200"/>
      <w:jc w:val="both"/>
    </w:pPr>
    <w:rPr>
      <w:rFonts w:ascii="Times New Roman" w:hAnsi="Times New Roman" w:eastAsia="仿宋_GB2312" w:cs="Times New Roman"/>
      <w:bCs/>
      <w:kern w:val="2"/>
      <w:sz w:val="24"/>
      <w:szCs w:val="24"/>
      <w:lang w:val="en-US" w:eastAsia="zh-CN" w:bidi="ar-SA"/>
    </w:rPr>
  </w:style>
  <w:style w:type="character" w:customStyle="1" w:styleId="746">
    <w:name w:val="表格居中 字符"/>
    <w:qFormat/>
    <w:uiPriority w:val="0"/>
    <w:rPr>
      <w:rFonts w:hAnsi="Arial"/>
      <w:kern w:val="2"/>
      <w:sz w:val="21"/>
      <w:szCs w:val="21"/>
    </w:rPr>
  </w:style>
  <w:style w:type="character" w:customStyle="1" w:styleId="747">
    <w:name w:val="正文01 Char Char"/>
    <w:qFormat/>
    <w:uiPriority w:val="0"/>
    <w:rPr>
      <w:rFonts w:eastAsia="宋体"/>
      <w:kern w:val="2"/>
      <w:sz w:val="24"/>
      <w:szCs w:val="24"/>
      <w:lang w:val="en-US" w:eastAsia="zh-CN" w:bidi="ar-SA"/>
    </w:rPr>
  </w:style>
  <w:style w:type="character" w:customStyle="1" w:styleId="748">
    <w:name w:val="Default Char"/>
    <w:link w:val="76"/>
    <w:qFormat/>
    <w:uiPriority w:val="0"/>
    <w:rPr>
      <w:rFonts w:ascii="宋体" w:cs="宋体"/>
      <w:color w:val="000000"/>
      <w:sz w:val="24"/>
      <w:szCs w:val="24"/>
      <w:shd w:val="clear" w:color="auto" w:fill="FFFFFF"/>
    </w:rPr>
  </w:style>
  <w:style w:type="paragraph" w:customStyle="1" w:styleId="749">
    <w:name w:val="5号居中"/>
    <w:basedOn w:val="1"/>
    <w:next w:val="1"/>
    <w:qFormat/>
    <w:uiPriority w:val="0"/>
    <w:pPr>
      <w:wordWrap w:val="0"/>
      <w:autoSpaceDE w:val="0"/>
      <w:autoSpaceDN w:val="0"/>
      <w:adjustRightInd w:val="0"/>
      <w:snapToGrid w:val="0"/>
      <w:ind w:left="-120" w:leftChars="-50" w:right="-120" w:rightChars="-50"/>
      <w:jc w:val="center"/>
      <w:textAlignment w:val="center"/>
    </w:pPr>
    <w:rPr>
      <w:snapToGrid w:val="0"/>
      <w:sz w:val="21"/>
      <w:szCs w:val="22"/>
    </w:rPr>
  </w:style>
  <w:style w:type="character" w:customStyle="1" w:styleId="750">
    <w:name w:val="正文01 Char2"/>
    <w:qFormat/>
    <w:locked/>
    <w:uiPriority w:val="0"/>
    <w:rPr>
      <w:rFonts w:ascii="Calibri" w:hAnsi="Calibri" w:cs="Calibri"/>
      <w:sz w:val="24"/>
    </w:rPr>
  </w:style>
  <w:style w:type="character" w:customStyle="1" w:styleId="751">
    <w:name w:val="w正文 Char"/>
    <w:link w:val="635"/>
    <w:qFormat/>
    <w:locked/>
    <w:uiPriority w:val="0"/>
    <w:rPr>
      <w:rFonts w:eastAsia="Times New Roman"/>
      <w:sz w:val="24"/>
    </w:rPr>
  </w:style>
  <w:style w:type="paragraph" w:customStyle="1" w:styleId="752">
    <w:name w:val="marklang-paragraph"/>
    <w:basedOn w:val="1"/>
    <w:qFormat/>
    <w:uiPriority w:val="0"/>
    <w:pPr>
      <w:widowControl/>
      <w:spacing w:before="100" w:beforeAutospacing="1" w:after="100" w:afterAutospacing="1"/>
      <w:jc w:val="left"/>
    </w:pPr>
    <w:rPr>
      <w:rFonts w:ascii="宋体" w:hAnsi="宋体" w:cs="宋体"/>
      <w:szCs w:val="24"/>
    </w:rPr>
  </w:style>
  <w:style w:type="character" w:customStyle="1" w:styleId="753">
    <w:name w:val="标题 6 Char"/>
    <w:basedOn w:val="60"/>
    <w:link w:val="11"/>
    <w:qFormat/>
    <w:uiPriority w:val="9"/>
    <w:rPr>
      <w:rFonts w:asciiTheme="majorHAnsi" w:hAnsiTheme="majorHAnsi" w:eastAsiaTheme="majorEastAsia" w:cstheme="majorBidi"/>
      <w:b/>
      <w:bCs/>
      <w:sz w:val="24"/>
      <w:szCs w:val="24"/>
      <w:lang w:eastAsia="en-US"/>
    </w:rPr>
  </w:style>
  <w:style w:type="paragraph" w:customStyle="1" w:styleId="754">
    <w:name w:val="Heading #2|1"/>
    <w:basedOn w:val="1"/>
    <w:qFormat/>
    <w:uiPriority w:val="0"/>
    <w:pPr>
      <w:autoSpaceDE w:val="0"/>
      <w:autoSpaceDN w:val="0"/>
      <w:spacing w:after="200"/>
      <w:jc w:val="left"/>
      <w:outlineLvl w:val="1"/>
    </w:pPr>
    <w:rPr>
      <w:rFonts w:ascii="宋体" w:hAnsi="宋体" w:cs="宋体"/>
      <w:sz w:val="28"/>
      <w:szCs w:val="28"/>
      <w:lang w:val="zh-TW" w:eastAsia="zh-TW" w:bidi="zh-TW"/>
    </w:rPr>
  </w:style>
  <w:style w:type="paragraph" w:customStyle="1" w:styleId="755">
    <w:name w:val="Table caption|1"/>
    <w:basedOn w:val="1"/>
    <w:qFormat/>
    <w:uiPriority w:val="0"/>
    <w:pPr>
      <w:autoSpaceDE w:val="0"/>
      <w:autoSpaceDN w:val="0"/>
      <w:jc w:val="left"/>
    </w:pPr>
    <w:rPr>
      <w:rFonts w:ascii="宋体" w:hAnsi="宋体" w:cs="宋体"/>
      <w:b/>
      <w:bCs/>
      <w:sz w:val="20"/>
      <w:lang w:val="zh-TW" w:eastAsia="zh-TW" w:bidi="zh-TW"/>
    </w:rPr>
  </w:style>
  <w:style w:type="paragraph" w:customStyle="1" w:styleId="756">
    <w:name w:val="Picture caption|1"/>
    <w:basedOn w:val="1"/>
    <w:qFormat/>
    <w:uiPriority w:val="0"/>
    <w:pPr>
      <w:autoSpaceDE w:val="0"/>
      <w:autoSpaceDN w:val="0"/>
      <w:jc w:val="left"/>
    </w:pPr>
    <w:rPr>
      <w:rFonts w:ascii="宋体" w:hAnsi="宋体" w:cs="宋体"/>
      <w:b/>
      <w:bCs/>
      <w:sz w:val="20"/>
      <w:lang w:val="zh-TW" w:eastAsia="zh-TW" w:bidi="zh-TW"/>
    </w:rPr>
  </w:style>
  <w:style w:type="paragraph" w:customStyle="1" w:styleId="757">
    <w:name w:val="Heading #1|1"/>
    <w:basedOn w:val="1"/>
    <w:qFormat/>
    <w:uiPriority w:val="0"/>
    <w:pPr>
      <w:autoSpaceDE w:val="0"/>
      <w:autoSpaceDN w:val="0"/>
      <w:spacing w:after="300"/>
      <w:jc w:val="left"/>
      <w:outlineLvl w:val="0"/>
    </w:pPr>
    <w:rPr>
      <w:rFonts w:ascii="宋体" w:hAnsi="宋体" w:cs="宋体"/>
      <w:sz w:val="28"/>
      <w:szCs w:val="28"/>
      <w:lang w:val="zh-TW" w:eastAsia="zh-TW" w:bidi="zh-TW"/>
    </w:rPr>
  </w:style>
  <w:style w:type="paragraph" w:customStyle="1" w:styleId="758">
    <w:name w:val="Heading #3|1"/>
    <w:basedOn w:val="1"/>
    <w:qFormat/>
    <w:uiPriority w:val="0"/>
    <w:pPr>
      <w:autoSpaceDE w:val="0"/>
      <w:autoSpaceDN w:val="0"/>
      <w:spacing w:after="200"/>
      <w:jc w:val="left"/>
      <w:outlineLvl w:val="2"/>
    </w:pPr>
    <w:rPr>
      <w:rFonts w:ascii="宋体" w:hAnsi="宋体" w:cs="宋体"/>
      <w:sz w:val="28"/>
      <w:szCs w:val="28"/>
      <w:lang w:val="zh-TW" w:eastAsia="zh-TW" w:bidi="zh-TW"/>
    </w:rPr>
  </w:style>
  <w:style w:type="paragraph" w:customStyle="1" w:styleId="759">
    <w:name w:val="Header or footer|1"/>
    <w:basedOn w:val="1"/>
    <w:qFormat/>
    <w:uiPriority w:val="0"/>
    <w:pPr>
      <w:autoSpaceDE w:val="0"/>
      <w:autoSpaceDN w:val="0"/>
      <w:jc w:val="left"/>
    </w:pPr>
    <w:rPr>
      <w:rFonts w:ascii="宋体" w:hAnsi="宋体" w:cs="宋体"/>
      <w:sz w:val="20"/>
      <w:lang w:val="zh-TW" w:eastAsia="zh-TW" w:bidi="zh-TW"/>
    </w:rPr>
  </w:style>
  <w:style w:type="character" w:customStyle="1" w:styleId="760">
    <w:name w:val="title-text"/>
    <w:basedOn w:val="60"/>
    <w:qFormat/>
    <w:uiPriority w:val="0"/>
  </w:style>
  <w:style w:type="character" w:customStyle="1" w:styleId="761">
    <w:name w:val="ref_content_circle"/>
    <w:basedOn w:val="60"/>
    <w:qFormat/>
    <w:uiPriority w:val="0"/>
  </w:style>
  <w:style w:type="paragraph" w:customStyle="1" w:styleId="762">
    <w:name w:val="表格CAT"/>
    <w:basedOn w:val="763"/>
    <w:qFormat/>
    <w:uiPriority w:val="99"/>
    <w:pPr>
      <w:widowControl/>
      <w:tabs>
        <w:tab w:val="left" w:pos="560"/>
      </w:tabs>
      <w:spacing w:line="240" w:lineRule="auto"/>
      <w:ind w:firstLine="0" w:firstLineChars="0"/>
    </w:pPr>
  </w:style>
  <w:style w:type="paragraph" w:customStyle="1" w:styleId="763">
    <w:name w:val="表格文字-表外"/>
    <w:basedOn w:val="1"/>
    <w:unhideWhenUsed/>
    <w:qFormat/>
    <w:uiPriority w:val="0"/>
    <w:pPr>
      <w:snapToGrid w:val="0"/>
      <w:spacing w:line="360" w:lineRule="auto"/>
      <w:ind w:firstLine="1440" w:firstLineChars="200"/>
      <w:jc w:val="center"/>
    </w:pPr>
    <w:rPr>
      <w:rFonts w:eastAsia="Times New Roman"/>
      <w:kern w:val="2"/>
      <w:szCs w:val="24"/>
    </w:rPr>
  </w:style>
  <w:style w:type="paragraph" w:customStyle="1" w:styleId="764">
    <w:name w:val="Char Char1 Char Char Char Char Char Char Char Char Char"/>
    <w:basedOn w:val="1"/>
    <w:qFormat/>
    <w:uiPriority w:val="0"/>
    <w:rPr>
      <w:kern w:val="2"/>
      <w:sz w:val="21"/>
      <w:szCs w:val="24"/>
    </w:rPr>
  </w:style>
  <w:style w:type="paragraph" w:customStyle="1" w:styleId="765">
    <w:name w:val="Char Char1 Char Char Char Char Char Char Char Char Char1"/>
    <w:basedOn w:val="1"/>
    <w:qFormat/>
    <w:uiPriority w:val="0"/>
    <w:rPr>
      <w:kern w:val="2"/>
      <w:sz w:val="21"/>
      <w:szCs w:val="24"/>
    </w:rPr>
  </w:style>
  <w:style w:type="character" w:customStyle="1" w:styleId="766">
    <w:name w:val="未处理的提及4"/>
    <w:basedOn w:val="60"/>
    <w:semiHidden/>
    <w:unhideWhenUsed/>
    <w:qFormat/>
    <w:uiPriority w:val="99"/>
    <w:rPr>
      <w:color w:val="605E5C"/>
      <w:shd w:val="clear" w:color="auto" w:fill="E1DFDD"/>
    </w:rPr>
  </w:style>
  <w:style w:type="table" w:customStyle="1" w:styleId="767">
    <w:name w:val="我的表格样式1"/>
    <w:basedOn w:val="57"/>
    <w:qFormat/>
    <w:uiPriority w:val="99"/>
    <w:pPr>
      <w:jc w:val="center"/>
    </w:pPr>
    <w:tblPr>
      <w:jc w:val="center"/>
      <w:tblBorders>
        <w:top w:val="single" w:color="auto" w:sz="12" w:space="0"/>
        <w:bottom w:val="single" w:color="auto" w:sz="12" w:space="0"/>
        <w:insideH w:val="single" w:color="auto" w:sz="4" w:space="0"/>
        <w:insideV w:val="single" w:color="auto" w:sz="4" w:space="0"/>
      </w:tblBorders>
    </w:tblPr>
    <w:trPr>
      <w:jc w:val="center"/>
    </w:trPr>
    <w:tcPr>
      <w:vAlign w:val="center"/>
    </w:tcPr>
    <w:tblStylePr w:type="firstRow">
      <w:pPr>
        <w:wordWrap/>
        <w:adjustRightInd w:val="0"/>
        <w:ind w:left="0" w:leftChars="0" w:right="0" w:rightChars="0" w:firstLine="0" w:firstLineChars="0"/>
        <w:jc w:val="left"/>
        <w:textAlignment w:val="center"/>
        <w:outlineLvl w:val="9"/>
      </w:pPr>
      <w:rPr>
        <w:rFonts w:ascii="Times New Roman" w:hAnsi="Times New Roman" w:eastAsia="宋体"/>
        <w:b/>
        <w:i w:val="0"/>
        <w:sz w:val="21"/>
      </w:rPr>
      <w:tblPr/>
      <w:trPr>
        <w:cantSplit/>
        <w:tblHeader/>
      </w:trPr>
      <w:tcPr>
        <w:shd w:val="clear" w:color="auto" w:fill="C6D9F0"/>
      </w:tcPr>
    </w:tblStylePr>
    <w:tblStylePr w:type="lastRow">
      <w:pPr>
        <w:wordWrap/>
        <w:jc w:val="right"/>
      </w:pPr>
    </w:tblStylePr>
  </w:style>
  <w:style w:type="paragraph" w:customStyle="1" w:styleId="768">
    <w:name w:val="标题三三"/>
    <w:basedOn w:val="769"/>
    <w:next w:val="1"/>
    <w:qFormat/>
    <w:uiPriority w:val="0"/>
    <w:pPr>
      <w:spacing w:before="240" w:after="120"/>
      <w:outlineLvl w:val="2"/>
    </w:pPr>
    <w:rPr>
      <w:sz w:val="28"/>
    </w:rPr>
  </w:style>
  <w:style w:type="paragraph" w:customStyle="1" w:styleId="769">
    <w:name w:val="标题二二"/>
    <w:basedOn w:val="770"/>
    <w:next w:val="1"/>
    <w:qFormat/>
    <w:uiPriority w:val="0"/>
    <w:pPr>
      <w:spacing w:before="360" w:after="360"/>
      <w:outlineLvl w:val="1"/>
    </w:pPr>
    <w:rPr>
      <w:sz w:val="32"/>
    </w:rPr>
  </w:style>
  <w:style w:type="paragraph" w:customStyle="1" w:styleId="770">
    <w:name w:val="标题一一"/>
    <w:basedOn w:val="1"/>
    <w:next w:val="1"/>
    <w:qFormat/>
    <w:uiPriority w:val="0"/>
    <w:pPr>
      <w:spacing w:before="960" w:after="480"/>
      <w:ind w:firstLine="0" w:firstLineChars="0"/>
      <w:jc w:val="left"/>
      <w:outlineLvl w:val="0"/>
    </w:pPr>
    <w:rPr>
      <w:rFonts w:eastAsia="黑体"/>
      <w:sz w:val="44"/>
    </w:rPr>
  </w:style>
  <w:style w:type="paragraph" w:customStyle="1" w:styleId="771">
    <w:name w:val="177正文"/>
    <w:basedOn w:val="1"/>
    <w:qFormat/>
    <w:uiPriority w:val="0"/>
    <w:pPr>
      <w:adjustRightInd w:val="0"/>
      <w:snapToGrid w:val="0"/>
      <w:spacing w:after="0" w:line="360" w:lineRule="auto"/>
      <w:ind w:firstLine="720" w:firstLineChars="200"/>
      <w:jc w:val="both"/>
    </w:pPr>
    <w:rPr>
      <w:rFonts w:ascii="Times New Roman" w:hAnsi="Times New Roman" w:eastAsia="宋体"/>
      <w:color w:val="auto"/>
      <w:szCs w:val="24"/>
    </w:rPr>
  </w:style>
  <w:style w:type="paragraph" w:customStyle="1" w:styleId="772">
    <w:name w:val="标题177"/>
    <w:basedOn w:val="1"/>
    <w:qFormat/>
    <w:uiPriority w:val="0"/>
    <w:pPr>
      <w:widowControl/>
      <w:adjustRightInd w:val="0"/>
      <w:snapToGrid w:val="0"/>
      <w:spacing w:after="0" w:line="360" w:lineRule="auto"/>
      <w:ind w:firstLine="0"/>
      <w:jc w:val="center"/>
      <w:outlineLvl w:val="0"/>
    </w:pPr>
    <w:rPr>
      <w:rFonts w:hint="eastAsia" w:ascii="Times New Roman" w:hAnsi="Times New Roman" w:eastAsia="宋体"/>
      <w:snapToGrid w:val="0"/>
      <w:color w:val="auto"/>
      <w:sz w:val="28"/>
      <w:szCs w:val="28"/>
      <w:lang w:val="zh-CN"/>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5" Type="http://schemas.openxmlformats.org/officeDocument/2006/relationships/fontTable" Target="fontTable.xml"/><Relationship Id="rId54" Type="http://schemas.openxmlformats.org/officeDocument/2006/relationships/customXml" Target="../customXml/item2.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29.png"/><Relationship Id="rId50" Type="http://schemas.openxmlformats.org/officeDocument/2006/relationships/image" Target="media/image28.wmf"/><Relationship Id="rId5" Type="http://schemas.openxmlformats.org/officeDocument/2006/relationships/header" Target="header1.xml"/><Relationship Id="rId49" Type="http://schemas.openxmlformats.org/officeDocument/2006/relationships/image" Target="media/image27.wmf"/><Relationship Id="rId48" Type="http://schemas.openxmlformats.org/officeDocument/2006/relationships/image" Target="media/image26.wmf"/><Relationship Id="rId47" Type="http://schemas.openxmlformats.org/officeDocument/2006/relationships/oleObject" Target="embeddings/oleObject1.bin"/><Relationship Id="rId46" Type="http://schemas.openxmlformats.org/officeDocument/2006/relationships/image" Target="media/image25.wmf"/><Relationship Id="rId45" Type="http://schemas.openxmlformats.org/officeDocument/2006/relationships/image" Target="media/image24.wmf"/><Relationship Id="rId44" Type="http://schemas.openxmlformats.org/officeDocument/2006/relationships/image" Target="media/image23.png"/><Relationship Id="rId43" Type="http://schemas.openxmlformats.org/officeDocument/2006/relationships/image" Target="media/image22.png"/><Relationship Id="rId42" Type="http://schemas.openxmlformats.org/officeDocument/2006/relationships/image" Target="media/image21.png"/><Relationship Id="rId41" Type="http://schemas.openxmlformats.org/officeDocument/2006/relationships/image" Target="media/image20.jpeg"/><Relationship Id="rId40" Type="http://schemas.openxmlformats.org/officeDocument/2006/relationships/image" Target="media/image19.png"/><Relationship Id="rId4" Type="http://schemas.openxmlformats.org/officeDocument/2006/relationships/endnotes" Target="endnotes.xml"/><Relationship Id="rId39" Type="http://schemas.openxmlformats.org/officeDocument/2006/relationships/image" Target="media/image18.png"/><Relationship Id="rId38" Type="http://schemas.openxmlformats.org/officeDocument/2006/relationships/image" Target="file:///C:\Users\&#26446;&#38738;&#38738;\AppData\Roaming\Tencent\Users\403002229\QQ\WinTemp\RichOle\030%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25UR9BYU3GM772(UBEC80.png" TargetMode="External"/><Relationship Id="rId37" Type="http://schemas.openxmlformats.org/officeDocument/2006/relationships/image" Target="media/image17.png"/><Relationship Id="rId36" Type="http://schemas.openxmlformats.org/officeDocument/2006/relationships/image" Target="media/image16.png"/><Relationship Id="rId35" Type="http://schemas.openxmlformats.org/officeDocument/2006/relationships/image" Target="media/image15.jpeg"/><Relationship Id="rId34" Type="http://schemas.openxmlformats.org/officeDocument/2006/relationships/image" Target="media/image14.png"/><Relationship Id="rId33" Type="http://schemas.openxmlformats.org/officeDocument/2006/relationships/image" Target="media/image13.png"/><Relationship Id="rId32" Type="http://schemas.openxmlformats.org/officeDocument/2006/relationships/image" Target="media/image12.png"/><Relationship Id="rId31" Type="http://schemas.openxmlformats.org/officeDocument/2006/relationships/image" Target="media/image11.png"/><Relationship Id="rId30" Type="http://schemas.openxmlformats.org/officeDocument/2006/relationships/image" Target="media/image10.png"/><Relationship Id="rId3" Type="http://schemas.openxmlformats.org/officeDocument/2006/relationships/footnotes" Target="footnotes.xml"/><Relationship Id="rId29" Type="http://schemas.openxmlformats.org/officeDocument/2006/relationships/image" Target="media/image9.png"/><Relationship Id="rId28" Type="http://schemas.openxmlformats.org/officeDocument/2006/relationships/image" Target="media/image8.png"/><Relationship Id="rId27" Type="http://schemas.openxmlformats.org/officeDocument/2006/relationships/image" Target="media/image7.png"/><Relationship Id="rId26" Type="http://schemas.openxmlformats.org/officeDocument/2006/relationships/image" Target="media/image6.png"/><Relationship Id="rId25" Type="http://schemas.openxmlformats.org/officeDocument/2006/relationships/image" Target="media/image5.png"/><Relationship Id="rId24" Type="http://schemas.openxmlformats.org/officeDocument/2006/relationships/image" Target="media/image4.png"/><Relationship Id="rId23" Type="http://schemas.openxmlformats.org/officeDocument/2006/relationships/image" Target="media/image3.png"/><Relationship Id="rId22" Type="http://schemas.openxmlformats.org/officeDocument/2006/relationships/image" Target="media/image2.png"/><Relationship Id="rId21" Type="http://schemas.openxmlformats.org/officeDocument/2006/relationships/image" Target="media/image1.png"/><Relationship Id="rId20" Type="http://schemas.openxmlformats.org/officeDocument/2006/relationships/theme" Target="theme/theme1.xml"/><Relationship Id="rId2" Type="http://schemas.openxmlformats.org/officeDocument/2006/relationships/settings" Target="settings.xml"/><Relationship Id="rId19" Type="http://schemas.openxmlformats.org/officeDocument/2006/relationships/header" Target="header9.xml"/><Relationship Id="rId18" Type="http://schemas.openxmlformats.org/officeDocument/2006/relationships/header" Target="header8.xml"/><Relationship Id="rId17" Type="http://schemas.openxmlformats.org/officeDocument/2006/relationships/header" Target="header7.xml"/><Relationship Id="rId16" Type="http://schemas.openxmlformats.org/officeDocument/2006/relationships/header" Target="header6.xml"/><Relationship Id="rId15" Type="http://schemas.openxmlformats.org/officeDocument/2006/relationships/header" Target="header5.xml"/><Relationship Id="rId14" Type="http://schemas.openxmlformats.org/officeDocument/2006/relationships/header" Target="header4.xml"/><Relationship Id="rId13" Type="http://schemas.openxmlformats.org/officeDocument/2006/relationships/header" Target="header3.xml"/><Relationship Id="rId12" Type="http://schemas.openxmlformats.org/officeDocument/2006/relationships/footer" Target="footer6.xml"/><Relationship Id="rId11" Type="http://schemas.openxmlformats.org/officeDocument/2006/relationships/header" Target="header2.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4521"/>
    <customShpInfo spid="_x0000_s4522"/>
    <customShpInfo spid="_x0000_s4520"/>
  </customShpExts>
  <extobjs>
    <extobj name="ECB019B1-382A-4266-B25C-5B523AA43C14-1">
      <extobjdata type="ECB019B1-382A-4266-B25C-5B523AA43C14" data="ewoJIkZpbGVJZCIgOiAiNDI3NzczODI5NDA5IiwKCSJHcm91cElkIiA6ICIxMjM4MDY5Nzc1IiwKCSJJbWFnZSIgOiAiaVZCT1J3MEtHZ29BQUFBTlNVaEVVZ0FBQmM0QUFBTXFDQVlBQUFDN2RkS1BBQUFBQVhOU1IwSUFyczRjNlFBQUlBQkpSRUZVZUp6czNYbDRWRVhlOXZHN3Vqc2JTWUN3Q0NKb2tMQ0swSjBNS3FpZ3FMaUx5eXVQNHpPZ01DcU13NmdnQ3FNakl1TTJneUtvTElxQW91SXlDSUl6SUNnNm9LS2dwRU9DTEFZa3NxTVJFa2hJUXRKZDd4OGsvWFNUQk1QYUNmbCtyc3RMdXFwTzllOUVyeHpPM2RWMUp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TN1L3dPODRRbUJwdlRpNkFBQUFBQkpSVTVFcmtKZ2dnPT0iLAoJIlRoZW1lIiA6ICIiLAoJIlR5cGUiIDogImZsb3ciLAoJIlVzZXJJZCIgOiAiMTEzOTkxOTk5NSIsCgkiVmVyc2lvbiIgOiAiOTQiCn0K"/>
    </extobj>
    <extobj name="ECB019B1-382A-4266-B25C-5B523AA43C14-2">
      <extobjdata type="ECB019B1-382A-4266-B25C-5B523AA43C14" data="ewoJIkZpbGVJZCIgOiAiNDIyMjUwNTQ2NTQ1IiwKCSJHcm91cElkIiA6ICIxMjM4MDY5Nzc1IiwKCSJJbWFnZSIgOiAiaVZCT1J3MEtHZ29BQUFBTlNVaEVVZ0FBQkN3QUFBTDNDQVlBQUFCQk85UkdBQUFBQVhOU1IwSUFyczRjNlFBQUlBQkpSRUZVZUp6czNYbWNYRldaLy9IdmM2dDZTMGlFU0FBMWFwUkdRaWZwcm5NTFIxQVpIQmRVWkVSeEdSUnhWRnpHalJFVlpYUUcxOUZ4RjBVSFVYOHVxS015b29PSWlvQ0NJZ3BVM2VydTBCQnBJR3BrQzV0SlNLOTFuOThmZFN0V21sNlRUcnFiZk42dlY3KzY2OXh6ejMzdVRaOU8zYWZPUFVjQ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mNvZjhEc2JHYmZ5M0RNZGdBQUFBQVNVVk9SSzVDWUlJPSIsCgkiVGhlbWUiIDogIiIsCgkiVHlwZSIgOiAiZmxvdyIsCgkiVXNlcklkIiA6ICIxMTM5OTE5OTk1IiwKCSJWZXJzaW9uIiA6ICI0NSIKfQo="/>
    </extobj>
    <extobj name="ECB019B1-382A-4266-B25C-5B523AA43C14-3">
      <extobjdata type="ECB019B1-382A-4266-B25C-5B523AA43C14" data="ewoJIkZpbGVJZCIgOiAiNDIyMjc1ODM0MTQwIiwKCSJHcm91cElkIiA6ICIxMjM4MDY5Nzc1IiwKCSJJbWFnZSIgOiAiaVZCT1J3MEtHZ29BQUFBTlNVaEVVZ0FBQkR3QUFBS1VDQVlBQUFEbzlTaGFBQUFBQVhOU1IwSUFyczRjNlFBQUlBQkpSRUZVZUp6czNYdWNYSFY5Ly9IMzU4eGtkeEpJZ0dnRWE4U0lxOFIxTTN1K1o2elVPd0sxb0NqZ0ZiUmFVQlMxNHYxQ3RTalZsdFpMSzFqOGxhcFVyRlpSNnAycnR5cGVRR1htbk4yRUZlaFdnMGE1UktJa2dleHR6dWYzeDg3RVliSzNrR1EzbWJ5ZWo4YytkdWQ3dnQvditaN0R5VHlZOTV6ei9Vb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0FTOC84UkZzUFhoSjNUZ0FBQUFBQkpSVTVFcmtKZ2dnPT0iLAoJIlRoZW1lIiA6ICIiLAoJIlR5cGUiIDogImZsb3ciLAoJIlVzZXJJZCIgOiAiMTEzOTkxOTk5NSIsCgkiVmVyc2lvbiIgOiAiMjMiCn0K"/>
    </extobj>
    <extobj name="ECB019B1-382A-4266-B25C-5B523AA43C14-4">
      <extobjdata type="ECB019B1-382A-4266-B25C-5B523AA43C14" data="ewoJIkZpbGVJZCIgOiAiNDIyMjk1MTk5MTAyIiwKCSJHcm91cElkIiA6ICIxMjM4MDY5Nzc1IiwKCSJJbWFnZSIgOiAiaVZCT1J3MEtHZ29BQUFBTlNVaEVVZ0FBQkF3QUFBSmlDQVlBQUFCRHpWQm1BQUFBQVhOU1IwSUFyczRjNlFBQUlBQkpSRUZVZUp6czNYbDhWTlg5Ly9IM21aa3NoSVJBQUFVRlJRMGdVVUptb2hacXRZb0tLdGFxK05OS1hkQitxN1FLU0YzQW9sKzBpcURTQ29nb2FtV1JMKzVpRlhHckNLSWd4V1JDbE1ncVVSR1FSU0lFc3M2YzN4OWhwZ2szTzVESjhubytIajVnN2ozM3pybnFmR2JtUGVlZUl3R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RBZGVEL0FIZkV0V0lqTTBITUFBQUFBRWxGVGtTdVFtQ0MiLAoJIlRoZW1lIiA6ICIiLAoJIlR5cGUiIDogImZsb3ciLAoJIlVzZXJJZCIgOiAiMTEzOTkxOTk5NSIsCgkiVmVyc2lvbiIgOiAiMjAiCn0K"/>
    </extobj>
    <extobj name="ECB019B1-382A-4266-B25C-5B523AA43C14-5">
      <extobjdata type="ECB019B1-382A-4266-B25C-5B523AA43C14" data="ewoJIkZpbGVJZCIgOiAiNDIyMzIwOTgxNTE4IiwKCSJHcm91cElkIiA6ICIxMjM4MDY5Nzc1IiwKCSJJbWFnZSIgOiAiaVZCT1J3MEtHZ29BQUFBTlNVaEVVZ0FBQkdBQUFBSmlDQVlBQUFDSUZyU1lBQUFBQVhOU1IwSUFyczRjNlFBQUlBQkpSRUZVZUp6czNYbVlYRldkLy9IUDkxWjFkMlVEQWlUeUc0UFRhSVRRcEx2cjNGSkhVVndHRVVRZFFVVlFGblZFRWNkaEhQV251STdLejIwQXhSMXh3MjFja0JrM0ZCZFFSd1JjNnQ3cVRtZ0lCZ2tRQVFFSkp1bWtPMTExdjc4L3VqcFdtdDZ5VkhlbjgzNDlUei9VUGVmY2M3KzNuM0NlcDc1OUZna0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tnaC94OHhpb2t2QTY1ZVRBQUFBQUJKUlU1RXJrSmdnZz09IiwKCSJUaGVtZSIgOiAiIiwKCSJUeXBlIiA6ICJmbG93IiwKCSJVc2VySWQiIDogIjExMzk5MTk5OTUiLAoJIlZlcnNpb24iIDogIjkiCn0K"/>
    </extobj>
    <extobj name="ECB019B1-382A-4266-B25C-5B523AA43C14-6">
      <extobjdata type="ECB019B1-382A-4266-B25C-5B523AA43C14" data="ewoJIkZpbGVJZCIgOiAiNDIyNDExODMyMzc5IiwKCSJHcm91cElkIiA6ICIxMjM4MDY5Nzc1IiwKCSJJbWFnZSIgOiAiaVZCT1J3MEtHZ29BQUFBTlNVaEVVZ0FBQmg0QUFBSElDQVlBQUFDeGxaQm5BQUFBQVhOU1IwSUFyczRjNlFBQUlBQkpSRUZVZUp6czNYdWNYVmRkTi83djJtZVNUSkkybEdMcGhZZ0JvbTJuYlhMMkhya0lha0VFeWtVRXhYS1JPd0tDZlJCQkJCSGw5b2dLUXBHQ1FLVnlwNkR3b01KalVRVDhDWEoxempremFWTlNnb1FTMjBKS29jMTFNblAyZXY2WU0vMU5wcE5ra3B4a3BzbjcvWHIxbFhQMldudnQ3NTVYMTVsNTdjL1plMFV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b0tBdkYxbXVtUFA2aEZFQUFBQUFTVVZPUks1Q1lJST0iLAoJIlRoZW1lIiA6ICIiLAoJIlR5cGUiIDogImZsb3ciLAoJIlVzZXJJZCIgOiAiMTEzOTkxOTk5NSIsCgkiVmVyc2lvbiIgOiAiMjIiCn0K"/>
    </extobj>
    <extobj name="ECB019B1-382A-4266-B25C-5B523AA43C14-7">
      <extobjdata type="ECB019B1-382A-4266-B25C-5B523AA43C14" data="ewoJIkZpbGVJZCIgOiAiNDIyMzMwNTUwOTA5IiwKCSJHcm91cElkIiA6ICIxMjM4MDY5Nzc1IiwKCSJJbWFnZSIgOiAiaVZCT1J3MEtHZ29BQUFBTlNVaEVVZ0FBQkdBQUFBSmlDQVlBQUFDSUZyU1lBQUFBQVhOU1IwSUFyczRjNlFBQUlBQkpSRUZVZUp6czNYbDhWUFc5Ly9IMzk4d2tHZlpGVUt6aWpYVUJJNEU1SjY2bzlTcFhzVXF2VnV2VnFtRHRiZVgrcWxmN3N5NWRyUFVuRjVlcWRiZUExaFczcWx4cnhWM0VDNkpXTXpNSkdNV2lCbzJLd0lVSUNkbG16dmYzUjJiU3laNUFKcE9RMS9QeDRNR2M3L21lNy9sTUhzeVh6T2Q4Rndr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"/>
    </extobj>
    <extobj name="ECB019B1-382A-4266-B25C-5B523AA43C14-8">
      <extobjdata type="ECB019B1-382A-4266-B25C-5B523AA43C14" data="ewoJIkZpbGVJZCIgOiAiNDIyMzk1OTYyODY5IiwKCSJHcm91cElkIiA6ICIxMjM4MDY5Nzc1IiwKCSJJbWFnZSIgOiAiaVZCT1J3MEtHZ29BQUFBTlNVaEVVZ0FBQlRRQUFBSERDQVlBQUFBYXo1VzhBQUFBQVhOU1IwSUFyczRjNlFBQUlBQkpSRUZVZUp6czNYbDhYWFdkLy9IMzU5eWJwYUd0dEZBQnFWaXgyaHJJemZtZXF5THVDNG9MS2c2T0lpNm9JSWlJS0tQaWlvS2p6akNEZ2pyalBvQ09NL3B6d1ExUndORnhjRVB2T1RjSnhOYUpValJxb2F4ZGt5YjNmSDUvNU43TzVaS2thVW1iQmw3UHh5T1BuUHRkUCtjMEtROCsvWjd2VndJ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BQUFCMEpQOFA0ZXFzaHlPNUZzUUFBQUFBU1VWT1JLNUNZSUk9IiwKCSJUaGVtZSIgOiAiIiwKCSJUeXBlIiA6ICJmbG93IiwKCSJVc2VySWQiIDogIjExMzk5MTk5OTUiLAoJIlZlcnNpb24iIDogIjIwIgp9Cg=="/>
    </extobj>
  </extobj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230A949-26AA-49AB-B689-1028ED065E24}">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69</Pages>
  <Words>15064</Words>
  <Characters>15779</Characters>
  <Lines>4021</Lines>
  <Paragraphs>4152</Paragraphs>
  <TotalTime>2</TotalTime>
  <ScaleCrop>false</ScaleCrop>
  <LinksUpToDate>false</LinksUpToDate>
  <CharactersWithSpaces>15855</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2025-01-14T12:39:00Z</dcterms:created>
  <dc:creator>Administrator</dc:creator>
  <cp:lastModifiedBy>盐汽水</cp:lastModifiedBy>
  <cp:lastPrinted>2025-06-30T03:21:00Z</cp:lastPrinted>
  <dcterms:modified xsi:type="dcterms:W3CDTF">2025-07-16T04:23:41Z</dcterms:modified>
  <dc:title>附件2</dc:title>
  <cp:revision>63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AF2E0084B76741FE9B06928E4EF0B19A_13</vt:lpwstr>
  </property>
  <property fmtid="{D5CDD505-2E9C-101B-9397-08002B2CF9AE}" pid="4" name="KSOTemplateDocerSaveRecord">
    <vt:lpwstr>eyJoZGlkIjoiYmQwMzdkNjYwYjAxNGI4OWE4MDM0NzE0MzhiY2MzMmIiLCJ1c2VySWQiOiIxMTM5OTE5OTk1In0=</vt:lpwstr>
  </property>
</Properties>
</file>